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4.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2" w:name="Xf6fd3aed221724db31021b0727d3ce9eedcef8e"/>
    <w:p>
      <w:pPr>
        <w:pStyle w:val="Heading1"/>
      </w:pPr>
      <w:r>
        <w:t xml:space="preserve">Science Return per Dollar: A Learning-Curve Estimate of the Publication Elasticity of Space-Science Mission Cost</w:t>
      </w:r>
    </w:p>
    <w:bookmarkStart w:id="61" w:name="introduction"/>
    <w:p>
      <w:pPr>
        <w:pStyle w:val="Heading2"/>
      </w:pPr>
      <w:r>
        <w:t xml:space="preserve">1. Introduction</w:t>
      </w:r>
    </w:p>
    <w:p>
      <w:pPr>
        <w:pStyle w:val="FirstParagraph"/>
      </w:pPr>
      <w:r>
        <w:t xml:space="preserve">Space science buys hardware but is judged on knowledge. A program office choosing among candidate missions weighs mass, power, technology readiness, and heritage, yet the durable public record of what a mission delivered is the refereed literature that its data set generates over an operating lifetime. The question that follows is economic. If the appropriation doubles, does the realized science double with it, or does the marginal paper grow steadily more expensive as missions scale up? This paper estimates that relationship directly. It treats the count of refereed publications attributed to a mission as the measure of realized science, total life-cycle cost as the input, and the elasticity between them as the single number that summarizes science return per dollar.</w:t>
      </w:r>
    </w:p>
    <w:p>
      <w:pPr>
        <w:pStyle w:val="BodyText"/>
      </w:pPr>
      <w:r>
        <w:t xml:space="preserve">The framing is deliberately falsifiable. A learning-curve specification regresses the log of publication count on the log of cost, so the slope is an elasticity with a clean economic reading. A slope of one means constant returns: a one percent increase in cost is associated with a one percent increase in expected publications. A slope below one means diminishing returns: each additional dollar buys a smaller increment of science than the dollar before it. The paper estimates that slope across twenty-five space-science missions and tests it against the constant-returns null. The contribution is one coefficient, one confidence interval, and one verdict on whether the field’s largest missions are buying science at the same rate as its smallest.</w:t>
      </w:r>
    </w:p>
    <w:bookmarkEnd w:id="61"/>
    <w:bookmarkStart w:id="62" w:name="theory-and-hypotheses"/>
    <w:p>
      <w:pPr>
        <w:pStyle w:val="Heading2"/>
      </w:pPr>
      <w:r>
        <w:t xml:space="preserve">2. Theory and Hypotheses</w:t>
      </w:r>
    </w:p>
    <w:p>
      <w:pPr>
        <w:pStyle w:val="FirstParagraph"/>
      </w:pPr>
      <w:r>
        <w:t xml:space="preserve">Two strands of the space-economy literature motivate the estimand. The first treats publicly funded science as a distinct value stream that must be measured rather than asserted, and is explicit that government must carry the early, high-risk stages where private returns are thin</w:t>
      </w:r>
      <w:r>
        <w:t xml:space="preserve"> </w:t>
      </w:r>
      <w:hyperlink w:anchor="ref-1">
        <m:oMathPara>
          <m:oMathParaPr>
            <m:jc m:val="center"/>
          </m:oMathParaPr>
          <m:oMath>
            <m:r>
              <m:t>1</m:t>
            </m:r>
          </m:oMath>
        </m:oMathPara>
      </w:hyperlink>
      <w:r>
        <w:t xml:space="preserve">[3]. If public money is the instrument by which society purchases planetary and astrophysical knowledge, then the productivity of that money is a first-order policy quantity, not a curiosity. The second strand argues that the total value of the space enterprise is large and being revalued upward</w:t>
      </w:r>
      <w:r>
        <w:t xml:space="preserve"> </w:t>
      </w:r>
      <w:hyperlink w:anchor="ref-2">
        <m:oMathPara>
          <m:oMathParaPr>
            <m:jc m:val="center"/>
          </m:oMathParaPr>
          <m:oMath>
            <m:r>
              <m:t>2</m:t>
            </m:r>
          </m:oMath>
        </m:oMathPara>
      </w:hyperlink>
      <w:r>
        <w:t xml:space="preserve">, which raises rather than lowers the stakes of allocating a fixed appropriation efficiently across competing mission concepts.</w:t>
      </w:r>
    </w:p>
    <w:p>
      <w:pPr>
        <w:pStyle w:val="FirstParagraph"/>
      </w:pPr>
      <w:r>
        <w:t xml:space="preserve">Neither strand descends to an estimated productivity function. The architecture and cost literature has begun to apply linear regression to the drivers of overall mission cost</w:t>
      </w:r>
      <w:r>
        <w:t xml:space="preserve"> </w:t>
      </w:r>
      <w:hyperlink w:anchor="ref-4">
        <m:oMathPara>
          <m:oMathParaPr>
            <m:jc m:val="center"/>
          </m:oMathParaPr>
          <m:oMath>
            <m:r>
              <m:t>4</m:t>
            </m:r>
          </m:oMath>
        </m:oMathPara>
      </w:hyperlink>
      <w:r>
        <w:t xml:space="preserve">, establishing that regression on cost is tractable and accepted in the field, but it stops at cost and does not carry the analysis through to realized science output. This paper closes that loop by putting cost on one side and refereed publication count on the other.</w:t>
      </w:r>
    </w:p>
    <w:p>
      <w:pPr>
        <w:pStyle w:val="FirstParagraph"/>
      </w:pPr>
      <w:r>
        <w:t xml:space="preserve">The learning-curve form is the natural vehicle. Let the publication count of mission</w:t>
      </w:r>
      <w:r>
        <w:t xml:space="preserve"> </w:t>
      </w:r>
      <w:r>
        <w:rPr>
          <w:i/>
          <w:iCs/>
        </w:rPr>
        <w:t xml:space="preserve">i</w:t>
      </w:r>
      <w:r>
        <w:t xml:space="preserve"> </w:t>
      </w:r>
      <w:r>
        <w:t xml:space="preserve">be y_i and its cost be c_i. The structural claim is that expected log output is linear in log cost with elasticity beta. Two hypotheses bracket the policy question.</w:t>
      </w:r>
    </w:p>
    <w:p>
      <w:pPr>
        <w:pStyle w:val="BodyText"/>
      </w:pPr>
      <w:r>
        <w:rPr>
          <w:b/>
          <w:bCs/>
        </w:rPr>
        <w:t xml:space="preserve">H0 (constant returns):</w:t>
      </w:r>
      <w:r>
        <w:t xml:space="preserve"> </w:t>
      </w:r>
      <w:r>
        <w:t xml:space="preserve">beta = 1. Science output scales proportionally with dollars; the largest missions buy papers at the same marginal rate as the smallest.</w:t>
      </w:r>
    </w:p>
    <w:p>
      <w:pPr>
        <w:pStyle w:val="BodyText"/>
      </w:pPr>
      <w:r>
        <w:rPr>
          <w:b/>
          <w:bCs/>
        </w:rPr>
        <w:t xml:space="preserve">H1 (diminishing returns):</w:t>
      </w:r>
      <w:r>
        <w:t xml:space="preserve"> </w:t>
      </w:r>
      <w:r>
        <w:t xml:space="preserve">beta &lt; 1. The marginal science return per dollar falls as missions get more expensive, which would argue for a portfolio tilted toward a larger number of smaller missions.</w:t>
      </w:r>
    </w:p>
    <w:p>
      <w:pPr>
        <w:pStyle w:val="BodyText"/>
      </w:pPr>
      <w:r>
        <w:t xml:space="preserve">The test is one-sided in intent but reported two-sided for honesty. The number cannot be rescued by reinterpretation: either the slope is distinguishable from one or it is not.</w:t>
      </w:r>
    </w:p>
    <w:bookmarkEnd w:id="62"/>
    <w:bookmarkStart w:id="63" w:name="data"/>
    <w:p>
      <w:pPr>
        <w:pStyle w:val="Heading2"/>
      </w:pPr>
      <w:r>
        <w:t xml:space="preserve">3. Data</w:t>
      </w:r>
    </w:p>
    <w:p>
      <w:pPr>
        <w:pStyle w:val="FirstParagraph"/>
      </w:pPr>
      <w:r>
        <w:t xml:space="preserve">The panel is twenty-five space-science missions for which all four quantities are documented in public sources, joined at the mission level. The outcome variable is the count of refereed publications attributed to each mission through the end of 2021 under uniform inclusion criteria, taken from the bibliometric census of De Marchi and Parmar</w:t>
      </w:r>
      <w:r>
        <w:t xml:space="preserve"> </w:t>
      </w:r>
      <w:hyperlink w:anchor="ref-5">
        <m:oMathPara>
          <m:oMathParaPr>
            <m:jc m:val="center"/>
          </m:oMathParaPr>
          <m:oMath>
            <m:r>
              <m:t>5</m:t>
            </m:r>
          </m:oMath>
        </m:oMathPara>
      </w:hyperlink>
      <w:r>
        <w:t xml:space="preserve">, whose tables report a single Total Pubs figure per mission drawn from Astrophysics Data System mission publication libraries with consistent rules for what counts as a mission paper. Using one source for the entire outcome column removes the cross-source counting noise that would otherwise contaminate an elasticity.</w:t>
      </w:r>
    </w:p>
    <w:p>
      <w:pPr>
        <w:pStyle w:val="FirstParagraph"/>
      </w:pPr>
      <w:r>
        <w:t xml:space="preserve">Total life-cycle cost in nominal United States dollars is compiled from per-mission public cost reporting: agency fact sheets, government accountability assessments, and mission encyclopedia entries that cite those primary records. Costs originally stated in euros are converted to dollars at the contemporaneous rate cited alongside each figure, and the conversion is recorded in the source field of every row so a reader can reconstruct it. Launch mass in kilograms and operating lifetime in years are documented from the same fact sheets and enter the analysis as controls in the interpretive reading rather than as regressors in the headline specification. Every row carries its own source string; no publication count, cost, mass, or lifetime in the panel is illustrative.</w:t>
      </w:r>
    </w:p>
    <w:p>
      <w:pPr>
        <w:pStyle w:val="BodyText"/>
      </w:pPr>
      <w:r>
        <w:t xml:space="preserve">The sample spans three orders of magnitude in cost, from missions near one hundred million dollars to a flagship observatory near nine billion, and a comparable range in output, from under two hundred papers to more than nineteen thousand. That spread is what gives the log-log slope its leverage.</w:t>
      </w:r>
    </w:p>
    <w:bookmarkEnd w:id="63"/>
    <w:bookmarkStart w:id="64" w:name="method"/>
    <w:p>
      <w:pPr>
        <w:pStyle w:val="Heading2"/>
      </w:pPr>
      <w:r>
        <w:t xml:space="preserve">4. Method</w:t>
      </w:r>
    </w:p>
    <w:p>
      <w:pPr>
        <w:pStyle w:val="FirstParagraph"/>
      </w:pPr>
      <w:r>
        <w:t xml:space="preserve">The estimator is a log-log ordinary-least-squares regression, the canonical learning-curve form. The dependent variable is the natural log of publication count and the single regressor is the natural log of cost, so the coefficient on log cost is the elasticity beta. Standard errors are heteroskedasticity-robust. The Specification section below states the equation, and the embedded workbook reproduces every input observation, the variable construction, and the full estimator output so that any figure on the page can be traced to its source.</w:t>
      </w:r>
    </w:p>
    <w:p>
      <w:pPr>
        <w:pStyle w:val="BodyText"/>
      </w:pPr>
      <w:r>
        <w:t xml:space="preserve">The headline specification is intentionally parsimonious. With twenty-five observations, loading the regression with mass and lifetime controls would spend degrees of freedom that the sample cannot afford and would invite collinearity, since cost, mass, and lifetime move together across mission classes. The controls therefore enter the interpretation as documented covariates and as a guard against the most obvious confounds, while the reported coefficient isolates the cost elasticity that carries the falsifiable claim. The test of interest is not whether beta differs from zero, which is uninteresting, but whether beta differs from one, which is the boundary between constant and diminishing returns.</w:t>
      </w:r>
    </w:p>
    <w:bookmarkEnd w:id="64"/>
    <w:bookmarkStart w:id="65" w:name="findings"/>
    <w:p>
      <w:pPr>
        <w:pStyle w:val="Heading2"/>
      </w:pPr>
      <w:r>
        <w:t xml:space="preserve">5. Findings</w:t>
      </w:r>
    </w:p>
    <w:p>
      <w:pPr>
        <w:pStyle w:val="FirstParagraph"/>
      </w:pPr>
      <w:r>
        <w:t xml:space="preserve">The estimated cost elasticity of publication output is beta = 0.898, with a robust standard error of 0.158. The coefficient is estimated precisely enough to reject the trivial null of no relationship: the t statistic against zero is large and the associated p value is below 0.001, and the regression explains a little over half of the cross-mission variation in log publication count, with an R-squared of 0.539 on twenty-five missions. Cost is a strong and statistically reliable predictor of how much science a mission returns.</w:t>
      </w:r>
    </w:p>
    <w:p>
      <w:pPr>
        <w:pStyle w:val="BodyText"/>
      </w:pPr>
      <w:r>
        <w:t xml:space="preserve">The economically meaningful test is against constant returns, and here the result is a null finding stated plainly. The point estimate of 0.898 lies below one, the direction H1 predicts, but it is not far enough below one to be distinguished from it. The t statistic for the hypothesis that beta equals one is -0.645 on twenty-three degrees of freedom, with a two-sided p value of 0.525 and a one-sided p value of 0.263. The ninety-five percent confidence interval for beta runs from 0.589 to 1.207 and therefore contains one. On this sample, the hypothesis of constant returns to scale in science output cannot be rejected.</w:t>
      </w:r>
    </w:p>
    <w:p>
      <w:pPr>
        <w:pStyle w:val="BodyText"/>
      </w:pPr>
      <w:r>
        <w:t xml:space="preserve">The honest reading is therefore mixed and should not be overstated. The data are consistent with mild diminishing returns, since the central estimate sits below one, but they are equally consistent with proportional scaling, and they rule out only the more extreme possibilities at the tails of the interval. A field that doubled a mission’s budget could, on this evidence, expect roughly to double its eventual paper count, give or take a margin that the confidence interval makes explicit. The estimate does not support a confident claim that the largest missions are inefficient producers of science per dollar, nor does it license the opposite claim that scale is costless.</w:t>
      </w:r>
    </w:p>
    <w:bookmarkEnd w:id="65"/>
    <w:bookmarkStart w:id="66" w:name="discussion"/>
    <w:p>
      <w:pPr>
        <w:pStyle w:val="Heading2"/>
      </w:pPr>
      <w:r>
        <w:t xml:space="preserve">6. Discussion</w:t>
      </w:r>
    </w:p>
    <w:p>
      <w:pPr>
        <w:pStyle w:val="FirstParagraph"/>
      </w:pPr>
      <w:r>
        <w:t xml:space="preserve">The result reframes a debate usually conducted by analogy into one conducted by interval. The portfolio argument for many small missions over a few large ones often rests on an implicit belief in diminishing returns to mission scale. This paper’s central estimate is friendly to that belief in its sign but cannot certify it: a cost elasticity of 0.898 with a confidence interval spanning one is too wide to settle the allocation question on its own. The disciplined conclusion is that, across this sample of space-science missions, science output scales with cost at a rate statistically indistinguishable from proportional, and that any tilt toward smaller missions must be justified on grounds the data here do not yet supply.</w:t>
      </w:r>
    </w:p>
    <w:p>
      <w:pPr>
        <w:pStyle w:val="BodyText"/>
      </w:pPr>
      <w:r>
        <w:t xml:space="preserve">Three boundaries condition the finding. First, publication count is a proxy for realized science and undercounts missions whose value is operational or strategic rather than scholarly</w:t>
      </w:r>
      <w:r>
        <w:t xml:space="preserve"> </w:t>
      </w:r>
      <w:hyperlink w:anchor="ref-3">
        <m:oMathPara>
          <m:oMathParaPr>
            <m:jc m:val="center"/>
          </m:oMathParaPr>
          <m:oMath>
            <m:r>
              <m:t>3</m:t>
            </m:r>
          </m:oMath>
        </m:oMathPara>
      </w:hyperlink>
      <w:r>
        <w:t xml:space="preserve">, so the estimand is the elasticity of scholarly output, not of all mission value. Second, cost is not randomly assigned; missions are made expensive on purpose, often because their science case was judged strong in advance, which would bias the elasticity toward one and may partly explain why constant returns cannot be rejected. Third, the sample is dominated by astrophysics and heliophysics observatories alongside planetary missions, and a count model with mission fixed effects on a larger instrument-level panel, the design advanced in the accompanying prospectus, is the route to a sharper estimate. The precision of the present coefficient, with a standard error of 0.158 on the elasticity, is the honest current state of the evidence: enough to confirm that cost predicts science, not yet enough to convict scale of inefficiency. The next dollar of analysis should buy a larger panel before it buys a stronger claim.</w:t>
      </w:r>
    </w:p>
    <w:bookmarkEnd w:id="66"/>
    <w:bookmarkStart w:id="72" w:name="references"/>
    <w:p>
      <w:pPr>
        <w:pStyle w:val="Heading2"/>
      </w:pPr>
      <w:r>
        <w:t xml:space="preserve">References</w:t>
      </w:r>
    </w:p>
    <w:p>
      <w:pPr>
        <w:pStyle w:val="FirstParagraph"/>
      </w:pPr>
      <w:bookmarkStart w:id="67" w:name="ref-1"/>
      <w:bookmarkEnd w:id="67"/>
      <w:r>
        <w:t xml:space="preserve">1. OCEA,</w:t>
      </w:r>
      <w:r>
        <w:t xml:space="preserve"> </w:t>
      </w:r>
      <w:r>
        <w:t xml:space="preserve">“Forecasting the Space Economy,”</w:t>
      </w:r>
      <w:r>
        <w:t xml:space="preserve"> </w:t>
      </w:r>
      <w:r>
        <w:t xml:space="preserve">Space Economy Papers corpus (SD08).</w:t>
      </w:r>
    </w:p>
    <w:p>
      <w:pPr>
        <w:pStyle w:val="BodyText"/>
      </w:pPr>
      <w:bookmarkStart w:id="68" w:name="ref-2"/>
      <w:bookmarkEnd w:id="68"/>
      <w:r>
        <w:t xml:space="preserve">2. M. Weinzierl,</w:t>
      </w:r>
      <w:r>
        <w:t xml:space="preserve"> </w:t>
      </w:r>
      <w:r>
        <w:t xml:space="preserve">“Space, the Final Economic Frontier,”</w:t>
      </w:r>
      <w:r>
        <w:t xml:space="preserve"> </w:t>
      </w:r>
      <w:r>
        <w:t xml:space="preserve">2018, Space Economy Papers corpus (SD18).</w:t>
      </w:r>
    </w:p>
    <w:p>
      <w:pPr>
        <w:pStyle w:val="BodyText"/>
      </w:pPr>
      <w:bookmarkStart w:id="69" w:name="ref-3"/>
      <w:bookmarkEnd w:id="69"/>
      <w:r>
        <w:t xml:space="preserve">3.</w:t>
      </w:r>
      <w:r>
        <w:t xml:space="preserve"> </w:t>
      </w:r>
      <w:r>
        <w:t xml:space="preserve">“The Role of Space in Driving Sustainability, Security, and Development,”</w:t>
      </w:r>
      <w:r>
        <w:t xml:space="preserve"> </w:t>
      </w:r>
      <w:r>
        <w:t xml:space="preserve">Space Economy Papers corpus (SD13).</w:t>
      </w:r>
    </w:p>
    <w:p>
      <w:pPr>
        <w:pStyle w:val="BodyText"/>
      </w:pPr>
      <w:bookmarkStart w:id="70" w:name="ref-4"/>
      <w:bookmarkEnd w:id="70"/>
      <w:r>
        <w:t xml:space="preserve">4.</w:t>
      </w:r>
      <w:r>
        <w:t xml:space="preserve"> </w:t>
      </w:r>
      <w:r>
        <w:t xml:space="preserve">“Architectural Socio-Technological Transformative Change of Space-Use Norms,”</w:t>
      </w:r>
      <w:r>
        <w:t xml:space="preserve"> </w:t>
      </w:r>
      <w:r>
        <w:t xml:space="preserve">Space Economy Papers corpus (SD03).</w:t>
      </w:r>
    </w:p>
    <w:p>
      <w:pPr>
        <w:pStyle w:val="BodyText"/>
      </w:pPr>
      <w:bookmarkStart w:id="71" w:name="ref-5"/>
      <w:bookmarkEnd w:id="71"/>
      <w:r>
        <w:t xml:space="preserve">5. G. De Marchi and A. N. Parmar,</w:t>
      </w:r>
      <w:r>
        <w:t xml:space="preserve"> </w:t>
      </w:r>
      <w:r>
        <w:t xml:space="preserve">“ESA Science Programme Missions: Contributions and Exploitation, ESA Mission Publications,”</w:t>
      </w:r>
      <w:r>
        <w:t xml:space="preserve"> </w:t>
      </w:r>
      <w:r>
        <w:t xml:space="preserve">ISSI Scientific Reports, 2024. arXiv:2402.12818.</w:t>
      </w:r>
    </w:p>
    <w:bookmarkEnd w:id="72"/>
    <w:bookmarkStart w:id="73"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pubs</m:t>
              </m:r>
            </m:e>
            <m:sub>
              <m:r>
                <m:t>i</m:t>
              </m:r>
            </m:sub>
          </m:sSub>
          <m:r>
            <m:rPr>
              <m:sty m:val="p"/>
            </m:rPr>
            <m:t>)</m:t>
          </m:r>
          <m:r>
            <m:rPr>
              <m:sty m:val="p"/>
            </m:rPr>
            <m:t>=</m:t>
          </m:r>
          <m:r>
            <m:t>α</m:t>
          </m:r>
          <m:r>
            <m:rPr>
              <m:sty m:val="p"/>
            </m:rPr>
            <m:t>+</m:t>
          </m:r>
          <m:r>
            <m:t>β</m:t>
          </m:r>
          <m:r>
            <m:t> </m:t>
          </m:r>
          <m:r>
            <m:rPr>
              <m:sty m:val="p"/>
            </m:rPr>
            <m:t>ln</m:t>
          </m:r>
          <m:r>
            <m:rPr>
              <m:sty m:val="p"/>
            </m:rPr>
            <m:t>(</m:t>
          </m:r>
          <m:sSub>
            <m:e>
              <m:r>
                <m:rPr>
                  <m:nor/>
                  <m:sty m:val="p"/>
                </m:rPr>
                <m:t>cost_musd</m:t>
              </m:r>
            </m:e>
            <m:sub>
              <m:r>
                <m:t>i</m:t>
              </m:r>
            </m:sub>
          </m:sSub>
          <m:r>
            <m:rPr>
              <m:sty m:val="p"/>
            </m:rPr>
            <m:t>)</m:t>
          </m:r>
          <m:r>
            <m:rPr>
              <m:sty m:val="p"/>
            </m:rPr>
            <m:t>+</m:t>
          </m:r>
          <m:sSub>
            <m:e>
              <m:r>
                <m:t>ε</m:t>
              </m:r>
            </m:e>
            <m:sub>
              <m:r>
                <m:t>i</m:t>
              </m:r>
            </m:sub>
          </m:sSub>
        </m:oMath>
      </m:oMathPara>
    </w:p>
    <w:bookmarkEnd w:id="73"/>
    <w:bookmarkStart w:id="77"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1.7001</w:t>
            </w:r>
          </w:p>
        </w:tc>
        <w:tc>
          <w:tcPr>
            <w:tcW w:w="0" w:type="auto"/>
          </w:tcPr>
          <w:p>
            <w:pPr>
              <w:spacing w:line="240" w:lineRule="auto" w:before="0" w:after="0"/>
              <w:pStyle w:val="Compact"/>
            </w:pPr>
            <w:r>
              <w:rPr>
                <w:sz w:val="20"/>
                <w:szCs w:val="20"/>
              </w:rPr>
              <w:t xml:space="preserve">1.0187</w:t>
            </w:r>
          </w:p>
        </w:tc>
        <w:tc>
          <w:tcPr>
            <w:tcW w:w="0" w:type="auto"/>
          </w:tcPr>
          <w:p>
            <w:pPr>
              <w:spacing w:line="240" w:lineRule="auto" w:before="0" w:after="0"/>
              <w:pStyle w:val="Compact"/>
            </w:pPr>
            <w:r>
              <w:rPr>
                <w:sz w:val="20"/>
                <w:szCs w:val="20"/>
              </w:rPr>
              <w:t xml:space="preserve">1.6688</w:t>
            </w:r>
          </w:p>
        </w:tc>
        <w:tc>
          <w:tcPr>
            <w:tcW w:w="0" w:type="auto"/>
          </w:tcPr>
          <w:p>
            <w:pPr>
              <w:spacing w:line="240" w:lineRule="auto" w:before="0" w:after="0"/>
              <w:pStyle w:val="Compact"/>
            </w:pPr>
            <w:r>
              <w:rPr>
                <w:sz w:val="20"/>
                <w:szCs w:val="20"/>
              </w:rPr>
              <w:t xml:space="preserve">0.0951</w:t>
            </w:r>
          </w:p>
        </w:tc>
        <w:tc>
          <w:tcPr>
            <w:tcW w:w="0" w:type="auto"/>
          </w:tcPr>
          <w:p>
            <w:pPr>
              <w:spacing w:line="240" w:lineRule="auto" w:before="0" w:after="0"/>
              <w:pStyle w:val="Compact"/>
            </w:pPr>
            <w:r>
              <w:rPr>
                <w:sz w:val="20"/>
                <w:szCs w:val="20"/>
              </w:rPr>
              <w:t xml:space="preserve">[-0.2966, 3.6968]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0.8983</w:t>
            </w:r>
          </w:p>
        </w:tc>
        <w:tc>
          <w:tcPr>
            <w:tcW w:w="0" w:type="auto"/>
          </w:tcPr>
          <w:p>
            <w:pPr>
              <w:spacing w:line="240" w:lineRule="auto" w:before="0" w:after="0"/>
              <w:pStyle w:val="Compact"/>
            </w:pPr>
            <w:r>
              <w:rPr>
                <w:sz w:val="20"/>
                <w:szCs w:val="20"/>
              </w:rPr>
              <w:t xml:space="preserve">0.1576</w:t>
            </w:r>
          </w:p>
        </w:tc>
        <w:tc>
          <w:tcPr>
            <w:tcW w:w="0" w:type="auto"/>
          </w:tcPr>
          <w:p>
            <w:pPr>
              <w:spacing w:line="240" w:lineRule="auto" w:before="0" w:after="0"/>
              <w:pStyle w:val="Compact"/>
            </w:pPr>
            <w:r>
              <w:rPr>
                <w:sz w:val="20"/>
                <w:szCs w:val="20"/>
              </w:rPr>
              <w:t xml:space="preserve">5.6991</w:t>
            </w:r>
          </w:p>
        </w:tc>
        <w:tc>
          <w:tcPr>
            <w:tcW w:w="0" w:type="auto"/>
          </w:tcPr>
          <w:p>
            <w:pPr>
              <w:spacing w:line="240" w:lineRule="auto" w:before="0" w:after="0"/>
              <w:pStyle w:val="Compact"/>
            </w:pPr>
            <w:r>
              <w:rPr>
                <w:sz w:val="20"/>
                <w:szCs w:val="20"/>
              </w:rPr>
              <w:t xml:space="preserve">1.204e-08</w:t>
            </w:r>
          </w:p>
        </w:tc>
        <w:tc>
          <w:tcPr>
            <w:tcW w:w="0" w:type="auto"/>
          </w:tcPr>
          <w:p>
            <w:pPr>
              <w:spacing w:line="240" w:lineRule="auto" w:before="0" w:after="0"/>
              <w:pStyle w:val="Compact"/>
            </w:pPr>
            <w:r>
              <w:rPr>
                <w:sz w:val="20"/>
                <w:szCs w:val="20"/>
              </w:rPr>
              <w:t xml:space="preserve">[0.5894, 1.2072]</w:t>
            </w:r>
          </w:p>
        </w:tc>
      </w:tr>
    </w:tbl>
    <w:p>
      <w:pPr>
        <w:pStyle w:val="BodyText"/>
      </w:pPr>
      <w:r>
        <w:t xml:space="preserve">Fit: N = 25 R2 = 0.5387 elasticity_b = 0.8983 progress_ratio_2^b = 1.8638</w:t>
      </w:r>
    </w:p>
    <w:p>
      <w:pPr>
        <w:pStyle w:val="CaptionedFigure"/>
      </w:pPr>
      <w:r>
        <w:drawing>
          <wp:inline>
            <wp:extent cx="5669280" cy="3657600"/>
            <wp:effectExtent b="0" l="0" r="0" t="0"/>
            <wp:docPr descr="Figure 1. Refereed publication count against total mission cost across 25 space-science missions, with the fitted log-log learning curve. The slope is the estimated cost elasticity of science output." title="" id="75" name="Picture"/>
            <a:graphic>
              <a:graphicData uri="http://schemas.openxmlformats.org/drawingml/2006/picture">
                <pic:pic>
                  <pic:nvPicPr>
                    <pic:cNvPr descr="D:\Claude_Code\brain\collegium\candidates\dissertations\JPL_INSTRUMENTS_NAV_03\research_papers\p1\paper_fig1.png" id="76" name="Picture"/>
                    <pic:cNvPicPr>
                      <a:picLocks noChangeArrowheads="1" noChangeAspect="1"/>
                    </pic:cNvPicPr>
                  </pic:nvPicPr>
                  <pic:blipFill>
                    <a:blip r:embed="rId7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Refereed publication count against total mission cost across 25 space-science missions, with the fitted log-log learning curve. The slope is the estimated cost elasticity of science output.</w:t>
      </w:r>
    </w:p>
    <w:bookmarkEnd w:id="77"/>
    <w:bookmarkStart w:id="81"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8"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host_class</w:t>
            </w:r>
          </w:p>
        </w:tc>
        <w:tc>
          <w:tcPr>
            <w:tcW w:w="0" w:type="auto"/>
          </w:tcPr>
          <w:p>
            <w:pPr>
              <w:spacing w:line="240" w:lineRule="auto" w:before="0" w:after="0"/>
              <w:pStyle w:val="Compact"/>
            </w:pPr>
            <w:r>
              <w:rPr>
                <w:sz w:val="20"/>
                <w:szCs w:val="20"/>
              </w:rPr>
              <w:t xml:space="preserve">cost_musd</w:t>
            </w:r>
          </w:p>
        </w:tc>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life_years</w:t>
            </w:r>
          </w:p>
        </w:tc>
        <w:tc>
          <w:tcPr>
            <w:tcW w:w="0" w:type="auto"/>
          </w:tcPr>
          <w:p>
            <w:pPr>
              <w:spacing w:line="240" w:lineRule="auto" w:before="0" w:after="0"/>
              <w:pStyle w:val="Compact"/>
            </w:pPr>
            <w:r>
              <w:rPr>
                <w:sz w:val="20"/>
                <w:szCs w:val="20"/>
              </w:rPr>
              <w:t xml:space="preserve">pubs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Hubble Space Telescope</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9000</w:t>
            </w:r>
          </w:p>
        </w:tc>
        <w:tc>
          <w:tcPr>
            <w:tcW w:w="0" w:type="auto"/>
          </w:tcPr>
          <w:p>
            <w:pPr>
              <w:spacing w:line="240" w:lineRule="auto" w:before="0" w:after="0"/>
              <w:pStyle w:val="Compact"/>
            </w:pPr>
            <w:r>
              <w:rPr>
                <w:sz w:val="20"/>
                <w:szCs w:val="20"/>
              </w:rPr>
              <w:t xml:space="preserve">11110</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19333</w:t>
            </w:r>
          </w:p>
        </w:tc>
        <w:tc>
          <w:tcPr>
            <w:tcW w:w="0" w:type="auto"/>
          </w:tcPr>
          <w:p>
            <w:pPr>
              <w:spacing w:line="240" w:lineRule="auto" w:before="0" w:after="0"/>
              <w:pStyle w:val="Compact"/>
            </w:pPr>
            <w:r>
              <w:rPr>
                <w:sz w:val="20"/>
                <w:szCs w:val="20"/>
              </w:rPr>
              <w:t xml:space="preserve">Cost ~$9B by 2006 incl. servicing (Wikipedia, Hubble Space Telescope, citing NASA); launch mass 11110 kg (NASA HST fact sheet); ops 1990-2021 (=31 yr, pub window); pubs 19333 (De Marchi &amp; Parmar 2024, ESA Mission Publications, Table 2, Total Pubs)</w:t>
            </w:r>
          </w:p>
        </w:tc>
      </w:tr>
      <w:tr>
        <w:tc>
          <w:tcPr>
            <w:tcW w:w="0" w:type="auto"/>
          </w:tcPr>
          <w:p>
            <w:pPr>
              <w:spacing w:line="240" w:lineRule="auto" w:before="0" w:after="0"/>
              <w:pStyle w:val="Compact"/>
            </w:pPr>
            <w:r>
              <w:rPr>
                <w:sz w:val="20"/>
                <w:szCs w:val="20"/>
              </w:rPr>
              <w:t xml:space="preserve">Cassini-Huygens</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3260</w:t>
            </w:r>
          </w:p>
        </w:tc>
        <w:tc>
          <w:tcPr>
            <w:tcW w:w="0" w:type="auto"/>
          </w:tcPr>
          <w:p>
            <w:pPr>
              <w:spacing w:line="240" w:lineRule="auto" w:before="0" w:after="0"/>
              <w:pStyle w:val="Compact"/>
            </w:pPr>
            <w:r>
              <w:rPr>
                <w:sz w:val="20"/>
                <w:szCs w:val="20"/>
              </w:rPr>
              <w:t xml:space="preserve">5712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2227</w:t>
            </w:r>
          </w:p>
        </w:tc>
        <w:tc>
          <w:tcPr>
            <w:tcW w:w="0" w:type="auto"/>
          </w:tcPr>
          <w:p>
            <w:pPr>
              <w:spacing w:line="240" w:lineRule="auto" w:before="0" w:after="0"/>
              <w:pStyle w:val="Compact"/>
            </w:pPr>
            <w:r>
              <w:rPr>
                <w:sz w:val="20"/>
                <w:szCs w:val="20"/>
              </w:rPr>
              <w:t xml:space="preserve">Total cost ~US$3.26B (Wikipedia, Cassini-Huygens, citing NASA/ESA); launch mass 5712 kg (NASA Cassini Quick Facts); ops 1997-2017 (20 yr); pubs 2227 (De Marchi &amp; Parmar 2024, Table 2, Cassini Total Pubs)</w:t>
            </w:r>
          </w:p>
        </w:tc>
      </w:tr>
      <w:tr>
        <w:tc>
          <w:tcPr>
            <w:tcW w:w="0" w:type="auto"/>
          </w:tcPr>
          <w:p>
            <w:pPr>
              <w:spacing w:line="240" w:lineRule="auto" w:before="0" w:after="0"/>
              <w:pStyle w:val="Compact"/>
            </w:pPr>
            <w:r>
              <w:rPr>
                <w:sz w:val="20"/>
                <w:szCs w:val="20"/>
              </w:rPr>
              <w:t xml:space="preserve">SOHO</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1270</w:t>
            </w:r>
          </w:p>
        </w:tc>
        <w:tc>
          <w:tcPr>
            <w:tcW w:w="0" w:type="auto"/>
          </w:tcPr>
          <w:p>
            <w:pPr>
              <w:spacing w:line="240" w:lineRule="auto" w:before="0" w:after="0"/>
              <w:pStyle w:val="Compact"/>
            </w:pPr>
            <w:r>
              <w:rPr>
                <w:sz w:val="20"/>
                <w:szCs w:val="20"/>
              </w:rPr>
              <w:t xml:space="preserve">1850</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6252</w:t>
            </w:r>
          </w:p>
        </w:tc>
        <w:tc>
          <w:tcPr>
            <w:tcW w:w="0" w:type="auto"/>
          </w:tcPr>
          <w:p>
            <w:pPr>
              <w:spacing w:line="240" w:lineRule="auto" w:before="0" w:after="0"/>
              <w:pStyle w:val="Compact"/>
            </w:pPr>
            <w:r>
              <w:rPr>
                <w:sz w:val="20"/>
                <w:szCs w:val="20"/>
              </w:rPr>
              <w:t xml:space="preserve">Cost US$1.27B (Space.com SOHO; astronautix.com); launch mass 1850 kg (astronautix.com SOHO); ops 1995-2021 (26 yr, pub window, still operating); pubs 6252 (De Marchi &amp; Parmar 2024, Table 1, SOHO Total Pubs)</w:t>
            </w:r>
          </w:p>
        </w:tc>
      </w:tr>
      <w:tr>
        <w:tc>
          <w:tcPr>
            <w:tcW w:w="0" w:type="auto"/>
          </w:tcPr>
          <w:p>
            <w:pPr>
              <w:spacing w:line="240" w:lineRule="auto" w:before="0" w:after="0"/>
              <w:pStyle w:val="Compact"/>
            </w:pPr>
            <w:r>
              <w:rPr>
                <w:sz w:val="20"/>
                <w:szCs w:val="20"/>
              </w:rPr>
              <w:t xml:space="preserve">Ulysses</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371</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1950</w:t>
            </w:r>
          </w:p>
        </w:tc>
        <w:tc>
          <w:tcPr>
            <w:tcW w:w="0" w:type="auto"/>
          </w:tcPr>
          <w:p>
            <w:pPr>
              <w:spacing w:line="240" w:lineRule="auto" w:before="0" w:after="0"/>
              <w:pStyle w:val="Compact"/>
            </w:pPr>
            <w:r>
              <w:rPr>
                <w:sz w:val="20"/>
                <w:szCs w:val="20"/>
              </w:rPr>
              <w:t xml:space="preserve">Cost ~US$750M ESA+NASA (GAO NSIAD-88-129FS, Ulysses; Wikipedia); launch mass 371 kg (Wikipedia, Ulysses spacecraft); ops 1990-2009 (19 yr); pubs 1950 (De Marchi &amp; Parmar 2024, Table 1, Ulysses Total Pubs)</w:t>
            </w:r>
          </w:p>
        </w:tc>
      </w:tr>
      <w:tr>
        <w:tc>
          <w:tcPr>
            <w:tcW w:w="0" w:type="auto"/>
          </w:tcPr>
          <w:p>
            <w:pPr>
              <w:spacing w:line="240" w:lineRule="auto" w:before="0" w:after="0"/>
              <w:pStyle w:val="Compact"/>
            </w:pPr>
            <w:r>
              <w:rPr>
                <w:sz w:val="20"/>
                <w:szCs w:val="20"/>
              </w:rPr>
              <w:t xml:space="preserve">ISO</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576</w:t>
            </w:r>
          </w:p>
        </w:tc>
        <w:tc>
          <w:tcPr>
            <w:tcW w:w="0" w:type="auto"/>
          </w:tcPr>
          <w:p>
            <w:pPr>
              <w:spacing w:line="240" w:lineRule="auto" w:before="0" w:after="0"/>
              <w:pStyle w:val="Compact"/>
            </w:pPr>
            <w:r>
              <w:rPr>
                <w:sz w:val="20"/>
                <w:szCs w:val="20"/>
              </w:rPr>
              <w:t xml:space="preserve">2498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2062</w:t>
            </w:r>
          </w:p>
        </w:tc>
        <w:tc>
          <w:tcPr>
            <w:tcW w:w="0" w:type="auto"/>
          </w:tcPr>
          <w:p>
            <w:pPr>
              <w:spacing w:line="240" w:lineRule="auto" w:before="0" w:after="0"/>
              <w:pStyle w:val="Compact"/>
            </w:pPr>
            <w:r>
              <w:rPr>
                <w:sz w:val="20"/>
                <w:szCs w:val="20"/>
              </w:rPr>
              <w:t xml:space="preserve">Cost EUR480.1M ~US$576M at 1.2 (Wikipedia, Infrared Space Observatory); launch mass 2498 kg (ESA ISO factsheet); ops 1995-1998 (3 yr); pubs 2062 (De Marchi &amp; Parmar 2024, Table 1, ISO Total Pubs)</w:t>
            </w:r>
          </w:p>
        </w:tc>
      </w:tr>
      <w:tr>
        <w:tc>
          <w:tcPr>
            <w:tcW w:w="0" w:type="auto"/>
          </w:tcPr>
          <w:p>
            <w:pPr>
              <w:spacing w:line="240" w:lineRule="auto" w:before="0" w:after="0"/>
              <w:pStyle w:val="Compact"/>
            </w:pPr>
            <w:r>
              <w:rPr>
                <w:sz w:val="20"/>
                <w:szCs w:val="20"/>
              </w:rPr>
              <w:t xml:space="preserve">XMM-Newton</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760</w:t>
            </w:r>
          </w:p>
        </w:tc>
        <w:tc>
          <w:tcPr>
            <w:tcW w:w="0" w:type="auto"/>
          </w:tcPr>
          <w:p>
            <w:pPr>
              <w:spacing w:line="240" w:lineRule="auto" w:before="0" w:after="0"/>
              <w:pStyle w:val="Compact"/>
            </w:pPr>
            <w:r>
              <w:rPr>
                <w:sz w:val="20"/>
                <w:szCs w:val="20"/>
              </w:rPr>
              <w:t xml:space="preserve">3800</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6963</w:t>
            </w:r>
          </w:p>
        </w:tc>
        <w:tc>
          <w:tcPr>
            <w:tcW w:w="0" w:type="auto"/>
          </w:tcPr>
          <w:p>
            <w:pPr>
              <w:spacing w:line="240" w:lineRule="auto" w:before="0" w:after="0"/>
              <w:pStyle w:val="Compact"/>
            </w:pPr>
            <w:r>
              <w:rPr>
                <w:sz w:val="20"/>
                <w:szCs w:val="20"/>
              </w:rPr>
              <w:t xml:space="preserve">Cost EUR689M (1999 ec.) ~US$760M at 1.1 (ESA XMM-Newton fact sheet); launch mass 3800 kg (ESA XMM-Newton fact sheet); ops 1999-2021 (22 yr, pub window); pubs 6963 (De Marchi &amp; Parmar 2024, Table 1, XMM-Newton Total Pubs)</w:t>
            </w:r>
          </w:p>
        </w:tc>
      </w:tr>
      <w:tr>
        <w:tc>
          <w:tcPr>
            <w:tcW w:w="0" w:type="auto"/>
          </w:tcPr>
          <w:p>
            <w:pPr>
              <w:spacing w:line="240" w:lineRule="auto" w:before="0" w:after="0"/>
              <w:pStyle w:val="Compact"/>
            </w:pPr>
            <w:r>
              <w:rPr>
                <w:sz w:val="20"/>
                <w:szCs w:val="20"/>
              </w:rPr>
              <w:t xml:space="preserve">Cluster</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378</w:t>
            </w:r>
          </w:p>
        </w:tc>
        <w:tc>
          <w:tcPr>
            <w:tcW w:w="0" w:type="auto"/>
          </w:tcPr>
          <w:p>
            <w:pPr>
              <w:spacing w:line="240" w:lineRule="auto" w:before="0" w:after="0"/>
              <w:pStyle w:val="Compact"/>
            </w:pPr>
            <w:r>
              <w:rPr>
                <w:sz w:val="20"/>
                <w:szCs w:val="20"/>
              </w:rPr>
              <w:t xml:space="preserve">4800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2962</w:t>
            </w:r>
          </w:p>
        </w:tc>
        <w:tc>
          <w:tcPr>
            <w:tcW w:w="0" w:type="auto"/>
          </w:tcPr>
          <w:p>
            <w:pPr>
              <w:spacing w:line="240" w:lineRule="auto" w:before="0" w:after="0"/>
              <w:pStyle w:val="Compact"/>
            </w:pPr>
            <w:r>
              <w:rPr>
                <w:sz w:val="20"/>
                <w:szCs w:val="20"/>
              </w:rPr>
              <w:t xml:space="preserve">Cost EUR315M (1999 ec.) ~US$378M at 1.2, four S/C (ESA Cluster bulletin b84/b87); launch mass ~1200 kg x4 = 4800 kg (ESA Cluster, 4 spacecraft); ops 2000-2021 (21 yr, pub window); pubs 2962 (De Marchi &amp; Parmar 2024, Table 1, Cluster Total Pubs)</w:t>
            </w:r>
          </w:p>
        </w:tc>
      </w:tr>
      <w:tr>
        <w:tc>
          <w:tcPr>
            <w:tcW w:w="0" w:type="auto"/>
          </w:tcPr>
          <w:p>
            <w:pPr>
              <w:spacing w:line="240" w:lineRule="auto" w:before="0" w:after="0"/>
              <w:pStyle w:val="Compact"/>
            </w:pPr>
            <w:r>
              <w:rPr>
                <w:sz w:val="20"/>
                <w:szCs w:val="20"/>
              </w:rPr>
              <w:t xml:space="preserve">INTEGRAL</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396</w:t>
            </w:r>
          </w:p>
        </w:tc>
        <w:tc>
          <w:tcPr>
            <w:tcW w:w="0" w:type="auto"/>
          </w:tcPr>
          <w:p>
            <w:pPr>
              <w:spacing w:line="240" w:lineRule="auto" w:before="0" w:after="0"/>
              <w:pStyle w:val="Compact"/>
            </w:pPr>
            <w:r>
              <w:rPr>
                <w:sz w:val="20"/>
                <w:szCs w:val="20"/>
              </w:rPr>
              <w:t xml:space="preserve">4000</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1904</w:t>
            </w:r>
          </w:p>
        </w:tc>
        <w:tc>
          <w:tcPr>
            <w:tcW w:w="0" w:type="auto"/>
          </w:tcPr>
          <w:p>
            <w:pPr>
              <w:spacing w:line="240" w:lineRule="auto" w:before="0" w:after="0"/>
              <w:pStyle w:val="Compact"/>
            </w:pPr>
            <w:r>
              <w:rPr>
                <w:sz w:val="20"/>
                <w:szCs w:val="20"/>
              </w:rPr>
              <w:t xml:space="preserve">Cost EUR330M ~US$396M at 1.2 (Wikipedia, INTEGRAL; ESA INTEGRAL fact sheet); launch mass 4000 kg (Wikipedia, INTEGRAL); ops 2002-2021 (19 yr, pub window); pubs 1904 (De Marchi &amp; Parmar 2024, Table 1, INTEGRAL Total Pubs)</w:t>
            </w:r>
          </w:p>
        </w:tc>
      </w:tr>
      <w:tr>
        <w:tc>
          <w:tcPr>
            <w:tcW w:w="0" w:type="auto"/>
          </w:tcPr>
          <w:p>
            <w:pPr>
              <w:spacing w:line="240" w:lineRule="auto" w:before="0" w:after="0"/>
              <w:pStyle w:val="Compact"/>
            </w:pPr>
            <w:r>
              <w:rPr>
                <w:sz w:val="20"/>
                <w:szCs w:val="20"/>
              </w:rPr>
              <w:t xml:space="preserve">SMART-1</w:t>
            </w:r>
          </w:p>
        </w:tc>
        <w:tc>
          <w:tcPr>
            <w:tcW w:w="0" w:type="auto"/>
          </w:tcPr>
          <w:p>
            <w:pPr>
              <w:spacing w:line="240" w:lineRule="auto" w:before="0" w:after="0"/>
              <w:pStyle w:val="Compact"/>
            </w:pPr>
            <w:r>
              <w:rPr>
                <w:sz w:val="20"/>
                <w:szCs w:val="20"/>
              </w:rPr>
              <w:t xml:space="preserve">Small</w:t>
            </w:r>
          </w:p>
        </w:tc>
        <w:tc>
          <w:tcPr>
            <w:tcW w:w="0" w:type="auto"/>
          </w:tcPr>
          <w:p>
            <w:pPr>
              <w:spacing w:line="240" w:lineRule="auto" w:before="0" w:after="0"/>
              <w:pStyle w:val="Compact"/>
            </w:pPr>
            <w:r>
              <w:rPr>
                <w:sz w:val="20"/>
                <w:szCs w:val="20"/>
              </w:rPr>
              <w:t xml:space="preserve">134</w:t>
            </w:r>
          </w:p>
        </w:tc>
        <w:tc>
          <w:tcPr>
            <w:tcW w:w="0" w:type="auto"/>
          </w:tcPr>
          <w:p>
            <w:pPr>
              <w:spacing w:line="240" w:lineRule="auto" w:before="0" w:after="0"/>
              <w:pStyle w:val="Compact"/>
            </w:pPr>
            <w:r>
              <w:rPr>
                <w:sz w:val="20"/>
                <w:szCs w:val="20"/>
              </w:rPr>
              <w:t xml:space="preserve">367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Cost EUR110M ~US$134M (ESA SMART-1; Wikipedia); launch mass 367 kg (Wikipedia, SMART-1); ops 2003-2006 (3 yr); pubs 70 (De Marchi &amp; Parmar 2024, Table 1, SMART-1 Total Pubs)</w:t>
            </w:r>
          </w:p>
        </w:tc>
      </w:tr>
      <w:tr>
        <w:tc>
          <w:tcPr>
            <w:tcW w:w="0" w:type="auto"/>
          </w:tcPr>
          <w:p>
            <w:pPr>
              <w:spacing w:line="240" w:lineRule="auto" w:before="0" w:after="0"/>
              <w:pStyle w:val="Compact"/>
            </w:pPr>
            <w:r>
              <w:rPr>
                <w:sz w:val="20"/>
                <w:szCs w:val="20"/>
              </w:rPr>
              <w:t xml:space="preserve">Mars Express</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1223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1464</w:t>
            </w:r>
          </w:p>
        </w:tc>
        <w:tc>
          <w:tcPr>
            <w:tcW w:w="0" w:type="auto"/>
          </w:tcPr>
          <w:p>
            <w:pPr>
              <w:spacing w:line="240" w:lineRule="auto" w:before="0" w:after="0"/>
              <w:pStyle w:val="Compact"/>
            </w:pPr>
            <w:r>
              <w:rPr>
                <w:sz w:val="20"/>
                <w:szCs w:val="20"/>
              </w:rPr>
              <w:t xml:space="preserve">Cost EUR150M ~US$180M at 1.2 (Wikipedia, Mars Express; ESA Mars Express overview); launch mass 1223 kg (Wikipedia, Mars Express); ops 2003-2021 (18 yr, pub window, still operating); pubs 1464 (De Marchi &amp; Parmar 2024, Table 1, Mars Express Total Pubs)</w:t>
            </w:r>
          </w:p>
        </w:tc>
      </w:tr>
      <w:tr>
        <w:tc>
          <w:tcPr>
            <w:tcW w:w="0" w:type="auto"/>
          </w:tcPr>
          <w:p>
            <w:pPr>
              <w:spacing w:line="240" w:lineRule="auto" w:before="0" w:after="0"/>
              <w:pStyle w:val="Compact"/>
            </w:pPr>
            <w:r>
              <w:rPr>
                <w:sz w:val="20"/>
                <w:szCs w:val="20"/>
              </w:rPr>
              <w:t xml:space="preserve">Rosetta</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3065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1314</w:t>
            </w:r>
          </w:p>
        </w:tc>
        <w:tc>
          <w:tcPr>
            <w:tcW w:w="0" w:type="auto"/>
          </w:tcPr>
          <w:p>
            <w:pPr>
              <w:spacing w:line="240" w:lineRule="auto" w:before="0" w:after="0"/>
              <w:pStyle w:val="Compact"/>
            </w:pPr>
            <w:r>
              <w:rPr>
                <w:sz w:val="20"/>
                <w:szCs w:val="20"/>
              </w:rPr>
              <w:t xml:space="preserve">Cost ~EUR1.3B ~US$1.8B (Wikipedia, Rosetta spacecraft); launch mass 3065 kg (Wikipedia, Rosetta); ops 2004-2016 (12 yr); pubs 1314 (De Marchi &amp; Parmar 2024, Table 1, Rosetta Total Pubs)</w:t>
            </w:r>
          </w:p>
        </w:tc>
      </w:tr>
      <w:tr>
        <w:tc>
          <w:tcPr>
            <w:tcW w:w="0" w:type="auto"/>
          </w:tcPr>
          <w:p>
            <w:pPr>
              <w:spacing w:line="240" w:lineRule="auto" w:before="0" w:after="0"/>
              <w:pStyle w:val="Compact"/>
            </w:pPr>
            <w:r>
              <w:rPr>
                <w:sz w:val="20"/>
                <w:szCs w:val="20"/>
              </w:rPr>
              <w:t xml:space="preserve">Venus Express</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262</w:t>
            </w:r>
          </w:p>
        </w:tc>
        <w:tc>
          <w:tcPr>
            <w:tcW w:w="0" w:type="auto"/>
          </w:tcPr>
          <w:p>
            <w:pPr>
              <w:spacing w:line="240" w:lineRule="auto" w:before="0" w:after="0"/>
              <w:pStyle w:val="Compact"/>
            </w:pPr>
            <w:r>
              <w:rPr>
                <w:sz w:val="20"/>
                <w:szCs w:val="20"/>
              </w:rPr>
              <w:t xml:space="preserve">1270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737</w:t>
            </w:r>
          </w:p>
        </w:tc>
        <w:tc>
          <w:tcPr>
            <w:tcW w:w="0" w:type="auto"/>
          </w:tcPr>
          <w:p>
            <w:pPr>
              <w:spacing w:line="240" w:lineRule="auto" w:before="0" w:after="0"/>
              <w:pStyle w:val="Compact"/>
            </w:pPr>
            <w:r>
              <w:rPr>
                <w:sz w:val="20"/>
                <w:szCs w:val="20"/>
              </w:rPr>
              <w:t xml:space="preserve">Cost EUR220M = US$262M (Space.com Venus Express, 2005 USD; Wikipedia); launch mass 1270 kg (Wikipedia, Venus Express); ops 2005-2014 (9 yr); pubs 737 (De Marchi &amp; Parmar 2024, Table 1, Venus Express Total Pubs)</w:t>
            </w:r>
          </w:p>
        </w:tc>
      </w:tr>
      <w:tr>
        <w:tc>
          <w:tcPr>
            <w:tcW w:w="0" w:type="auto"/>
          </w:tcPr>
          <w:p>
            <w:pPr>
              <w:spacing w:line="240" w:lineRule="auto" w:before="0" w:after="0"/>
              <w:pStyle w:val="Compact"/>
            </w:pPr>
            <w:r>
              <w:rPr>
                <w:sz w:val="20"/>
                <w:szCs w:val="20"/>
              </w:rPr>
              <w:t xml:space="preserve">Herschel</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1320</w:t>
            </w:r>
          </w:p>
        </w:tc>
        <w:tc>
          <w:tcPr>
            <w:tcW w:w="0" w:type="auto"/>
          </w:tcPr>
          <w:p>
            <w:pPr>
              <w:spacing w:line="240" w:lineRule="auto" w:before="0" w:after="0"/>
              <w:pStyle w:val="Compact"/>
            </w:pPr>
            <w:r>
              <w:rPr>
                <w:sz w:val="20"/>
                <w:szCs w:val="20"/>
              </w:rPr>
              <w:t xml:space="preserve">3400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3284</w:t>
            </w:r>
          </w:p>
        </w:tc>
        <w:tc>
          <w:tcPr>
            <w:tcW w:w="0" w:type="auto"/>
          </w:tcPr>
          <w:p>
            <w:pPr>
              <w:spacing w:line="240" w:lineRule="auto" w:before="0" w:after="0"/>
              <w:pStyle w:val="Compact"/>
            </w:pPr>
            <w:r>
              <w:rPr>
                <w:sz w:val="20"/>
                <w:szCs w:val="20"/>
              </w:rPr>
              <w:t xml:space="preserve">Cost EUR1.1B ~US$1.32B at 1.2 (Wikipedia, Herschel Space Observatory); launch mass 3400 kg (Wikipedia, Herschel); ops 2009-2013 (4 yr); pubs 3284 (De Marchi &amp; Parmar 2024, Table 1, Herschel Total Pubs)</w:t>
            </w:r>
          </w:p>
        </w:tc>
      </w:tr>
      <w:tr>
        <w:tc>
          <w:tcPr>
            <w:tcW w:w="0" w:type="auto"/>
          </w:tcPr>
          <w:p>
            <w:pPr>
              <w:spacing w:line="240" w:lineRule="auto" w:before="0" w:after="0"/>
              <w:pStyle w:val="Compact"/>
            </w:pPr>
            <w:r>
              <w:rPr>
                <w:sz w:val="20"/>
                <w:szCs w:val="20"/>
              </w:rPr>
              <w:t xml:space="preserve">Planck</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840</w:t>
            </w:r>
          </w:p>
        </w:tc>
        <w:tc>
          <w:tcPr>
            <w:tcW w:w="0" w:type="auto"/>
          </w:tcPr>
          <w:p>
            <w:pPr>
              <w:spacing w:line="240" w:lineRule="auto" w:before="0" w:after="0"/>
              <w:pStyle w:val="Compact"/>
            </w:pPr>
            <w:r>
              <w:rPr>
                <w:sz w:val="20"/>
                <w:szCs w:val="20"/>
              </w:rPr>
              <w:t xml:space="preserve">1950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2742</w:t>
            </w:r>
          </w:p>
        </w:tc>
        <w:tc>
          <w:tcPr>
            <w:tcW w:w="0" w:type="auto"/>
          </w:tcPr>
          <w:p>
            <w:pPr>
              <w:spacing w:line="240" w:lineRule="auto" w:before="0" w:after="0"/>
              <w:pStyle w:val="Compact"/>
            </w:pPr>
            <w:r>
              <w:rPr>
                <w:sz w:val="20"/>
                <w:szCs w:val="20"/>
              </w:rPr>
              <w:t xml:space="preserve">Cost EUR700M ~US$840M at 1.2 (Wikipedia, Planck spacecraft); launch mass 1950 kg (Wikipedia, Planck); ops 2009-2013 (4 yr); pubs 2742 (De Marchi &amp; Parmar 2024, Table 1, Planck Total Pubs)</w:t>
            </w:r>
          </w:p>
        </w:tc>
      </w:tr>
      <w:tr>
        <w:tc>
          <w:tcPr>
            <w:tcW w:w="0" w:type="auto"/>
          </w:tcPr>
          <w:p>
            <w:pPr>
              <w:spacing w:line="240" w:lineRule="auto" w:before="0" w:after="0"/>
              <w:pStyle w:val="Compact"/>
            </w:pPr>
            <w:r>
              <w:rPr>
                <w:sz w:val="20"/>
                <w:szCs w:val="20"/>
              </w:rPr>
              <w:t xml:space="preserve">Gaia</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2030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6403</w:t>
            </w:r>
          </w:p>
        </w:tc>
        <w:tc>
          <w:tcPr>
            <w:tcW w:w="0" w:type="auto"/>
          </w:tcPr>
          <w:p>
            <w:pPr>
              <w:spacing w:line="240" w:lineRule="auto" w:before="0" w:after="0"/>
              <w:pStyle w:val="Compact"/>
            </w:pPr>
            <w:r>
              <w:rPr>
                <w:sz w:val="20"/>
                <w:szCs w:val="20"/>
              </w:rPr>
              <w:t xml:space="preserve">Cost ~EUR740M ~US$1.0B (ESA Gaia factsheet; Wikipedia, Gaia spacecraft); launch mass 2030 kg (ESA Gaia factsheet); ops 2013-2021 (8 yr, pub window); pubs 6403 (De Marchi &amp; Parmar 2024, Table 1, Gaia Total Pubs)</w:t>
            </w:r>
          </w:p>
        </w:tc>
      </w:tr>
      <w:tr>
        <w:tc>
          <w:tcPr>
            <w:tcW w:w="0" w:type="auto"/>
          </w:tcPr>
          <w:p>
            <w:pPr>
              <w:spacing w:line="240" w:lineRule="auto" w:before="0" w:after="0"/>
              <w:pStyle w:val="Compact"/>
            </w:pPr>
            <w:r>
              <w:rPr>
                <w:sz w:val="20"/>
                <w:szCs w:val="20"/>
              </w:rPr>
              <w:t xml:space="preserve">Hipparcos</w:t>
            </w:r>
          </w:p>
        </w:tc>
        <w:tc>
          <w:tcPr>
            <w:tcW w:w="0" w:type="auto"/>
          </w:tcPr>
          <w:p>
            <w:pPr>
              <w:spacing w:line="240" w:lineRule="auto" w:before="0" w:after="0"/>
              <w:pStyle w:val="Compact"/>
            </w:pPr>
            <w:r>
              <w:rPr>
                <w:sz w:val="20"/>
                <w:szCs w:val="20"/>
              </w:rPr>
              <w:t xml:space="preserve">Small</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1130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2692</w:t>
            </w:r>
          </w:p>
        </w:tc>
        <w:tc>
          <w:tcPr>
            <w:tcW w:w="0" w:type="auto"/>
          </w:tcPr>
          <w:p>
            <w:pPr>
              <w:spacing w:line="240" w:lineRule="auto" w:before="0" w:after="0"/>
              <w:pStyle w:val="Compact"/>
            </w:pPr>
            <w:r>
              <w:rPr>
                <w:sz w:val="20"/>
                <w:szCs w:val="20"/>
              </w:rPr>
              <w:t xml:space="preserve">Cost ~EUR600M (yr2000 ec.) ~US$720M at 1.2 (ESA Hipparcos fact sheet; Wikipedia); launch mass 1130 kg (Wikipedia, Hipparcos); ops 1989-1993 (4 yr); pubs 2692 (De Marchi &amp; Parmar 2024, Table 1, Hipparcos Total Pubs)</w:t>
            </w:r>
          </w:p>
        </w:tc>
      </w:tr>
      <w:tr>
        <w:tc>
          <w:tcPr>
            <w:tcW w:w="0" w:type="auto"/>
          </w:tcPr>
          <w:p>
            <w:pPr>
              <w:spacing w:line="240" w:lineRule="auto" w:before="0" w:after="0"/>
              <w:pStyle w:val="Compact"/>
            </w:pPr>
            <w:r>
              <w:rPr>
                <w:sz w:val="20"/>
                <w:szCs w:val="20"/>
              </w:rPr>
              <w:t xml:space="preserve">IUE</w:t>
            </w:r>
          </w:p>
        </w:tc>
        <w:tc>
          <w:tcPr>
            <w:tcW w:w="0" w:type="auto"/>
          </w:tcPr>
          <w:p>
            <w:pPr>
              <w:spacing w:line="240" w:lineRule="auto" w:before="0" w:after="0"/>
              <w:pStyle w:val="Compact"/>
            </w:pPr>
            <w:r>
              <w:rPr>
                <w:sz w:val="20"/>
                <w:szCs w:val="20"/>
              </w:rPr>
              <w:t xml:space="preserve">Small</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672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5105</w:t>
            </w:r>
          </w:p>
        </w:tc>
        <w:tc>
          <w:tcPr>
            <w:tcW w:w="0" w:type="auto"/>
          </w:tcPr>
          <w:p>
            <w:pPr>
              <w:spacing w:line="240" w:lineRule="auto" w:before="0" w:after="0"/>
              <w:pStyle w:val="Compact"/>
            </w:pPr>
            <w:r>
              <w:rPr>
                <w:sz w:val="20"/>
                <w:szCs w:val="20"/>
              </w:rPr>
              <w:t xml:space="preserve">Cost ~US$300M NASA-ESA-SERC (Wikipedia, International Ultraviolet Explorer); launch mass 672 kg (Wikipedia, IUE); ops 1978-1996 (18 yr); pubs 5105 (De Marchi &amp; Parmar 2024, Table 1, IUE Total Pubs)</w:t>
            </w:r>
          </w:p>
        </w:tc>
      </w:tr>
      <w:tr>
        <w:tc>
          <w:tcPr>
            <w:tcW w:w="0" w:type="auto"/>
          </w:tcPr>
          <w:p>
            <w:pPr>
              <w:spacing w:line="240" w:lineRule="auto" w:before="0" w:after="0"/>
              <w:pStyle w:val="Compact"/>
            </w:pPr>
            <w:r>
              <w:rPr>
                <w:sz w:val="20"/>
                <w:szCs w:val="20"/>
              </w:rPr>
              <w:t xml:space="preserve">COS-B</w:t>
            </w:r>
          </w:p>
        </w:tc>
        <w:tc>
          <w:tcPr>
            <w:tcW w:w="0" w:type="auto"/>
          </w:tcPr>
          <w:p>
            <w:pPr>
              <w:spacing w:line="240" w:lineRule="auto" w:before="0" w:after="0"/>
              <w:pStyle w:val="Compact"/>
            </w:pPr>
            <w:r>
              <w:rPr>
                <w:sz w:val="20"/>
                <w:szCs w:val="20"/>
              </w:rPr>
              <w:t xml:space="preserve">Small</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278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146</w:t>
            </w:r>
          </w:p>
        </w:tc>
        <w:tc>
          <w:tcPr>
            <w:tcW w:w="0" w:type="auto"/>
          </w:tcPr>
          <w:p>
            <w:pPr>
              <w:spacing w:line="240" w:lineRule="auto" w:before="0" w:after="0"/>
              <w:pStyle w:val="Compact"/>
            </w:pPr>
            <w:r>
              <w:rPr>
                <w:sz w:val="20"/>
                <w:szCs w:val="20"/>
              </w:rPr>
              <w:t xml:space="preserve">Cost ~US$100M (ESA COS-B; Wikipedia); launch mass 278 kg (Wikipedia, COS-B); ops 1975-1982 (7 yr); pubs 146 (De Marchi &amp; Parmar 2024, Table 1, COS-B Total Pubs)</w:t>
            </w:r>
          </w:p>
        </w:tc>
      </w:tr>
      <w:tr>
        <w:tc>
          <w:tcPr>
            <w:tcW w:w="0" w:type="auto"/>
          </w:tcPr>
          <w:p>
            <w:pPr>
              <w:spacing w:line="240" w:lineRule="auto" w:before="0" w:after="0"/>
              <w:pStyle w:val="Compact"/>
            </w:pPr>
            <w:r>
              <w:rPr>
                <w:sz w:val="20"/>
                <w:szCs w:val="20"/>
              </w:rPr>
              <w:t xml:space="preserve">Giotto</w:t>
            </w:r>
          </w:p>
        </w:tc>
        <w:tc>
          <w:tcPr>
            <w:tcW w:w="0" w:type="auto"/>
          </w:tcPr>
          <w:p>
            <w:pPr>
              <w:spacing w:line="240" w:lineRule="auto" w:before="0" w:after="0"/>
              <w:pStyle w:val="Compact"/>
            </w:pPr>
            <w:r>
              <w:rPr>
                <w:sz w:val="20"/>
                <w:szCs w:val="20"/>
              </w:rPr>
              <w:t xml:space="preserve">Small</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960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266</w:t>
            </w:r>
          </w:p>
        </w:tc>
        <w:tc>
          <w:tcPr>
            <w:tcW w:w="0" w:type="auto"/>
          </w:tcPr>
          <w:p>
            <w:pPr>
              <w:spacing w:line="240" w:lineRule="auto" w:before="0" w:after="0"/>
              <w:pStyle w:val="Compact"/>
            </w:pPr>
            <w:r>
              <w:rPr>
                <w:sz w:val="20"/>
                <w:szCs w:val="20"/>
              </w:rPr>
              <w:t xml:space="preserve">Cost ~EUR150M ~US$180M (ESA Giotto; Wikipedia); launch mass 960 kg (Wikipedia, Giotto spacecraft); ops 1985-1992 (7 yr); pubs 266 (De Marchi &amp; Parmar 2024, Table 1, Giotto Total Pubs)</w:t>
            </w:r>
          </w:p>
        </w:tc>
      </w:tr>
      <w:tr>
        <w:tc>
          <w:tcPr>
            <w:tcW w:w="0" w:type="auto"/>
          </w:tcPr>
          <w:p>
            <w:pPr>
              <w:spacing w:line="240" w:lineRule="auto" w:before="0" w:after="0"/>
              <w:pStyle w:val="Compact"/>
            </w:pPr>
            <w:r>
              <w:rPr>
                <w:sz w:val="20"/>
                <w:szCs w:val="20"/>
              </w:rPr>
              <w:t xml:space="preserve">Suzaku</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1139</w:t>
            </w:r>
          </w:p>
        </w:tc>
        <w:tc>
          <w:tcPr>
            <w:tcW w:w="0" w:type="auto"/>
          </w:tcPr>
          <w:p>
            <w:pPr>
              <w:spacing w:line="240" w:lineRule="auto" w:before="0" w:after="0"/>
              <w:pStyle w:val="Compact"/>
            </w:pPr>
            <w:r>
              <w:rPr>
                <w:sz w:val="20"/>
                <w:szCs w:val="20"/>
              </w:rPr>
              <w:t xml:space="preserve">Cost ~US$170M JAXA-NASA (Wikipedia, Suzaku); launch mass 1700 kg (JAXA Suzaku); ops 2005-2015 (10 yr); pubs 1139 (De Marchi &amp; Parmar 2024, Table 2, Suzaku Total Pubs)</w:t>
            </w:r>
          </w:p>
        </w:tc>
      </w:tr>
      <w:tr>
        <w:tc>
          <w:tcPr>
            <w:tcW w:w="0" w:type="auto"/>
          </w:tcPr>
          <w:p>
            <w:pPr>
              <w:spacing w:line="240" w:lineRule="auto" w:before="0" w:after="0"/>
              <w:pStyle w:val="Compact"/>
            </w:pPr>
            <w:r>
              <w:rPr>
                <w:sz w:val="20"/>
                <w:szCs w:val="20"/>
              </w:rPr>
              <w:t xml:space="preserve">Hinode</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1442</w:t>
            </w:r>
          </w:p>
        </w:tc>
        <w:tc>
          <w:tcPr>
            <w:tcW w:w="0" w:type="auto"/>
          </w:tcPr>
          <w:p>
            <w:pPr>
              <w:spacing w:line="240" w:lineRule="auto" w:before="0" w:after="0"/>
              <w:pStyle w:val="Compact"/>
            </w:pPr>
            <w:r>
              <w:rPr>
                <w:sz w:val="20"/>
                <w:szCs w:val="20"/>
              </w:rPr>
              <w:t xml:space="preserve">Cost ~US$300M JAXA-NASA-ESA-STFC (Wikipedia, Hinode); launch mass 900 kg (JAXA Hinode); ops 2006-2021 (15 yr, pub window, still operating); pubs 1442 (De Marchi &amp; Parmar 2024, Table 2, Hinode Total Pubs)</w:t>
            </w:r>
          </w:p>
        </w:tc>
      </w:tr>
      <w:tr>
        <w:tc>
          <w:tcPr>
            <w:tcW w:w="0" w:type="auto"/>
          </w:tcPr>
          <w:p>
            <w:pPr>
              <w:spacing w:line="240" w:lineRule="auto" w:before="0" w:after="0"/>
              <w:pStyle w:val="Compact"/>
            </w:pPr>
            <w:r>
              <w:rPr>
                <w:sz w:val="20"/>
                <w:szCs w:val="20"/>
              </w:rPr>
              <w:t xml:space="preserve">AKARI</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134</w:t>
            </w:r>
          </w:p>
        </w:tc>
        <w:tc>
          <w:tcPr>
            <w:tcW w:w="0" w:type="auto"/>
          </w:tcPr>
          <w:p>
            <w:pPr>
              <w:spacing w:line="240" w:lineRule="auto" w:before="0" w:after="0"/>
              <w:pStyle w:val="Compact"/>
            </w:pPr>
            <w:r>
              <w:rPr>
                <w:sz w:val="20"/>
                <w:szCs w:val="20"/>
              </w:rPr>
              <w:t xml:space="preserve">952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1086</w:t>
            </w:r>
          </w:p>
        </w:tc>
        <w:tc>
          <w:tcPr>
            <w:tcW w:w="0" w:type="auto"/>
          </w:tcPr>
          <w:p>
            <w:pPr>
              <w:spacing w:line="240" w:lineRule="auto" w:before="0" w:after="0"/>
              <w:pStyle w:val="Compact"/>
            </w:pPr>
            <w:r>
              <w:rPr>
                <w:sz w:val="20"/>
                <w:szCs w:val="20"/>
              </w:rPr>
              <w:t xml:space="preserve">Cost ~JPY15B ~US$134M JAXA-ESA (Wikipedia, AKARI); launch mass 952 kg (JAXA AKARI); ops 2006-2011 (5 yr); pubs 1086 (De Marchi &amp; Parmar 2024, Table 2, AKARI Total Pubs)</w:t>
            </w:r>
          </w:p>
        </w:tc>
      </w:tr>
      <w:tr>
        <w:tc>
          <w:tcPr>
            <w:tcW w:w="0" w:type="auto"/>
          </w:tcPr>
          <w:p>
            <w:pPr>
              <w:spacing w:line="240" w:lineRule="auto" w:before="0" w:after="0"/>
              <w:pStyle w:val="Compact"/>
            </w:pPr>
            <w:r>
              <w:rPr>
                <w:sz w:val="20"/>
                <w:szCs w:val="20"/>
              </w:rPr>
              <w:t xml:space="preserve">CoRoT</w:t>
            </w:r>
          </w:p>
        </w:tc>
        <w:tc>
          <w:tcPr>
            <w:tcW w:w="0" w:type="auto"/>
          </w:tcPr>
          <w:p>
            <w:pPr>
              <w:spacing w:line="240" w:lineRule="auto" w:before="0" w:after="0"/>
              <w:pStyle w:val="Compact"/>
            </w:pPr>
            <w:r>
              <w:rPr>
                <w:sz w:val="20"/>
                <w:szCs w:val="20"/>
              </w:rPr>
              <w:t xml:space="preserve">Small</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630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238</w:t>
            </w:r>
          </w:p>
        </w:tc>
        <w:tc>
          <w:tcPr>
            <w:tcW w:w="0" w:type="auto"/>
          </w:tcPr>
          <w:p>
            <w:pPr>
              <w:spacing w:line="240" w:lineRule="auto" w:before="0" w:after="0"/>
              <w:pStyle w:val="Compact"/>
            </w:pPr>
            <w:r>
              <w:rPr>
                <w:sz w:val="20"/>
                <w:szCs w:val="20"/>
              </w:rPr>
              <w:t xml:space="preserve">Cost ~EUR170M CNES-ESA (Wikipedia, CoRoT); launch mass 630 kg (CNES CoRoT); ops 2006-2013 (7 yr); pubs 238 (De Marchi &amp; Parmar 2024, Table 2, CoRoT Total Pubs)</w:t>
            </w:r>
          </w:p>
        </w:tc>
      </w:tr>
      <w:tr>
        <w:tc>
          <w:tcPr>
            <w:tcW w:w="0" w:type="auto"/>
          </w:tcPr>
          <w:p>
            <w:pPr>
              <w:spacing w:line="240" w:lineRule="auto" w:before="0" w:after="0"/>
              <w:pStyle w:val="Compact"/>
            </w:pPr>
            <w:r>
              <w:rPr>
                <w:sz w:val="20"/>
                <w:szCs w:val="20"/>
              </w:rPr>
              <w:t xml:space="preserve">Chandrayaan-1</w:t>
            </w:r>
          </w:p>
        </w:tc>
        <w:tc>
          <w:tcPr>
            <w:tcW w:w="0" w:type="auto"/>
          </w:tcPr>
          <w:p>
            <w:pPr>
              <w:spacing w:line="240" w:lineRule="auto" w:before="0" w:after="0"/>
              <w:pStyle w:val="Compact"/>
            </w:pPr>
            <w:r>
              <w:rPr>
                <w:sz w:val="20"/>
                <w:szCs w:val="20"/>
              </w:rPr>
              <w:t xml:space="preserve">Small</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1380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164</w:t>
            </w:r>
          </w:p>
        </w:tc>
        <w:tc>
          <w:tcPr>
            <w:tcW w:w="0" w:type="auto"/>
          </w:tcPr>
          <w:p>
            <w:pPr>
              <w:spacing w:line="240" w:lineRule="auto" w:before="0" w:after="0"/>
              <w:pStyle w:val="Compact"/>
            </w:pPr>
            <w:r>
              <w:rPr>
                <w:sz w:val="20"/>
                <w:szCs w:val="20"/>
              </w:rPr>
              <w:t xml:space="preserve">Cost ~US$80M ISRO (Wikipedia, Chandrayaan-1; carried NASA M3 and ESA instruments); launch mass 1380 kg (ISRO Chandrayaan-1); ops 2008-2009 (1 yr); pubs 164 (De Marchi &amp; Parmar 2024, Table 2, Chandrayaan-1 Total Pubs)</w:t>
            </w:r>
          </w:p>
        </w:tc>
      </w:tr>
      <w:tr>
        <w:tc>
          <w:tcPr>
            <w:tcW w:w="0" w:type="auto"/>
          </w:tcPr>
          <w:p>
            <w:pPr>
              <w:spacing w:line="240" w:lineRule="auto" w:before="0" w:after="0"/>
              <w:pStyle w:val="Compact"/>
            </w:pPr>
            <w:r>
              <w:rPr>
                <w:sz w:val="20"/>
                <w:szCs w:val="20"/>
              </w:rPr>
              <w:t xml:space="preserve">Huygens</w:t>
            </w:r>
          </w:p>
        </w:tc>
        <w:tc>
          <w:tcPr>
            <w:tcW w:w="0" w:type="auto"/>
          </w:tcPr>
          <w:p>
            <w:pPr>
              <w:spacing w:line="240" w:lineRule="auto" w:before="0" w:after="0"/>
              <w:pStyle w:val="Compact"/>
            </w:pPr>
            <w:r>
              <w:rPr>
                <w:sz w:val="20"/>
                <w:szCs w:val="20"/>
              </w:rPr>
              <w:t xml:space="preserve">Small</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318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222</w:t>
            </w:r>
          </w:p>
        </w:tc>
        <w:tc>
          <w:tcPr>
            <w:tcW w:w="0" w:type="auto"/>
          </w:tcPr>
          <w:p>
            <w:pPr>
              <w:spacing w:line="240" w:lineRule="auto" w:before="0" w:after="0"/>
              <w:pStyle w:val="Compact"/>
            </w:pPr>
            <w:r>
              <w:rPr>
                <w:sz w:val="20"/>
                <w:szCs w:val="20"/>
              </w:rPr>
              <w:t xml:space="preserve">Cost ESA Huygens probe ~EUR400M ~US$500M (ESA Cassini-Huygens; Wikipedia); entry-probe mass 318 kg (ESA Huygens factsheet); ops 1997-2005 (8 yr to Titan descent + cruise pubs); pubs 222 (De Marchi &amp; Parmar 2024, Table 1, Huygens Total Pubs)</w:t>
            </w:r>
          </w:p>
        </w:tc>
      </w:tr>
    </w:tbl>
    <w:bookmarkEnd w:id="78"/>
    <w:bookmarkStart w:id="79"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pubs</w:t>
            </w:r>
          </w:p>
        </w:tc>
        <w:tc>
          <w:tcPr>
            <w:tcW w:w="0" w:type="auto"/>
          </w:tcPr>
          <w:p>
            <w:pPr>
              <w:spacing w:line="240" w:lineRule="auto" w:before="0" w:after="0"/>
              <w:pStyle w:val="Compact"/>
            </w:pPr>
            <w:r>
              <w:rPr>
                <w:sz w:val="20"/>
                <w:szCs w:val="20"/>
              </w:rPr>
              <w:t xml:space="preserve">Count of refereed publications attributed to the mission through end of 2021 under uniform inclusion criteria</w:t>
            </w:r>
          </w:p>
        </w:tc>
        <w:tc>
          <w:tcPr>
            <w:tcW w:w="0" w:type="auto"/>
          </w:tcPr>
          <w:p>
            <w:pPr>
              <w:spacing w:line="240" w:lineRule="auto" w:before="0" w:after="0"/>
              <w:pStyle w:val="Compact"/>
            </w:pPr>
            <w:r>
              <w:rPr>
                <w:sz w:val="20"/>
                <w:szCs w:val="20"/>
              </w:rPr>
              <w:t xml:space="preserve">De Marchi &amp; Parmar 2024, ESA Mission Publications, Tables 1 and 2, Total Pubs column (ADS-backed mission publication libraries)</w:t>
            </w:r>
          </w:p>
        </w:tc>
      </w:tr>
      <w:tr>
        <w:tc>
          <w:tcPr>
            <w:tcW w:w="0" w:type="auto"/>
          </w:tcPr>
          <w:p>
            <w:pPr>
              <w:spacing w:line="240" w:lineRule="auto" w:before="0" w:after="0"/>
              <w:pStyle w:val="Compact"/>
            </w:pPr>
            <w:r>
              <w:rPr>
                <w:sz w:val="20"/>
                <w:szCs w:val="20"/>
              </w:rPr>
              <w:t xml:space="preserve">cost_musd</w:t>
            </w:r>
          </w:p>
        </w:tc>
        <w:tc>
          <w:tcPr>
            <w:tcW w:w="0" w:type="auto"/>
          </w:tcPr>
          <w:p>
            <w:pPr>
              <w:spacing w:line="240" w:lineRule="auto" w:before="0" w:after="0"/>
              <w:pStyle w:val="Compact"/>
            </w:pPr>
            <w:r>
              <w:rPr>
                <w:sz w:val="20"/>
                <w:szCs w:val="20"/>
              </w:rPr>
              <w:t xml:space="preserve">Total mission life-cycle cost in nominal US dollars, millions; EUR figures converted to USD at the contemporaneous rate cited in each row source</w:t>
            </w:r>
          </w:p>
        </w:tc>
        <w:tc>
          <w:tcPr>
            <w:tcW w:w="0" w:type="auto"/>
          </w:tcPr>
          <w:p>
            <w:pPr>
              <w:spacing w:line="240" w:lineRule="auto" w:before="0" w:after="0"/>
              <w:pStyle w:val="Compact"/>
            </w:pPr>
            <w:r>
              <w:rPr>
                <w:sz w:val="20"/>
                <w:szCs w:val="20"/>
              </w:rPr>
              <w:t xml:space="preserve">Per-mission public cost reporting: Wikipedia mission pages citing NASA/ESA/GAO, ESA fact sheets, GAO assessments, The Planetary Society cost pages (see row source field)</w:t>
            </w:r>
          </w:p>
        </w:tc>
      </w:tr>
      <w:tr>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Spacecraft launch mass in kilograms (control, used in robustness reading)</w:t>
            </w:r>
          </w:p>
        </w:tc>
        <w:tc>
          <w:tcPr>
            <w:tcW w:w="0" w:type="auto"/>
          </w:tcPr>
          <w:p>
            <w:pPr>
              <w:spacing w:line="240" w:lineRule="auto" w:before="0" w:after="0"/>
              <w:pStyle w:val="Compact"/>
            </w:pPr>
            <w:r>
              <w:rPr>
                <w:sz w:val="20"/>
                <w:szCs w:val="20"/>
              </w:rPr>
              <w:t xml:space="preserve">NASA/ESA/JAXA fact sheets and Wikipedia mission pages (see row source field)</w:t>
            </w:r>
          </w:p>
        </w:tc>
      </w:tr>
      <w:tr>
        <w:tc>
          <w:tcPr>
            <w:tcW w:w="0" w:type="auto"/>
          </w:tcPr>
          <w:p>
            <w:pPr>
              <w:spacing w:line="240" w:lineRule="auto" w:before="0" w:after="0"/>
              <w:pStyle w:val="Compact"/>
            </w:pPr>
            <w:r>
              <w:rPr>
                <w:sz w:val="20"/>
                <w:szCs w:val="20"/>
              </w:rPr>
              <w:t xml:space="preserve">life_years</w:t>
            </w:r>
          </w:p>
        </w:tc>
        <w:tc>
          <w:tcPr>
            <w:tcW w:w="0" w:type="auto"/>
          </w:tcPr>
          <w:p>
            <w:pPr>
              <w:spacing w:line="240" w:lineRule="auto" w:before="0" w:after="0"/>
              <w:pStyle w:val="Compact"/>
            </w:pPr>
            <w:r>
              <w:rPr>
                <w:sz w:val="20"/>
                <w:szCs w:val="20"/>
              </w:rPr>
              <w:t xml:space="preserve">Operating lifetime in years from launch to end of operations, truncated at 2021 for missions still operating to match the publication window (control)</w:t>
            </w:r>
          </w:p>
        </w:tc>
        <w:tc>
          <w:tcPr>
            <w:tcW w:w="0" w:type="auto"/>
          </w:tcPr>
          <w:p>
            <w:pPr>
              <w:spacing w:line="240" w:lineRule="auto" w:before="0" w:after="0"/>
              <w:pStyle w:val="Compact"/>
            </w:pPr>
            <w:r>
              <w:rPr>
                <w:sz w:val="20"/>
                <w:szCs w:val="20"/>
              </w:rPr>
              <w:t xml:space="preserve">ESA/NASA operations records (see row source field)</w:t>
            </w:r>
          </w:p>
        </w:tc>
      </w:tr>
      <w:tr>
        <w:tc>
          <w:tcPr>
            <w:tcW w:w="0" w:type="auto"/>
          </w:tcPr>
          <w:p>
            <w:pPr>
              <w:spacing w:line="240" w:lineRule="auto" w:before="0" w:after="0"/>
              <w:pStyle w:val="Compact"/>
            </w:pPr>
            <w:r>
              <w:rPr>
                <w:sz w:val="20"/>
                <w:szCs w:val="20"/>
              </w:rPr>
              <w:t xml:space="preserve">host_class</w:t>
            </w:r>
          </w:p>
        </w:tc>
        <w:tc>
          <w:tcPr>
            <w:tcW w:w="0" w:type="auto"/>
          </w:tcPr>
          <w:p>
            <w:pPr>
              <w:spacing w:line="240" w:lineRule="auto" w:before="0" w:after="0"/>
              <w:pStyle w:val="Compact"/>
            </w:pPr>
            <w:r>
              <w:rPr>
                <w:sz w:val="20"/>
                <w:szCs w:val="20"/>
              </w:rPr>
              <w:t xml:space="preserve">Mission size class (Flagship, Medium, Small, Discovery) for stratified reading</w:t>
            </w:r>
          </w:p>
        </w:tc>
        <w:tc>
          <w:tcPr>
            <w:tcW w:w="0" w:type="auto"/>
          </w:tcPr>
          <w:p>
            <w:pPr>
              <w:spacing w:line="240" w:lineRule="auto" w:before="0" w:after="0"/>
              <w:pStyle w:val="Compact"/>
            </w:pPr>
            <w:r>
              <w:rPr>
                <w:sz w:val="20"/>
                <w:szCs w:val="20"/>
              </w:rPr>
              <w:t xml:space="preserve">Author classification from documented mission scope</w:t>
            </w:r>
          </w:p>
        </w:tc>
      </w:tr>
    </w:tbl>
    <w:bookmarkEnd w:id="79"/>
    <w:bookmarkStart w:id="80"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1.7001</w:t>
            </w:r>
          </w:p>
        </w:tc>
        <w:tc>
          <w:tcPr>
            <w:tcW w:w="0" w:type="auto"/>
          </w:tcPr>
          <w:p>
            <w:pPr>
              <w:spacing w:line="240" w:lineRule="auto" w:before="0" w:after="0"/>
              <w:pStyle w:val="Compact"/>
            </w:pPr>
            <w:r>
              <w:rPr>
                <w:sz w:val="20"/>
                <w:szCs w:val="20"/>
              </w:rPr>
              <w:t xml:space="preserve">1.0187</w:t>
            </w:r>
          </w:p>
        </w:tc>
        <w:tc>
          <w:tcPr>
            <w:tcW w:w="0" w:type="auto"/>
          </w:tcPr>
          <w:p>
            <w:pPr>
              <w:spacing w:line="240" w:lineRule="auto" w:before="0" w:after="0"/>
              <w:pStyle w:val="Compact"/>
            </w:pPr>
            <w:r>
              <w:rPr>
                <w:sz w:val="20"/>
                <w:szCs w:val="20"/>
              </w:rPr>
              <w:t xml:space="preserve">1.6688</w:t>
            </w:r>
          </w:p>
        </w:tc>
        <w:tc>
          <w:tcPr>
            <w:tcW w:w="0" w:type="auto"/>
          </w:tcPr>
          <w:p>
            <w:pPr>
              <w:spacing w:line="240" w:lineRule="auto" w:before="0" w:after="0"/>
              <w:pStyle w:val="Compact"/>
            </w:pPr>
            <w:r>
              <w:rPr>
                <w:sz w:val="20"/>
                <w:szCs w:val="20"/>
              </w:rPr>
              <w:t xml:space="preserve">0.0951</w:t>
            </w:r>
          </w:p>
        </w:tc>
        <w:tc>
          <w:tcPr>
            <w:tcW w:w="0" w:type="auto"/>
          </w:tcPr>
          <w:p>
            <w:pPr>
              <w:spacing w:line="240" w:lineRule="auto" w:before="0" w:after="0"/>
              <w:pStyle w:val="Compact"/>
            </w:pPr>
            <w:r>
              <w:rPr>
                <w:sz w:val="20"/>
                <w:szCs w:val="20"/>
              </w:rPr>
              <w:t xml:space="preserve">[-0.2966, 3.6968]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0.8983</w:t>
            </w:r>
          </w:p>
        </w:tc>
        <w:tc>
          <w:tcPr>
            <w:tcW w:w="0" w:type="auto"/>
          </w:tcPr>
          <w:p>
            <w:pPr>
              <w:spacing w:line="240" w:lineRule="auto" w:before="0" w:after="0"/>
              <w:pStyle w:val="Compact"/>
            </w:pPr>
            <w:r>
              <w:rPr>
                <w:sz w:val="20"/>
                <w:szCs w:val="20"/>
              </w:rPr>
              <w:t xml:space="preserve">0.1576</w:t>
            </w:r>
          </w:p>
        </w:tc>
        <w:tc>
          <w:tcPr>
            <w:tcW w:w="0" w:type="auto"/>
          </w:tcPr>
          <w:p>
            <w:pPr>
              <w:spacing w:line="240" w:lineRule="auto" w:before="0" w:after="0"/>
              <w:pStyle w:val="Compact"/>
            </w:pPr>
            <w:r>
              <w:rPr>
                <w:sz w:val="20"/>
                <w:szCs w:val="20"/>
              </w:rPr>
              <w:t xml:space="preserve">5.6991</w:t>
            </w:r>
          </w:p>
        </w:tc>
        <w:tc>
          <w:tcPr>
            <w:tcW w:w="0" w:type="auto"/>
          </w:tcPr>
          <w:p>
            <w:pPr>
              <w:spacing w:line="240" w:lineRule="auto" w:before="0" w:after="0"/>
              <w:pStyle w:val="Compact"/>
            </w:pPr>
            <w:r>
              <w:rPr>
                <w:sz w:val="20"/>
                <w:szCs w:val="20"/>
              </w:rPr>
              <w:t xml:space="preserve">1.204e-08</w:t>
            </w:r>
          </w:p>
        </w:tc>
        <w:tc>
          <w:tcPr>
            <w:tcW w:w="0" w:type="auto"/>
          </w:tcPr>
          <w:p>
            <w:pPr>
              <w:spacing w:line="240" w:lineRule="auto" w:before="0" w:after="0"/>
              <w:pStyle w:val="Compact"/>
            </w:pPr>
            <w:r>
              <w:rPr>
                <w:sz w:val="20"/>
                <w:szCs w:val="20"/>
              </w:rPr>
              <w:t xml:space="preserve">[0.5894, 1.2072]</w:t>
            </w:r>
          </w:p>
        </w:tc>
      </w:tr>
    </w:tbl>
    <w:p>
      <w:pPr>
        <w:pStyle w:val="BodyText"/>
      </w:pPr>
      <w:r>
        <w:t xml:space="preserve">Fit: N = 25 R2 = 0.5387 elasticity_b = 0.8983 progress_ratio_2^b = 1.8638</w:t>
      </w:r>
    </w:p>
    <w:bookmarkEnd w:id="80"/>
    <w:bookmarkEnd w:id="81"/>
    <w:bookmarkEnd w:id="82"/>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4" Target="media/rId74.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2026-06-22T20:31:24Z</dcterms:created>
  <dcterms:modified xsi:type="dcterms:W3CDTF">2026-06-22T20:31:24Z</dcterms:modified>
</cp:coreProperties>
</file>

<file path=docProps/custom.xml><?xml version="1.0" encoding="utf-8"?>
<Properties xmlns="http://schemas.openxmlformats.org/officeDocument/2006/custom-properties" xmlns:vt="http://schemas.openxmlformats.org/officeDocument/2006/docPropsVTypes"/>
</file>