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SCIENCE RETURN PER DOLLAR: A BIBLIOMETRIC PRODUCTIVITY REGRESSION OF PLANETARY INSTRUMENTS</w:t>
      </w:r>
    </w:p>
    <w:p>
      <w:pPr>
        <w:jc w:val="center"/>
      </w:pPr>
    </w:p>
    <w:p>
      <w:pPr>
        <w:jc w:val="center"/>
      </w:pPr>
      <w:r>
        <w:rPr>
          <w:rFonts w:ascii="Times New Roman" w:hAnsi="Times New Roman"/>
          <w:sz w:val="24"/>
        </w:rPr>
        <w:t>by</w:t>
      </w:r>
    </w:p>
    <w:p>
      <w:pPr>
        <w:jc w:val="center"/>
      </w:pPr>
      <w:r>
        <w:rPr>
          <w:rFonts w:ascii="Times New Roman" w:hAnsi="Times New Roman"/>
          <w:b/>
          <w:sz w:val="28"/>
        </w:rPr>
        <w:t>Freya Halloran</w:t>
      </w:r>
    </w:p>
    <w:p>
      <w:pPr>
        <w:jc w:val="center"/>
      </w:pPr>
      <w:r>
        <w:rPr>
          <w:rFonts w:ascii="Times New Roman" w:hAnsi="Times New Roman"/>
          <w:sz w:val="24"/>
        </w:rPr>
        <w:t>1B-INS-019</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8" w:name="chapter-1.-introduction"/>
    <w:p>
      <w:pPr>
        <w:pStyle w:val="Heading1"/>
        <w:spacing w:line="480" w:lineRule="auto"/>
      </w:pPr>
      <w:r>
        <w:t xml:space="preserve">Chapter 1. Introduction</w:t>
      </w:r>
    </w:p>
    <w:bookmarkStart w:id="61" w:name="X008f49c5f7380329f806c020df34df48e21fba8"/>
    <w:p>
      <w:pPr>
        <w:pStyle w:val="Heading2"/>
        <w:spacing w:line="480" w:lineRule="auto"/>
      </w:pPr>
      <w:r>
        <w:t xml:space="preserve">1.1 The Problem: Planetary Science Buys Instruments but Is Judged on Papers</w:t>
      </w:r>
    </w:p>
    <w:p>
      <w:pPr>
        <w:pStyle w:val="FirstParagraph"/>
        <w:spacing w:line="480" w:lineRule="auto"/>
      </w:pPr>
      <w:r>
        <w:t xml:space="preserve">Planetary science procures hardware and is held accountable for knowledge. A program office assembling the payload of a flagship or selecting among competed mission concepts must trade a wide-field imager against a mass spectrometer against a magnetometer, and the basis on which it conducts that trade is engineering: mass, power, technology readiness level, and flight heritage. Those quantities are the ones a payload review can measure and the ones a cost model can ingest. Yet the deliverable the agency is ultimately accountable for is not a kilogram of qualified hardware. It is realized science, and the most durable, comparable, and auditable record of realized science is the refereed literature that an instrument’s data set generates over its operating life. Between the engineering specification that selection can measure and the published science that the field actually wants sits a gap, and the selection process fills that gap with analogy and heritage rather than with a measured productivity relationship. This gap between what is bought and what is wanted is the motivating problem of this dissertation.</w:t>
      </w:r>
    </w:p>
    <w:p>
      <w:pPr>
        <w:pStyle w:val="BodyText"/>
        <w:spacing w:line="480" w:lineRule="auto"/>
        <w:ind w:firstLine="720"/>
      </w:pPr>
      <w:r>
        <w:t xml:space="preserve">The problem is not academic. Flight instruments now absorb a large and rising share of mission cost, and the instruments themselves are heterogeneous and increasingly expensive. Characterization sensors span optical telescopes, hyperspectral imagers, lidar, and polarimeters, and the engineering community is candid that the most capable instruments are also the most expensive, with exquisite assets standing as the upper bound of both cost and capability</w:t>
      </w:r>
      <w:r>
        <w:t xml:space="preserve"> </w:t>
      </w:r>
      <w:hyperlink w:anchor="ref-5">
        <w:r>
          <w:rPr>
            <w:rStyle w:val="Hyperlink"/>
          </w:rPr>
          <w:t xml:space="preserve">[5]</w:t>
        </w:r>
      </w:hyperlink>
      <w:r>
        <w:t xml:space="preserve">[7]. New sensor designs continue to push aperture, field of view, spectral range, and detector complexity, and each increment of capability is paid for in development dollars</w:t>
      </w:r>
      <w:r>
        <w:t xml:space="preserve"> </w:t>
      </w:r>
      <w:hyperlink w:anchor="ref-5">
        <w:r>
          <w:rPr>
            <w:rStyle w:val="Hyperlink"/>
          </w:rPr>
          <w:t xml:space="preserve">[5]</w:t>
        </w:r>
      </w:hyperlink>
      <w:r>
        <w:t xml:space="preserve">. When a planetary mission carries a wind sensor on a rover</w:t>
      </w:r>
      <w:r>
        <w:t xml:space="preserve"> </w:t>
      </w:r>
      <w:hyperlink w:anchor="ref-6">
        <w:r>
          <w:rPr>
            <w:rStyle w:val="Hyperlink"/>
          </w:rPr>
          <w:t xml:space="preserve">[6]</w:t>
        </w:r>
      </w:hyperlink>
      <w:r>
        <w:t xml:space="preserve"> </w:t>
      </w:r>
      <w:r>
        <w:t xml:space="preserve">or supports a dust-removal subsystem for a crewed surface campaign</w:t>
      </w:r>
      <w:r>
        <w:t xml:space="preserve"> </w:t>
      </w:r>
      <w:hyperlink w:anchor="ref-8">
        <w:r>
          <w:rPr>
            <w:rStyle w:val="Hyperlink"/>
          </w:rPr>
          <w:t xml:space="preserve">[8]</w:t>
        </w:r>
      </w:hyperlink>
      <w:r>
        <w:t xml:space="preserve">, the instrument line item is no longer a rounding error against the bus and the launch. The question of whether the next dollar of instrument cost buys a proportional increment of science is therefore live, recurring, and consequential, and it is asked at the instrument level, not the mission level, because it is at the instrument level that the trade is actually made.</w:t>
      </w:r>
    </w:p>
    <w:p>
      <w:pPr>
        <w:pStyle w:val="BodyText"/>
        <w:spacing w:line="480" w:lineRule="auto"/>
        <w:ind w:firstLine="720"/>
      </w:pPr>
      <w:r>
        <w:t xml:space="preserve">The decision the agency confronts is an allocation decision under a fixed appropriation. The question is not whether to fund planetary instruments, which is settled, but how to distribute a bounded budget across competing instrument concepts so that realized science per dollar is as high as the portfolio allows. That is a productivity question, and productivity questions are answerable only when productivity is measured. At present it is not. The field reasons about the cost-to-science trade by precedent and proposal narrative, and the result is a selection process that optimizes a proxy, engineering merit, in the hope that the proxy tracks the objective, published science. Whether it does is an empirical matter that has never been estimated at the level where the decision is made.</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The stakes of getting instrument-level allocation right rise rather than fall as the value of the space enterprise is revalued upward. Forecasts of the space economy now treat publicly funded science return as a distinct value stream that must be measured rather than asserted</w:t>
      </w:r>
      <w:r>
        <w:t xml:space="preserve"> </w:t>
      </w:r>
      <w:hyperlink w:anchor="ref-1">
        <w:r>
          <w:rPr>
            <w:rStyle w:val="Hyperlink"/>
          </w:rPr>
          <w:t xml:space="preserve">[1]</w:t>
        </w:r>
      </w:hyperlink>
      <w:r>
        <w:t xml:space="preserve">, and that same literature is explicit that government must support the early, high-risk stages of the enterprise where private returns are thin</w:t>
      </w:r>
      <w:r>
        <w:t xml:space="preserve"> </w:t>
      </w:r>
      <w:hyperlink w:anchor="ref-3">
        <w:r>
          <w:rPr>
            <w:rStyle w:val="Hyperlink"/>
          </w:rPr>
          <w:t xml:space="preserve">[3]</w:t>
        </w:r>
      </w:hyperlink>
      <w:r>
        <w:t xml:space="preserve">. The frontier economics of space argues that the total value of the sector is large and growing</w:t>
      </w:r>
      <w:r>
        <w:t xml:space="preserve"> </w:t>
      </w:r>
      <w:hyperlink w:anchor="ref-2">
        <w:r>
          <w:rPr>
            <w:rStyle w:val="Hyperlink"/>
          </w:rPr>
          <w:t xml:space="preserve">[2]</w:t>
        </w:r>
      </w:hyperlink>
      <w:r>
        <w:t xml:space="preserve">. Inside that frame, an agency that cannot measure the productivity of its instrument dollar cannot demonstrate that it is allocating a growing and scrutinized appropriation efficiently, and cannot defend a given payload selection against the charge that a cheaper alternative would have returned as much science.</w:t>
      </w:r>
    </w:p>
    <w:p>
      <w:pPr>
        <w:pStyle w:val="BodyText"/>
        <w:spacing w:line="480" w:lineRule="auto"/>
        <w:ind w:firstLine="720"/>
      </w:pPr>
      <w:r>
        <w:t xml:space="preserve">For NASA the stakes are budgetary and institutional. Every flagship payload selection commits hundreds of millions of dollars to a specific bundle of instruments, and every competed line, Discovery and New Frontiers among them, forces an explicit ranking of instrument concepts against one another. If the marginal science return per dollar falls as instruments grow more expensive, then a portfolio weighted toward many modest instruments returns more aggregate published science than a portfolio weighted toward a few exquisite ones, and the agency that does not know the shape of that return curve is allocating in the dark. The cost-modeling community inside the agency has already accepted that regression on cost drivers is a tractable and legitimate analytic method</w:t>
      </w:r>
      <w:r>
        <w:t xml:space="preserve"> </w:t>
      </w:r>
      <w:hyperlink w:anchor="ref-4">
        <w:r>
          <w:rPr>
            <w:rStyle w:val="Hyperlink"/>
          </w:rPr>
          <w:t xml:space="preserve">[4]</w:t>
        </w:r>
      </w:hyperlink>
      <w:r>
        <w:t xml:space="preserve">, which establishes both the appetite and the precedent for carrying the same regression discipline one estimand further, from cost to science.</w:t>
      </w:r>
    </w:p>
    <w:p>
      <w:pPr>
        <w:pStyle w:val="BodyText"/>
        <w:spacing w:line="480" w:lineRule="auto"/>
        <w:ind w:firstLine="720"/>
      </w:pPr>
      <w:r>
        <w:t xml:space="preserve">For the Jet Propulsion Laboratory the stakes are sharper still, because JPL is the institution that designs, builds, and operates the instruments whose productivity is in question. JPL’s planetary instruments, the imagers, spectrometers, and in-situ sensors that have flown on Mars orbiters and landers, on the outer-planet flagships, and on small-body encounters, are precisely the population over which an instrument-level productivity estimate is identified. A laboratory whose competitive position rests on instrument capability has a direct interest in knowing whether capability, as purchased through cost, converts to published science at a constant rate or at a diminishing one. If the return is diminishing, then JPL’s strongest portfolio argument is not the single most capable instrument it can build but the most productive mix it can deliver, and the laboratory that can quantify science return per dollar holds a defensible, auditable basis for payload advocacy that its competitors arguing by heritage cannot match. The contribution of this dissertation is therefore not only scientific but strategic: it converts a portfolio-selection question that is currently argued by analogy into one that can be measured, replicated, and audited.</w:t>
      </w:r>
    </w:p>
    <w:bookmarkEnd w:id="62"/>
    <w:bookmarkStart w:id="63" w:name="Xfb88ffc49ee5343136593b06b1ccea157d2ec8a"/>
    <w:p>
      <w:pPr>
        <w:pStyle w:val="Heading2"/>
        <w:spacing w:line="480" w:lineRule="auto"/>
      </w:pPr>
      <w:r>
        <w:t xml:space="preserve">1.3 The Gap Between the Domain Literature and the Method Literature</w:t>
      </w:r>
    </w:p>
    <w:p>
      <w:pPr>
        <w:pStyle w:val="FirstParagraph"/>
        <w:spacing w:line="480" w:lineRule="auto"/>
      </w:pPr>
      <w:r>
        <w:t xml:space="preserve">Three bodies of work bear on this question, and none of them answers it. They fail to answer it not because the question is intractable but because each body stops one step short of the estimand the decision requires, and because no single literature has joined the domain question to the econometric method that could resolve it.</w:t>
      </w:r>
    </w:p>
    <w:p>
      <w:pPr>
        <w:pStyle w:val="BodyText"/>
        <w:spacing w:line="480" w:lineRule="auto"/>
        <w:ind w:firstLine="720"/>
      </w:pPr>
      <w:r>
        <w:t xml:space="preserve">The first body is the space-economy literature. It measures value at the level of the sector or the mission and treats government science as an input to be justified</w:t>
      </w:r>
      <w:r>
        <w:t xml:space="preserve"> </w:t>
      </w:r>
      <w:hyperlink w:anchor="ref-1">
        <w:r>
          <w:rPr>
            <w:rStyle w:val="Hyperlink"/>
          </w:rPr>
          <w:t xml:space="preserve">[1]</w:t>
        </w:r>
      </w:hyperlink>
      <w:r>
        <w:t xml:space="preserve"> </w:t>
      </w:r>
      <w:r>
        <w:t xml:space="preserve">or as a frontier whose total value is being revalued upward</w:t>
      </w:r>
      <w:r>
        <w:t xml:space="preserve"> </w:t>
      </w:r>
      <w:hyperlink w:anchor="ref-2">
        <w:r>
          <w:rPr>
            <w:rStyle w:val="Hyperlink"/>
          </w:rPr>
          <w:t xml:space="preserve">[2]</w:t>
        </w:r>
      </w:hyperlink>
      <w:r>
        <w:t xml:space="preserve">. It supplies the motivating claim, that publicly funded science is a measurable value stream and that its productivity is a first-order policy quantity, and it supplies the warning that the measurable scholarly slice is not the whole value of the enterprise</w:t>
      </w:r>
      <w:r>
        <w:t xml:space="preserve"> </w:t>
      </w:r>
      <w:hyperlink w:anchor="ref-3">
        <w:r>
          <w:rPr>
            <w:rStyle w:val="Hyperlink"/>
          </w:rPr>
          <w:t xml:space="preserve">[3]</w:t>
        </w:r>
      </w:hyperlink>
      <w:r>
        <w:t xml:space="preserve">. What it does not do is descend to the instrument or estimate a productivity function. It frames the stakes without measuring the gradient.</w:t>
      </w:r>
    </w:p>
    <w:p>
      <w:pPr>
        <w:pStyle w:val="BodyText"/>
        <w:spacing w:line="480" w:lineRule="auto"/>
        <w:ind w:firstLine="720"/>
      </w:pPr>
      <w:r>
        <w:t xml:space="preserve">The second body is the architecture and cost literature. It has begun to apply linear regression to the relationship between architecture and design choices and overall mission cost</w:t>
      </w:r>
      <w:r>
        <w:t xml:space="preserve"> </w:t>
      </w:r>
      <w:hyperlink w:anchor="ref-4">
        <w:r>
          <w:rPr>
            <w:rStyle w:val="Hyperlink"/>
          </w:rPr>
          <w:t xml:space="preserve">[4]</w:t>
        </w:r>
      </w:hyperlink>
      <w:r>
        <w:t xml:space="preserve">, and in doing so it establishes that regression on cost drivers is both tractable and accepted in the field. This is the method precedent on which the present work builds. But that literature stops at cost. It models the dollar as an output to be predicted from design drivers and does not carry the analysis through to the science that the dollar was spent to obtain. It tells the field how to predict what an instrument will cost, not what that cost will return.</w:t>
      </w:r>
    </w:p>
    <w:p>
      <w:pPr>
        <w:pStyle w:val="BodyText"/>
        <w:spacing w:line="480" w:lineRule="auto"/>
        <w:ind w:firstLine="720"/>
      </w:pPr>
      <w:r>
        <w:t xml:space="preserve">The third body is the instrument-engineering literature. It characterizes sensor performance in physical terms, optical, hyperspectral, lidar, and polarimetric, and it is candid that capability and expense rise together</w:t>
      </w:r>
      <w:r>
        <w:t xml:space="preserve"> </w:t>
      </w:r>
      <w:hyperlink w:anchor="ref-5">
        <w:r>
          <w:rPr>
            <w:rStyle w:val="Hyperlink"/>
          </w:rPr>
          <w:t xml:space="preserve">[5]</w:t>
        </w:r>
      </w:hyperlink>
      <w:r>
        <w:t xml:space="preserve">[7]. It documents the wind sensor, the lidar, the hyperspectral characterization sensor, and the surface-campaign subsystem in the engineering detail that any payload review demands</w:t>
      </w:r>
      <w:r>
        <w:t xml:space="preserve"> </w:t>
      </w:r>
      <w:hyperlink w:anchor="ref-5">
        <w:r>
          <w:rPr>
            <w:rStyle w:val="Hyperlink"/>
          </w:rPr>
          <w:t xml:space="preserve">[5]</w:t>
        </w:r>
      </w:hyperlink>
      <w:r>
        <w:t xml:space="preserve">[6][8]. But it never closes the loop from expense to published science. It describes what instruments are and what they cost to build; it does not estimate what they produce per dollar.</w:t>
      </w:r>
    </w:p>
    <w:p>
      <w:pPr>
        <w:pStyle w:val="BodyText"/>
        <w:spacing w:line="480" w:lineRule="auto"/>
        <w:ind w:firstLine="720"/>
      </w:pPr>
      <w:r>
        <w:t xml:space="preserve">The specific gap, then, is the absence of an instrument-level productivity estimate that places inflation-adjusted cost on one side and refereed publication count on the other while controlling for the confounders any reviewer will name first: instrument mass, operating lifetime, and the class of the host mission. The space-economy literature has the policy frame but not the estimand. The cost literature has the regression method but stops at cost. The engineering literature has the instruments but not the output linkage. No published estimate states the elasticity of science output with respect to instrument cost, and because no such number has been stated, none can be falsified. The field reasons by heritage precisely because it has no number to reason with.</w:t>
      </w:r>
    </w:p>
    <w:p>
      <w:pPr>
        <w:pStyle w:val="BodyText"/>
        <w:spacing w:line="480" w:lineRule="auto"/>
        <w:ind w:firstLine="720"/>
      </w:pPr>
      <w:r>
        <w:t xml:space="preserve">This dissertation also builds on a documented body of bibliometric mission accounting. The systematic census of refereed mission output assembled for an agency science programme demonstrates that publication counts can be tabulated under uniform inclusion rules and treated as a comparable cross-mission outcome</w:t>
      </w:r>
      <w:r>
        <w:t xml:space="preserve"> </w:t>
      </w:r>
      <w:hyperlink w:anchor="ref-9">
        <w:r>
          <w:rPr>
            <w:rStyle w:val="Hyperlink"/>
          </w:rPr>
          <w:t xml:space="preserve">[9]</w:t>
        </w:r>
      </w:hyperlink>
      <w:r>
        <w:t xml:space="preserve">. That census makes the outcome variable credible; it does not, however, regress that outcome on cost, and it operates at the mission level rather than the instrument level where the selection trade is made. The gap this dissertation fills is the regression that joins the credible outcome to the inflation-adjusted cost at the unit of decision.</w:t>
      </w:r>
    </w:p>
    <w:bookmarkEnd w:id="63"/>
    <w:bookmarkStart w:id="64" w:name="Xd64b4ea472a356890527a4da72a43dd97c81642"/>
    <w:p>
      <w:pPr>
        <w:pStyle w:val="Heading2"/>
        <w:spacing w:line="480" w:lineRule="auto"/>
      </w:pPr>
      <w:r>
        <w:t xml:space="preserve">1.4 Two Prior Estimates That Frame the Contribution</w:t>
      </w:r>
    </w:p>
    <w:p>
      <w:pPr>
        <w:pStyle w:val="FirstParagraph"/>
        <w:spacing w:line="480" w:lineRule="auto"/>
      </w:pPr>
      <w:r>
        <w:t xml:space="preserve">This dissertation does not arrive at the instrument-level cost elasticity cold. Two prior estimates, reported in the accompanying research papers, bound the question from either side and motivate the central design.</w:t>
      </w:r>
    </w:p>
    <w:p>
      <w:pPr>
        <w:pStyle w:val="BodyText"/>
        <w:spacing w:line="480" w:lineRule="auto"/>
        <w:ind w:firstLine="720"/>
      </w:pPr>
      <w:r>
        <w:t xml:space="preserve">The first prior estimate works at the mission level. Regressing the log of refereed publication count on the log of total life-cycle cost across twenty-five space-science missions, using the uniform bibliometric census as the outcome</w:t>
      </w:r>
      <w:r>
        <w:t xml:space="preserve"> </w:t>
      </w:r>
      <w:hyperlink w:anchor="ref-9">
        <w:r>
          <w:rPr>
            <w:rStyle w:val="Hyperlink"/>
          </w:rPr>
          <w:t xml:space="preserve">[9]</w:t>
        </w:r>
      </w:hyperlink>
      <w:r>
        <w:t xml:space="preserve">, yields a cost elasticity of publication output near 0.898 with a robust standard error near 0.158. Cost is a strong and reliable predictor of science output, explaining a little over half of the cross-mission variance, but the point estimate, though below one in the direction diminishing returns would predict, is not far enough below one to be distinguished from it. The ninety-five percent interval contains one, and constant returns cannot be rejected on that sample. The honest reading is mixed: the data are consistent with mild diminishing returns and equally consistent with proportional scaling, and the imprecision is the signature of a twenty-five-observation panel that cannot afford the controls a clean estimate demands. That result establishes that the question is answerable in principle and that the answer, at the mission level, is not yet sharp enough to settle the allocation question.</w:t>
      </w:r>
    </w:p>
    <w:p>
      <w:pPr>
        <w:pStyle w:val="BodyText"/>
        <w:spacing w:line="480" w:lineRule="auto"/>
        <w:ind w:firstLine="720"/>
      </w:pPr>
      <w:r>
        <w:t xml:space="preserve">The second prior estimate works at the instrument level but on a different input. Regressing the log of refereed output on the log of instrument flight mass across thirty-two planetary instruments drawn from nine missions yields a mass elasticity near 0.419 with a robust standard error near 0.113, an interval that excludes both zero and one. There the diminishing-returns reading is supported: instrument output rises with mass, but each proportional increase in mass yields a smaller proportional increase in output, so the marginal kilogram buys progressively less published science. The modest explained variance is itself informative, conceding that mass is a coarse surrogate for the design choices, target richness, and team activity that actually drive productivity. That result establishes that diminishing returns are detectable at the instrument level when the panel is large enough and the estimand is a single sourced elasticity.</w:t>
      </w:r>
    </w:p>
    <w:p>
      <w:pPr>
        <w:pStyle w:val="BodyText"/>
        <w:spacing w:line="480" w:lineRule="auto"/>
        <w:ind w:firstLine="720"/>
      </w:pPr>
      <w:r>
        <w:t xml:space="preserve">The two priors together define the opening this dissertation occupies. The mission-level cost estimate has the right input, cost, but the wrong unit of analysis and too few observations to settle the question. The instrument-level mass estimate has the right unit of analysis and detects diminishing returns, but it regresses on mass, a surrogate for cost rather than cost itself, and it omits the mission fixed effects and the count model that a defensible instrument-level estimate requires. The contribution of this dissertation is to combine the right input with the right unit of analysis under the right estimator: to estimate the elasticity of refereed publication count with respect to inflation-adjusted instrument cost, at the instrument level, in a count model that controls for mass, operating lifetime, and host-mission effects.</w:t>
      </w:r>
    </w:p>
    <w:bookmarkEnd w:id="64"/>
    <w:bookmarkStart w:id="65" w:name="the-single-falsifiable-contribution"/>
    <w:p>
      <w:pPr>
        <w:pStyle w:val="Heading2"/>
        <w:spacing w:line="480" w:lineRule="auto"/>
      </w:pPr>
      <w:r>
        <w:t xml:space="preserve">1.5 The Single Falsifiable Contribution</w:t>
      </w:r>
    </w:p>
    <w:p>
      <w:pPr>
        <w:pStyle w:val="FirstParagraph"/>
        <w:spacing w:line="480" w:lineRule="auto"/>
      </w:pPr>
      <w:r>
        <w:t xml:space="preserve">The contribution of this dissertation is one estimated elasticity and one test around it, stated precisely enough that it cannot be rescued by reinterpretation.</w:t>
      </w:r>
    </w:p>
    <w:p>
      <w:pPr>
        <w:pStyle w:val="BodyText"/>
        <w:spacing w:line="480" w:lineRule="auto"/>
        <w:ind w:firstLine="720"/>
      </w:pPr>
      <w:r>
        <w:t xml:space="preserve">Let the science output of instrument</w:t>
      </w:r>
      <w:r>
        <w:t xml:space="preserve"> </w:t>
      </w:r>
      <m:oMath>
        <m:r>
          <m:t>i</m:t>
        </m:r>
      </m:oMath>
      <w:r>
        <w:t xml:space="preserve"> </w:t>
      </w:r>
      <w:r>
        <w:t xml:space="preserve">be the count</w:t>
      </w:r>
      <w:r>
        <w:t xml:space="preserve"> </w:t>
      </w:r>
      <m:oMath>
        <m:sSub>
          <m:e>
            <m:r>
              <m:t>y</m:t>
            </m:r>
          </m:e>
          <m:sub>
            <m:r>
              <m:t>i</m:t>
            </m:r>
          </m:sub>
        </m:sSub>
      </m:oMath>
      <w:r>
        <w:t xml:space="preserve"> </w:t>
      </w:r>
      <w:r>
        <w:t xml:space="preserve">of peer-reviewed papers whose data provenance includes instrument</w:t>
      </w:r>
      <w:r>
        <w:t xml:space="preserve"> </w:t>
      </w:r>
      <m:oMath>
        <m:r>
          <m:t>i</m:t>
        </m:r>
      </m:oMath>
      <w:r>
        <w:t xml:space="preserve"> </w:t>
      </w:r>
      <w:r>
        <w:t xml:space="preserve">over its operating life. Let</w:t>
      </w:r>
      <w:r>
        <w:t xml:space="preserve"> </w:t>
      </w:r>
      <m:oMath>
        <m:sSub>
          <m:e>
            <m:r>
              <m:t>c</m:t>
            </m:r>
          </m:e>
          <m:sub>
            <m:r>
              <m:t>i</m:t>
            </m:r>
          </m:sub>
        </m:sSub>
      </m:oMath>
      <w:r>
        <w:t xml:space="preserve"> </w:t>
      </w:r>
      <w:r>
        <w:t xml:space="preserve">be the inflation-adjusted development cost of instrument</w:t>
      </w:r>
      <w:r>
        <w:t xml:space="preserve"> </w:t>
      </w:r>
      <m:oMath>
        <m:r>
          <m:t>i</m:t>
        </m:r>
      </m:oMath>
      <w:r>
        <w:t xml:space="preserve">. The structural claim is that, holding instrument mass, operating lifetime, and the class of the host mission fixed, the expected log count of publications is linear in log cost with elasticity</w:t>
      </w:r>
      <w:r>
        <w:t xml:space="preserve"> </w:t>
      </w:r>
      <m:oMath>
        <m:r>
          <m:t>β</m:t>
        </m:r>
      </m:oMath>
      <w:r>
        <w:t xml:space="preserve">. The single number this dissertation produces is</w:t>
      </w:r>
      <w:r>
        <w:t xml:space="preserve"> </w:t>
      </w:r>
      <m:oMath>
        <m:r>
          <m:t>β</m:t>
        </m:r>
      </m:oMath>
      <w:r>
        <w:t xml:space="preserve">, with a confidence interval, and the single verdict it delivers is whether that number is distinguishable from one.</w:t>
      </w:r>
    </w:p>
    <w:p>
      <w:pPr>
        <w:pStyle w:val="BodyText"/>
        <w:spacing w:line="480" w:lineRule="auto"/>
        <w:ind w:firstLine="720"/>
      </w:pPr>
      <w:r>
        <w:rPr>
          <w:b/>
          <w:bCs/>
        </w:rPr>
        <w:t xml:space="preserve">H0 (constant returns):</w:t>
      </w:r>
      <w:r>
        <w:t xml:space="preserve"> </w:t>
      </w:r>
      <m:oMath>
        <m:r>
          <m:t>β</m:t>
        </m:r>
        <m:r>
          <m:rPr>
            <m:sty m:val="p"/>
          </m:rPr>
          <m:t>=</m:t>
        </m:r>
        <m:r>
          <m:t>1</m:t>
        </m:r>
      </m:oMath>
      <w:r>
        <w:t xml:space="preserve">. A one percent increase in inflation-adjusted instrument cost is associated with a one percent increase in expected publication count. Science output scales proportionally with dollars, and the most expensive instruments buy published science at the same marginal rate as the least expensive.</w:t>
      </w:r>
    </w:p>
    <w:p>
      <w:pPr>
        <w:pStyle w:val="BodyText"/>
        <w:spacing w:line="480" w:lineRule="auto"/>
        <w:ind w:firstLine="720"/>
      </w:pPr>
      <w:r>
        <w:rPr>
          <w:b/>
          <w:bCs/>
        </w:rPr>
        <w:t xml:space="preserve">H1 (diminishing returns):</w:t>
      </w:r>
      <w:r>
        <w:t xml:space="preserve"> </w:t>
      </w:r>
      <m:oMath>
        <m:r>
          <m:t>β</m:t>
        </m:r>
        <m:r>
          <m:rPr>
            <m:sty m:val="p"/>
          </m:rPr>
          <m:t>&lt;</m:t>
        </m:r>
        <m:r>
          <m:t>1</m:t>
        </m:r>
      </m:oMath>
      <w:r>
        <w:t xml:space="preserve">. A one percent increase in instrument cost is associated with a less than one percent increase in expected publication count. The marginal science return per dollar falls as instruments grow more expensive, which would argue, for portfolios whose deliverable is published planetary science, for a tilt toward a larger number of less costly instruments.</w:t>
      </w:r>
    </w:p>
    <w:p>
      <w:pPr>
        <w:pStyle w:val="BodyText"/>
        <w:spacing w:line="480" w:lineRule="auto"/>
        <w:ind w:firstLine="720"/>
      </w:pPr>
      <w:r>
        <w:t xml:space="preserve">The contribution is falsifiable in the strict sense. If the estimated</w:t>
      </w:r>
      <w:r>
        <w:t xml:space="preserve"> </w:t>
      </w:r>
      <m:oMath>
        <m:r>
          <m:t>β</m:t>
        </m:r>
      </m:oMath>
      <w:r>
        <w:t xml:space="preserve"> </w:t>
      </w:r>
      <w:r>
        <w:t xml:space="preserve">is statistically indistinguishable from one, then H1 is rejected and the dissertation’s central claim fails. The number is a single scalar with a confidence interval; there is no second parameter to absorb a disappointing result and no narrative move that can convert a null into a finding. This discipline follows the field’s own turn toward regression-based cost analysis</w:t>
      </w:r>
      <w:r>
        <w:t xml:space="preserve"> </w:t>
      </w:r>
      <w:hyperlink w:anchor="ref-4">
        <w:r>
          <w:rPr>
            <w:rStyle w:val="Hyperlink"/>
          </w:rPr>
          <w:t xml:space="preserve">[4]</w:t>
        </w:r>
      </w:hyperlink>
      <w:r>
        <w:t xml:space="preserve"> </w:t>
      </w:r>
      <w:r>
        <w:t xml:space="preserve">and extends it one estimand further, from the dollar an instrument costs to the science that dollar returns. The estimand is the elasticity of publication output with respect to cost, and the policy reading is confined, deliberately and explicitly, to instruments whose primary deliverable is published planetary science. The dissertation does not claim to measure the whole value of an instrument or the whole value of the enterprise; it measures the slope of the scholarly value stream against the dollar, which is the measurable slice the motivating economics identifies</w:t>
      </w:r>
      <w:r>
        <w:t xml:space="preserve"> </w:t>
      </w:r>
      <w:hyperlink w:anchor="ref-1">
        <w:r>
          <w:rPr>
            <w:rStyle w:val="Hyperlink"/>
          </w:rPr>
          <w:t xml:space="preserve">[1]</w:t>
        </w:r>
      </w:hyperlink>
      <w:r>
        <w:t xml:space="preserve">[2][3].</w:t>
      </w:r>
    </w:p>
    <w:bookmarkEnd w:id="65"/>
    <w:bookmarkStart w:id="66" w:name="approach-in-brief"/>
    <w:p>
      <w:pPr>
        <w:pStyle w:val="Heading2"/>
        <w:spacing w:line="480" w:lineRule="auto"/>
      </w:pPr>
      <w:r>
        <w:t xml:space="preserve">1.6 Approach in Brief</w:t>
      </w:r>
    </w:p>
    <w:p>
      <w:pPr>
        <w:pStyle w:val="FirstParagraph"/>
        <w:spacing w:line="480" w:lineRule="auto"/>
      </w:pPr>
      <w:r>
        <w:t xml:space="preserve">The estimator is a negative-binomial regression rather than ordinary least squares, because the outcome is a non-negative integer count of publications that exhibits overdispersion, and the negative-binomial form accommodates that overdispersion where a Poisson or a log-linear specification would not. The specification regresses the log expected publication count on log inflation-adjusted instrument cost, log instrument mass, log operating lifetime in years, and a vector of host-mission fixed effects. The coefficient on log cost is the elasticity</w:t>
      </w:r>
      <w:r>
        <w:t xml:space="preserve"> </w:t>
      </w:r>
      <m:oMath>
        <m:r>
          <m:t>β</m:t>
        </m:r>
      </m:oMath>
      <w:r>
        <w:t xml:space="preserve"> </w:t>
      </w:r>
      <w:r>
        <w:t xml:space="preserve">that carries the entire falsifiable claim.</w:t>
      </w:r>
    </w:p>
    <w:p>
      <w:pPr>
        <w:pStyle w:val="BodyText"/>
        <w:spacing w:line="480" w:lineRule="auto"/>
        <w:ind w:firstLine="720"/>
      </w:pPr>
      <w:r>
        <w:t xml:space="preserve">Mission fixed effects are the core of the identification strategy. By comparing instruments flown on the same mission, the design differences out everything common to that mission: its target body, its launch epoch, its data-release policy, the size and activity of its science team, and the publication norms of its era. The cost coefficient is then identified from instruments that shared a bus and a campaign but differed in price, which strips out the most obvious confounds distinguishing a Mars program from an outer-planets program. Operating lifetime enters as an explicit control because a long-lived instrument accrues papers mechanically</w:t>
      </w:r>
      <w:r>
        <w:t xml:space="preserve"> </w:t>
      </w:r>
      <w:hyperlink w:anchor="ref-6">
        <w:r>
          <w:rPr>
            <w:rStyle w:val="Hyperlink"/>
          </w:rPr>
          <w:t xml:space="preserve">[6]</w:t>
        </w:r>
      </w:hyperlink>
      <w:r>
        <w:t xml:space="preserve">, and mass enters because mass proxies for instrument complexity and is the field’s habitual capability surrogate</w:t>
      </w:r>
      <w:r>
        <w:t xml:space="preserve"> </w:t>
      </w:r>
      <w:hyperlink w:anchor="ref-7">
        <w:r>
          <w:rPr>
            <w:rStyle w:val="Hyperlink"/>
          </w:rPr>
          <w:t xml:space="preserve">[7]</w:t>
        </w:r>
      </w:hyperlink>
      <w:r>
        <w:t xml:space="preserve">, the surrogate whose elasticity the second prior paper estimated directly. The chief identification threat is that cost is not randomly assigned; instruments are made expensive on purpose, often because their science case was judged strong in advance, which would bias</w:t>
      </w:r>
      <w:r>
        <w:t xml:space="preserve"> </w:t>
      </w:r>
      <m:oMath>
        <m:r>
          <m:t>β</m:t>
        </m:r>
      </m:oMath>
      <w:r>
        <w:t xml:space="preserve"> </w:t>
      </w:r>
      <w:r>
        <w:t xml:space="preserve">upward toward H0. The design answers this with an instrumental-variables robustness check that uses pre-launch technology-readiness level and detector heritage as instruments for realized cost, since readiness and heritage move development cost through engineering channels plausibly orthogonal to a paper’s eventual citability, and with a within-mission fallback specification, since instruments on the same bus faced the same selection committee.</w:t>
      </w:r>
    </w:p>
    <w:p>
      <w:pPr>
        <w:pStyle w:val="BodyText"/>
        <w:spacing w:line="480" w:lineRule="auto"/>
        <w:ind w:firstLine="720"/>
      </w:pPr>
      <w:r>
        <w:t xml:space="preserve">The empirical panel is built from two public, programmatic, and replicable sources joined at the instrument level. The instrument frame and its physical and programmatic attributes, host spacecraft, instrument type, and operating intervals, come from the NASA Planetary Data System, which supplies the unit of analysis, the lifetime control, the type classification, and the mission identifier that anchors the fixed effects. The science-output measure comes from the NASA Astrophysics Data System, where the publication count for each instrument is the number of refereed records that name the instrument or its data set within its operating window and a fixed trailing exploitation period, so that older and newer instruments are compared on equal bibliometric exposure. Instrument development cost is compiled from public NASA cost reporting and deflated with a standard government deflator into common dollars. Both anchor sources are free and reconstructible, which satisfies the data-provenance requirement: any reviewer can rebuild the panel from public records without privileged access.</w:t>
      </w:r>
    </w:p>
    <w:bookmarkEnd w:id="66"/>
    <w:bookmarkStart w:id="67" w:name="roadmap"/>
    <w:p>
      <w:pPr>
        <w:pStyle w:val="Heading2"/>
        <w:spacing w:line="480" w:lineRule="auto"/>
      </w:pPr>
      <w:r>
        <w:t xml:space="preserve">1.7 Roadmap</w:t>
      </w:r>
    </w:p>
    <w:p>
      <w:pPr>
        <w:pStyle w:val="FirstParagraph"/>
        <w:spacing w:line="480" w:lineRule="auto"/>
      </w:pPr>
      <w:r>
        <w:t xml:space="preserve">The remainder of the dissertation proceeds as follows.</w:t>
      </w:r>
      <w:r>
        <w:t xml:space="preserve"> </w:t>
      </w:r>
      <w:r>
        <w:rPr>
          <w:b/>
          <w:bCs/>
        </w:rPr>
        <w:t xml:space="preserve">Chapter 2</w:t>
      </w:r>
      <w:r>
        <w:t xml:space="preserve"> </w:t>
      </w:r>
      <w:r>
        <w:t xml:space="preserve">reviews the three bodies of literature whose intersection defines the gap, the space-economy literature that frames public science as a measurable value stream</w:t>
      </w:r>
      <w:r>
        <w:t xml:space="preserve"> </w:t>
      </w:r>
      <w:hyperlink w:anchor="ref-1">
        <w:r>
          <w:rPr>
            <w:rStyle w:val="Hyperlink"/>
          </w:rPr>
          <w:t xml:space="preserve">[1]</w:t>
        </w:r>
      </w:hyperlink>
      <w:r>
        <w:t xml:space="preserve">[2][3], the architecture and cost literature that establishes regression on cost as accepted method</w:t>
      </w:r>
      <w:r>
        <w:t xml:space="preserve"> </w:t>
      </w:r>
      <w:hyperlink w:anchor="ref-4">
        <w:r>
          <w:rPr>
            <w:rStyle w:val="Hyperlink"/>
          </w:rPr>
          <w:t xml:space="preserve">[4]</w:t>
        </w:r>
      </w:hyperlink>
      <w:r>
        <w:t xml:space="preserve">, and the instrument-engineering literature that documents the capability-cost coupling</w:t>
      </w:r>
      <w:r>
        <w:t xml:space="preserve"> </w:t>
      </w:r>
      <w:hyperlink w:anchor="ref-5">
        <w:r>
          <w:rPr>
            <w:rStyle w:val="Hyperlink"/>
          </w:rPr>
          <w:t xml:space="preserve">[5]</w:t>
        </w:r>
      </w:hyperlink>
      <w:r>
        <w:t xml:space="preserve">[6][7][8], and positions the bibliometric mission census</w:t>
      </w:r>
      <w:r>
        <w:t xml:space="preserve"> </w:t>
      </w:r>
      <w:hyperlink w:anchor="ref-9">
        <w:r>
          <w:rPr>
            <w:rStyle w:val="Hyperlink"/>
          </w:rPr>
          <w:t xml:space="preserve">[9]</w:t>
        </w:r>
      </w:hyperlink>
      <w:r>
        <w:t xml:space="preserve"> </w:t>
      </w:r>
      <w:r>
        <w:t xml:space="preserve">as the precedent for treating publication count as a comparable outcome.</w:t>
      </w:r>
      <w:r>
        <w:t xml:space="preserve"> </w:t>
      </w:r>
      <w:r>
        <w:rPr>
          <w:b/>
          <w:bCs/>
        </w:rPr>
        <w:t xml:space="preserve">Chapter 3</w:t>
      </w:r>
      <w:r>
        <w:t xml:space="preserve"> </w:t>
      </w:r>
      <w:r>
        <w:t xml:space="preserve">develops the theoretical model that motivates a constant-elasticity functional form and states the structural relationship between cost and expected publication count from which H0 and H1 are derived.</w:t>
      </w:r>
      <w:r>
        <w:t xml:space="preserve"> </w:t>
      </w:r>
      <w:r>
        <w:rPr>
          <w:b/>
          <w:bCs/>
        </w:rPr>
        <w:t xml:space="preserve">Chapter 4</w:t>
      </w:r>
      <w:r>
        <w:t xml:space="preserve"> </w:t>
      </w:r>
      <w:r>
        <w:t xml:space="preserve">specifies the negative-binomial estimator, the mission fixed-effects identification strategy, the instrumental-variables and within-mission robustness designs, and the threats to validity each is built to answer.</w:t>
      </w:r>
      <w:r>
        <w:t xml:space="preserve"> </w:t>
      </w:r>
      <w:r>
        <w:rPr>
          <w:b/>
          <w:bCs/>
        </w:rPr>
        <w:t xml:space="preserve">Chapter 5</w:t>
      </w:r>
      <w:r>
        <w:t xml:space="preserve"> </w:t>
      </w:r>
      <w:r>
        <w:t xml:space="preserve">documents the construction of the instrument-level panel from the Planetary Data System and the Astrophysics Data System, the cost compilation and deflation procedure, and the inclusion rules that define the sample.</w:t>
      </w:r>
      <w:r>
        <w:t xml:space="preserve"> </w:t>
      </w:r>
      <w:r>
        <w:rPr>
          <w:b/>
          <w:bCs/>
        </w:rPr>
        <w:t xml:space="preserve">Chapter 6</w:t>
      </w:r>
      <w:r>
        <w:t xml:space="preserve"> </w:t>
      </w:r>
      <w:r>
        <w:t xml:space="preserve">reports the estimated cost elasticity, its confidence interval, and the verdict of the test against constant returns, alongside the robustness specifications.</w:t>
      </w:r>
      <w:r>
        <w:t xml:space="preserve"> </w:t>
      </w:r>
      <w:r>
        <w:rPr>
          <w:b/>
          <w:bCs/>
        </w:rPr>
        <w:t xml:space="preserve">Chapter 7</w:t>
      </w:r>
      <w:r>
        <w:t xml:space="preserve"> </w:t>
      </w:r>
      <w:r>
        <w:t xml:space="preserve">addresses the standing threats to validity, attribution noise in the publication count, the citability-cost confound, survivorship and lifetime, era and discipline effects, and the construct validity of papers as science, and states the boundary of the policy reading.</w:t>
      </w:r>
      <w:r>
        <w:t xml:space="preserve"> </w:t>
      </w:r>
      <w:r>
        <w:rPr>
          <w:b/>
          <w:bCs/>
        </w:rPr>
        <w:t xml:space="preserve">Chapter 8</w:t>
      </w:r>
      <w:r>
        <w:t xml:space="preserve"> </w:t>
      </w:r>
      <w:r>
        <w:t xml:space="preserve">concludes by drawing the portfolio-allocation implications for NASA and JPL that the estimated elasticity supports, and by marking the limits beyond which the single sourced number does not license a claim.</w:t>
      </w:r>
    </w:p>
    <w:bookmarkEnd w:id="67"/>
    <w:bookmarkEnd w:id="68"/>
    <w:bookmarkStart w:id="75" w:name="chapter-2.-literature-review"/>
    <w:p>
      <w:pPr>
        <w:pStyle w:val="Heading1"/>
        <w:spacing w:line="480" w:lineRule="auto"/>
      </w:pPr>
      <w:r>
        <w:t xml:space="preserve">Chapter 2. Literature Review</w:t>
      </w:r>
    </w:p>
    <w:bookmarkStart w:id="69" w:name="purpose-and-organization-of-the-review"/>
    <w:p>
      <w:pPr>
        <w:pStyle w:val="Heading2"/>
        <w:spacing w:line="480" w:lineRule="auto"/>
      </w:pPr>
      <w:r>
        <w:t xml:space="preserve">2.1 Purpose and Organization of the Review</w:t>
      </w:r>
    </w:p>
    <w:p>
      <w:pPr>
        <w:pStyle w:val="FirstParagraph"/>
        <w:spacing w:line="480" w:lineRule="auto"/>
      </w:pPr>
      <w:r>
        <w:t xml:space="preserve">The central claim of this dissertation is that a question presently settled by analogy, namely how much published science a planetary instrument returns for each development dollar, can instead be settled by measurement, replication, and audit. To defend that claim the review must do more than summarize a single field. It must reconstruct two largely separate scholarly conversations, show that each has advanced as far as its own internal logic permits, and demonstrate that neither has crossed the boundary into the other. The first conversation is the domain technical literature: the engineering and instrument-science writing that describes what planetary and space-surveillance instruments are, how their capability is purchased with aperture, spectral range, detector complexity, and mass, and how that capability is paid for in development cost. The second is the cliometric and econometric methodology literature: the smaller but rapidly maturing body of quantitative work that treats space activity, including publicly funded science, as a measurable economic value stream and that has begun to apply regression to the drivers of space-system cost. The gap this dissertation occupies sits precisely between them. The technical literature characterizes the input, namely the instrument and its expense, with great care, and the economic literature characterizes the value stream, namely realized science, in increasingly explicit terms, yet no published estimate joins the two by regressing measured science output on measured instrument cost while holding the obvious confounders fixed.</w:t>
      </w:r>
    </w:p>
    <w:p>
      <w:pPr>
        <w:pStyle w:val="BodyText"/>
        <w:spacing w:line="480" w:lineRule="auto"/>
        <w:ind w:firstLine="720"/>
      </w:pPr>
      <w:r>
        <w:t xml:space="preserve">The review proceeds in five movements. Section 2.2 surveys the domain technical literature on instruments and their characterization, establishing the field’s own repeated observation that capability and expense rise together. Section 2.3 examines how that same literature treats mass and physical design drivers as the habitual surrogates for capability and cost, which both motivates and constrains the productivity question. Section 2.4 turns to the cliometric and econometric methodology literature, tracing the treatment of space science as a measurable value stream and the field’s recent and consequential move toward regression-based cost analysis. Section 2.5 reviews the narrow but directly relevant bibliometric and publication-census literature that supplies the only credible measure of realized science at the mission and instrument level. Section 2.6 synthesizes the two conversations, names the specific gap, and states precisely why the instrument-level productivity elasticity advanced in this dissertation is the missing estimand that neither literature has yet produced.</w:t>
      </w:r>
    </w:p>
    <w:bookmarkEnd w:id="69"/>
    <w:bookmarkStart w:id="70" w:name="Xf33d96f745ea215fdb2aedcec64de42514907a0"/>
    <w:p>
      <w:pPr>
        <w:pStyle w:val="Heading2"/>
        <w:spacing w:line="480" w:lineRule="auto"/>
      </w:pPr>
      <w:r>
        <w:t xml:space="preserve">2.2 The Domain Technical Literature: Characterization Instruments and the Cost of Capability</w:t>
      </w:r>
    </w:p>
    <w:p>
      <w:pPr>
        <w:pStyle w:val="FirstParagraph"/>
        <w:spacing w:line="480" w:lineRule="auto"/>
      </w:pPr>
      <w:r>
        <w:t xml:space="preserve">The first body of work to review is the engineering literature that describes planetary and space-surveillance instruments in physical terms. This literature is voluminous, rigorous, and almost entirely silent on the question of realized scientific productivity, which is exactly why it must be read carefully: it establishes what an instrument is and what it costs without ever closing the loop to what the instrument produces in the refereed record.</w:t>
      </w:r>
    </w:p>
    <w:p>
      <w:pPr>
        <w:pStyle w:val="BodyText"/>
        <w:spacing w:line="480" w:lineRule="auto"/>
        <w:ind w:firstLine="720"/>
      </w:pPr>
      <w:r>
        <w:t xml:space="preserve">The defining feature of the modern characterization sensor is that its capability is expensive and its expense is candidly acknowledged by its own designers. Wright and colleagues, in their design study of a space-based hyperspectral characterization sensor, are explicit that the most capable instruments in their class are also the most costly, and they anchor the upper bound of cost and capability against exquisite assets such as the Hubble Space Telescope</w:t>
      </w:r>
      <w:r>
        <w:t xml:space="preserve"> </w:t>
      </w:r>
      <w:hyperlink w:anchor="ref-5">
        <w:r>
          <w:rPr>
            <w:rStyle w:val="Hyperlink"/>
          </w:rPr>
          <w:t xml:space="preserve">[5]</w:t>
        </w:r>
      </w:hyperlink>
      <w:r>
        <w:t xml:space="preserve">. This is not a throwaway remark. It is the load-bearing premise of an entire design tradition: capability in spectral characterization is purchased with aperture, spectral range, and detector complexity, and each increment of that capability is paid for in development dollars and in mass. The same study documents how new sensor designs continue to push field of view and spectral range outward, with the understanding that each push has a price</w:t>
      </w:r>
      <w:r>
        <w:t xml:space="preserve"> </w:t>
      </w:r>
      <w:hyperlink w:anchor="ref-5">
        <w:r>
          <w:rPr>
            <w:rStyle w:val="Hyperlink"/>
          </w:rPr>
          <w:t xml:space="preserve">[5]</w:t>
        </w:r>
      </w:hyperlink>
      <w:r>
        <w:t xml:space="preserve">. The engineering literature, in other words, knows that cost and capability rise together; what it does not do is ask whether the resulting science rises in proportion.</w:t>
      </w:r>
    </w:p>
    <w:p>
      <w:pPr>
        <w:pStyle w:val="BodyText"/>
        <w:spacing w:line="480" w:lineRule="auto"/>
        <w:ind w:firstLine="720"/>
      </w:pPr>
      <w:r>
        <w:t xml:space="preserve">This pattern recurs across instrument classes. The lidar design literature, in its treatment of spacecraft and optics considerations for a spaceborne lidar mission, works through the cascade of design choices, laser power, receiver aperture, pointing stability, that determine both performance and the mass and cost budgets the instrument must occupy</w:t>
      </w:r>
      <w:r>
        <w:t xml:space="preserve"> </w:t>
      </w:r>
      <w:hyperlink w:anchor="ref-10">
        <w:r>
          <w:rPr>
            <w:rStyle w:val="Hyperlink"/>
          </w:rPr>
          <w:t xml:space="preserve">[10]</w:t>
        </w:r>
      </w:hyperlink>
      <w:r>
        <w:t xml:space="preserve">. The same coupling appears in the imaging and survey-instrument literature, where lens and camera arrays for sky surveys and space surveillance are designed under explicit aperture and field-of-view tradeoffs that drive both capability and expense</w:t>
      </w:r>
      <w:r>
        <w:t xml:space="preserve"> </w:t>
      </w:r>
      <w:hyperlink w:anchor="ref-11">
        <w:r>
          <w:rPr>
            <w:rStyle w:val="Hyperlink"/>
          </w:rPr>
          <w:t xml:space="preserve">[11]</w:t>
        </w:r>
      </w:hyperlink>
      <w:r>
        <w:t xml:space="preserve">. The radar literature shows the same structure at the largest scale: the next-generation planetary radar system proposed for the Green Bank Telescope is conceived as a capability upgrade whose cost is justified by the science reach it unlocks, again without any quantified ledger of science returned per dollar invested</w:t>
      </w:r>
      <w:r>
        <w:t xml:space="preserve"> </w:t>
      </w:r>
      <w:hyperlink w:anchor="ref-12">
        <w:r>
          <w:rPr>
            <w:rStyle w:val="Hyperlink"/>
          </w:rPr>
          <w:t xml:space="preserve">[12]</w:t>
        </w:r>
      </w:hyperlink>
      <w:r>
        <w:t xml:space="preserve">. Across optical, hyperspectral, lidar, and radar modalities, the technical literature is internally consistent in one respect that matters for this dissertation: it treats cost and capability as coupled, it treats capability as the thing worth buying, and it stops short of measuring whether the science the capability produces scales with the cost.</w:t>
      </w:r>
    </w:p>
    <w:p>
      <w:pPr>
        <w:pStyle w:val="BodyText"/>
        <w:spacing w:line="480" w:lineRule="auto"/>
        <w:ind w:firstLine="720"/>
      </w:pPr>
      <w:r>
        <w:t xml:space="preserve">A second and related strand of the domain literature concerns the repurposing and cross-application of instruments and observational facilities, which complicates the productivity question in instructive ways. Bland and the Desert Fireball Network team document the adaptation of a planetary science observational facility for space situational awareness, a case in which an instrument built for one science return is pressed into a second service entirely</w:t>
      </w:r>
      <w:r>
        <w:t xml:space="preserve"> </w:t>
      </w:r>
      <w:hyperlink w:anchor="ref-13">
        <w:r>
          <w:rPr>
            <w:rStyle w:val="Hyperlink"/>
          </w:rPr>
          <w:t xml:space="preserve">[13]</w:t>
        </w:r>
      </w:hyperlink>
      <w:r>
        <w:t xml:space="preserve">. Currie and colleagues, in their proposal for a lunar laser ranging retroreflector for the twenty-first century, describe an instrument whose scientific yield accrues over decades and across multiple research communities, so that the relationship between its development cost and its eventual publication count is mediated by an unusually long and diffuse exploitation window</w:t>
      </w:r>
      <w:r>
        <w:t xml:space="preserve"> </w:t>
      </w:r>
      <w:hyperlink w:anchor="ref-18">
        <w:r>
          <w:rPr>
            <w:rStyle w:val="Hyperlink"/>
          </w:rPr>
          <w:t xml:space="preserve">[18]</w:t>
        </w:r>
      </w:hyperlink>
      <w:r>
        <w:t xml:space="preserve">. These cases matter because they show that the mapping from instrument cost to refereed output is neither immediate nor one-to-one: a single instrument can generate science across multiple campaigns and multiple decades, and a productivity estimate that ignores operating lifetime will misattribute output that is in fact the mechanical consequence of a long exposure window. The technical literature thus supplies, without intending to, the strongest argument for why operating lifetime must enter any productivity regression as an explicit control rather than a filter.</w:t>
      </w:r>
    </w:p>
    <w:p>
      <w:pPr>
        <w:pStyle w:val="BodyText"/>
        <w:spacing w:line="480" w:lineRule="auto"/>
        <w:ind w:firstLine="720"/>
      </w:pPr>
      <w:r>
        <w:t xml:space="preserve">A third strand documents the smaller, cheaper end of the instrument distribution and the calibration practices that make modest instruments scientifically productive. Bilardi, Barjatya, and Gasdia describe larger optics and improved calibration techniques for small-satellite observations with a university-operated optical system, a case in which incremental investment in optics and calibration, rather than wholesale increases in scale, drives the gain in usable science</w:t>
      </w:r>
      <w:r>
        <w:t xml:space="preserve"> </w:t>
      </w:r>
      <w:hyperlink w:anchor="ref-17">
        <w:r>
          <w:rPr>
            <w:rStyle w:val="Hyperlink"/>
          </w:rPr>
          <w:t xml:space="preserve">[17]</w:t>
        </w:r>
      </w:hyperlink>
      <w:r>
        <w:t xml:space="preserve">. This is the technical literature’s quiet acknowledgment that productivity is not a simple function of size: a well-calibrated modest instrument can return science out of proportion to its mass and cost, while a large instrument can underperform its budget. The community knows this case by case. What it lacks is a way to express the pattern as a single estimated parameter that holds across the distribution, which is precisely the contribution this dissertation seeks to make.</w:t>
      </w:r>
    </w:p>
    <w:p>
      <w:pPr>
        <w:pStyle w:val="BodyText"/>
        <w:spacing w:line="480" w:lineRule="auto"/>
        <w:ind w:firstLine="720"/>
      </w:pPr>
      <w:r>
        <w:t xml:space="preserve">Finally, the technical literature includes a body of mission-engineering work that documents the instrument line item growing from a rounding error into a first-order cost driver. Studies of subsystems such as electrostatic dust removal for Martian surface operations show that even an ancillary instrument or subsystem now carries a development program of its own, with its own cost and mass accounting</w:t>
      </w:r>
      <w:r>
        <w:t xml:space="preserve"> </w:t>
      </w:r>
      <w:hyperlink w:anchor="ref-8">
        <w:r>
          <w:rPr>
            <w:rStyle w:val="Hyperlink"/>
          </w:rPr>
          <w:t xml:space="preserve">[8]</w:t>
        </w:r>
      </w:hyperlink>
      <w:r>
        <w:t xml:space="preserve">. Wind-sensing instruments on Mars rovers, such as the MEDA wind sensors on the Mars 2020 mission, are documented in their own dedicated modeling papers, which establish both the instrument’s physical characterization and the operating window over which it accrues data and, downstream, publications</w:t>
      </w:r>
      <w:r>
        <w:t xml:space="preserve"> </w:t>
      </w:r>
      <w:hyperlink w:anchor="ref-6">
        <w:r>
          <w:rPr>
            <w:rStyle w:val="Hyperlink"/>
          </w:rPr>
          <w:t xml:space="preserve">[6]</w:t>
        </w:r>
      </w:hyperlink>
      <w:r>
        <w:t xml:space="preserve">. The MEDA case is doubly relevant: it shows that a single instrument now warrants a full engineering literature of its own, and it shows that the instrument’s scientific output is bound to its operating lifetime, since a longer-lived instrument accrues more papers mechanically as its data set is exploited</w:t>
      </w:r>
      <w:r>
        <w:t xml:space="preserve"> </w:t>
      </w:r>
      <w:hyperlink w:anchor="ref-6">
        <w:r>
          <w:rPr>
            <w:rStyle w:val="Hyperlink"/>
          </w:rPr>
          <w:t xml:space="preserve">[6]</w:t>
        </w:r>
      </w:hyperlink>
      <w:r>
        <w:t xml:space="preserve">. The technical literature thus furnishes both the unit of analysis, the individual flown instrument, and the leading confounder, operating lifetime, while declining to estimate the productivity relationship itself.</w:t>
      </w:r>
    </w:p>
    <w:bookmarkEnd w:id="70"/>
    <w:bookmarkStart w:id="71" w:name="Xb536dbf649dde5e633b7283b1359c07846700bc"/>
    <w:p>
      <w:pPr>
        <w:pStyle w:val="Heading2"/>
        <w:spacing w:line="480" w:lineRule="auto"/>
      </w:pPr>
      <w:r>
        <w:t xml:space="preserve">2.3 Mass and Physical Drivers as the Field’s Habitual Capability Surrogate</w:t>
      </w:r>
    </w:p>
    <w:p>
      <w:pPr>
        <w:pStyle w:val="FirstParagraph"/>
        <w:spacing w:line="480" w:lineRule="auto"/>
      </w:pPr>
      <w:r>
        <w:t xml:space="preserve">A subsection of the domain literature deserves separate treatment because it bears directly on the choice of controls in the productivity regression and on the relationship between this dissertation and its two accompanying research papers. The technical and cost-modeling literature consistently uses instrument mass and a small set of physical design drivers as the working surrogate for capability and complexity, and it does so for a defensible engineering reason: heavier instruments tend to carry larger apertures, more spectral channels, longer integration paths, and more redundant electronics, all of which raise both capability and development expense</w:t>
      </w:r>
      <w:r>
        <w:t xml:space="preserve"> </w:t>
      </w:r>
      <w:hyperlink w:anchor="ref-5">
        <w:r>
          <w:rPr>
            <w:rStyle w:val="Hyperlink"/>
          </w:rPr>
          <w:t xml:space="preserve">[5]</w:t>
        </w:r>
      </w:hyperlink>
      <w:r>
        <w:t xml:space="preserve">. Mass is the quantity the community already reaches for when it reasons informally about instrument cost and capability, and the cost literature treats mass as a leading driver of development expense</w:t>
      </w:r>
      <w:r>
        <w:t xml:space="preserve"> </w:t>
      </w:r>
      <w:hyperlink w:anchor="ref-4">
        <w:r>
          <w:rPr>
            <w:rStyle w:val="Hyperlink"/>
          </w:rPr>
          <w:t xml:space="preserve">[4]</w:t>
        </w:r>
      </w:hyperlink>
      <w:r>
        <w:t xml:space="preserve">. This makes mass the natural first regressor in any productivity analysis and the natural first control in any cost-conditioned one.</w:t>
      </w:r>
    </w:p>
    <w:p>
      <w:pPr>
        <w:pStyle w:val="BodyText"/>
        <w:spacing w:line="480" w:lineRule="auto"/>
        <w:ind w:firstLine="720"/>
      </w:pPr>
      <w:r>
        <w:t xml:space="preserve">The hyperspectral characterization literature makes the mass-capability coupling explicit, observing that the most capable characterization sensors are also the most massive and the most expensive</w:t>
      </w:r>
      <w:r>
        <w:t xml:space="preserve"> </w:t>
      </w:r>
      <w:hyperlink w:anchor="ref-5">
        <w:r>
          <w:rPr>
            <w:rStyle w:val="Hyperlink"/>
          </w:rPr>
          <w:t xml:space="preserve">[5]</w:t>
        </w:r>
      </w:hyperlink>
      <w:r>
        <w:t xml:space="preserve">. The lidar literature embeds the same logic in its optics and spacecraft design tradeoffs, where receiver aperture and laser subsystem mass set the performance envelope</w:t>
      </w:r>
      <w:r>
        <w:t xml:space="preserve"> </w:t>
      </w:r>
      <w:hyperlink w:anchor="ref-10">
        <w:r>
          <w:rPr>
            <w:rStyle w:val="Hyperlink"/>
          </w:rPr>
          <w:t xml:space="preserve">[10]</w:t>
        </w:r>
      </w:hyperlink>
      <w:r>
        <w:t xml:space="preserve">. The interferometric characterization literature extends the coupling to the architectural level: Fowler and Paley, in their study of formation flight near Earth-Moon Lagrange points for interferometric characterization of cislunar objects, show that capability can be bought either by building a single more massive aperture or by distributing the function across a formation, a tradeoff that again ties capability to a physical and cost budget</w:t>
      </w:r>
      <w:r>
        <w:t xml:space="preserve"> </w:t>
      </w:r>
      <w:hyperlink w:anchor="ref-7">
        <w:r>
          <w:rPr>
            <w:rStyle w:val="Hyperlink"/>
          </w:rPr>
          <w:t xml:space="preserve">[7]</w:t>
        </w:r>
      </w:hyperlink>
      <w:r>
        <w:t xml:space="preserve">. The recurring lesson is that mass proxies for complexity and is the field’s habitual capability surrogate, which is exactly why the accompanying mass-elasticity paper treats it as the first estimand and why this dissertation retains it as a control rather than discarding it.</w:t>
      </w:r>
    </w:p>
    <w:p>
      <w:pPr>
        <w:pStyle w:val="BodyText"/>
        <w:spacing w:line="480" w:lineRule="auto"/>
        <w:ind w:firstLine="720"/>
      </w:pPr>
      <w:r>
        <w:t xml:space="preserve">Yet the same literature is candid about the limits of mass as a surrogate, and those limits are central to the design of the productivity regression. The small-satellite optics literature shows that calibration and optical quality, not mass, can dominate the usable science return of a modest instrument</w:t>
      </w:r>
      <w:r>
        <w:t xml:space="preserve"> </w:t>
      </w:r>
      <w:hyperlink w:anchor="ref-17">
        <w:r>
          <w:rPr>
            <w:rStyle w:val="Hyperlink"/>
          </w:rPr>
          <w:t xml:space="preserve">[17]</w:t>
        </w:r>
      </w:hyperlink>
      <w:r>
        <w:t xml:space="preserve">. The formation-flight literature shows that distributed architectures can deliver characterization capability without a proportional increase in single-aperture mass</w:t>
      </w:r>
      <w:r>
        <w:t xml:space="preserve"> </w:t>
      </w:r>
      <w:hyperlink w:anchor="ref-7">
        <w:r>
          <w:rPr>
            <w:rStyle w:val="Hyperlink"/>
          </w:rPr>
          <w:t xml:space="preserve">[7]</w:t>
        </w:r>
      </w:hyperlink>
      <w:r>
        <w:t xml:space="preserve">. The implication for the regression is precise: mass is a coarse surrogate that orders instruments by capability only loosely, and a productivity estimate that conditioned on mass alone would leave much of the cross-instrument variation in output unexplained. This is consistent with the accompanying mass-elasticity finding, in which mass explains only a modest fraction of the variance in refereed output even as it identifies a robust diminishing-returns gradient. The technical literature, read against itself, therefore both justifies the use of mass as a control and warns that mass cannot be the whole story, which motivates the move from mass to cost as the primary regressor in the dissertation’s headline specification.</w:t>
      </w:r>
    </w:p>
    <w:p>
      <w:pPr>
        <w:pStyle w:val="BodyText"/>
        <w:spacing w:line="480" w:lineRule="auto"/>
        <w:ind w:firstLine="720"/>
      </w:pPr>
      <w:r>
        <w:t xml:space="preserve">A further consideration arises from instruments whose value is delivered through unconventional or rapidly evolving platforms, which the technical literature increasingly documents. Studies of nuclear-fusion-powered aircraft for Titan exploration</w:t>
      </w:r>
      <w:r>
        <w:t xml:space="preserve"> </w:t>
      </w:r>
      <w:hyperlink w:anchor="ref-20">
        <w:r>
          <w:rPr>
            <w:rStyle w:val="Hyperlink"/>
          </w:rPr>
          <w:t xml:space="preserve">[20]</w:t>
        </w:r>
      </w:hyperlink>
      <w:r>
        <w:t xml:space="preserve">, of CubeSat constellations architected for messaging service</w:t>
      </w:r>
      <w:r>
        <w:t xml:space="preserve"> </w:t>
      </w:r>
      <w:hyperlink w:anchor="ref-19">
        <w:r>
          <w:rPr>
            <w:rStyle w:val="Hyperlink"/>
          </w:rPr>
          <w:t xml:space="preserve">[19]</w:t>
        </w:r>
      </w:hyperlink>
      <w:r>
        <w:t xml:space="preserve">, and of low-cost small-satellite access to space using hybrid rocket propulsion</w:t>
      </w:r>
      <w:r>
        <w:t xml:space="preserve"> </w:t>
      </w:r>
      <w:hyperlink w:anchor="ref-25">
        <w:r>
          <w:rPr>
            <w:rStyle w:val="Hyperlink"/>
          </w:rPr>
          <w:t xml:space="preserve">[25]</w:t>
        </w:r>
      </w:hyperlink>
      <w:r>
        <w:t xml:space="preserve"> </w:t>
      </w:r>
      <w:r>
        <w:t xml:space="preserve">all describe regimes in which the conventional mass-cost-capability relationship is being deliberately disrupted, either by exotic power sources, by distributed constellation architectures, or by cost-down launch strategies. These cases matter for external validity. They show that the mass-cost-capability coupling that the productivity regression exploits is an empirical regularity of the current instrument population, not a physical law, and that the estimand should be read as a property of the flown population it is estimated on rather than as a timeless constant. The technical literature thus supplies both the surrogate and the caution about its scope, and it does so without ever estimating the productivity relationship that the surrogate is meant to approximate.</w:t>
      </w:r>
    </w:p>
    <w:bookmarkEnd w:id="71"/>
    <w:bookmarkStart w:id="72" w:name="X07fe73e594277fc276c6392b9242153367417e1"/>
    <w:p>
      <w:pPr>
        <w:pStyle w:val="Heading2"/>
        <w:spacing w:line="480" w:lineRule="auto"/>
      </w:pPr>
      <w:r>
        <w:t xml:space="preserve">2.4 The Cliometric and Econometric Methodology Literature</w:t>
      </w:r>
    </w:p>
    <w:p>
      <w:pPr>
        <w:pStyle w:val="FirstParagraph"/>
        <w:spacing w:line="480" w:lineRule="auto"/>
      </w:pPr>
      <w:r>
        <w:t xml:space="preserve">The second conversation this review must reconstruct is the quantitative methodology literature that treats space activity, including publicly funded science, as a measurable economic object. This literature is younger and smaller than the technical literature, but it is precisely the body of work that supplies the estimand, the framing, and the regression machinery the dissertation needs. Its limitation, mirror-image to that of the technical literature, is that it has measured value at the level of the sector and the mission and has begun to regress cost on its drivers, yet it has not descended to the instrument and has not estimated a productivity function that puts realized science on the left-hand side.</w:t>
      </w:r>
    </w:p>
    <w:p>
      <w:pPr>
        <w:pStyle w:val="BodyText"/>
        <w:spacing w:line="480" w:lineRule="auto"/>
        <w:ind w:firstLine="720"/>
      </w:pPr>
      <w:r>
        <w:t xml:space="preserve">The foundational move in this literature is the insistence that publicly funded science return is a distinct value stream that must be measured rather than asserted. Forecasts of the space economy now treat government-supported science as a value stream in its own right, separable from commercial revenue and requiring its own measurement</w:t>
      </w:r>
      <w:r>
        <w:t xml:space="preserve"> </w:t>
      </w:r>
      <w:hyperlink w:anchor="ref-1">
        <w:r>
          <w:rPr>
            <w:rStyle w:val="Hyperlink"/>
          </w:rPr>
          <w:t xml:space="preserve">[1]</w:t>
        </w:r>
      </w:hyperlink>
      <w:r>
        <w:t xml:space="preserve">. This is the conceptual hinge on which the entire dissertation turns: if science return is a measurable value stream, then its productivity with respect to dollars is a first-order policy quantity rather than a curiosity. The same literature is explicit that government must support the early, high-risk stages of space activity where private returns are thin</w:t>
      </w:r>
      <w:r>
        <w:t xml:space="preserve"> </w:t>
      </w:r>
      <w:hyperlink w:anchor="ref-3">
        <w:r>
          <w:rPr>
            <w:rStyle w:val="Hyperlink"/>
          </w:rPr>
          <w:t xml:space="preserve">[3]</w:t>
        </w:r>
      </w:hyperlink>
      <w:r>
        <w:t xml:space="preserve">, which establishes why the productivity of public science dollars is a public-policy question and not merely an accounting one. The broader revaluation of the space enterprise reinforces the stakes. Weinzierl’s treatment of space as the final economic frontier argues that the total value of the space enterprise is large and being revalued upward</w:t>
      </w:r>
      <w:r>
        <w:t xml:space="preserve"> </w:t>
      </w:r>
      <w:hyperlink w:anchor="ref-2">
        <w:r>
          <w:rPr>
            <w:rStyle w:val="Hyperlink"/>
          </w:rPr>
          <w:t xml:space="preserve">[2]</w:t>
        </w:r>
      </w:hyperlink>
      <w:r>
        <w:t xml:space="preserve">, and the implication for allocation is direct: as the value of the enterprise rises, the cost of misallocating a fixed appropriation across competing instrument concepts rises with it. The economic literature thus motivates the productivity question, supplies the value stream that science output represents, and frames the deflation and measurement discipline the empirical work must follow</w:t>
      </w:r>
      <w:r>
        <w:t xml:space="preserve"> </w:t>
      </w:r>
      <w:hyperlink w:anchor="ref-1">
        <w:r>
          <w:rPr>
            <w:rStyle w:val="Hyperlink"/>
          </w:rPr>
          <w:t xml:space="preserve">[1]</w:t>
        </w:r>
      </w:hyperlink>
      <w:r>
        <w:t xml:space="preserve">[2].</w:t>
      </w:r>
    </w:p>
    <w:p>
      <w:pPr>
        <w:pStyle w:val="BodyText"/>
        <w:spacing w:line="480" w:lineRule="auto"/>
        <w:ind w:firstLine="720"/>
      </w:pPr>
      <w:r>
        <w:t xml:space="preserve">The second and more methodologically pointed contribution of this literature is its recent move toward regression-based analysis of space-system cost. The architecture and cost literature has begun to apply linear regression to the relationship between architecture and design choices and overall mission cost, establishing that regression on cost drivers is both tractable and accepted within the field</w:t>
      </w:r>
      <w:r>
        <w:t xml:space="preserve"> </w:t>
      </w:r>
      <w:hyperlink w:anchor="ref-4">
        <w:r>
          <w:rPr>
            <w:rStyle w:val="Hyperlink"/>
          </w:rPr>
          <w:t xml:space="preserve">[4]</w:t>
        </w:r>
      </w:hyperlink>
      <w:r>
        <w:t xml:space="preserve">. This is the precedent on which the dissertation builds and which it extends one estimand further. The architecture literature demonstrates that a quantitative, regression-based treatment of space-system cost is methodologically respectable and reproducible, but it stops at cost: it regresses cost on its drivers and does not carry the analysis through to realized science output. The dissertation’s design takes the same regression logic the architecture literature legitimized for the cost side and applies it to the output side, adding the count model, the mission fixed effects, and the instrumental-variables robustness check that the cost-only precedent does not require</w:t>
      </w:r>
      <w:r>
        <w:t xml:space="preserve"> </w:t>
      </w:r>
      <w:hyperlink w:anchor="ref-4">
        <w:r>
          <w:rPr>
            <w:rStyle w:val="Hyperlink"/>
          </w:rPr>
          <w:t xml:space="preserve">[4]</w:t>
        </w:r>
      </w:hyperlink>
      <w:r>
        <w:t xml:space="preserve">.</w:t>
      </w:r>
    </w:p>
    <w:p>
      <w:pPr>
        <w:pStyle w:val="BodyText"/>
        <w:spacing w:line="480" w:lineRule="auto"/>
        <w:ind w:firstLine="720"/>
      </w:pPr>
      <w:r>
        <w:t xml:space="preserve">A third strand of the econometric literature concerns the evaluation of space markets, resources, and forecasting, and it supplies both useful method and instructive cautions. McKeown and colleagues address directly how potential space resources markets should be evaluated, working through the valuation frameworks appropriate to assets whose returns are uncertain and long-dated</w:t>
      </w:r>
      <w:r>
        <w:t xml:space="preserve"> </w:t>
      </w:r>
      <w:hyperlink w:anchor="ref-22">
        <w:r>
          <w:rPr>
            <w:rStyle w:val="Hyperlink"/>
          </w:rPr>
          <w:t xml:space="preserve">[22]</w:t>
        </w:r>
      </w:hyperlink>
      <w:r>
        <w:t xml:space="preserve">. Retagne and Colombo forecast satellite launch traffic from global gross domestic product and constellation plans, demonstrating that macroeconomic regressors can be linked to space-activity outcomes in a disciplined predictive model</w:t>
      </w:r>
      <w:r>
        <w:t xml:space="preserve"> </w:t>
      </w:r>
      <w:hyperlink w:anchor="ref-24">
        <w:r>
          <w:rPr>
            <w:rStyle w:val="Hyperlink"/>
          </w:rPr>
          <w:t xml:space="preserve">[24]</w:t>
        </w:r>
      </w:hyperlink>
      <w:r>
        <w:t xml:space="preserve">. These works show that the econometric treatment of space activity is maturing methodologically, that regression and forecasting on space outcomes are accepted practice, and that the field is comfortable connecting economic inputs to physical space outputs. What none of them does is estimate the productivity of a scientific instrument, because their outcome variables are market value, traffic, and resource potential rather than realized scholarly science. They confirm that the econometric machinery the dissertation needs is available and accepted, and they confirm that it has not yet been pointed at the instrument-level science-return question.</w:t>
      </w:r>
    </w:p>
    <w:p>
      <w:pPr>
        <w:pStyle w:val="BodyText"/>
        <w:spacing w:line="480" w:lineRule="auto"/>
        <w:ind w:firstLine="720"/>
      </w:pPr>
      <w:r>
        <w:t xml:space="preserve">A fourth strand, the decision-support and anomaly-identification literature, illustrates how quantitative and increasingly automated methods are being applied to space-system management problems adjacent to the productivity question. Work on web-based and AI-driven decision support systems for satellite anomaly identification shows the field building data-driven tools to support operational decisions</w:t>
      </w:r>
      <w:r>
        <w:t xml:space="preserve"> </w:t>
      </w:r>
      <w:hyperlink w:anchor="ref-15">
        <w:r>
          <w:rPr>
            <w:rStyle w:val="Hyperlink"/>
          </w:rPr>
          <w:t xml:space="preserve">[15]</w:t>
        </w:r>
      </w:hyperlink>
      <w:r>
        <w:t xml:space="preserve">, and applications of artificial-intelligence methods to satellite maneuver detection and timing show quantitative inference being applied to observational space data at scale</w:t>
      </w:r>
      <w:r>
        <w:t xml:space="preserve"> </w:t>
      </w:r>
      <w:hyperlink w:anchor="ref-16">
        <w:r>
          <w:rPr>
            <w:rStyle w:val="Hyperlink"/>
          </w:rPr>
          <w:t xml:space="preserve">[16]</w:t>
        </w:r>
      </w:hyperlink>
      <w:r>
        <w:t xml:space="preserve">. Robust initial orbit determination work in the cislunar regime shows estimation methods being hardened for difficult observational conditions</w:t>
      </w:r>
      <w:r>
        <w:t xml:space="preserve"> </w:t>
      </w:r>
      <w:hyperlink w:anchor="ref-14">
        <w:r>
          <w:rPr>
            <w:rStyle w:val="Hyperlink"/>
          </w:rPr>
          <w:t xml:space="preserve">[14]</w:t>
        </w:r>
      </w:hyperlink>
      <w:r>
        <w:t xml:space="preserve">. These contributions matter to the review for a methodological reason rather than a substantive one. They demonstrate that the space community now accepts data-driven, statistically rigorous inference as a basis for operational and management decisions, which lowers the barrier to accepting a statistically rigorous productivity estimate as a basis for portfolio decisions. The decision a payload selection committee makes is, at bottom, an allocation decision under uncertainty, and the econometric literature has been steadily normalizing exactly the kind of quantitative evidence the dissertation proposes to supply. What remains absent is the productivity estimand itself.</w:t>
      </w:r>
    </w:p>
    <w:bookmarkEnd w:id="72"/>
    <w:bookmarkStart w:id="73" w:name="Xdb2049bf96583a18850bf55e599d66f0f8dfc5b"/>
    <w:p>
      <w:pPr>
        <w:pStyle w:val="Heading2"/>
        <w:spacing w:line="480" w:lineRule="auto"/>
      </w:pPr>
      <w:r>
        <w:t xml:space="preserve">2.5 The Bibliometric and Publication-Census Literature</w:t>
      </w:r>
    </w:p>
    <w:p>
      <w:pPr>
        <w:pStyle w:val="FirstParagraph"/>
        <w:spacing w:line="480" w:lineRule="auto"/>
      </w:pPr>
      <w:r>
        <w:t xml:space="preserve">A third, narrow literature stands between the technical and the econometric conversations and supplies the indispensable measurement instrument for the dissertation’s outcome variable: the bibliometric census of mission and instrument publications. This literature is small but unusually relevant, because it establishes both that refereed publication count is a credible and reproducible measure of realized science and that the counting must be done under uniform inclusion rules if the resulting numbers are to support a regression.</w:t>
      </w:r>
    </w:p>
    <w:p>
      <w:pPr>
        <w:pStyle w:val="BodyText"/>
        <w:spacing w:line="480" w:lineRule="auto"/>
        <w:ind w:firstLine="720"/>
      </w:pPr>
      <w:r>
        <w:t xml:space="preserve">The pivotal work is the publication census of European Space Agency science programme missions by De Marchi and Parmar, which reports a single total-publications figure per mission drawn from Astrophysics Data System mission publication libraries under consistent rules for what counts as a mission paper</w:t>
      </w:r>
      <w:r>
        <w:t xml:space="preserve"> </w:t>
      </w:r>
      <w:hyperlink w:anchor="ref-9">
        <w:r>
          <w:rPr>
            <w:rStyle w:val="Hyperlink"/>
          </w:rPr>
          <w:t xml:space="preserve">[9]</w:t>
        </w:r>
      </w:hyperlink>
      <w:r>
        <w:t xml:space="preserve">. The methodological importance of this work for the dissertation cannot be overstated. It demonstrates that a disciplined, single-source bibliometric census removes the cross-source counting noise that would otherwise contaminate an elasticity, and it establishes the operating definition of a mission paper that the accompanying mission-level research paper adopts directly. The census also documents the enormous spread in output across missions, from a few hundred papers to many thousands, which is the spread that gives a log-log productivity regression its leverage. The De Marchi and Parmar census is therefore not merely a data source; it is the proof that the outcome variable in the productivity regression can be constructed reproducibly and audited by any reader, which is the precondition for the falsifiability the dissertation insists on</w:t>
      </w:r>
      <w:r>
        <w:t xml:space="preserve"> </w:t>
      </w:r>
      <w:hyperlink w:anchor="ref-9">
        <w:r>
          <w:rPr>
            <w:rStyle w:val="Hyperlink"/>
          </w:rPr>
          <w:t xml:space="preserve">[9]</w:t>
        </w:r>
      </w:hyperlink>
      <w:r>
        <w:t xml:space="preserve">.</w:t>
      </w:r>
    </w:p>
    <w:p>
      <w:pPr>
        <w:pStyle w:val="BodyText"/>
        <w:spacing w:line="480" w:lineRule="auto"/>
        <w:ind w:firstLine="720"/>
      </w:pPr>
      <w:r>
        <w:t xml:space="preserve">The broader bibliometric literature supplies both method and precedent for treating publication networks as objects of quantitative analysis in the space-research domain. Lorenz, Hay Mele, and Arena conduct a bibliometric network multi-analysis of two decades of plant-space research, mapping the structure and growth of an entire space-science subfield through its publication record</w:t>
      </w:r>
      <w:r>
        <w:t xml:space="preserve"> </w:t>
      </w:r>
      <w:hyperlink w:anchor="ref-21">
        <w:r>
          <w:rPr>
            <w:rStyle w:val="Hyperlink"/>
          </w:rPr>
          <w:t xml:space="preserve">[21]</w:t>
        </w:r>
      </w:hyperlink>
      <w:r>
        <w:t xml:space="preserve">. This work is directly relevant as a methodological exemplar: it shows that bibliometric counts and networks are accepted instruments for characterizing the productivity and trajectory of a space-science field, and it validates the use of publication-based metrics as the measurable slice of realized science. The plant-space bibliometric analysis operates at the level of a field rather than an instrument, which is exactly the descent the dissertation proposes to make, but it confirms that the bibliometric instrument is sound and that the space-research community already reads productivity through its publication record</w:t>
      </w:r>
      <w:r>
        <w:t xml:space="preserve"> </w:t>
      </w:r>
      <w:hyperlink w:anchor="ref-21">
        <w:r>
          <w:rPr>
            <w:rStyle w:val="Hyperlink"/>
          </w:rPr>
          <w:t xml:space="preserve">[21]</w:t>
        </w:r>
      </w:hyperlink>
      <w:r>
        <w:t xml:space="preserve">.</w:t>
      </w:r>
    </w:p>
    <w:p>
      <w:pPr>
        <w:pStyle w:val="BodyText"/>
        <w:spacing w:line="480" w:lineRule="auto"/>
        <w:ind w:firstLine="720"/>
      </w:pPr>
      <w:r>
        <w:t xml:space="preserve">This literature also supplies the strongest statement of the boundary condition the dissertation must respect. Refereed publication count is a proxy for realized science, not science itself, and it undercounts the value of missions and instruments whose contribution is operational, strategic, or infrastructural rather than scholarly</w:t>
      </w:r>
      <w:r>
        <w:t xml:space="preserve"> </w:t>
      </w:r>
      <w:hyperlink w:anchor="ref-3">
        <w:r>
          <w:rPr>
            <w:rStyle w:val="Hyperlink"/>
          </w:rPr>
          <w:t xml:space="preserve">[3]</w:t>
        </w:r>
      </w:hyperlink>
      <w:r>
        <w:t xml:space="preserve">. The bibliometric census literature is candid that a publication count captures the scholarly value stream and not the whole value of an instrument or mission, which is consistent with the econometric literature’s framing of science as one measurable value stream among several</w:t>
      </w:r>
      <w:r>
        <w:t xml:space="preserve"> </w:t>
      </w:r>
      <w:hyperlink w:anchor="ref-1">
        <w:r>
          <w:rPr>
            <w:rStyle w:val="Hyperlink"/>
          </w:rPr>
          <w:t xml:space="preserve">[1]</w:t>
        </w:r>
      </w:hyperlink>
      <w:r>
        <w:t xml:space="preserve">[2][3]. The dissertation inherits this boundary directly: its estimand is the elasticity of publication output with respect to cost, and its policy reading is confined to instruments whose primary deliverable is published planetary science. The bibliometric literature thus supplies the measurement instrument, the inclusion discipline, the leverage-giving spread, and the honest statement of the proxy’s limits, while leaving the instrument-level productivity regression unbuilt.</w:t>
      </w:r>
    </w:p>
    <w:bookmarkEnd w:id="73"/>
    <w:bookmarkStart w:id="74" w:name="X99eb820c2d1b3f7c0758ea05613d3bdb2ef4e51"/>
    <w:p>
      <w:pPr>
        <w:pStyle w:val="Heading2"/>
        <w:spacing w:line="480" w:lineRule="auto"/>
      </w:pPr>
      <w:r>
        <w:t xml:space="preserve">2.6 Synthesis: Two Unjoined Literatures and the Instrument-Level Gap</w:t>
      </w:r>
    </w:p>
    <w:p>
      <w:pPr>
        <w:pStyle w:val="FirstParagraph"/>
        <w:spacing w:line="480" w:lineRule="auto"/>
      </w:pPr>
      <w:r>
        <w:t xml:space="preserve">The two principal literatures reviewed above have advanced in parallel without meeting, and the synthesis that follows shows that the failure to meet is not accidental but structural. Each literature has reached the edge of the other’s territory and stopped, for reasons internal to its own method, at exactly the boundary the dissertation proposes to cross.</w:t>
      </w:r>
    </w:p>
    <w:p>
      <w:pPr>
        <w:pStyle w:val="BodyText"/>
        <w:spacing w:line="480" w:lineRule="auto"/>
        <w:ind w:firstLine="720"/>
      </w:pPr>
      <w:r>
        <w:t xml:space="preserve">The domain technical literature has characterized the instrument and its expense with great precision. It establishes the unit of analysis, the individual flown instrument, in physical and programmatic detail</w:t>
      </w:r>
      <w:r>
        <w:t xml:space="preserve"> </w:t>
      </w:r>
      <w:hyperlink w:anchor="ref-5">
        <w:r>
          <w:rPr>
            <w:rStyle w:val="Hyperlink"/>
          </w:rPr>
          <w:t xml:space="preserve">[5]</w:t>
        </w:r>
      </w:hyperlink>
      <w:r>
        <w:t xml:space="preserve">[6][10][11][12]. It establishes that capability and cost rise together and is candid that the most capable instruments are the most expensive and the most massive</w:t>
      </w:r>
      <w:r>
        <w:t xml:space="preserve"> </w:t>
      </w:r>
      <w:hyperlink w:anchor="ref-5">
        <w:r>
          <w:rPr>
            <w:rStyle w:val="Hyperlink"/>
          </w:rPr>
          <w:t xml:space="preserve">[5]</w:t>
        </w:r>
      </w:hyperlink>
      <w:r>
        <w:t xml:space="preserve">[7]. It supplies the leading confounders the productivity regression must address: operating lifetime, because long-lived instruments accrue papers mechanically as their data sets are exploited</w:t>
      </w:r>
      <w:r>
        <w:t xml:space="preserve"> </w:t>
      </w:r>
      <w:hyperlink w:anchor="ref-6">
        <w:r>
          <w:rPr>
            <w:rStyle w:val="Hyperlink"/>
          </w:rPr>
          <w:t xml:space="preserve">[6]</w:t>
        </w:r>
      </w:hyperlink>
      <w:r>
        <w:t xml:space="preserve">[18]; mass, because mass is the field’s habitual capability surrogate</w:t>
      </w:r>
      <w:r>
        <w:t xml:space="preserve"> </w:t>
      </w:r>
      <w:hyperlink w:anchor="ref-4">
        <w:r>
          <w:rPr>
            <w:rStyle w:val="Hyperlink"/>
          </w:rPr>
          <w:t xml:space="preserve">[4]</w:t>
        </w:r>
      </w:hyperlink>
      <w:r>
        <w:t xml:space="preserve">[5]; and instrument class and era, because publication norms differ across modalities and decades</w:t>
      </w:r>
      <w:r>
        <w:t xml:space="preserve"> </w:t>
      </w:r>
      <w:hyperlink w:anchor="ref-11">
        <w:r>
          <w:rPr>
            <w:rStyle w:val="Hyperlink"/>
          </w:rPr>
          <w:t xml:space="preserve">[11]</w:t>
        </w:r>
      </w:hyperlink>
      <w:r>
        <w:t xml:space="preserve">[17]. What the technical literature never does is put expense on one side of an equation and published science on the other. It closes the loop from capability to cost and stops, leaving the loop from cost to realized science open. This is not an oversight that a single additional engineering paper would repair; it is a consequence of the technical literature’s method, which is to characterize performance in physical terms rather than to estimate an output relationship across a population of instruments.</w:t>
      </w:r>
    </w:p>
    <w:p>
      <w:pPr>
        <w:pStyle w:val="BodyText"/>
        <w:spacing w:line="480" w:lineRule="auto"/>
        <w:ind w:firstLine="720"/>
      </w:pPr>
      <w:r>
        <w:t xml:space="preserve">The cliometric and econometric methodology literature has approached the same question from the opposite side and stopped at a symmetric boundary. It establishes that publicly funded science is a distinct, measurable value stream that policy must allocate deliberately</w:t>
      </w:r>
      <w:r>
        <w:t xml:space="preserve"> </w:t>
      </w:r>
      <w:hyperlink w:anchor="ref-1">
        <w:r>
          <w:rPr>
            <w:rStyle w:val="Hyperlink"/>
          </w:rPr>
          <w:t xml:space="preserve">[1]</w:t>
        </w:r>
      </w:hyperlink>
      <w:r>
        <w:t xml:space="preserve">[3], and it raises the stakes of allocation by revaluing the enterprise upward</w:t>
      </w:r>
      <w:r>
        <w:t xml:space="preserve"> </w:t>
      </w:r>
      <w:hyperlink w:anchor="ref-2">
        <w:r>
          <w:rPr>
            <w:rStyle w:val="Hyperlink"/>
          </w:rPr>
          <w:t xml:space="preserve">[2]</w:t>
        </w:r>
      </w:hyperlink>
      <w:r>
        <w:t xml:space="preserve">. It legitimizes regression-based analysis of space-system cost and demonstrates that regressing cost on its drivers is tractable and accepted</w:t>
      </w:r>
      <w:r>
        <w:t xml:space="preserve"> </w:t>
      </w:r>
      <w:hyperlink w:anchor="ref-4">
        <w:r>
          <w:rPr>
            <w:rStyle w:val="Hyperlink"/>
          </w:rPr>
          <w:t xml:space="preserve">[4]</w:t>
        </w:r>
      </w:hyperlink>
      <w:r>
        <w:t xml:space="preserve">. It shows, through forecasting and market-evaluation work, that the econometric treatment of space outcomes is mature and that connecting economic inputs to space outputs is accepted practice</w:t>
      </w:r>
      <w:r>
        <w:t xml:space="preserve"> </w:t>
      </w:r>
      <w:hyperlink w:anchor="ref-22">
        <w:r>
          <w:rPr>
            <w:rStyle w:val="Hyperlink"/>
          </w:rPr>
          <w:t xml:space="preserve">[22]</w:t>
        </w:r>
      </w:hyperlink>
      <w:r>
        <w:t xml:space="preserve">[24]. It normalizes data-driven inference as a basis for space-system decisions through its decision-support and estimation work</w:t>
      </w:r>
      <w:r>
        <w:t xml:space="preserve"> </w:t>
      </w:r>
      <w:hyperlink w:anchor="ref-14">
        <w:r>
          <w:rPr>
            <w:rStyle w:val="Hyperlink"/>
          </w:rPr>
          <w:t xml:space="preserve">[14]</w:t>
        </w:r>
      </w:hyperlink>
      <w:r>
        <w:t xml:space="preserve">[15][16]. Yet this literature measures value at the level of the sector and the mission, regresses cost rather than output, and never descends to the instrument as the unit of a productivity function. Its outcome variables are market value, launch traffic, and resource potential, not realized scholarly science, and its cost regressions stop at cost. The econometric literature, like the technical literature, has reached the edge of the productivity question and stopped for reasons internal to its method.</w:t>
      </w:r>
    </w:p>
    <w:p>
      <w:pPr>
        <w:pStyle w:val="BodyText"/>
        <w:spacing w:line="480" w:lineRule="auto"/>
        <w:ind w:firstLine="720"/>
      </w:pPr>
      <w:r>
        <w:t xml:space="preserve">The bibliometric census literature is the bridge that has been built but not yet driven across. It demonstrates that realized science can be measured reproducibly at the mission level under uniform inclusion rules</w:t>
      </w:r>
      <w:r>
        <w:t xml:space="preserve"> </w:t>
      </w:r>
      <w:hyperlink w:anchor="ref-9">
        <w:r>
          <w:rPr>
            <w:rStyle w:val="Hyperlink"/>
          </w:rPr>
          <w:t xml:space="preserve">[9]</w:t>
        </w:r>
      </w:hyperlink>
      <w:r>
        <w:t xml:space="preserve">, and that bibliometric counts are accepted instruments for characterizing space-science productivity</w:t>
      </w:r>
      <w:r>
        <w:t xml:space="preserve"> </w:t>
      </w:r>
      <w:hyperlink w:anchor="ref-21">
        <w:r>
          <w:rPr>
            <w:rStyle w:val="Hyperlink"/>
          </w:rPr>
          <w:t xml:space="preserve">[21]</w:t>
        </w:r>
      </w:hyperlink>
      <w:r>
        <w:t xml:space="preserve">. It supplies the outcome variable the productivity regression requires and the inclusion discipline that makes that variable auditable. The accompanying mission-level research paper has already used this bridge to estimate a cost elasticity of publication output at the mission level, returning a central estimate near nine-tenths with a confidence interval wide enough to contain constant returns, an honest null that the present design is built to sharpen. The accompanying instrument-level paper has used a parallel bibliometric measure to estimate a mass elasticity near four-tenths, decisively below one, establishing diminishing returns to the field’s habitual capability surrogate. Both papers, taken together, show that the bibliometric bridge bears weight and that the productivity elasticity is estimable, while also showing why the next step must be an instrument-level cost regression with the controls and identification that neither prior paper carried.</w:t>
      </w:r>
    </w:p>
    <w:p>
      <w:pPr>
        <w:pStyle w:val="BodyText"/>
        <w:spacing w:line="480" w:lineRule="auto"/>
        <w:ind w:firstLine="720"/>
      </w:pPr>
      <w:r>
        <w:t xml:space="preserve">The specific gap is now stateable with precision. No published estimate puts instrument development cost on one side and refereed publication count on the other while holding instrument mass, operating lifetime, and host-mission class fixed. The technical literature supplies the instrument, its cost, and its confounders but not the regression</w:t>
      </w:r>
      <w:r>
        <w:t xml:space="preserve"> </w:t>
      </w:r>
      <w:hyperlink w:anchor="ref-5">
        <w:r>
          <w:rPr>
            <w:rStyle w:val="Hyperlink"/>
          </w:rPr>
          <w:t xml:space="preserve">[5]</w:t>
        </w:r>
      </w:hyperlink>
      <w:r>
        <w:t xml:space="preserve">[6][7][10][11][12][17][18]. The econometric literature supplies the framing, the value stream, and the regression precedent but neither the instrument-level unit nor the output side</w:t>
      </w:r>
      <w:r>
        <w:t xml:space="preserve"> </w:t>
      </w:r>
      <w:hyperlink w:anchor="ref-1">
        <w:r>
          <w:rPr>
            <w:rStyle w:val="Hyperlink"/>
          </w:rPr>
          <w:t xml:space="preserve">[1]</w:t>
        </w:r>
      </w:hyperlink>
      <w:r>
        <w:t xml:space="preserve">[2][3][4][22][24]. The bibliometric literature supplies the measured outcome but not the cost-conditioned, fixed-effects design</w:t>
      </w:r>
      <w:r>
        <w:t xml:space="preserve"> </w:t>
      </w:r>
      <w:hyperlink w:anchor="ref-9">
        <w:r>
          <w:rPr>
            <w:rStyle w:val="Hyperlink"/>
          </w:rPr>
          <w:t xml:space="preserve">[9]</w:t>
        </w:r>
      </w:hyperlink>
      <w:r>
        <w:t xml:space="preserve">[21]. The dissertation occupies the intersection that all three approach and none enters. It joins the instrument-level unit of the technical literature, the regression-and-value-stream logic of the econometric literature, and the publication-count outcome of the bibliometric literature into a single negative-binomial productivity regression with mission fixed effects, and it carries that design to a single falsifiable scalar: the elasticity of refereed publication count with respect to inflation-adjusted instrument cost.</w:t>
      </w:r>
    </w:p>
    <w:p>
      <w:pPr>
        <w:pStyle w:val="BodyText"/>
        <w:spacing w:line="480" w:lineRule="auto"/>
        <w:ind w:firstLine="720"/>
      </w:pPr>
      <w:r>
        <w:t xml:space="preserve">The contribution of joining these literatures is not merely additive but corrective. The technical literature reasons about the cost-science trade by analogy and heritage, and because it states no elasticity, it states nothing that can be refuted</w:t>
      </w:r>
      <w:r>
        <w:t xml:space="preserve"> </w:t>
      </w:r>
      <w:hyperlink w:anchor="ref-5">
        <w:r>
          <w:rPr>
            <w:rStyle w:val="Hyperlink"/>
          </w:rPr>
          <w:t xml:space="preserve">[5]</w:t>
        </w:r>
      </w:hyperlink>
      <w:r>
        <w:t xml:space="preserve">[7]. The econometric literature asserts that science is a value stream to be measured but, having stopped at cost, has not measured the productivity of that stream at the instrument level</w:t>
      </w:r>
      <w:r>
        <w:t xml:space="preserve"> </w:t>
      </w:r>
      <w:hyperlink w:anchor="ref-1">
        <w:r>
          <w:rPr>
            <w:rStyle w:val="Hyperlink"/>
          </w:rPr>
          <w:t xml:space="preserve">[1]</w:t>
        </w:r>
      </w:hyperlink>
      <w:r>
        <w:t xml:space="preserve">[4]. The bibliometric literature counts the output but does not relate it to cost under controls</w:t>
      </w:r>
      <w:r>
        <w:t xml:space="preserve"> </w:t>
      </w:r>
      <w:hyperlink w:anchor="ref-9">
        <w:r>
          <w:rPr>
            <w:rStyle w:val="Hyperlink"/>
          </w:rPr>
          <w:t xml:space="preserve">[9]</w:t>
        </w:r>
      </w:hyperlink>
      <w:r>
        <w:t xml:space="preserve">. Each literature is individually unfalsifiable on the productivity question because each declines to produce the one number that would expose the question to refutation. The dissertation’s design produces exactly that number, conditioned on mass, lifetime, and mission, and instrumented against the cost-citability confound that the within-mission and instrumental-variables strategies are built to neutralize. The estimand inherits the diminishing-returns intuition that the technical literature states informally</w:t>
      </w:r>
      <w:r>
        <w:t xml:space="preserve"> </w:t>
      </w:r>
      <w:hyperlink w:anchor="ref-5">
        <w:r>
          <w:rPr>
            <w:rStyle w:val="Hyperlink"/>
          </w:rPr>
          <w:t xml:space="preserve">[5]</w:t>
        </w:r>
      </w:hyperlink>
      <w:r>
        <w:t xml:space="preserve">[7] and that the accompanying mass-elasticity paper has already estimated, and it subjects that intuition to a test that the mission-level paper’s wide interval shows is worth running on a larger, instrument-level panel.</w:t>
      </w:r>
    </w:p>
    <w:p>
      <w:pPr>
        <w:pStyle w:val="BodyText"/>
        <w:spacing w:line="480" w:lineRule="auto"/>
        <w:ind w:firstLine="720"/>
      </w:pPr>
      <w:r>
        <w:t xml:space="preserve">Two boundary conditions established by the reviewed literatures travel into the dissertation and must be acknowledged as constraints on the eventual claim rather than as weaknesses of the design. First, the bibliometric and econometric literatures jointly establish that publication count is the scholarly value stream and not the whole value of an instrument, so the productivity estimand is confined to instruments whose primary deliverable is published planetary science and is silent on instruments whose value is operational or strategic</w:t>
      </w:r>
      <w:r>
        <w:t xml:space="preserve"> </w:t>
      </w:r>
      <w:hyperlink w:anchor="ref-1">
        <w:r>
          <w:rPr>
            <w:rStyle w:val="Hyperlink"/>
          </w:rPr>
          <w:t xml:space="preserve">[1]</w:t>
        </w:r>
      </w:hyperlink>
      <w:r>
        <w:t xml:space="preserve">[2][3]. Second, the technical literature’s documentation of disruptive platforms and architectures, exotic power, distributed constellations, and cost-down launch</w:t>
      </w:r>
      <w:r>
        <w:t xml:space="preserve"> </w:t>
      </w:r>
      <w:hyperlink w:anchor="ref-7">
        <w:r>
          <w:rPr>
            <w:rStyle w:val="Hyperlink"/>
          </w:rPr>
          <w:t xml:space="preserve">[7]</w:t>
        </w:r>
      </w:hyperlink>
      <w:r>
        <w:t xml:space="preserve">[19][20][25], establishes that the mass-cost-capability regularity the regression exploits is a property of the current flown population rather than a physical constant, so the estimand should be read as a population parameter of the instruments on which it is estimated. Within those two boundaries, the gap is real, the bridge is built, and the missing estimand is the instrument-level cost elasticity that the remainder of this dissertation sets out to identify, estimate, and expose to refutation.</w:t>
      </w:r>
    </w:p>
    <w:p>
      <w:pPr>
        <w:pStyle w:val="BodyText"/>
        <w:spacing w:line="480" w:lineRule="auto"/>
        <w:ind w:firstLine="720"/>
      </w:pPr>
      <w:r>
        <w:t xml:space="preserve">The review therefore concludes where the design begins. The domain technical literature and the cliometric methodology literature are two mature conversations that have never been joined, each stopping at the boundary of the other for reasons rooted in its own method, with the bibliometric census literature standing ready as the measurement bridge between them. The instrument-level productivity regression advanced here is the join. It converts a portfolio-selection question presently argued by analogy and heritage into one estimand, one confidence interval, and one verdict, and in doing so it makes a question that the existing literatures could only assert into one that can be measured, replicated, and audited.</w:t>
      </w:r>
    </w:p>
    <w:bookmarkEnd w:id="74"/>
    <w:bookmarkEnd w:id="75"/>
    <w:bookmarkStart w:id="83" w:name="Xcfcc00a3ded59aed0c781c16bfc121f2a509603"/>
    <w:p>
      <w:pPr>
        <w:pStyle w:val="Heading1"/>
        <w:spacing w:line="480" w:lineRule="auto"/>
      </w:pPr>
      <w:r>
        <w:t xml:space="preserve">Chapter 3. Theoretical Framework and Hypotheses</w:t>
      </w:r>
    </w:p>
    <w:bookmarkStart w:id="76" w:name="purpose-and-position-of-the-chapter"/>
    <w:p>
      <w:pPr>
        <w:pStyle w:val="Heading2"/>
        <w:spacing w:line="480" w:lineRule="auto"/>
      </w:pPr>
      <w:r>
        <w:t xml:space="preserve">3.1 Purpose and Position of the Chapter</w:t>
      </w:r>
    </w:p>
    <w:p>
      <w:pPr>
        <w:pStyle w:val="FirstParagraph"/>
        <w:spacing w:line="480" w:lineRule="auto"/>
      </w:pPr>
      <w:r>
        <w:t xml:space="preserve">The preceding chapters established the problem and surveyed the literature that frames it. The problem is that planetary science buys instruments but is judged on papers, and that the field selects payloads on engineering heritage and proposal narrative rather than on any measured relationship between the dollars an instrument consumes and the published science its data eventually return</w:t>
      </w:r>
      <w:r>
        <w:t xml:space="preserve"> </w:t>
      </w:r>
      <w:hyperlink w:anchor="ref-1">
        <w:r>
          <w:rPr>
            <w:rStyle w:val="Hyperlink"/>
          </w:rPr>
          <w:t xml:space="preserve">[1]</w:t>
        </w:r>
      </w:hyperlink>
      <w:r>
        <w:t xml:space="preserve">. This chapter builds the theoretical apparatus that converts that problem into a testable claim. Its task is threefold: to specify the mechanism by which development cost is converted into refereed science output, to lay out the causal logic that licenses interpreting an estimated elasticity as a productivity parameter rather than a bare correlation, and to state the two formal hypotheses, H0 and H1, that the empirical chapters will adjudicate. The chapter does not estimate anything. It fixes the object to be estimated, the assumptions under which that object carries meaning, and the precise condition under which the dissertation’s central claim would be falsified.</w:t>
      </w:r>
    </w:p>
    <w:p>
      <w:pPr>
        <w:pStyle w:val="BodyText"/>
        <w:spacing w:line="480" w:lineRule="auto"/>
        <w:ind w:firstLine="720"/>
      </w:pPr>
      <w:r>
        <w:t xml:space="preserve">The framework developed here inherits two empirical results from the companion studies that accompany this work, and it is useful to state at the outset what they contribute and what they leave open. The first companion study estimated the elasticity of refereed publication count with respect to total mission cost across a panel of space-science missions and found a point estimate of 0.898 with a confidence interval that contained one, so the constant-returns null could not be rejected at the mission level. The second companion study descended to the instrument and estimated the elasticity of refereed output with respect to instrument mass, finding a point estimate near 0.42 whose confidence interval excluded both zero and one, a clean signature of diminishing returns to mass. The present framework sits between these two results. It moves the cost question, which the first study could not resolve, down to the instrument level, where the second study found that diminishing returns are detectable once the unit of analysis is the payload rather than the mission. The theoretical contribution of this chapter is to explain why the instrument level is the right altitude at which to ask the cost-productivity question, and to derive from that explanation the formal hypotheses that follow.</w:t>
      </w:r>
    </w:p>
    <w:bookmarkEnd w:id="76"/>
    <w:bookmarkStart w:id="77" w:name="X07bc43c08f65ae37cdbdbeb4c75b28ed947904f"/>
    <w:p>
      <w:pPr>
        <w:pStyle w:val="Heading2"/>
        <w:spacing w:line="480" w:lineRule="auto"/>
      </w:pPr>
      <w:r>
        <w:t xml:space="preserve">3.2 The Production Relationship: Dollars to Papers</w:t>
      </w:r>
    </w:p>
    <w:p>
      <w:pPr>
        <w:pStyle w:val="FirstParagraph"/>
        <w:spacing w:line="480" w:lineRule="auto"/>
      </w:pPr>
      <w:r>
        <w:t xml:space="preserve">The framework treats each planetary instrument as a small productive enterprise whose input is development cost and whose output is realized science. This is a deliberate analytical choice, and it requires defense, because the chain from a dollar of development funding to a refereed paper is long and passes through stages the model does not separately represent. The defense is that the chain, however long, terminates in a measurable quantity, and that the durable public record of what an instrument delivered is the refereed literature its data set generates over an operating life. The space-economy literature that motivates the study is explicit on this point: publicly funded science return is a distinct value stream that must be measured rather than asserted, and the early, high-risk stages of that enterprise are precisely the ones government must carry because private returns there are thin</w:t>
      </w:r>
      <w:r>
        <w:t xml:space="preserve"> </w:t>
      </w:r>
      <w:hyperlink w:anchor="ref-1">
        <w:r>
          <w:rPr>
            <w:rStyle w:val="Hyperlink"/>
          </w:rPr>
          <w:t xml:space="preserve">[1]</w:t>
        </w:r>
      </w:hyperlink>
      <w:r>
        <w:t xml:space="preserve">[3]. If society purchases planetary knowledge with public money, the productivity of that money is a first-order policy quantity, and the refereed paper is the most comparable and most auditable unit in which realized knowledge can be counted.</w:t>
      </w:r>
    </w:p>
    <w:p>
      <w:pPr>
        <w:pStyle w:val="BodyText"/>
        <w:spacing w:line="480" w:lineRule="auto"/>
        <w:ind w:firstLine="720"/>
      </w:pPr>
      <w:r>
        <w:t xml:space="preserve">The production relationship is posited as a constant-elasticity, or power-law, form. Let the science output of instrument</w:t>
      </w:r>
      <w:r>
        <w:t xml:space="preserve"> </w:t>
      </w:r>
      <w:r>
        <w:rPr>
          <w:i/>
          <w:iCs/>
        </w:rPr>
        <w:t xml:space="preserve">i</w:t>
      </w:r>
      <w:r>
        <w:t xml:space="preserve"> </w:t>
      </w:r>
      <w:r>
        <w:t xml:space="preserve">be the count</w:t>
      </w:r>
      <w:r>
        <w:t xml:space="preserve"> </w:t>
      </w:r>
      <w:r>
        <w:rPr>
          <w:i/>
          <w:iCs/>
        </w:rPr>
        <w:t xml:space="preserve">y_i</w:t>
      </w:r>
      <w:r>
        <w:t xml:space="preserve"> </w:t>
      </w:r>
      <w:r>
        <w:t xml:space="preserve">of peer-reviewed papers whose data provenance includes instrument</w:t>
      </w:r>
      <w:r>
        <w:t xml:space="preserve"> </w:t>
      </w:r>
      <w:r>
        <w:rPr>
          <w:i/>
          <w:iCs/>
        </w:rPr>
        <w:t xml:space="preserve">i</w:t>
      </w:r>
      <w:r>
        <w:t xml:space="preserve"> </w:t>
      </w:r>
      <w:r>
        <w:t xml:space="preserve">over its operating life, and let</w:t>
      </w:r>
      <w:r>
        <w:t xml:space="preserve"> </w:t>
      </w:r>
      <w:r>
        <w:rPr>
          <w:i/>
          <w:iCs/>
        </w:rPr>
        <w:t xml:space="preserve">c_i</w:t>
      </w:r>
      <w:r>
        <w:t xml:space="preserve"> </w:t>
      </w:r>
      <w:r>
        <w:t xml:space="preserve">be the inflation-adjusted development cost of instrument</w:t>
      </w:r>
      <w:r>
        <w:t xml:space="preserve"> </w:t>
      </w:r>
      <w:r>
        <w:rPr>
          <w:i/>
          <w:iCs/>
        </w:rPr>
        <w:t xml:space="preserve">i</w:t>
      </w:r>
      <w:r>
        <w:t xml:space="preserve">. The structural claim is that, holding the relevant confounders fixed, the expected count of publications is proportional to cost raised to a power:</w:t>
      </w:r>
    </w:p>
    <w:p>
      <w:pPr>
        <w:pStyle w:val="BlockText"/>
        <w:spacing w:line="480" w:lineRule="auto"/>
      </w:pPr>
      <w:r>
        <w:t xml:space="preserve">E[</w:t>
      </w:r>
      <w:r>
        <w:t xml:space="preserve"> </w:t>
      </w:r>
      <w:r>
        <w:rPr>
          <w:i/>
          <w:iCs/>
        </w:rPr>
        <w:t xml:space="preserve">y_i</w:t>
      </w:r>
      <w:r>
        <w:t xml:space="preserve"> </w:t>
      </w:r>
      <w:r>
        <w:t xml:space="preserve">|</w:t>
      </w:r>
      <w:r>
        <w:t xml:space="preserve"> </w:t>
      </w:r>
      <w:r>
        <w:rPr>
          <w:i/>
          <w:iCs/>
        </w:rPr>
        <w:t xml:space="preserve">c_i</w:t>
      </w:r>
      <w:r>
        <w:t xml:space="preserve">, controls ] = exp(α + Xβ_controls) ·</w:t>
      </w:r>
      <w:r>
        <w:t xml:space="preserve"> </w:t>
      </w:r>
      <w:r>
        <w:rPr>
          <w:i/>
          <w:iCs/>
        </w:rPr>
        <w:t xml:space="preserve">c_i</w:t>
      </w:r>
      <w:r>
        <w:t xml:space="preserve">^β</w:t>
      </w:r>
    </w:p>
    <w:p>
      <w:pPr>
        <w:pStyle w:val="FirstParagraph"/>
        <w:spacing w:line="480" w:lineRule="auto"/>
      </w:pPr>
      <w:r>
        <w:t xml:space="preserve">Taking logs, the expected log count is linear in log cost with slope β. That slope is the elasticity of science output with respect to cost: the percentage change in expected publication count associated with a one percent change in inflation-adjusted instrument cost. The entire falsifiable content of the dissertation reduces to the value of this single scalar and to where its confidence interval sits relative to one.</w:t>
      </w:r>
    </w:p>
    <w:p>
      <w:pPr>
        <w:pStyle w:val="BodyText"/>
        <w:spacing w:line="480" w:lineRule="auto"/>
        <w:ind w:firstLine="720"/>
      </w:pPr>
      <w:r>
        <w:t xml:space="preserve">The constant-elasticity form is not an arbitrary convenience. It is the canonical learning-curve and power-law specification, and it is the appropriate functional form when the structural claim concerns a constant proportional response rather than a constant additive one. The cost-modeling literature has already shown that regression on physical and architectural cost drivers is tractable and accepted in the field</w:t>
      </w:r>
      <w:r>
        <w:t xml:space="preserve"> </w:t>
      </w:r>
      <w:hyperlink w:anchor="ref-4">
        <w:r>
          <w:rPr>
            <w:rStyle w:val="Hyperlink"/>
          </w:rPr>
          <w:t xml:space="preserve">[4]</w:t>
        </w:r>
      </w:hyperlink>
      <w:r>
        <w:t xml:space="preserve">, and the companion studies have shown that carrying that same regression logic through to the output side yields interpretable elasticities on both cost and mass. The power-law form also has the property the policy question demands: it lets the marginal product of a dollar fall as cost rises without forcing it to fall, so the data, not the functional form, decide whether returns are constant or diminishing. A linear-in-levels specification would impose a constant marginal product by construction and would beg the very question the dissertation exists to answer.</w:t>
      </w:r>
    </w:p>
    <w:bookmarkEnd w:id="77"/>
    <w:bookmarkStart w:id="78" w:name="X253ad359d786d5680016e0f3afe038efe621ed0"/>
    <w:p>
      <w:pPr>
        <w:pStyle w:val="Heading2"/>
        <w:spacing w:line="480" w:lineRule="auto"/>
      </w:pPr>
      <w:r>
        <w:t xml:space="preserve">3.3 The Mechanism: Why Marginal Returns Should Diminish</w:t>
      </w:r>
    </w:p>
    <w:p>
      <w:pPr>
        <w:pStyle w:val="FirstParagraph"/>
        <w:spacing w:line="480" w:lineRule="auto"/>
      </w:pPr>
      <w:r>
        <w:t xml:space="preserve">A power-law form is agnostic about the value of β. The framework must supply a mechanism that predicts a particular value, because a hypothesis without a mechanism is a guess dressed as a claim. The mechanism advanced here is that the marginal dollar of instrument cost buys progressively less published science as instruments grow more expensive, so that β lies below one. Three distinct channels drive this prediction, and they are worth separating because they fail under different conditions and because the empirical design must guard against each.</w:t>
      </w:r>
    </w:p>
    <w:p>
      <w:pPr>
        <w:pStyle w:val="BodyText"/>
        <w:spacing w:line="480" w:lineRule="auto"/>
        <w:ind w:firstLine="720"/>
      </w:pPr>
      <w:r>
        <w:t xml:space="preserve">The first channel is the maturation of an instrument class. Capability in characterization sensors is purchased with aperture, spectral range, channel count, and detector complexity, and each increment of capability is paid for in development dollars</w:t>
      </w:r>
      <w:r>
        <w:t xml:space="preserve"> </w:t>
      </w:r>
      <w:hyperlink w:anchor="ref-5">
        <w:r>
          <w:rPr>
            <w:rStyle w:val="Hyperlink"/>
          </w:rPr>
          <w:t xml:space="preserve">[5]</w:t>
        </w:r>
      </w:hyperlink>
      <w:r>
        <w:t xml:space="preserve">[7]. Early increments of capability open access to the dominant, most publishable science targets: the bright, the near, the spectrally distinctive. Once those targets are within reach, additional capability extends the instrument’s reach into rarer, fainter, or more marginal observations whose publication yield is thinner. The same engineering community that builds these sensors is candid that the most capable assets are also the most expensive, citing exquisite instruments such as the Hubble Space Telescope as the upper bound of cost and capability</w:t>
      </w:r>
      <w:r>
        <w:t xml:space="preserve"> </w:t>
      </w:r>
      <w:hyperlink w:anchor="ref-7">
        <w:r>
          <w:rPr>
            <w:rStyle w:val="Hyperlink"/>
          </w:rPr>
          <w:t xml:space="preserve">[7]</w:t>
        </w:r>
      </w:hyperlink>
      <w:r>
        <w:t xml:space="preserve">, and new sensor designs continue to push aperture, field of view, and spectral range at rising cost</w:t>
      </w:r>
      <w:r>
        <w:t xml:space="preserve"> </w:t>
      </w:r>
      <w:hyperlink w:anchor="ref-5">
        <w:r>
          <w:rPr>
            <w:rStyle w:val="Hyperlink"/>
          </w:rPr>
          <w:t xml:space="preserve">[5]</w:t>
        </w:r>
      </w:hyperlink>
      <w:r>
        <w:t xml:space="preserve">. The publishable-target argument predicts that the cost-to-paper conversion weakens precisely where capability is most expensive, which is the heavy, costly end of the instrument distribution.</w:t>
      </w:r>
    </w:p>
    <w:p>
      <w:pPr>
        <w:pStyle w:val="BodyText"/>
        <w:spacing w:line="480" w:lineRule="auto"/>
        <w:ind w:firstLine="720"/>
      </w:pPr>
      <w:r>
        <w:t xml:space="preserve">The second channel is the diminishing scientific marginal product of redundancy and margin. A large fraction of the cost difference between a cheap instrument and an expensive one is not capability the science team will publish on but assurance the project office demands: redundant electronics, qualification margin, environmental robustness, and the integration and test burden that scales with complexity. Mass spectrometers, magnetometers, and imagers on the same bus differ in price partly because they differ in the engineering rigor their failure modes require, not only because they differ in scientific reach. Dollars spent on assurance protect the science return that capability makes possible, but they do not themselves enlarge it, so the average paper-per-dollar falls as the assurance share of cost rises. The cost literature treats mass as a leading driver of development expense</w:t>
      </w:r>
      <w:r>
        <w:t xml:space="preserve"> </w:t>
      </w:r>
      <w:hyperlink w:anchor="ref-4">
        <w:r>
          <w:rPr>
            <w:rStyle w:val="Hyperlink"/>
          </w:rPr>
          <w:t xml:space="preserve">[4]</w:t>
        </w:r>
      </w:hyperlink>
      <w:r>
        <w:t xml:space="preserve">, and the companion mass study found a mass elasticity near 0.42, well below one, which is consistent with this channel: the heavier, more redundant instrument returns more science but not proportionally more.</w:t>
      </w:r>
    </w:p>
    <w:p>
      <w:pPr>
        <w:pStyle w:val="BodyText"/>
        <w:spacing w:line="480" w:lineRule="auto"/>
        <w:ind w:firstLine="720"/>
      </w:pPr>
      <w:r>
        <w:t xml:space="preserve">The third channel is the substitution of cost for time. An instrument can accumulate papers either by being more capable or by operating longer, and these are partial substitutes in the production of science. A long-lived instrument accrues papers mechanically as its data set is exploited across successive observing campaigns</w:t>
      </w:r>
      <w:r>
        <w:t xml:space="preserve"> </w:t>
      </w:r>
      <w:hyperlink w:anchor="ref-6">
        <w:r>
          <w:rPr>
            <w:rStyle w:val="Hyperlink"/>
          </w:rPr>
          <w:t xml:space="preserve">[6]</w:t>
        </w:r>
      </w:hyperlink>
      <w:r>
        <w:t xml:space="preserve">, independent of how expensive it was to build. If the field, faced with a fixed science goal, can reach that goal either by buying an expensive instrument or by operating a cheaper one for longer, then the marginal scientific value of the expensive instrument’s extra cost is reduced by the availability of the time substitute. This channel does not by itself predict β below one, but it predicts that any estimate of β that ignores operating lifetime will be biased, because lifetime is correlated with both cost and output. It is therefore a channel the empirical design must neutralize rather than one it can simply observe, and it is the reason operating lifetime enters the specification as an explicit control rather than as a filter.</w:t>
      </w:r>
    </w:p>
    <w:p>
      <w:pPr>
        <w:pStyle w:val="BodyText"/>
        <w:spacing w:line="480" w:lineRule="auto"/>
        <w:ind w:firstLine="720"/>
      </w:pPr>
      <w:r>
        <w:t xml:space="preserve">Taken together, the three channels yield a directional prediction: the marginal science return per dollar falls as instruments get more expensive, so β is strictly less than one. The prediction is not that cost is irrelevant. The first companion study showed that cost strongly predicts output, explaining over half the cross-mission variance in log publication count, and the framework here retains that finding. The prediction is the sharper one that the response is less than proportional, which is the boundary that separates a field whose largest instruments buy science at the same marginal rate as its smallest from a field whose heavy end is where the next dollar is least productive.</w:t>
      </w:r>
    </w:p>
    <w:bookmarkEnd w:id="78"/>
    <w:bookmarkStart w:id="79" w:name="the-causal-logic-and-its-central-threat"/>
    <w:p>
      <w:pPr>
        <w:pStyle w:val="Heading2"/>
        <w:spacing w:line="480" w:lineRule="auto"/>
      </w:pPr>
      <w:r>
        <w:t xml:space="preserve">3.4 The Causal Logic and Its Central Threat</w:t>
      </w:r>
    </w:p>
    <w:p>
      <w:pPr>
        <w:pStyle w:val="FirstParagraph"/>
        <w:spacing w:line="480" w:lineRule="auto"/>
      </w:pPr>
      <w:r>
        <w:t xml:space="preserve">An estimated elasticity is a productivity parameter only if the comparison that identifies it holds the confounders fixed. The framework must therefore state what would have to be true for β to mean what the mechanism says it means, and it must name the threat that would make β mean something else.</w:t>
      </w:r>
    </w:p>
    <w:p>
      <w:pPr>
        <w:pStyle w:val="BodyText"/>
        <w:spacing w:line="480" w:lineRule="auto"/>
        <w:ind w:firstLine="720"/>
      </w:pPr>
      <w:r>
        <w:t xml:space="preserve">The identifying comparison is between instruments that differ in cost but are otherwise alike in the dimensions that independently drive publication output. Four such dimensions are named in the literature and in the companion studies. Instrument mass proxies for complexity and capability and is the field’s habitual capability surrogate</w:t>
      </w:r>
      <w:r>
        <w:t xml:space="preserve"> </w:t>
      </w:r>
      <w:hyperlink w:anchor="ref-7">
        <w:r>
          <w:rPr>
            <w:rStyle w:val="Hyperlink"/>
          </w:rPr>
          <w:t xml:space="preserve">[7]</w:t>
        </w:r>
      </w:hyperlink>
      <w:r>
        <w:t xml:space="preserve">, so two instruments of equal scientific ambition but different mass are not a clean cost comparison; mass must be held fixed. Operating lifetime drives output mechanically through the time-substitution channel</w:t>
      </w:r>
      <w:r>
        <w:t xml:space="preserve"> </w:t>
      </w:r>
      <w:hyperlink w:anchor="ref-6">
        <w:r>
          <w:rPr>
            <w:rStyle w:val="Hyperlink"/>
          </w:rPr>
          <w:t xml:space="preserve">[6]</w:t>
        </w:r>
      </w:hyperlink>
      <w:r>
        <w:t xml:space="preserve">, so it must be held fixed. The class of the host mission carries with it a target body, a launch epoch, a data-release policy, the size and activity of the science team, and the publication norms of its era, all of which move output for reasons that have nothing to do with the instrument’s own cost; mission membership must be held fixed. And the discipline of the instrument, an optical imager versus a mass spectrometer versus a magnetometer, carries its own baseline publication rate</w:t>
      </w:r>
      <w:r>
        <w:t xml:space="preserve"> </w:t>
      </w:r>
      <w:hyperlink w:anchor="ref-5">
        <w:r>
          <w:rPr>
            <w:rStyle w:val="Hyperlink"/>
          </w:rPr>
          <w:t xml:space="preserve">[5]</w:t>
        </w:r>
      </w:hyperlink>
      <w:r>
        <w:t xml:space="preserve">[7], so instrument type must be held fixed. The causal reading of β is licensed only within the stratum defined by these four held-fixed dimensions.</w:t>
      </w:r>
    </w:p>
    <w:p>
      <w:pPr>
        <w:pStyle w:val="BodyText"/>
        <w:spacing w:line="480" w:lineRule="auto"/>
        <w:ind w:firstLine="720"/>
      </w:pPr>
      <w:r>
        <w:t xml:space="preserve">The core of the identification is the host-mission stratum. Comparing instruments flown on the same mission differences out everything common to that mission and identifies the cost coefficient from instruments that shared a bus and a campaign but differed in price. This is the move that the first companion study could not make at the mission level, where each mission is a single observation and there is nothing to compare it to within its own program, and it is the move that the instrument-level panel makes available. The second companion study demonstrated that the instrument level carries enough within-class variation to estimate a sub-unit elasticity precisely, which is the empirical warrant for expecting the same altitude to resolve the cost question that the mission level left open.</w:t>
      </w:r>
    </w:p>
    <w:p>
      <w:pPr>
        <w:pStyle w:val="BodyText"/>
        <w:spacing w:line="480" w:lineRule="auto"/>
        <w:ind w:firstLine="720"/>
      </w:pPr>
      <w:r>
        <w:t xml:space="preserve">The central threat to this causal logic is that cost is not randomly assigned. Instruments are made expensive on purpose, and they are often made expensive because their science case was judged strong in advance. If the projects that win large instrument budgets are the projects whose science was pre-judged most publishable, then expensive instruments will publish more for a reason that has nothing to do with the productivity of the marginal dollar, and the estimated β will be biased upward, toward the constant-returns null. This is the most likely explanation the framework offers for why the first companion study found a mission-level elasticity statistically indistinguishable from one: at the mission level, selection on anticipated science strength is at its most powerful, and the within-mission comparison that would partial it out is unavailable. The instrument-level design is in part a response to this threat, because instruments on the same bus faced the same selection committee, so the within-mission comparison strips out the program-level selection that contaminates the mission-level estimate. Where within-mission variation is insufficient, the design supplements it with an instrumental-variables strategy that uses pre-launch technology-readiness level and detector heritage as instruments for realized cost, since readiness and heritage move development cost through engineering channels that are plausibly orthogonal to a paper’s eventual citability. The causal claim of the dissertation rests on the conjunction of the mission fixed effect and this instrument, and the framework is explicit that an upward bias from selection would, if anything, work against finding the diminishing returns the mechanism predicts. A rejection of constant returns in favor of diminishing returns would therefore be a conservative finding, obtained against the grain of the most plausible bias.</w:t>
      </w:r>
    </w:p>
    <w:bookmarkEnd w:id="79"/>
    <w:bookmarkStart w:id="80" w:name="construct-validity-of-the-output-measure"/>
    <w:p>
      <w:pPr>
        <w:pStyle w:val="Heading2"/>
        <w:spacing w:line="480" w:lineRule="auto"/>
      </w:pPr>
      <w:r>
        <w:t xml:space="preserve">3.5 Construct Validity of the Output Measure</w:t>
      </w:r>
    </w:p>
    <w:p>
      <w:pPr>
        <w:pStyle w:val="FirstParagraph"/>
        <w:spacing w:line="480" w:lineRule="auto"/>
      </w:pPr>
      <w:r>
        <w:t xml:space="preserve">The mechanism and the causal logic both take refereed publication count as the measure of realized science, and the framework must be honest about what that construct does and does not capture. Publication count is a proxy. It measures the scholarly output an instrument’s data generate, and it undercounts mission types whose value is operational or strategic rather than scholarly</w:t>
      </w:r>
      <w:r>
        <w:t xml:space="preserve"> </w:t>
      </w:r>
      <w:hyperlink w:anchor="ref-3">
        <w:r>
          <w:rPr>
            <w:rStyle w:val="Hyperlink"/>
          </w:rPr>
          <w:t xml:space="preserve">[3]</w:t>
        </w:r>
      </w:hyperlink>
      <w:r>
        <w:t xml:space="preserve">. An instrument whose primary deliverable is engineering demonstration, planetary protection, or resource prospecting may return enormous programmatic value while generating few refereed papers, and the elasticity estimated here says nothing about such instruments except that they lie outside its scope. The framework confines its policy reading to instruments whose primary deliverable is published planetary science, and it states this boundary as a feature of the estimand rather than as an apology for it. The economic framing that motivates the study is the same one that warns its scope is the measurable value stream, not the whole value of the enterprise</w:t>
      </w:r>
      <w:r>
        <w:t xml:space="preserve"> </w:t>
      </w:r>
      <w:hyperlink w:anchor="ref-1">
        <w:r>
          <w:rPr>
            <w:rStyle w:val="Hyperlink"/>
          </w:rPr>
          <w:t xml:space="preserve">[1]</w:t>
        </w:r>
      </w:hyperlink>
      <w:r>
        <w:t xml:space="preserve">[2].</w:t>
      </w:r>
    </w:p>
    <w:p>
      <w:pPr>
        <w:pStyle w:val="BodyText"/>
        <w:spacing w:line="480" w:lineRule="auto"/>
        <w:ind w:firstLine="720"/>
      </w:pPr>
      <w:r>
        <w:t xml:space="preserve">Two further properties of the construct condition the interpretation. First, attribution to an instrument is noisy, because a paper may use several instruments and crediting each named instrument inflates counts for instruments that travel in suites; the framework anticipates this by treating the unit of credit as a modeling choice to be tested rather than assumed, with fractional crediting as the primary rule and integer crediting as a sensitivity case. Second, the construct preserves cross-instrument ordering more reliably than it recovers absolute output, as the companion mass study made explicit when it used a technical-report proxy whose absolute counts understated the full literature while preserving the ranking the regression uses. The elasticity is identified from how output moves with cost across instruments, not from the absolute level of any one count, so a proxy that is consistently measured across the panel supports the estimand even where it understates the true corpus. The construct is a proxy, but it is a disciplined and replicable one, and the data-provenance gate the study imposes ensures any reviewer can reconstruct it from public sources.</w:t>
      </w:r>
    </w:p>
    <w:bookmarkEnd w:id="80"/>
    <w:bookmarkStart w:id="81" w:name="formal-hypotheses"/>
    <w:p>
      <w:pPr>
        <w:pStyle w:val="Heading2"/>
        <w:spacing w:line="480" w:lineRule="auto"/>
      </w:pPr>
      <w:r>
        <w:t xml:space="preserve">3.6 Formal Hypotheses</w:t>
      </w:r>
    </w:p>
    <w:p>
      <w:pPr>
        <w:pStyle w:val="FirstParagraph"/>
        <w:spacing w:line="480" w:lineRule="auto"/>
      </w:pPr>
      <w:r>
        <w:t xml:space="preserve">With that altitude fixed, the framework now states the two hypotheses that the empirical chapters will test. Both concern the single elasticity β defined by the production relationship in Section 3.2, estimated in a negative-binomial regression of publication count on log cost with controls for log instrument mass, log operating lifetime, instrument type, and a vector of host-mission fixed effects. The negative-binomial estimator is required because the outcome is a non-negative integer count exhibiting overdispersion, which ordinary least squares on logged counts would mishandle. The coefficient on log cost in that regression is the empirical counterpart of the structural β.</w:t>
      </w:r>
    </w:p>
    <w:p>
      <w:pPr>
        <w:pStyle w:val="BodyText"/>
        <w:spacing w:line="480" w:lineRule="auto"/>
        <w:ind w:firstLine="720"/>
      </w:pPr>
      <w:r>
        <w:t xml:space="preserve">The hypotheses are framed around the constant-returns boundary, β = 1, not around the no-effect boundary, β = 0. The test against zero is uninteresting, because the companion studies have already established that cost and its correlates predict science output and that the relationship is strong and statistically reliable. The economically meaningful question is whether the response is proportional or less than proportional, and that question is decided at one, not at zero.</w:t>
      </w:r>
    </w:p>
    <w:p>
      <w:pPr>
        <w:pStyle w:val="BodyText"/>
        <w:spacing w:line="480" w:lineRule="auto"/>
        <w:ind w:firstLine="720"/>
      </w:pPr>
      <w:r>
        <w:rPr>
          <w:b/>
          <w:bCs/>
        </w:rPr>
        <w:t xml:space="preserve">H0 (constant returns):</w:t>
      </w:r>
      <w:r>
        <w:t xml:space="preserve"> </w:t>
      </w:r>
      <w:r>
        <w:t xml:space="preserve">β = 1. A one percent increase in inflation-adjusted instrument cost is associated with a one percent increase in expected publication count, holding mass, operating lifetime, instrument type, and host mission fixed. Under this hypothesis, science output scales proportionally with dollars, the most expensive instruments buy refereed science at the same marginal rate as the cheapest, and an allocation rule that rewards output per dollar would be indifferent between concentrating a budget in a few large instruments and spreading it across many small ones.</w:t>
      </w:r>
    </w:p>
    <w:p>
      <w:pPr>
        <w:pStyle w:val="BodyText"/>
        <w:spacing w:line="480" w:lineRule="auto"/>
        <w:ind w:firstLine="720"/>
      </w:pPr>
      <w:r>
        <w:rPr>
          <w:b/>
          <w:bCs/>
        </w:rPr>
        <w:t xml:space="preserve">H1 (diminishing returns):</w:t>
      </w:r>
      <w:r>
        <w:t xml:space="preserve"> </w:t>
      </w:r>
      <w:r>
        <w:t xml:space="preserve">β &lt; 1. A one percent increase in inflation-adjusted instrument cost is associated with a less than one percent increase in expected publication count, holding the same controls fixed. Under this hypothesis, the marginal science return per dollar falls as instruments get more expensive, the heavy and costly end of the instrument distribution is where the next dollar is least scientifically productive, and an allocation rule that rewards output per dollar would tilt the portfolio toward a larger number of less expensive instruments at the margin.</w:t>
      </w:r>
    </w:p>
    <w:p>
      <w:pPr>
        <w:pStyle w:val="BodyText"/>
        <w:spacing w:line="480" w:lineRule="auto"/>
        <w:ind w:firstLine="720"/>
      </w:pPr>
      <w:r>
        <w:t xml:space="preserve">The test is one-sided in intent, because the mechanism in Section 3.3 predicts a specific direction, but it is reported two-sided for honesty, so that an estimate above one, were it to occur, would be visible rather than suppressed. The decision rule is stated in advance and admits no reinterpretation. If the estimated β is statistically distinguishable from one and lies below it, H0 is rejected in favor of H1 and the dissertation’s central claim of diminishing returns is supported. If the estimated β is statistically indistinguishable from one, H1 is rejected and the central claim fails, regardless of where the point estimate falls, exactly as it failed to be confirmed at the mission level in the first companion study where the point estimate of 0.898 sat below one but the interval contained it. The number is a single scalar with a confidence interval, and the dissertation stands or falls on where that interval sits.</w:t>
      </w:r>
    </w:p>
    <w:bookmarkEnd w:id="81"/>
    <w:bookmarkStart w:id="82" w:name="X4c232e9b29a4d724ea9da90c867daacba526abe"/>
    <w:p>
      <w:pPr>
        <w:pStyle w:val="Heading2"/>
        <w:spacing w:line="480" w:lineRule="auto"/>
      </w:pPr>
      <w:r>
        <w:t xml:space="preserve">3.7 What a Rejection and a Failure to Reject Each Mean</w:t>
      </w:r>
    </w:p>
    <w:p>
      <w:pPr>
        <w:pStyle w:val="FirstParagraph"/>
        <w:spacing w:line="480" w:lineRule="auto"/>
      </w:pPr>
      <w:r>
        <w:t xml:space="preserve">Before any estimate is in hand, the framework closes by stating what each outcome of the test would license, so that the interpretation of the result is fixed in advance and cannot be tuned to the number that emerges.</w:t>
      </w:r>
    </w:p>
    <w:p>
      <w:pPr>
        <w:pStyle w:val="BodyText"/>
        <w:spacing w:line="480" w:lineRule="auto"/>
        <w:ind w:firstLine="720"/>
      </w:pPr>
      <w:r>
        <w:t xml:space="preserve">A rejection of H0 in favor of H1, obtained at the instrument level with mission fixed effects and the readiness-and-heritage instrument, would do three things. It would confirm the mechanism of Section 3.3 against the upward selection bias of Section 3.4, which makes such a rejection a conservative finding. It would resolve, at the instrument level, the question the first companion study left open at the mission level, where selection on anticipated science strength was strongest and within-program comparison was unavailable. And it would supply the portfolio argument for many small instruments over a few large ones with the measured elasticity it currently lacks, converting a debate conducted by analogy into one conducted by interval. The reading would remain bounded to instruments whose deliverable is published planetary science, per Section 3.5.</w:t>
      </w:r>
    </w:p>
    <w:p>
      <w:pPr>
        <w:pStyle w:val="BodyText"/>
        <w:spacing w:line="480" w:lineRule="auto"/>
        <w:ind w:firstLine="720"/>
      </w:pPr>
      <w:r>
        <w:t xml:space="preserve">A failure to reject H0 would be equally informative and must be reported with equal candor. It would mean that, even at the instrument level and even after partialling out mission, mass, lifetime, and type, the data cannot distinguish the field’s largest instruments from its smallest in marginal science per dollar. Such a result would not prove constant returns; it would establish only that the diminishing-returns gradient, if it exists, is too shallow to detect against the residual variance of a proxy that orders instruments by output only loosely, as the modest explained variance of the companion mass study warned it might. It would direct the next increment of analytic effort toward a larger panel and a sharper output measure before it toward a stronger policy claim, which is the disciplined posture the first companion study adopted when its mission-level interval spanned one. Either way, the contribution is a single estimated elasticity, exposed to refutation, interpreted under a decision rule fixed before the estimate was seen, and confined to the value stream the construct can honestly measure</w:t>
      </w:r>
      <w:r>
        <w:t xml:space="preserve"> </w:t>
      </w:r>
      <w:hyperlink w:anchor="ref-1">
        <w:r>
          <w:rPr>
            <w:rStyle w:val="Hyperlink"/>
          </w:rPr>
          <w:t xml:space="preserve">[1]</w:t>
        </w:r>
      </w:hyperlink>
      <w:r>
        <w:t xml:space="preserve">[2][3].</w:t>
      </w:r>
    </w:p>
    <w:bookmarkEnd w:id="82"/>
    <w:bookmarkEnd w:id="83"/>
    <w:bookmarkStart w:id="92" w:name="chapter-4.-data-and-measurement"/>
    <w:p>
      <w:pPr>
        <w:pStyle w:val="Heading1"/>
        <w:spacing w:line="480" w:lineRule="auto"/>
      </w:pPr>
      <w:r>
        <w:t xml:space="preserve">Chapter 4. Data and Measurement</w:t>
      </w:r>
    </w:p>
    <w:bookmarkStart w:id="84" w:name="purpose-and-scope-of-the-chapter"/>
    <w:p>
      <w:pPr>
        <w:pStyle w:val="Heading2"/>
        <w:spacing w:line="480" w:lineRule="auto"/>
      </w:pPr>
      <w:r>
        <w:t xml:space="preserve">4.1 Purpose and Scope of the Chapter</w:t>
      </w:r>
    </w:p>
    <w:p>
      <w:pPr>
        <w:pStyle w:val="FirstParagraph"/>
        <w:spacing w:line="480" w:lineRule="auto"/>
      </w:pPr>
      <w:r>
        <w:t xml:space="preserve">This chapter specifies the empirical materials on which the dissertation rests. Its task is narrow and load-bearing: to state, with enough precision that an independent analyst could rebuild every column without privileged access, what the datasets are, where each cell originates, what the unit of analysis is in each estimation, and how every variable is constructed from primary records. The dissertation advances a single falsifiable claim about the elasticity of realized science with respect to the resources spent to produce it, and the credibility of that claim is no greater than the credibility of the panels described here. For that reason the chapter is deliberately conservative. It documents what was measured, declines to assert numbers that the two completed papers did not themselves measure, and marks plainly where a quantity enters as a regressor, where it enters as a control, and where it enters only as documented context for the validity discussion.</w:t>
      </w:r>
    </w:p>
    <w:p>
      <w:pPr>
        <w:pStyle w:val="BodyText"/>
        <w:spacing w:line="480" w:lineRule="auto"/>
        <w:ind w:firstLine="720"/>
      </w:pPr>
      <w:r>
        <w:t xml:space="preserve">The empirical program is organized around two completed studies and one larger design that they anticipate. The first study estimates a cost elasticity at the mission level across twenty-five space-science missions. The second estimates a mass elasticity at the instrument level across thirty-two flown planetary instruments. The prospectus design that both studies serve is an instrument-level cost regression that links each planetary instrument to its development cost, its mass, its operating lifetime, and its publication count, with mission fixed effects</w:t>
      </w:r>
      <w:r>
        <w:t xml:space="preserve"> </w:t>
      </w:r>
      <w:hyperlink w:anchor="ref-4">
        <w:r>
          <w:rPr>
            <w:rStyle w:val="Hyperlink"/>
          </w:rPr>
          <w:t xml:space="preserve">[4]</w:t>
        </w:r>
      </w:hyperlink>
      <w:r>
        <w:t xml:space="preserve">. The three share a measurement philosophy that this chapter makes explicit: the refereed publication is the unit of realized science, the input is the resource spent to obtain it, and every input cell carries its own provenance string so that the panel is auditable row by row rather than asserted in aggregate.</w:t>
      </w:r>
    </w:p>
    <w:p>
      <w:pPr>
        <w:pStyle w:val="BodyText"/>
        <w:spacing w:line="480" w:lineRule="auto"/>
        <w:ind w:firstLine="720"/>
      </w:pPr>
      <w:r>
        <w:t xml:space="preserve">The economic warrant for treating publication output as a measurable value stream, rather than as an unquantifiable public good, is taken directly from the space-economy literature that motivates the dissertation. That literature treats publicly funded science as a distinct stream that must be measured rather than asserted</w:t>
      </w:r>
      <w:r>
        <w:t xml:space="preserve"> </w:t>
      </w:r>
      <w:hyperlink w:anchor="ref-1">
        <w:r>
          <w:rPr>
            <w:rStyle w:val="Hyperlink"/>
          </w:rPr>
          <w:t xml:space="preserve">[1]</w:t>
        </w:r>
      </w:hyperlink>
      <w:r>
        <w:t xml:space="preserve">, insists that government carry the early high-risk stages where private returns are thin</w:t>
      </w:r>
      <w:r>
        <w:t xml:space="preserve"> </w:t>
      </w:r>
      <w:hyperlink w:anchor="ref-3">
        <w:r>
          <w:rPr>
            <w:rStyle w:val="Hyperlink"/>
          </w:rPr>
          <w:t xml:space="preserve">[3]</w:t>
        </w:r>
      </w:hyperlink>
      <w:r>
        <w:t xml:space="preserve">, and revalues the total enterprise upward, which raises the stakes of measuring allocation correctly</w:t>
      </w:r>
      <w:r>
        <w:t xml:space="preserve"> </w:t>
      </w:r>
      <w:hyperlink w:anchor="ref-2">
        <w:r>
          <w:rPr>
            <w:rStyle w:val="Hyperlink"/>
          </w:rPr>
          <w:t xml:space="preserve">[2]</w:t>
        </w:r>
      </w:hyperlink>
      <w:r>
        <w:t xml:space="preserve">. The measurement decisions in this chapter are the operational expression of that warrant.</w:t>
      </w:r>
    </w:p>
    <w:bookmarkEnd w:id="84"/>
    <w:bookmarkStart w:id="85" w:name="the-unit-of-analysis"/>
    <w:p>
      <w:pPr>
        <w:pStyle w:val="Heading2"/>
        <w:spacing w:line="480" w:lineRule="auto"/>
      </w:pPr>
      <w:r>
        <w:t xml:space="preserve">4.2 The Unit of Analysis</w:t>
      </w:r>
    </w:p>
    <w:p>
      <w:pPr>
        <w:pStyle w:val="FirstParagraph"/>
        <w:spacing w:line="480" w:lineRule="auto"/>
      </w:pPr>
      <w:r>
        <w:t xml:space="preserve">The dissertation uses two distinct units of analysis, and the distinction is not cosmetic. It determines what is held fixed, what varies, and therefore what the estimated elasticity means.</w:t>
      </w:r>
    </w:p>
    <w:p>
      <w:pPr>
        <w:pStyle w:val="BodyText"/>
        <w:spacing w:line="480" w:lineRule="auto"/>
        <w:ind w:firstLine="720"/>
      </w:pPr>
      <w:r>
        <w:t xml:space="preserve">In the mission-level study, the unit of analysis is the space-science mission. Each mission contributes one row carrying its total life-cycle cost, its refereed publication count, its launch mass, and its operating lifetime. Twenty-five missions populate the panel. At this unit, every instrument a mission carried is collapsed into a single observation, so the estimated elasticity describes how the aggregate science output of a mission scales with its aggregate cost. This is the coarsest unit at which the science-return-per-dollar question can be posed, and it has the advantage that mission cost and mission publication count are both reported as single, well-defined figures in public sources.</w:t>
      </w:r>
    </w:p>
    <w:p>
      <w:pPr>
        <w:pStyle w:val="BodyText"/>
        <w:spacing w:line="480" w:lineRule="auto"/>
        <w:ind w:firstLine="720"/>
      </w:pPr>
      <w:r>
        <w:t xml:space="preserve">In the instrument-level study, the unit of analysis is the flown instrument. Each instrument contributes one row carrying its refereed output, its flight mass, and its operating lifetime, with its host mission recorded. Thirty-two instruments drawn from nine planetary missions populate the panel: Mars Science Laboratory, Mars Reconnaissance Orbiter, Cassini, New Horizons, MESSENGER, Juno, Mars Express, and Mars Global Surveyor. At this finer unit, the productivity question is posed where allocation decisions are actually made, because a program office selects among candidate instruments, not among whole missions abstractly. The instrument unit is also the unit the prospectus design adopts, because it is the level at which mission fixed effects can difference out everything common to a bus and campaign while leaving instrument-to-instrument variation to identify the cost coefficient</w:t>
      </w:r>
      <w:r>
        <w:t xml:space="preserve"> </w:t>
      </w:r>
      <w:hyperlink w:anchor="ref-4">
        <w:r>
          <w:rPr>
            <w:rStyle w:val="Hyperlink"/>
          </w:rPr>
          <w:t xml:space="preserve">[4]</w:t>
        </w:r>
      </w:hyperlink>
      <w:r>
        <w:t xml:space="preserve">.</w:t>
      </w:r>
    </w:p>
    <w:p>
      <w:pPr>
        <w:pStyle w:val="BodyText"/>
        <w:spacing w:line="480" w:lineRule="auto"/>
        <w:ind w:firstLine="720"/>
      </w:pPr>
      <w:r>
        <w:t xml:space="preserve">The migration from mission unit to instrument unit is the central methodological arc of the dissertation. The mission-level study establishes that cost predicts science and measures the aggregate elasticity; the instrument-level study sharpens the unit and shifts the regressor to mass; the prospectus design completes the arc by returning cost as the regressor at the instrument unit with the controls and fixed effects that the smaller completed panels could not afford. Each unit answers a defensible question, and the chapter is careful not to conflate the cost elasticity estimated at the mission level with the mass elasticity estimated at the instrument level. They are different parameters measured on different panels, and the chapter reports them that way.</w:t>
      </w:r>
    </w:p>
    <w:bookmarkEnd w:id="85"/>
    <w:bookmarkStart w:id="86" w:name="the-authoritative-sources"/>
    <w:p>
      <w:pPr>
        <w:pStyle w:val="Heading2"/>
        <w:spacing w:line="480" w:lineRule="auto"/>
      </w:pPr>
      <w:r>
        <w:t xml:space="preserve">4.3 The Authoritative Sources</w:t>
      </w:r>
    </w:p>
    <w:p>
      <w:pPr>
        <w:pStyle w:val="FirstParagraph"/>
        <w:spacing w:line="480" w:lineRule="auto"/>
      </w:pPr>
      <w:r>
        <w:t xml:space="preserve">Four families of primary record supply the data. Each is public, each is reproducible, and each is named so that a reviewer can trace any value to its origin.</w:t>
      </w:r>
    </w:p>
    <w:p>
      <w:pPr>
        <w:pStyle w:val="BodyText"/>
        <w:spacing w:line="480" w:lineRule="auto"/>
        <w:ind w:firstLine="720"/>
      </w:pPr>
      <w:r>
        <w:t xml:space="preserve">The first authoritative source is the bibliometric census of De Marchi and Parmar, which supplies the entire outcome column of the mission-level study</w:t>
      </w:r>
      <w:r>
        <w:t xml:space="preserve"> </w:t>
      </w:r>
      <w:hyperlink w:anchor="ref-9">
        <w:r>
          <w:rPr>
            <w:rStyle w:val="Hyperlink"/>
          </w:rPr>
          <w:t xml:space="preserve">[9]</w:t>
        </w:r>
      </w:hyperlink>
      <w:r>
        <w:t xml:space="preserve">. That census reports a single total publications figure per mission, drawn from Astrophysics Data System mission publication libraries under consistent inclusion rules for what counts as a mission paper. Using one source for the whole outcome column is a deliberate measurement choice: it removes the cross-source counting noise that would otherwise contaminate an elasticity by introducing one set of inclusion conventions for some missions and a different set for others. The integrity of an elasticity estimate depends as much on the homogeneity of the counting rule as on the accuracy of any single count, and a single census source enforces that homogeneity by construction.</w:t>
      </w:r>
    </w:p>
    <w:p>
      <w:pPr>
        <w:pStyle w:val="BodyText"/>
        <w:spacing w:line="480" w:lineRule="auto"/>
        <w:ind w:firstLine="720"/>
      </w:pPr>
      <w:r>
        <w:t xml:space="preserve">The second authoritative source is the NASA Technical Reports Server citations interface, which supplies the outcome column of the instrument-level study. For each instrument, refereed output is the count of records returned by a fixed per-instrument query, retrieved on a common date for every instrument so that the bibliometric exposure window is held constant across the panel. The query string for each instrument is recorded in the dataset’s source column, so a reader can reproduce any count by re-issuing the identical request. This source is a proxy by design, and the second paper says so without hedging: it counts technical records that name the instrument or its data set, not the full refereed corpus, and it therefore understates absolute output while preserving the cross-instrument ordering that the regression actually uses. The measurement claim is ordinal fidelity, not absolute completeness, and the inference is built only on the ordering that the proxy preserves.</w:t>
      </w:r>
    </w:p>
    <w:p>
      <w:pPr>
        <w:pStyle w:val="BodyText"/>
        <w:spacing w:line="480" w:lineRule="auto"/>
        <w:ind w:firstLine="720"/>
      </w:pPr>
      <w:r>
        <w:t xml:space="preserve">The third authoritative source family is public per-mission and per-instrument cost reporting. In the mission-level study, total life-cycle cost in nominal United States dollars is compiled from agency fact sheets, government accountability assessments, and mission encyclopedia entries that themselves cite those primary records. Costs originally denominated in euros are converted to dollars at the contemporaneous rate cited alongside each figure, and the conversion is recorded in the source field of every affected row so that a reader can reconstruct the arithmetic. No cost figure in the panel is illustrative; each carries its own source string. The prospectus extends this same source family to the instrument unit, where instrument development cost in inflation-adjusted dollars is to be compiled from public NASA cost reporting and mission cost summaries, deflated with a standard government deflator so that an instrument fielded in one era and an instrument fielded in another are stated in common dollars</w:t>
      </w:r>
      <w:r>
        <w:t xml:space="preserve"> </w:t>
      </w:r>
      <w:hyperlink w:anchor="ref-1">
        <w:r>
          <w:rPr>
            <w:rStyle w:val="Hyperlink"/>
          </w:rPr>
          <w:t xml:space="preserve">[1]</w:t>
        </w:r>
      </w:hyperlink>
      <w:r>
        <w:t xml:space="preserve">[2].</w:t>
      </w:r>
    </w:p>
    <w:p>
      <w:pPr>
        <w:pStyle w:val="BodyText"/>
        <w:spacing w:line="480" w:lineRule="auto"/>
        <w:ind w:firstLine="720"/>
      </w:pPr>
      <w:r>
        <w:t xml:space="preserve">The fourth authoritative source family is the canonical published instrument and mission documentation that supplies the physical and temporal attributes. In the instrument-level study, flight mass in kilograms is taken from the canonical published instrument descriptions for each payload, the instrument papers in Space Science Reviews, the Journal of Geophysical Research Planets, and Planetary and Space Science, together with the corresponding mission press kits, with the specific paper cited in each row. Operating lifetime in years is documented from mission operations records. In the prospectus design, the instrument frame itself, its host spacecraft, its instrument type, and its operating interval, comes from the NASA Planetary Data System archive, which enumerates planetary instruments with these attributes and is openly accessible. The Planetary Data System supplies the unit of analysis, the operating-lifetime control, the instrument-type classification, and the host-mission identifier that anchors the fixed effects, and the Astrophysics Data System supplies the publication count for each enumerated instrument</w:t>
      </w:r>
      <w:r>
        <w:t xml:space="preserve"> </w:t>
      </w:r>
      <w:hyperlink w:anchor="ref-9">
        <w:r>
          <w:rPr>
            <w:rStyle w:val="Hyperlink"/>
          </w:rPr>
          <w:t xml:space="preserve">[9]</w:t>
        </w:r>
      </w:hyperlink>
      <w:r>
        <w:t xml:space="preserve">.</w:t>
      </w:r>
    </w:p>
    <w:p>
      <w:pPr>
        <w:pStyle w:val="BodyText"/>
        <w:spacing w:line="480" w:lineRule="auto"/>
        <w:ind w:firstLine="720"/>
      </w:pPr>
      <w:r>
        <w:t xml:space="preserve">Across all four families the binding rule is the same: every row carries its own provenance, and no value is asserted in aggregate that cannot be traced to a named record. This is the data-provenance gate the dissertation commits to honor, and it is the reason the panels can be reconstructed from public archives rather than taken on faith.</w:t>
      </w:r>
    </w:p>
    <w:bookmarkEnd w:id="86"/>
    <w:bookmarkStart w:id="87" w:name="construction-of-the-outcome-variable"/>
    <w:p>
      <w:pPr>
        <w:pStyle w:val="Heading2"/>
        <w:spacing w:line="480" w:lineRule="auto"/>
      </w:pPr>
      <w:r>
        <w:t xml:space="preserve">4.4 Construction of the Outcome Variable</w:t>
      </w:r>
    </w:p>
    <w:p>
      <w:pPr>
        <w:pStyle w:val="FirstParagraph"/>
        <w:spacing w:line="480" w:lineRule="auto"/>
      </w:pPr>
      <w:r>
        <w:t xml:space="preserve">The outcome variable is realized science, operationalized as a count of refereed publications. Its construction differs across the two studies, and each construction is reported in full.</w:t>
      </w:r>
    </w:p>
    <w:p>
      <w:pPr>
        <w:pStyle w:val="BodyText"/>
        <w:spacing w:line="480" w:lineRule="auto"/>
        <w:ind w:firstLine="720"/>
      </w:pPr>
      <w:r>
        <w:t xml:space="preserve">In the mission-level study, the outcome is the total publications figure reported for each mission by the bibliometric census</w:t>
      </w:r>
      <w:r>
        <w:t xml:space="preserve"> </w:t>
      </w:r>
      <w:hyperlink w:anchor="ref-9">
        <w:r>
          <w:rPr>
            <w:rStyle w:val="Hyperlink"/>
          </w:rPr>
          <w:t xml:space="preserve">[9]</w:t>
        </w:r>
      </w:hyperlink>
      <w:r>
        <w:t xml:space="preserve">. The construction is therefore inherited rather than assembled: the census applied its inclusion rules to Astrophysics Data System mission libraries, counted refereed records attributed to each mission through a common cutoff at the end of 2021, and reported one integer per mission. The dissertation adopts that integer without modification, which is itself a measurement decision. Adopting a single census figure means the outcome column is internally consistent in its counting conventions, at the cost of binding the study to the census’s definitional choices. The chapter records this dependency openly: the outcome is exactly as the census defines it, and any reader who disputes the census’s inclusion rule disputes the outcome column.</w:t>
      </w:r>
    </w:p>
    <w:p>
      <w:pPr>
        <w:pStyle w:val="BodyText"/>
        <w:spacing w:line="480" w:lineRule="auto"/>
        <w:ind w:firstLine="720"/>
      </w:pPr>
      <w:r>
        <w:t xml:space="preserve">In the instrument-level study, the outcome is assembled directly by querying the NASA Technical Reports Server for each instrument with a fixed query string and counting the returned records. Three construction details govern the count. First, the query is fixed per instrument and recorded, so the count is reproducible. Second, the retrieval date is common across the panel, so every instrument is observed over the same exposure window and no instrument is advantaged by a later harvest. Third, the count is the raw number of returned records, understood as a proxy that names the instrument or its data set rather than a curated bibliography. The resulting variable is taken into logs for estimation, consistent with the power-law form, and the inference is confined to the cross-instrument ordering the proxy preserves rather than to the absolute magnitudes it reports.</w:t>
      </w:r>
    </w:p>
    <w:p>
      <w:pPr>
        <w:pStyle w:val="BodyText"/>
        <w:spacing w:line="480" w:lineRule="auto"/>
        <w:ind w:firstLine="720"/>
      </w:pPr>
      <w:r>
        <w:t xml:space="preserve">The prospectus design specifies a third, more demanding construction that neither completed study implemented but that both anticipate. There the publication count for each Planetary Data System instrument is the number of refereed records in the Astrophysics Data System that name the instrument or its data set, restricted to the instrument’s operating window plus a fixed trailing exploitation period so that older and newer instruments are compared on equal exposure</w:t>
      </w:r>
      <w:r>
        <w:t xml:space="preserve"> </w:t>
      </w:r>
      <w:hyperlink w:anchor="ref-9">
        <w:r>
          <w:rPr>
            <w:rStyle w:val="Hyperlink"/>
          </w:rPr>
          <w:t xml:space="preserve">[9]</w:t>
        </w:r>
      </w:hyperlink>
      <w:r>
        <w:t xml:space="preserve">. That design also specifies the treatment of multi-instrument papers through fractional crediting, splitting a paper equally across the instruments it names, with the integer-credit count retained as a sensitivity case. The chapter flags this as a design commitment rather than a realized measurement, because the two completed papers used the simpler census and proxy constructions described above, and honesty about which construction produced which estimate is part of the measurement discipline.</w:t>
      </w:r>
    </w:p>
    <w:p>
      <w:pPr>
        <w:pStyle w:val="BodyText"/>
        <w:spacing w:line="480" w:lineRule="auto"/>
        <w:ind w:firstLine="720"/>
      </w:pPr>
      <w:r>
        <w:t xml:space="preserve">A common boundary conditions every version of the outcome. Refereed publication count is a proxy for realized science, not science itself, and it undercounts missions and instruments whose value is operational or strategic rather than scholarly</w:t>
      </w:r>
      <w:r>
        <w:t xml:space="preserve"> </w:t>
      </w:r>
      <w:hyperlink w:anchor="ref-3">
        <w:r>
          <w:rPr>
            <w:rStyle w:val="Hyperlink"/>
          </w:rPr>
          <w:t xml:space="preserve">[3]</w:t>
        </w:r>
      </w:hyperlink>
      <w:r>
        <w:t xml:space="preserve">. The dissertation confines its policy reading to instruments and missions whose primary deliverable is published planetary science, and the outcome variable is constructed and interpreted within that boundary throughout.</w:t>
      </w:r>
    </w:p>
    <w:bookmarkEnd w:id="87"/>
    <w:bookmarkStart w:id="88" w:name="construction-of-the-input-variables"/>
    <w:p>
      <w:pPr>
        <w:pStyle w:val="Heading2"/>
        <w:spacing w:line="480" w:lineRule="auto"/>
      </w:pPr>
      <w:r>
        <w:t xml:space="preserve">4.5 Construction of the Input Variables</w:t>
      </w:r>
    </w:p>
    <w:p>
      <w:pPr>
        <w:pStyle w:val="FirstParagraph"/>
        <w:spacing w:line="480" w:lineRule="auto"/>
      </w:pPr>
      <w:r>
        <w:t xml:space="preserve">The input is the resource whose productivity is being measured, and it takes two forms across the studies: cost in the mission-level work and the prospectus, and mass in the instrument-level work.</w:t>
      </w:r>
    </w:p>
    <w:p>
      <w:pPr>
        <w:pStyle w:val="BodyText"/>
        <w:spacing w:line="480" w:lineRule="auto"/>
        <w:ind w:firstLine="720"/>
      </w:pPr>
      <w:r>
        <w:t xml:space="preserve">Cost in the mission-level study is total life-cycle cost in nominal United States dollars, compiled per mission from the public cost-reporting sources described above and recorded with its source string in every row. The construction has two steps that matter for the elasticity. The first is currency harmonization: figures reported in euros are converted at the contemporaneous rate cited with each figure, and the conversion is preserved in the source field. The second is the decision to use nominal rather than deflated dollars in the completed mission-level study, a decision the chapter records as a known limitation that the prospectus corrects by moving to inflation-adjusted dollars deflated with a standard government deflator</w:t>
      </w:r>
      <w:r>
        <w:t xml:space="preserve"> </w:t>
      </w:r>
      <w:hyperlink w:anchor="ref-1">
        <w:r>
          <w:rPr>
            <w:rStyle w:val="Hyperlink"/>
          </w:rPr>
          <w:t xml:space="preserve">[1]</w:t>
        </w:r>
      </w:hyperlink>
      <w:r>
        <w:t xml:space="preserve">[2]. Within the mission-level study the regressor is the natural log of nominal total cost, and the span of the cost column is wide by design, running across three orders of magnitude from missions near one hundred million dollars to a flagship observatory near nine billion. That spread is what gives the log-log slope its leverage, because an elasticity is identified by variation in the regressor, and a panel compressed into a narrow cost band would estimate the slope poorly however large the sample.</w:t>
      </w:r>
    </w:p>
    <w:p>
      <w:pPr>
        <w:pStyle w:val="BodyText"/>
        <w:spacing w:line="480" w:lineRule="auto"/>
        <w:ind w:firstLine="720"/>
      </w:pPr>
      <w:r>
        <w:t xml:space="preserve">Mass in the instrument-level study is flight mass in kilograms, taken from the canonical instrument descriptions and press kits and cited per row. The construction is a direct transcription from the published instrument paper for each payload, taken into logs for the regression. Mass enters this study as the sole regressor because the estimand is a single mass elasticity, and because the engineering literature treats mass as the field’s habitual surrogate for instrument complexity and capability, the quantity the community already uses informally when it reasons about instrument cost</w:t>
      </w:r>
      <w:r>
        <w:t xml:space="preserve"> </w:t>
      </w:r>
      <w:hyperlink w:anchor="ref-4">
        <w:r>
          <w:rPr>
            <w:rStyle w:val="Hyperlink"/>
          </w:rPr>
          <w:t xml:space="preserve">[4]</w:t>
        </w:r>
      </w:hyperlink>
      <w:r>
        <w:t xml:space="preserve">[5]. The chapter is careful to record what mass is and is not: it is a surrogate for capability and complexity, not capability itself, a distinction the second paper makes explicit and that the chapter preserves so that the mass elasticity is never read as a mechanical design rule for any single instrument.</w:t>
      </w:r>
    </w:p>
    <w:p>
      <w:pPr>
        <w:pStyle w:val="BodyText"/>
        <w:spacing w:line="480" w:lineRule="auto"/>
        <w:ind w:firstLine="720"/>
      </w:pPr>
      <w:r>
        <w:t xml:space="preserve">The prospectus design returns cost to the regressor seat at the instrument unit, where instrument development cost in inflation-adjusted dollars is the input whose elasticity the design estimates, with mass demoted from regressor to control</w:t>
      </w:r>
      <w:r>
        <w:t xml:space="preserve"> </w:t>
      </w:r>
      <w:hyperlink w:anchor="ref-4">
        <w:r>
          <w:rPr>
            <w:rStyle w:val="Hyperlink"/>
          </w:rPr>
          <w:t xml:space="preserve">[4]</w:t>
        </w:r>
      </w:hyperlink>
      <w:r>
        <w:t xml:space="preserve">. Across all three the input is constructed to be comparable: harmonized in currency, eventually harmonized in price level, and always logged so that the coefficient reads as an elasticity rather than a marginal effect.</w:t>
      </w:r>
    </w:p>
    <w:bookmarkEnd w:id="88"/>
    <w:bookmarkStart w:id="89" w:name="Xc02b450966f3e092fe5ddeeec27253a3846b659"/>
    <w:p>
      <w:pPr>
        <w:pStyle w:val="Heading2"/>
        <w:spacing w:line="480" w:lineRule="auto"/>
      </w:pPr>
      <w:r>
        <w:t xml:space="preserve">4.6 Construction of the Control and Context Variables</w:t>
      </w:r>
    </w:p>
    <w:p>
      <w:pPr>
        <w:pStyle w:val="FirstParagraph"/>
        <w:spacing w:line="480" w:lineRule="auto"/>
      </w:pPr>
      <w:r>
        <w:t xml:space="preserve">Beyond the single regressor that carries the falsifiable claim, each study documents covariates. Their status differs by study, and the chapter states each status precisely because a variable’s role determines what the headline coefficient means.</w:t>
      </w:r>
    </w:p>
    <w:p>
      <w:pPr>
        <w:pStyle w:val="BodyText"/>
        <w:spacing w:line="480" w:lineRule="auto"/>
        <w:ind w:firstLine="720"/>
      </w:pPr>
      <w:r>
        <w:t xml:space="preserve">Launch mass and operating lifetime appear in the mission-level study as documented covariates that enter the interpretation rather than the headline regression. The reason is a degrees-of-freedom argument the paper makes plainly: with twenty-five observations, loading the regression with mass and lifetime would spend scarce degrees of freedom and invite collinearity, because cost, mass, and lifetime move together across mission classes. The covariates are therefore retained as documented quantities and as a guard against the most obvious confounds, while the reported coefficient isolates the cost elasticity. The chapter records that this is a deliberate parsimony, not an omission, and that the controls exist in the panel even though they do not enter the headline specification.</w:t>
      </w:r>
    </w:p>
    <w:p>
      <w:pPr>
        <w:pStyle w:val="BodyText"/>
        <w:spacing w:line="480" w:lineRule="auto"/>
        <w:ind w:firstLine="720"/>
      </w:pPr>
      <w:r>
        <w:t xml:space="preserve">In the instrument-level study, operating lifetime is retained in the dataset as documented context and discussed as a validity consideration rather than entered as a competing regressor. The same parsimony logic governs: a panel of thirty-two cannot afford to trade the clarity of one falsifiable number for fragile multi-parameter estimates, so lifetime is held as context and the headline coefficient is reported as an unconditional mass elasticity. The chapter notes the mechanical reason lifetime matters even when held in reserve: a longer-lived instrument accrues records mechanically, so lifetime is a genuine confounder that the unconditional estimate does not partial out, and the paper says as much</w:t>
      </w:r>
      <w:r>
        <w:t xml:space="preserve"> </w:t>
      </w:r>
      <w:hyperlink w:anchor="ref-6">
        <w:r>
          <w:rPr>
            <w:rStyle w:val="Hyperlink"/>
          </w:rPr>
          <w:t xml:space="preserve">[6]</w:t>
        </w:r>
      </w:hyperlink>
      <w:r>
        <w:t xml:space="preserve">.</w:t>
      </w:r>
    </w:p>
    <w:p>
      <w:pPr>
        <w:pStyle w:val="BodyText"/>
        <w:spacing w:line="480" w:lineRule="auto"/>
        <w:ind w:firstLine="720"/>
      </w:pPr>
      <w:r>
        <w:t xml:space="preserve">The prospectus design promotes these context variables to explicit controls. There, log instrument mass, log operating lifetime in years, instrument-type indicators, and a vector of mission fixed effects all enter alongside log cost, and the construction of each is specified: lifetime from the Planetary Data System operating intervals, type from the Planetary Data System instrument classification, and the host-mission identifier from the same archive to anchor the fixed effects</w:t>
      </w:r>
      <w:r>
        <w:t xml:space="preserve"> </w:t>
      </w:r>
      <w:hyperlink w:anchor="ref-4">
        <w:r>
          <w:rPr>
            <w:rStyle w:val="Hyperlink"/>
          </w:rPr>
          <w:t xml:space="preserve">[4]</w:t>
        </w:r>
      </w:hyperlink>
      <w:r>
        <w:t xml:space="preserve">. Mission fixed effects are the core of that design’s identification, because comparing instruments flown on the same mission differences out the target body, the launch epoch, the data-release policy, the science-team size, and the era’s publication norms, leaving the cost coefficient to be identified from instruments that shared a bus but differed in price. The chapter documents this promotion so that the reader can see how the same physical and temporal quantities migrate from context, to control, to identifying structure as the unit of analysis sharpens.</w:t>
      </w:r>
    </w:p>
    <w:bookmarkEnd w:id="89"/>
    <w:bookmarkStart w:id="90" w:name="measurement-threats-internal-to-the-data"/>
    <w:p>
      <w:pPr>
        <w:pStyle w:val="Heading2"/>
        <w:spacing w:line="480" w:lineRule="auto"/>
      </w:pPr>
      <w:r>
        <w:t xml:space="preserve">4.7 Measurement Threats Internal to the Data</w:t>
      </w:r>
    </w:p>
    <w:p>
      <w:pPr>
        <w:pStyle w:val="FirstParagraph"/>
        <w:spacing w:line="480" w:lineRule="auto"/>
      </w:pPr>
      <w:r>
        <w:t xml:space="preserve">Several threats live in the data itself rather than in the estimator, and the chapter records the measurement responses that the studies adopt.</w:t>
      </w:r>
    </w:p>
    <w:p>
      <w:pPr>
        <w:pStyle w:val="BodyText"/>
        <w:spacing w:line="480" w:lineRule="auto"/>
        <w:ind w:firstLine="720"/>
      </w:pPr>
      <w:r>
        <w:t xml:space="preserve">Attribution noise in the publication count is the first. A paper may use several instruments, and crediting it to each named instrument inflates counts for instruments that travel in suites. The completed instrument-level study uses the raw technical-report proxy and accepts this noise as part of why the proxy is ordinal rather than absolute; the prospectus design caps it through fractional crediting with an integer-credit sensitivity case</w:t>
      </w:r>
      <w:r>
        <w:t xml:space="preserve"> </w:t>
      </w:r>
      <w:hyperlink w:anchor="ref-4">
        <w:r>
          <w:rPr>
            <w:rStyle w:val="Hyperlink"/>
          </w:rPr>
          <w:t xml:space="preserve">[4]</w:t>
        </w:r>
      </w:hyperlink>
      <w:r>
        <w:t xml:space="preserve">. The chapter records both treatments and is explicit that the completed and designed studies handle attribution differently.</w:t>
      </w:r>
    </w:p>
    <w:p>
      <w:pPr>
        <w:pStyle w:val="BodyText"/>
        <w:spacing w:line="480" w:lineRule="auto"/>
        <w:ind w:firstLine="720"/>
      </w:pPr>
      <w:r>
        <w:t xml:space="preserve">Survivorship is the second. Instruments and missions that fail early publish little, and excluding them would bias the elasticity by dropping the low-output, short-lifetime tail. The design retains failed instruments at their realized lifetime and enters lifetime as a control rather than a filter, so that early failures inform the slope rather than vanish from it</w:t>
      </w:r>
      <w:r>
        <w:t xml:space="preserve"> </w:t>
      </w:r>
      <w:hyperlink w:anchor="ref-6">
        <w:r>
          <w:rPr>
            <w:rStyle w:val="Hyperlink"/>
          </w:rPr>
          <w:t xml:space="preserve">[6]</w:t>
        </w:r>
      </w:hyperlink>
      <w:r>
        <w:t xml:space="preserve">. The completed studies carry lifetime as documented context for the same reason.</w:t>
      </w:r>
    </w:p>
    <w:p>
      <w:pPr>
        <w:pStyle w:val="BodyText"/>
        <w:spacing w:line="480" w:lineRule="auto"/>
        <w:ind w:firstLine="720"/>
      </w:pPr>
      <w:r>
        <w:t xml:space="preserve">Era and discipline effects are the third. Publication rates differ across decades and across instrument types, between optical imagers, mass spectrometers, and magnetometers, and an uncontrolled panel would confound a cost or mass effect with a discipline effect</w:t>
      </w:r>
      <w:r>
        <w:t xml:space="preserve"> </w:t>
      </w:r>
      <w:hyperlink w:anchor="ref-5">
        <w:r>
          <w:rPr>
            <w:rStyle w:val="Hyperlink"/>
          </w:rPr>
          <w:t xml:space="preserve">[5]</w:t>
        </w:r>
      </w:hyperlink>
      <w:r>
        <w:t xml:space="preserve">[7]. The prospectus design absorbs era within a mission through fixed effects and absorbs cross-discipline differences through instrument-type indicators; the completed studies, lacking the degrees of freedom for either, confine their claims to the ordering their proxies preserve and flag the residual confound.</w:t>
      </w:r>
    </w:p>
    <w:p>
      <w:pPr>
        <w:pStyle w:val="BodyText"/>
        <w:spacing w:line="480" w:lineRule="auto"/>
        <w:ind w:firstLine="720"/>
      </w:pPr>
      <w:r>
        <w:t xml:space="preserve">Construct validity is the fourth and most fundamental. The outcome is publication count, the construct is realized science, and the gap between them is permanent. The chapter does not pretend to close it. It records that the estimand is the elasticity of scholarly output, not of total mission value, and that the boundary is the same one the motivating economics names, the measurable value stream rather than the whole value of the enterprise</w:t>
      </w:r>
      <w:r>
        <w:t xml:space="preserve"> </w:t>
      </w:r>
      <w:hyperlink w:anchor="ref-1">
        <w:r>
          <w:rPr>
            <w:rStyle w:val="Hyperlink"/>
          </w:rPr>
          <w:t xml:space="preserve">[1]</w:t>
        </w:r>
      </w:hyperlink>
      <w:r>
        <w:t xml:space="preserve">[2][3].</w:t>
      </w:r>
    </w:p>
    <w:bookmarkEnd w:id="90"/>
    <w:bookmarkStart w:id="91" w:name="X5dc0aea1bbe8a672a670cb4a04096ccca77a7a2"/>
    <w:p>
      <w:pPr>
        <w:pStyle w:val="Heading2"/>
        <w:spacing w:line="480" w:lineRule="auto"/>
      </w:pPr>
      <w:r>
        <w:t xml:space="preserve">4.8 Reproducibility and the Provenance Discipline</w:t>
      </w:r>
    </w:p>
    <w:p>
      <w:pPr>
        <w:pStyle w:val="FirstParagraph"/>
        <w:spacing w:line="480" w:lineRule="auto"/>
      </w:pPr>
      <w:r>
        <w:t xml:space="preserve">The chapter closes on the property that makes the panels defensible: every input observation is sourced, and both completed studies expose their inputs for audit. Each row in each panel carries its own source string, and an accompanying workbook reproduces every input observation, the variable construction, and the estimator output, so that any figure on a results page can be traced to the record that produced it. No publication count, cost, mass, or lifetime in either completed panel is illustrative. The mission-level outcome traces to a single bibliometric census</w:t>
      </w:r>
      <w:r>
        <w:t xml:space="preserve"> </w:t>
      </w:r>
      <w:hyperlink w:anchor="ref-9">
        <w:r>
          <w:rPr>
            <w:rStyle w:val="Hyperlink"/>
          </w:rPr>
          <w:t xml:space="preserve">[9]</w:t>
        </w:r>
      </w:hyperlink>
      <w:r>
        <w:t xml:space="preserve">; the instrument-level outcome traces to reproducible technical-report queries recorded per row; cost traces to named public reporting with its currency conversion preserved; mass and lifetime trace to cited instrument papers and operations records. The prospectus design extends the same discipline to its larger panel by anchoring the instrument frame in the Planetary Data System and the outcome in the Astrophysics Data System, both public and programmatic, so that any reviewer can reconstruct the panel without privileged access</w:t>
      </w:r>
      <w:r>
        <w:t xml:space="preserve"> </w:t>
      </w:r>
      <w:hyperlink w:anchor="ref-4">
        <w:r>
          <w:rPr>
            <w:rStyle w:val="Hyperlink"/>
          </w:rPr>
          <w:t xml:space="preserve">[4]</w:t>
        </w:r>
      </w:hyperlink>
      <w:r>
        <w:t xml:space="preserve">[9]. This is the measurement foundation on which the elasticity estimates of the following chapters stand, and the dissertation asks to be judged on the auditability of these cells rather than on the authority of any aggregate it reports.</w:t>
      </w:r>
    </w:p>
    <w:bookmarkEnd w:id="91"/>
    <w:bookmarkEnd w:id="92"/>
    <w:bookmarkStart w:id="101" w:name="chapter-5.-methods-and-identification"/>
    <w:p>
      <w:pPr>
        <w:pStyle w:val="Heading1"/>
        <w:spacing w:line="480" w:lineRule="auto"/>
      </w:pPr>
      <w:r>
        <w:t xml:space="preserve">Chapter 5. Methods and Identification</w:t>
      </w:r>
    </w:p>
    <w:bookmarkStart w:id="93" w:name="purpose-and-position-of-the-chapter-1"/>
    <w:p>
      <w:pPr>
        <w:pStyle w:val="Heading2"/>
        <w:spacing w:line="480" w:lineRule="auto"/>
      </w:pPr>
      <w:r>
        <w:t xml:space="preserve">5.1 Purpose and Position of the Chapter</w:t>
      </w:r>
    </w:p>
    <w:p>
      <w:pPr>
        <w:pStyle w:val="FirstParagraph"/>
        <w:spacing w:line="480" w:lineRule="auto"/>
      </w:pPr>
      <w:r>
        <w:t xml:space="preserve">The framework chapter fixed the object to be estimated and the assumptions under which that object carries meaning. It posited a constant-elasticity production relationship between instrument cost and refereed science output, named the elasticity β as the single scalar that carries the dissertation’s falsifiable claim, and stated the two hypotheses, constant returns and diminishing returns, that the empirical work will adjudicate. What the framework did not do, by design, is choose the machinery that turns the panel into a number. That is the task of this chapter. Its purpose is to specify the estimators used, to lay out the identification strategy that licenses reading the headline coefficient as a productivity parameter rather than a bare association, and to enumerate the threats to that reading together with the bound that the design places on each.</w:t>
      </w:r>
    </w:p>
    <w:p>
      <w:pPr>
        <w:pStyle w:val="BodyText"/>
        <w:spacing w:line="480" w:lineRule="auto"/>
        <w:ind w:firstLine="720"/>
      </w:pPr>
      <w:r>
        <w:t xml:space="preserve">The chapter is organized so that the estimator, the identification, and the validity discussion form a single argument rather than three lists. The estimator is chosen to fit the outcome’s statistical character; the identification is chosen to fit the estimand’s causal character; and the validity discussion is the audit that confronts the two choices with the ways either could fail. Throughout, the chapter inherits the discipline established by the companion studies, which estimated the cost elasticity at the mission level and the mass elasticity at the instrument level, and which together fixed both the functional form and the standard of honesty to which the present estimates are held. The first companion study found a mission-level cost elasticity of 0.898 with a confidence interval that contained one, a null it reported plainly rather than dressing as a finding. The second found an instrument-level mass elasticity near 0.42 whose interval excluded both zero and one. The present chapter builds the estimator that carries the cost question, which the mission level left unresolved, down to the instrument level, where the mass study showed that sub-unit elasticities can be estimated precisely.</w:t>
      </w:r>
    </w:p>
    <w:bookmarkEnd w:id="93"/>
    <w:bookmarkStart w:id="94" w:name="the-outcome-and-the-choice-of-estimator"/>
    <w:p>
      <w:pPr>
        <w:pStyle w:val="Heading2"/>
        <w:spacing w:line="480" w:lineRule="auto"/>
      </w:pPr>
      <w:r>
        <w:t xml:space="preserve">5.2 The Outcome and the Choice of Estimator</w:t>
      </w:r>
    </w:p>
    <w:p>
      <w:pPr>
        <w:pStyle w:val="FirstParagraph"/>
        <w:spacing w:line="480" w:lineRule="auto"/>
      </w:pPr>
      <w:r>
        <w:t xml:space="preserve">The dependent variable is a non-negative integer, the count of refereed papers whose data provenance includes a given instrument over a fixed exploitation window. This single fact about the outcome governs the choice of estimator and rules out the most familiar option. The learning-curve form that the companion studies used regressed the natural log of a count on the natural log of a regressor by ordinary least squares, and that choice was defensible at the mission and instrument-mass levels because the counts there were large and the log transform was well behaved. At the instrument level, where the panel reaches down to payloads that generated only a handful of papers, the log-of-count transform becomes hazardous. Counts of zero have no logarithm, and the conventional repairs, dropping the zeros or adding an arbitrary constant before logging, either discard the failed and short-lived instruments that the design must retain or introduce a tuning parameter that silently moves the estimated slope. An estimator built for counts avoids both pathologies.</w:t>
      </w:r>
    </w:p>
    <w:p>
      <w:pPr>
        <w:pStyle w:val="BodyText"/>
        <w:spacing w:line="480" w:lineRule="auto"/>
        <w:ind w:firstLine="720"/>
      </w:pPr>
      <w:r>
        <w:t xml:space="preserve">The estimator is therefore a count regression in the generalized-linear-model family, with a logarithmic link so that the linear predictor enters multiplicatively and the coefficient on log cost recovers the elasticity directly. The natural first member of that family is the Poisson regression, whose log link delivers exactly the constant-elasticity reading the framework requires: the coefficient on log cost is the percentage change in expected count per one percent change in cost, which is β by construction. Poisson regression, however, imposes that the conditional variance equals the conditional mean, and publication counts violate this restriction severely. A few instruments generate enormous literatures while most generate modest ones, so the variance of the count far exceeds its mean, the condition known as overdispersion. Under overdispersion the Poisson point estimates remain consistent but their standard errors are understated, which would manufacture false precision around β and corrupt the very interval on which the hypothesis test turns.</w:t>
      </w:r>
    </w:p>
    <w:p>
      <w:pPr>
        <w:pStyle w:val="BodyText"/>
        <w:spacing w:line="480" w:lineRule="auto"/>
        <w:ind w:firstLine="720"/>
      </w:pPr>
      <w:r>
        <w:t xml:space="preserve">The headline estimator is consequently the negative-binomial regression, which generalizes the Poisson by adding a dispersion parameter that lets the conditional variance exceed the conditional mean. The negative-binomial model nests the Poisson as the limiting case in which the dispersion parameter goes to zero, so the choice is not a departure from the count-model logic but its disciplined completion. The dispersion parameter is estimated from the data rather than assumed, and its magnitude is itself reported as evidence on whether overdispersion was present and material. Where the dispersion parameter is large and precisely estimated, the negative-binomial model is doing necessary work that a Poisson model would have left undone, and the inflation of the standard errors relative to the naive Poisson is the size of the false precision avoided. The framework chapter committed the dissertation to this estimator in advance, and the commitment is honored here without amendment.</w:t>
      </w:r>
    </w:p>
    <w:bookmarkEnd w:id="94"/>
    <w:bookmarkStart w:id="95" w:name="the-headline-specification"/>
    <w:p>
      <w:pPr>
        <w:pStyle w:val="Heading2"/>
        <w:spacing w:line="480" w:lineRule="auto"/>
      </w:pPr>
      <w:r>
        <w:t xml:space="preserve">5.3 The Headline Specification</w:t>
      </w:r>
    </w:p>
    <w:p>
      <w:pPr>
        <w:pStyle w:val="FirstParagraph"/>
        <w:spacing w:line="480" w:lineRule="auto"/>
      </w:pPr>
      <w:r>
        <w:t xml:space="preserve">The specification regresses the expected count of publications on the regressor of interest and the controls the framework named as the confounders any reviewer would raise first. Under the log link, the conditional mean is written as the exponential of a linear predictor:</w:t>
      </w:r>
    </w:p>
    <w:p>
      <w:pPr>
        <w:pStyle w:val="BlockText"/>
        <w:spacing w:line="480" w:lineRule="auto"/>
      </w:pPr>
      <w:r>
        <w:t xml:space="preserve">E[ y_i | x_i ] = exp( α + β · log c_i + γ₁ · log m_i + γ₂ · log ℓ_i + δ · type_i + μ · mission_i )</w:t>
      </w:r>
    </w:p>
    <w:p>
      <w:pPr>
        <w:pStyle w:val="FirstParagraph"/>
        <w:spacing w:line="480" w:lineRule="auto"/>
      </w:pPr>
      <w:r>
        <w:t xml:space="preserve">Here y_i is the publication count of instrument i, c_i is inflation-adjusted development cost, m_i is instrument mass, ℓ_i is operating lifetime in years, type_i is a vector of instrument-type indicators, and mission_i is a vector of host-mission indicators. The coefficient β on log cost is the empirical counterpart of the structural elasticity, and the entire falsifiable content of the chapter reduces to its estimate and to where the confidence interval around it sits relative to one.</w:t>
      </w:r>
    </w:p>
    <w:p>
      <w:pPr>
        <w:pStyle w:val="BodyText"/>
        <w:spacing w:line="480" w:lineRule="auto"/>
        <w:ind w:firstLine="720"/>
      </w:pPr>
      <w:r>
        <w:t xml:space="preserve">Three of the controls discharge obligations the framework chapter incurred. Log mass enters because mass proxies for instrument complexity and is the field’s habitual capability surrogate, so two instruments of equal scientific ambition but different mass are not a clean cost comparison until mass is held fixed</w:t>
      </w:r>
      <w:r>
        <w:t xml:space="preserve"> </w:t>
      </w:r>
      <w:hyperlink w:anchor="ref-7">
        <w:r>
          <w:rPr>
            <w:rStyle w:val="Hyperlink"/>
          </w:rPr>
          <w:t xml:space="preserve">[7]</w:t>
        </w:r>
      </w:hyperlink>
      <w:r>
        <w:t xml:space="preserve">. Log operating lifetime enters because a long-lived instrument accrues papers mechanically as its data set is exploited across successive observing campaigns, independent of how expensive it was to build</w:t>
      </w:r>
      <w:r>
        <w:t xml:space="preserve"> </w:t>
      </w:r>
      <w:hyperlink w:anchor="ref-6">
        <w:r>
          <w:rPr>
            <w:rStyle w:val="Hyperlink"/>
          </w:rPr>
          <w:t xml:space="preserve">[6]</w:t>
        </w:r>
      </w:hyperlink>
      <w:r>
        <w:t xml:space="preserve">; entering lifetime as a regressor rather than a filter is what neutralizes the cost-for-time substitution channel that the framework identified as a source of bias. Instrument-type indicators enter because an optical imager, a mass spectrometer, and a magnetometer carry different baseline publication rates that have nothing to do with cost</w:t>
      </w:r>
      <w:r>
        <w:t xml:space="preserve"> </w:t>
      </w:r>
      <w:hyperlink w:anchor="ref-5">
        <w:r>
          <w:rPr>
            <w:rStyle w:val="Hyperlink"/>
          </w:rPr>
          <w:t xml:space="preserve">[5]</w:t>
        </w:r>
      </w:hyperlink>
      <w:r>
        <w:t xml:space="preserve">[7]. The mission indicators are reserved for separate treatment in the next section, because they are not merely a control but the core of the identification.</w:t>
      </w:r>
    </w:p>
    <w:p>
      <w:pPr>
        <w:pStyle w:val="BodyText"/>
        <w:spacing w:line="480" w:lineRule="auto"/>
        <w:ind w:firstLine="720"/>
      </w:pPr>
      <w:r>
        <w:t xml:space="preserve">The specification is deliberately confined to the controls the framework licensed and no others. The companion studies established that loading a small panel with additional regressors trades the clarity of one falsifiable number for fragile multi-parameter estimates and invites collinearity, since cost, mass, and lifetime move together across mission classes. The mission-level study reported precisely this constraint as its reason for a parsimonious headline equation. The present design spends its degrees of freedom on the four confounders the causal logic requires and resists the temptation to add covariates whose only effect would be to widen the interval on β without sharpening the estimand. Each control is present because the framework named it as a confounder, not because it improves fit.</w:t>
      </w:r>
    </w:p>
    <w:bookmarkEnd w:id="95"/>
    <w:bookmarkStart w:id="96" w:name="the-identification-strategy"/>
    <w:p>
      <w:pPr>
        <w:pStyle w:val="Heading2"/>
        <w:spacing w:line="480" w:lineRule="auto"/>
      </w:pPr>
      <w:r>
        <w:t xml:space="preserve">5.4 The Identification Strategy</w:t>
      </w:r>
    </w:p>
    <w:p>
      <w:pPr>
        <w:pStyle w:val="FirstParagraph"/>
        <w:spacing w:line="480" w:lineRule="auto"/>
      </w:pPr>
      <w:r>
        <w:t xml:space="preserve">An estimated elasticity is a productivity parameter only if the comparison that produces it holds the confounders fixed, and the heart of the identification is the host-mission fixed effect. Including a full set of mission indicators forces β to be identified from variation in cost among instruments that flew on the same mission. Comparing instruments within a single mission differences out everything common to that mission: its target body, its launch epoch, its data-release policy, the size and activity of its science team, and the publication norms of its era. These are exactly the mission-level quantities that move publication output for reasons unrelated to an instrument’s own cost, and the fixed effect removes them without requiring that any of them be measured. What remains, after the mission means are swept out, is the relationship between cost and output among payloads that shared a bus and a campaign but differed in price. That residual relationship is the cost elasticity the dissertation seeks.</w:t>
      </w:r>
    </w:p>
    <w:p>
      <w:pPr>
        <w:pStyle w:val="BodyText"/>
        <w:spacing w:line="480" w:lineRule="auto"/>
        <w:ind w:firstLine="720"/>
      </w:pPr>
      <w:r>
        <w:t xml:space="preserve">This is the move the first companion study could not make. At the mission level each mission is a single observation, so there is nothing within a program to compare it against, and the mission-level elasticity is necessarily identified from the cross-program comparison that mixes cost differences with every other way that programs differ. The second companion study demonstrated that the instrument level carries enough within-class variation to estimate a sub-unit elasticity precisely, which is the empirical warrant for expecting the within-mission comparison to resolve the cost question that the mission level left open. The fixed-effect strategy is therefore not a refinement of the companion designs but the specific feature that the instrument-level panel makes available and the mission-level panel did not.</w:t>
      </w:r>
    </w:p>
    <w:p>
      <w:pPr>
        <w:pStyle w:val="BodyText"/>
        <w:spacing w:line="480" w:lineRule="auto"/>
        <w:ind w:firstLine="720"/>
      </w:pPr>
      <w:r>
        <w:t xml:space="preserve">The central threat to this strategy is that cost is not randomly assigned. Instruments are made expensive on purpose, and they are often made expensive because their science case was judged strong in advance. If the payloads that win large instrument budgets are the payloads whose science was pre-judged most publishable, then expensive instruments will publish more for a reason that has nothing to do with the productivity of the marginal dollar, and β will be biased toward the constant-returns null. The within-mission comparison already absorbs the program-level component of this selection, because instruments on the same bus faced the same selection committee operating under the same program priorities. What it cannot absorb is selection that operates among instruments within a mission, where a project office deliberately funds the payload it expects to be the scientific centerpiece more generously than its companions.</w:t>
      </w:r>
    </w:p>
    <w:p>
      <w:pPr>
        <w:pStyle w:val="BodyText"/>
        <w:spacing w:line="480" w:lineRule="auto"/>
        <w:ind w:firstLine="720"/>
      </w:pPr>
      <w:r>
        <w:t xml:space="preserve">The design meets this residual threat with an instrumental-variables strategy that uses pre-launch technology-readiness level and detector heritage as instruments for realized cost. The logic is the standard one. A valid instrument must move the regressor and must be excludable from the outcome except through the regressor. Technology readiness and detector heritage move development cost through engineering channels: a low-readiness detector or a design without flight heritage costs more to bring to qualification, independent of how citable the resulting papers will be. Those same channels are plausibly orthogonal to a paper’s eventual citability, because the maturity of a detector at selection is an engineering state, not a forecast of scientific yield. The instrumented estimate of β is reported alongside the fixed-effect estimate, and the two are read together: agreement between them strengthens the causal reading, while a gap between them localizes the selection bias and bounds its size. The instrument is not offered as a clean experiment, which the data cannot supply, but as a second route to β whose biases differ from those of the fixed-effect route, so that a finding robust across both is robust against the failure of either alone.</w:t>
      </w:r>
    </w:p>
    <w:bookmarkEnd w:id="96"/>
    <w:bookmarkStart w:id="97" w:name="inference-and-the-test-against-one"/>
    <w:p>
      <w:pPr>
        <w:pStyle w:val="Heading2"/>
        <w:spacing w:line="480" w:lineRule="auto"/>
      </w:pPr>
      <w:r>
        <w:t xml:space="preserve">5.5 Inference and the Test Against One</w:t>
      </w:r>
    </w:p>
    <w:p>
      <w:pPr>
        <w:pStyle w:val="FirstParagraph"/>
        <w:spacing w:line="480" w:lineRule="auto"/>
      </w:pPr>
      <w:r>
        <w:t xml:space="preserve">The hypotheses are framed around the constant-returns boundary, β equal to one, not around the no-effect boundary, β equal to zero. The companion studies have already established that cost and its correlates predict science output strongly and reliably, so a test against zero would confirm only what is no longer in question. The economically meaningful test asks whether the response is proportional or less than proportional, and that question is decided at one. The inference machinery is therefore arranged to put a confidence interval around β and to ask where that interval sits relative to one, exactly as the companion studies did.</w:t>
      </w:r>
    </w:p>
    <w:p>
      <w:pPr>
        <w:pStyle w:val="BodyText"/>
        <w:spacing w:line="480" w:lineRule="auto"/>
        <w:ind w:firstLine="720"/>
      </w:pPr>
      <w:r>
        <w:t xml:space="preserve">Standard errors are computed to be robust to the residual heteroskedasticity that count data exhibit even after the negative-binomial dispersion parameter has absorbed the bulk of the overdispersion. Where the within-mission structure induces correlation among instruments that share a bus, the standard errors are clustered on the host mission so that inference does not treat instruments from the same program as independent draws. The test of constant returns is a Wald test of the restriction that β equals one, reported with its test statistic, its degrees of freedom, and both its one-sided and two-sided p-values. The companion mass study supplied the template: it reported a Wald test of the constant-returns null that rejected proportional scaling against the diminishing-returns alternative with a test statistic near negative five and a p-value below one in a thousand. The present chapter holds its cost elasticity to the same form of test, and it commits in advance to the decision rule that the framework stated. If the estimated β is statistically distinguishable from one and lies below it, constant returns is rejected in favor of diminishing returns and the central claim is supported. If β is statistically indistinguishable from one, the diminishing-returns claim fails regardless of where the point estimate falls, exactly as it failed to be confirmed at the mission level where the estimate of 0.898 sat below one but the interval contained it.</w:t>
      </w:r>
    </w:p>
    <w:p>
      <w:pPr>
        <w:pStyle w:val="BodyText"/>
        <w:spacing w:line="480" w:lineRule="auto"/>
        <w:ind w:firstLine="720"/>
      </w:pPr>
      <w:r>
        <w:t xml:space="preserve">The test is one-sided in intent, because the mechanism predicts a specific direction, but it is reported two-sided for honesty, so that an estimate above one would be visible rather than suppressed. The number is a single scalar with a confidence interval, and the chapter is explicit that no reinterpretation can rescue it from the side of the boundary on which it lands.</w:t>
      </w:r>
    </w:p>
    <w:bookmarkEnd w:id="97"/>
    <w:bookmarkStart w:id="98" w:name="threats-to-validity-and-their-bounds"/>
    <w:p>
      <w:pPr>
        <w:pStyle w:val="Heading2"/>
        <w:spacing w:line="480" w:lineRule="auto"/>
      </w:pPr>
      <w:r>
        <w:t xml:space="preserve">5.6 Threats to Validity and Their Bounds</w:t>
      </w:r>
    </w:p>
    <w:p>
      <w:pPr>
        <w:pStyle w:val="FirstParagraph"/>
        <w:spacing w:line="480" w:lineRule="auto"/>
      </w:pPr>
      <w:r>
        <w:t xml:space="preserve">Five threats condition the validity of the estimate, and the design’s claim to rigor rests on bounding each rather than asserting that none operates. The threats are taken in turn, and for each the chapter states the mechanism of the threat, the direction of the bias it would induce, and the specific feature of the design that caps it.</w:t>
      </w:r>
    </w:p>
    <w:p>
      <w:pPr>
        <w:pStyle w:val="BodyText"/>
        <w:spacing w:line="480" w:lineRule="auto"/>
        <w:ind w:firstLine="720"/>
      </w:pPr>
      <w:r>
        <w:t xml:space="preserve">The first threat is attribution noise in the publication count. A paper may use several instruments, and crediting the paper to each named instrument inflates the counts of instruments that travel in suites relative to instruments that fly alone. The bias is not uniform; it falls hardest on the multi-instrument payloads that a flagship carries, which are disproportionately the expensive ones, so unbounded over-crediting would tilt β toward the constant-returns null by lending expensive suites more papers than their own data earned. The design caps this by making the unit of credit a modeling choice that is tested rather than assumed. The primary rule is fractional crediting, splitting a multi-instrument paper equally across its named instruments, and the integer-credit count is reported as a sensitivity case. The bound on the threat is the gap between the fractional-credit and integer-credit estimates of β: if the two estimates agree, attribution noise is shown to be immaterial to the conclusion, and if they diverge, the divergence localizes the threat and the fractional estimate, which does not double-count, is the one the inference relies on.</w:t>
      </w:r>
    </w:p>
    <w:p>
      <w:pPr>
        <w:pStyle w:val="BodyText"/>
        <w:spacing w:line="480" w:lineRule="auto"/>
        <w:ind w:firstLine="720"/>
      </w:pPr>
      <w:r>
        <w:t xml:space="preserve">The second threat is the citability-cost confound, the selection problem named in the identification section. Expensive instruments may be expensive because their science was pre-judged strong, which biases β upward toward constant returns. The primary bound is the within-mission fixed effect, which absorbs the program-level component of the selection by comparing only instruments that faced the same selection committee. The secondary bound is the instrumental-variables strategy, which uses technology readiness and detector heritage to isolate the engineering-driven component of cost from the science-anticipation component. The chapter is explicit about the direction of the residual bias and turns it into an asset for interpretation: because selection biases β toward one, a rejection of constant returns in favor of diminishing returns would be obtained against the grain of the most plausible bias, and would therefore be a conservative finding rather than an artifact of the design.</w:t>
      </w:r>
    </w:p>
    <w:p>
      <w:pPr>
        <w:pStyle w:val="BodyText"/>
        <w:spacing w:line="480" w:lineRule="auto"/>
        <w:ind w:firstLine="720"/>
      </w:pPr>
      <w:r>
        <w:t xml:space="preserve">The third threat is survivorship and lifetime. Instruments that fail early publish little, and excluding them would select the panel on the outcome and bias β by dropping precisely the low-output observations whose cost was nonetheless incurred. The bound is a rule of construction rather than a statistical correction: the panel retains failed and short-lived instruments at their realized operating lifetime, and lifetime enters the specification as a control rather than as a filter</w:t>
      </w:r>
      <w:r>
        <w:t xml:space="preserve"> </w:t>
      </w:r>
      <w:hyperlink w:anchor="ref-6">
        <w:r>
          <w:rPr>
            <w:rStyle w:val="Hyperlink"/>
          </w:rPr>
          <w:t xml:space="preserve">[6]</w:t>
        </w:r>
      </w:hyperlink>
      <w:r>
        <w:t xml:space="preserve">. Retaining the failures keeps the cost-output relationship anchored at the unproductive end of the distribution, and controlling for lifetime separates the mechanical accrual of papers over time from the cost elasticity itself, so that an instrument is not credited with productivity that is merely longevity.</w:t>
      </w:r>
    </w:p>
    <w:p>
      <w:pPr>
        <w:pStyle w:val="BodyText"/>
        <w:spacing w:line="480" w:lineRule="auto"/>
        <w:ind w:firstLine="720"/>
      </w:pPr>
      <w:r>
        <w:t xml:space="preserve">The fourth threat is era and discipline effects in publication norms. Publication rates differ across decades and across instrument types, so an optical imager from one era and a mass spectrometer from another are not exchangeable units even at equal cost</w:t>
      </w:r>
      <w:r>
        <w:t xml:space="preserve"> </w:t>
      </w:r>
      <w:hyperlink w:anchor="ref-5">
        <w:r>
          <w:rPr>
            <w:rStyle w:val="Hyperlink"/>
          </w:rPr>
          <w:t xml:space="preserve">[5]</w:t>
        </w:r>
      </w:hyperlink>
      <w:r>
        <w:t xml:space="preserve">[7]. The bound is the conjunction of two design elements already in the specification. Mission fixed effects absorb era within a mission, because all instruments on a mission share a launch epoch and the publication norms of their period, and instrument-type indicators absorb the cross-discipline differences in baseline publication rate. Between them, the era component and the discipline component of the norm differences are removed from the residual variation that identifies β, leaving the cost elasticity net of both.</w:t>
      </w:r>
    </w:p>
    <w:p>
      <w:pPr>
        <w:pStyle w:val="BodyText"/>
        <w:spacing w:line="480" w:lineRule="auto"/>
        <w:ind w:firstLine="720"/>
      </w:pPr>
      <w:r>
        <w:t xml:space="preserve">The fifth threat is the construct validity of papers as science. Refereed publication count is a proxy for realized science, not science itself, and it undercounts mission types whose value is operational or strategic rather than scholarly</w:t>
      </w:r>
      <w:r>
        <w:t xml:space="preserve"> </w:t>
      </w:r>
      <w:hyperlink w:anchor="ref-3">
        <w:r>
          <w:rPr>
            <w:rStyle w:val="Hyperlink"/>
          </w:rPr>
          <w:t xml:space="preserve">[3]</w:t>
        </w:r>
      </w:hyperlink>
      <w:r>
        <w:t xml:space="preserve">. An instrument whose primary deliverable is engineering demonstration, planetary protection, or resource prospecting may return large programmatic value while generating few refereed papers, and the elasticity estimated here says nothing about such instruments except that they lie outside its scope. The bound here is not a correction but an honest delimitation of the estimand. The chapter confines its reading to instruments whose primary deliverable is published planetary science, and it states this boundary as a property of the estimand rather than as an apology for it. The economic framing that motivates the study is the same one that warns its scope is the measurable value stream, not the whole value of the enterprise</w:t>
      </w:r>
      <w:r>
        <w:t xml:space="preserve"> </w:t>
      </w:r>
      <w:hyperlink w:anchor="ref-1">
        <w:r>
          <w:rPr>
            <w:rStyle w:val="Hyperlink"/>
          </w:rPr>
          <w:t xml:space="preserve">[1]</w:t>
        </w:r>
      </w:hyperlink>
      <w:r>
        <w:t xml:space="preserve">[2]. A further property of the construct, that it preserves cross-instrument ordering more reliably than it recovers absolute output, works in the design’s favor, because the elasticity is identified from how output moves with cost across instruments and not from the absolute level of any one count</w:t>
      </w:r>
      <w:r>
        <w:t xml:space="preserve"> </w:t>
      </w:r>
      <w:hyperlink w:anchor="ref-6">
        <w:r>
          <w:rPr>
            <w:rStyle w:val="Hyperlink"/>
          </w:rPr>
          <w:t xml:space="preserve">[6]</w:t>
        </w:r>
      </w:hyperlink>
      <w:r>
        <w:t xml:space="preserve">.</w:t>
      </w:r>
    </w:p>
    <w:bookmarkEnd w:id="98"/>
    <w:bookmarkStart w:id="99" w:name="Xc35878bbb19a34e752cb0d514f06b17c7248c1a"/>
    <w:p>
      <w:pPr>
        <w:pStyle w:val="Heading2"/>
        <w:spacing w:line="480" w:lineRule="auto"/>
      </w:pPr>
      <w:r>
        <w:t xml:space="preserve">5.7 Robustness and the Discipline of Replication</w:t>
      </w:r>
    </w:p>
    <w:p>
      <w:pPr>
        <w:pStyle w:val="FirstParagraph"/>
        <w:spacing w:line="480" w:lineRule="auto"/>
      </w:pPr>
      <w:r>
        <w:t xml:space="preserve">Beyond the five threats, the design carries a set of robustness checks whose function is to show that the headline estimate does not depend on a single discretionary choice. The estimator is re-run as a Poisson regression with robust standard errors to confirm that the negative-binomial dispersion parameter, and not the choice of count family, is what governs the inference; the two point estimates should agree while the negative-binomial interval is the wider and more honest one. The exploitation window over which publications are counted is varied, lengthening and shortening the fixed trailing period, to confirm that older and newer instruments are compared on equal exposure and that the elasticity is not an artifact of the window’s length. The instrument-type partition is coarsened and refined to confirm that the discipline control is neither so fine that it absorbs the cost variation of interest nor so coarse that it leaves discipline effects in the residual. Each robustness result is reported as a band around the headline β rather than as a separate verdict, so that the reader sees the estimate’s sensitivity to design choices directly.</w:t>
      </w:r>
    </w:p>
    <w:p>
      <w:pPr>
        <w:pStyle w:val="BodyText"/>
        <w:spacing w:line="480" w:lineRule="auto"/>
        <w:ind w:firstLine="720"/>
      </w:pPr>
      <w:r>
        <w:t xml:space="preserve">The discipline that binds all of these checks is replicability. The framework chapter committed the study to a data-provenance gate: the panel is built from the NASA Planetary Data System instrument registry joined to a public bibliographic source, with inflation-adjusted cost compiled from public NASA cost reporting and deflated by a standard government deflator. The deflation procedure and the treatment of public science as a measurable value stream follow the space-economy sources the study cites</w:t>
      </w:r>
      <w:r>
        <w:t xml:space="preserve"> </w:t>
      </w:r>
      <w:hyperlink w:anchor="ref-1">
        <w:r>
          <w:rPr>
            <w:rStyle w:val="Hyperlink"/>
          </w:rPr>
          <w:t xml:space="preserve">[1]</w:t>
        </w:r>
      </w:hyperlink>
      <w:r>
        <w:t xml:space="preserve">[2]. Every row carries its own source string, no input is illustrative, and any reviewer can reconstruct the panel and re-estimate β without privileged access. The companion studies enforced exactly this standard, embedding their inputs and estimator output in auditable workbooks, and the present chapter inherits it. The methods of this dissertation are not merely stated; they are arranged so that the single number on which the dissertation stands or falls can be regenerated, checked, and, if it is wrong, overturned by anyone willing to repeat the work.</w:t>
      </w:r>
    </w:p>
    <w:bookmarkEnd w:id="99"/>
    <w:bookmarkStart w:id="100" w:name="summary"/>
    <w:p>
      <w:pPr>
        <w:pStyle w:val="Heading2"/>
        <w:spacing w:line="480" w:lineRule="auto"/>
      </w:pPr>
      <w:r>
        <w:t xml:space="preserve">5.8 Summary</w:t>
      </w:r>
    </w:p>
    <w:p>
      <w:pPr>
        <w:pStyle w:val="FirstParagraph"/>
        <w:spacing w:line="480" w:lineRule="auto"/>
      </w:pPr>
      <w:r>
        <w:t xml:space="preserve">This chapter selected a negative-binomial count regression with a log link as the estimator, justified by the integer, overdispersed character of the publication-count outcome and by the hazards that a log-of-count ordinary-least-squares model would court at the instrument level. It specified a headline equation in which the coefficient on log cost is the structural elasticity β, controlled by log mass, log operating lifetime, and instrument type, with the test framed around the constant-returns boundary rather than the no-effect boundary. It located the identification in the host-mission fixed effect, which differences out everything common to a mission and identifies β from instruments that shared a bus but differed in price, and it supplemented the fixed effect with an instrumental-variables strategy in technology readiness and detector heritage to confront the one threat the fixed effect cannot fully absorb, the selection of expensive instruments on anticipated science strength. It then bounded the five threats to validity in turn, naming for each the direction of its bias and the design feature that caps it, and it closed with the robustness checks and the provenance gate that make the estimate replicable. The chapter that follows takes this machinery to the panel and reports the number.</w:t>
      </w:r>
    </w:p>
    <w:bookmarkEnd w:id="100"/>
    <w:bookmarkEnd w:id="101"/>
    <w:bookmarkStart w:id="106" w:name="chapter-6.-results"/>
    <w:p>
      <w:pPr>
        <w:pStyle w:val="Heading1"/>
        <w:spacing w:line="480" w:lineRule="auto"/>
      </w:pPr>
      <w:r>
        <w:t xml:space="preserve">Chapter 6. Results</w:t>
      </w:r>
    </w:p>
    <w:p>
      <w:pPr>
        <w:pStyle w:val="FirstParagraph"/>
        <w:spacing w:line="480" w:lineRule="auto"/>
      </w:pPr>
      <w:r>
        <w:t xml:space="preserve">This chapter presents the empirical findings of the dissertation. The argument of the preceding chapters has been that planetary science buys instruments and missions but is judged on papers, and that the trade between dollars and published science has been settled by heritage and analogy rather than by a measured productivity relationship</w:t>
      </w:r>
      <w:r>
        <w:t xml:space="preserve"> </w:t>
      </w:r>
      <w:hyperlink w:anchor="ref-1">
        <w:r>
          <w:rPr>
            <w:rStyle w:val="Hyperlink"/>
          </w:rPr>
          <w:t xml:space="preserve">[1]</w:t>
        </w:r>
      </w:hyperlink>
      <w:r>
        <w:t xml:space="preserve">[4]. Two estimations were assembled to convert that informal trade into a number. The first fits a learning-curve elasticity of refereed publication output on total mission cost across a panel of twenty-five space-science missions. The second fits the companion elasticity of refereed output on flight mass across a panel of thirty-two flown planetary instruments. Each estimation produces a single coefficient with a single confidence interval, and each is tested not against the trivial null of no relationship but against the economically meaningful null of constant returns. The two findings point in the same direction but differ sharply in how confidently they can be asserted, and the honest reconciliation of that difference is the central work of this chapter.</w:t>
      </w:r>
    </w:p>
    <w:p>
      <w:pPr>
        <w:pStyle w:val="BodyText"/>
        <w:spacing w:line="480" w:lineRule="auto"/>
        <w:ind w:firstLine="720"/>
      </w:pPr>
      <w:r>
        <w:t xml:space="preserve">The two estimations are reported in the order in which they bear on the dissertation’s controlling hypothesis. The cost elasticity is the headline quantity, because cost is the input the appropriation actually controls. The mass elasticity is the supporting quantity, because mass is the surrogate the engineering community already uses when it reasons about cost and capability informally</w:t>
      </w:r>
      <w:r>
        <w:t xml:space="preserve"> </w:t>
      </w:r>
      <w:hyperlink w:anchor="ref-4">
        <w:r>
          <w:rPr>
            <w:rStyle w:val="Hyperlink"/>
          </w:rPr>
          <w:t xml:space="preserve">[4]</w:t>
        </w:r>
      </w:hyperlink>
      <w:r>
        <w:t xml:space="preserve">[5]. Together they bracket the diminishing-returns claim from two directions, and the contrast between a wide cost interval and a tight mass interval is itself one of the chapter’s findings. The full input panels, the variable constructions, the regression equations, and the complete estimator output are embedded as Appendix A; this chapter reports the coefficients and interprets them, and every numerical value stated here is taken directly from the estimator output reproduced there.</w:t>
      </w:r>
    </w:p>
    <w:bookmarkStart w:id="102" w:name="X0a8d413786d29bc5e88121a019e9308766f32f4"/>
    <w:p>
      <w:pPr>
        <w:pStyle w:val="Heading2"/>
        <w:spacing w:line="480" w:lineRule="auto"/>
      </w:pPr>
      <w:r>
        <w:t xml:space="preserve">6.1 The Cost Elasticity of Publication Output</w:t>
      </w:r>
    </w:p>
    <w:p>
      <w:pPr>
        <w:pStyle w:val="FirstParagraph"/>
        <w:spacing w:line="480" w:lineRule="auto"/>
      </w:pPr>
      <w:r>
        <w:t xml:space="preserve">The headline specification regresses the natural log of mission publication count on the natural log of total life-cycle cost, with heteroskedasticity-robust HC1 standard errors, across the panel of twenty-five space-science missions for which all four documented quantities exist. The coefficient on log cost is, by construction, the elasticity of science output with respect to dollars, and it carries the entire falsifiable claim. The estimate is beta equal to 0.898, with a robust standard error of 0.158. The intercept of the regression is 1.700 with a standard error of 1.019 and an associated p-value of 0.095, so the constant term is not separately distinguishable from zero at conventional thresholds, which is unremarkable for a log-log fit where the intercept merely fixes the level of the implied power law rather than carrying any structural claim.</w:t>
      </w:r>
    </w:p>
    <w:p>
      <w:pPr>
        <w:pStyle w:val="BodyText"/>
        <w:spacing w:line="480" w:lineRule="auto"/>
        <w:ind w:firstLine="720"/>
      </w:pPr>
      <w:r>
        <w:t xml:space="preserve">The coefficient is estimated precisely enough to demolish the trivial null. Tested against zero, the elasticity yields a t statistic of roughly 5.7, and the reported p-value rounds to below 0.001. Cost is therefore a strong and statistically reliable predictor of how much refereed science a mission eventually returns. The regression explains a little over half of the cross-mission variation in log publication count, with an R-squared of 0.539 on twenty-five observations. For a single-regressor learning-curve fit across missions that span three orders of magnitude in cost, from missions near one hundred million dollars to a flagship observatory near nine billion, and a comparable range in output from under two hundred papers to more than nineteen thousand, an R-squared above one half is a substantial degree of explained variance. It confirms that the gross relationship the field assumes informally, that more expensive missions generate more literature, is real and that it is well captured by a constant-elasticity power law. That confirmation, while necessary, is not the contribution. No one seriously doubts that a nine-billion-dollar observatory outpublishes a one-hundred-million-dollar probe; the policy question is whether it does so proportionally.</w:t>
      </w:r>
    </w:p>
    <w:p>
      <w:pPr>
        <w:pStyle w:val="BodyText"/>
        <w:spacing w:line="480" w:lineRule="auto"/>
        <w:ind w:firstLine="720"/>
      </w:pPr>
      <w:r>
        <w:t xml:space="preserve">The economically meaningful test is therefore against constant returns, beta equal to one, and here the finding is a null result that must be stated without inflation. The point estimate of 0.898 lies below one, which is the direction that the diminishing-returns alternative predicts, but it does not lie far enough below one to be statistically separated from it. The t statistic for the hypothesis that beta equals one is -0.645 on twenty-three degrees of freedom. The associated two-sided p-value is 0.525, and the one-sided p-value, appropriate to the directional alternative that motivates the study, is 0.263. Neither approaches any conventional rejection threshold. The ninety-five percent confidence interval for the cost elasticity, as reported in the accompanying workbook, runs from 0.589 to 1.207 and therefore comfortably contains one. On this sample, the hypothesis of constant returns to scale in science output cannot be rejected.</w:t>
      </w:r>
    </w:p>
    <w:p>
      <w:pPr>
        <w:pStyle w:val="BodyText"/>
        <w:spacing w:line="480" w:lineRule="auto"/>
        <w:ind w:firstLine="720"/>
      </w:pPr>
      <w:r>
        <w:t xml:space="preserve">The substantive translation of this coefficient sharpens what the null means. A learning-curve elasticity has a progress-ratio reading: the factor by which output multiplies when the input doubles is two raised to the power of the elasticity. At beta equal to 0.898, that doubling factor is 1.864. In words, the central estimate implies that doubling a mission’s budget is associated with roughly an eighty-six percent increase in expected publication count rather than the one hundred percent a strictly proportional law would predict. That is a visible shortfall from proportionality in the point estimate, and it is exactly the signature that the diminishing-returns hypothesis anticipates. But the confidence interval on the elasticity translates into a confidence interval on the doubling factor that straddles a clean doubling, so the apparent shortfall cannot be certified as real. A field that doubled a mission’s appropriation could, on this evidence, expect to roughly double its eventual paper count, give or take a margin that the interval makes explicit.</w:t>
      </w:r>
    </w:p>
    <w:p>
      <w:pPr>
        <w:pStyle w:val="BodyText"/>
        <w:spacing w:line="480" w:lineRule="auto"/>
        <w:ind w:firstLine="720"/>
      </w:pPr>
      <w:r>
        <w:t xml:space="preserve">The disciplined reading is therefore mixed, and the dissertation does not pretend otherwise. The data are consistent with mild diminishing returns, because the central estimate sits below one in the predicted direction, but they are equally consistent with proportional scaling, because the interval contains one, and they exclude only the more extreme curvatures at the tails. The estimate does not support a confident claim that the field’s largest missions are inefficient producers of science per dollar, and it does not license the opposite claim that scale is costless. This is a genuine non-rejection, not a disguised rejection, and the appropriate posture is to report the wide interval honestly rather than to read the sub-unit point estimate as a victory. The portfolio argument for many small missions over a few large ones, which often rests on an implicit belief in diminishing returns to scale, finds in this result a friendly sign but no certification.</w:t>
      </w:r>
    </w:p>
    <w:p>
      <w:pPr>
        <w:pStyle w:val="BodyText"/>
        <w:spacing w:line="480" w:lineRule="auto"/>
        <w:ind w:firstLine="720"/>
      </w:pPr>
      <w:r>
        <w:t xml:space="preserve">Two structural features of the design explain why the cost elasticity is so honestly imprecise, and both were anticipated in the identification discussion. The first is sample size. Twenty-five missions is a small panel for separating a slope of 0.898 from a slope of 1.000, and the standard error of 0.158 on the elasticity is the arithmetic consequence of that scarcity. The precision available is enough to confirm that cost predicts science but not enough to convict scale of inefficiency. The second is endogeneity in the regressor. Cost is not randomly assigned; missions are made expensive on purpose, very often precisely because their science case was judged strong in advance by the same selection process that later shapes how much their data are exploited. That selection pushes the estimated elasticity toward one and may partly account for why constant returns cannot be rejected: the most expensive missions in the panel are, by construction, the ones whose strong science cases were rewarded with large budgets, so the high-cost end of the sample is enriched for high-output missions, and that enrichment flattens the curvature the hypothesis predicts. The estimate is best read as a conservative one, biased if anything toward the constant-returns null it fails to reject.</w:t>
      </w:r>
    </w:p>
    <w:bookmarkEnd w:id="102"/>
    <w:bookmarkStart w:id="103" w:name="the-mass-elasticity-of-refereed-output"/>
    <w:p>
      <w:pPr>
        <w:pStyle w:val="Heading2"/>
        <w:spacing w:line="480" w:lineRule="auto"/>
      </w:pPr>
      <w:r>
        <w:t xml:space="preserve">6.2 The Mass Elasticity of Refereed Output</w:t>
      </w:r>
    </w:p>
    <w:p>
      <w:pPr>
        <w:pStyle w:val="FirstParagraph"/>
        <w:spacing w:line="480" w:lineRule="auto"/>
      </w:pPr>
      <w:r>
        <w:t xml:space="preserve">The second estimation moves the analysis from the mission to the instrument and from cost to its leading physical surrogate. It regresses the natural log of instrument refereed output on the natural log of instrument flight mass, again with heteroskedasticity-robust standard errors, across a panel of thirty-two flown planetary science instruments drawn from nine missions spanning Mars Science Laboratory, Mars Reconnaissance Orbiter, Cassini, New Horizons, MESSENGER, Juno, Mars Express, and Mars Global Surveyor. Mass is the right second regressor because it is the quantity the community already invokes when it reasons about instrument cost and capability, and because the cost literature treats mass as a leading driver of development expense</w:t>
      </w:r>
      <w:r>
        <w:t xml:space="preserve"> </w:t>
      </w:r>
      <w:hyperlink w:anchor="ref-4">
        <w:r>
          <w:rPr>
            <w:rStyle w:val="Hyperlink"/>
          </w:rPr>
          <w:t xml:space="preserve">[4]</w:t>
        </w:r>
      </w:hyperlink>
      <w:r>
        <w:t xml:space="preserve">[5]. The slope of this regression is the unconditional elasticity of refereed output with respect to mass.</w:t>
      </w:r>
    </w:p>
    <w:p>
      <w:pPr>
        <w:pStyle w:val="BodyText"/>
        <w:spacing w:line="480" w:lineRule="auto"/>
        <w:ind w:firstLine="720"/>
      </w:pPr>
      <w:r>
        <w:t xml:space="preserve">The estimate is beta equal to 0.419, with a robust standard error of 0.113. The intercept is 1.050 with a standard error of 0.299 and a p-value of 0.0004, so unlike the cost regression’s constant, the level term here is precisely pinned. The mass coefficient is positive and tightly estimated: its p-value is 0.0002, and its ninety-five percent confidence interval, as reported in the workbook, runs from 0.197 to 0.641. The null of no information, beta equal to zero, is decisively rejected, because the interval excludes zero by a wide margin and the p-value is three orders of magnitude inside any conventional threshold. Heavier instruments reliably return more published science. The first hypothesis of the instrument-level paper, that mass carries no information about realized output once the relationship is fit in logs, is rejected on the evidence.</w:t>
      </w:r>
    </w:p>
    <w:p>
      <w:pPr>
        <w:pStyle w:val="BodyText"/>
        <w:spacing w:line="480" w:lineRule="auto"/>
        <w:ind w:firstLine="720"/>
      </w:pPr>
      <w:r>
        <w:t xml:space="preserve">The decisive contrast with the cost result, and the reason the mass estimation carries more inferential weight despite being the supporting quantity, is what happens at the constant-returns boundary. The entire confidence interval for the mass elasticity lies below one. Its upper limit of 0.641 does not approach unity, so the data are flatly inconsistent with constant returns in which output would scale in strict proportion to mass. A Wald test of the constant-returns null, beta equal to one, returns a test statistic of approximately -5.1 and a p-value below 0.001, rejecting proportional scaling against the diminishing-returns alternative. Where the cost regression could not separate its sub-unit point estimate from one, the mass regression separates its sub-unit estimate from one with room to spare. This is the dissertation’s one clean rejection of constant returns, and it is the empirical anchor of the diminishing-returns thesis.</w:t>
      </w:r>
    </w:p>
    <w:p>
      <w:pPr>
        <w:pStyle w:val="BodyText"/>
        <w:spacing w:line="480" w:lineRule="auto"/>
        <w:ind w:firstLine="720"/>
      </w:pPr>
      <w:r>
        <w:t xml:space="preserve">The substantive translation is correspondingly sharper. With a mass elasticity of 0.419, the progress-ratio factor of two raised to that power is 1.337, so doubling an instrument’s flight mass is associated with roughly a thirty-four percent increase in expected refereed output rather than the one hundred percent a proportional law would predict. The marginal kilogram, on this panel, buys progressively less published science, and the gradient is steep: more than half of the proportional gain that constant returns would promise is absent. This is precisely the signature the engineering intuition anticipated, that capability in characterization sensors is bought with aperture, spectral range, and detector complexity, each increment paid for in mass, while the marginal observations that the extra mass enables grow rarer and thinner in publication yield</w:t>
      </w:r>
      <w:r>
        <w:t xml:space="preserve"> </w:t>
      </w:r>
      <w:hyperlink w:anchor="ref-5">
        <w:r>
          <w:rPr>
            <w:rStyle w:val="Hyperlink"/>
          </w:rPr>
          <w:t xml:space="preserve">[5]</w:t>
        </w:r>
      </w:hyperlink>
      <w:r>
        <w:t xml:space="preserve">[6]. The diminishing-returns reading of H1, that the elasticity lies strictly between zero and one, is supported on both of its conditions: the interval excludes zero, confirming that mass informs output, and the interval sits wholly below one, confirming that the information is sub-proportional.</w:t>
      </w:r>
    </w:p>
    <w:p>
      <w:pPr>
        <w:pStyle w:val="BodyText"/>
        <w:spacing w:line="480" w:lineRule="auto"/>
        <w:ind w:firstLine="720"/>
      </w:pPr>
      <w:r>
        <w:t xml:space="preserve">The modest fit of the mass regression must be reported alongside its sharp slope, because the two facts together carry the correct interpretation. The regression explains about nineteen percent of the variance in log output across the panel, with an R-squared of 0.191 on thirty-two instruments. This is a low coefficient of determination, far below the cost regression’s 0.539, and it would be a mistake to read it as weakness in the elasticity. The two statistics answer different questions. The R-squared says that mass orders instruments by output only loosely, that two instruments of similar mass can and do differ substantially in the literature they generate, and that most of what makes an instrument scientifically productive, design choices, target richness, team activity, and operating lifetime, lives in dimensions that mass does not capture. The standard error of 0.113 on the slope says that, loose as that ordering is, the central diminishing-returns gradient is nonetheless estimated robustly enough to exclude one. A low R-squared and a precisely estimated sub-unit slope are fully consistent: the relationship is noisy in its scatter but firm in its central tendency. The honest claim is that mass is a coarse productivity surrogate that nevertheless encodes a real and statistically robust diminishing-returns signal.</w:t>
      </w:r>
    </w:p>
    <w:bookmarkEnd w:id="103"/>
    <w:bookmarkStart w:id="104" w:name="reconciling-the-two-estimates"/>
    <w:p>
      <w:pPr>
        <w:pStyle w:val="Heading2"/>
        <w:spacing w:line="480" w:lineRule="auto"/>
      </w:pPr>
      <w:r>
        <w:t xml:space="preserve">6.3 Reconciling the Two Estimates</w:t>
      </w:r>
    </w:p>
    <w:p>
      <w:pPr>
        <w:pStyle w:val="FirstParagraph"/>
        <w:spacing w:line="480" w:lineRule="auto"/>
      </w:pPr>
      <w:r>
        <w:t xml:space="preserve">The two findings are best understood not in isolation but in dialogue, because they appear at first to disagree and on inspection do not. The cost regression cannot reject constant returns; the mass regression rejects it decisively. A careless reader might take this as a contradiction at the heart of the dissertation. It is not. The two estimands are different quantities measured on different units with different statistical leverage, and their divergence is informative rather than embarrassing.</w:t>
      </w:r>
    </w:p>
    <w:p>
      <w:pPr>
        <w:pStyle w:val="BodyText"/>
        <w:spacing w:line="480" w:lineRule="auto"/>
        <w:ind w:firstLine="720"/>
      </w:pPr>
      <w:r>
        <w:t xml:space="preserve">Three differences account for the gap, and naming them is part of the result. First, the unit of analysis differs. The cost regression is a mission-level panel of twenty-five observations; the mass regression is an instrument-level panel of thirty-two. The finer instrument-level grain supplies more observations and, what matters more, more within-class variation in the regressor relative to the outcome, which is what gives the mass slope its leverage to separate from one. The accompanying prospectus argued exactly this, that the route to a sharper estimate runs through a larger instrument-level panel rather than a mission-level one</w:t>
      </w:r>
      <w:r>
        <w:t xml:space="preserve"> </w:t>
      </w:r>
      <w:hyperlink w:anchor="ref-4">
        <w:r>
          <w:rPr>
            <w:rStyle w:val="Hyperlink"/>
          </w:rPr>
          <w:t xml:space="preserve">[4]</w:t>
        </w:r>
      </w:hyperlink>
      <w:r>
        <w:t xml:space="preserve">, and the contrast between the two regressions is the first direct evidence for that methodological claim. Second, the regressor differs. Cost is endogenous to the science case, where mass is only partly so: a mission is made expensive because its science was judged strong, but an instrument’s flight mass is fixed by physics and engineering long before its eventual citability is known, so mass is the cleaner of the two inputs and pushes its elasticity less forcefully toward one. Third, the boundary being tested sits differently against each estimate. The cost elasticity of 0.898 sits close to one and is asked to clear a short distance the data cannot resolve; the mass elasticity of 0.419 sits far from one and clears the same boundary with a wide margin. The same diminishing-returns hypothesis is supported weakly by a near-unity estimate on a small mission panel and strongly by a far-from-unity estimate on a larger instrument panel.</w:t>
      </w:r>
    </w:p>
    <w:p>
      <w:pPr>
        <w:pStyle w:val="BodyText"/>
        <w:spacing w:line="480" w:lineRule="auto"/>
        <w:ind w:firstLine="720"/>
      </w:pPr>
      <w:r>
        <w:t xml:space="preserve">The convergence in sign across both regressions is therefore the durable finding, and the divergence in significance is its honest qualification. Both central estimates lie below one. Both progress ratios, 1.864 for cost and 1.337 for mass, imply that doubling the input multiplies output by less than two. The direction of the dissertation’s thesis, that the marginal dollar and the marginal kilogram each buy progressively less published science, is supported by the sign of every coefficient in both estimations. What the evidence does not yet support is a uniform claim of statistical certainty: the diminishing-returns gradient is certified at the instrument-and-mass level and only suggested at the mission-and-cost level. The dissertation’s contribution is precisely this paired result, a confirmed sub-proportional mass elasticity and a sub-proportional but inconclusive cost elasticity, reported with the precision of each interval rather than collapsed into a single overstated verdict.</w:t>
      </w:r>
    </w:p>
    <w:bookmarkEnd w:id="104"/>
    <w:bookmarkStart w:id="105" w:name="boundaries-on-the-findings"/>
    <w:p>
      <w:pPr>
        <w:pStyle w:val="Heading2"/>
        <w:spacing w:line="480" w:lineRule="auto"/>
      </w:pPr>
      <w:r>
        <w:t xml:space="preserve">6.4 Boundaries on the Findings</w:t>
      </w:r>
    </w:p>
    <w:p>
      <w:pPr>
        <w:pStyle w:val="FirstParagraph"/>
        <w:spacing w:line="480" w:lineRule="auto"/>
      </w:pPr>
      <w:r>
        <w:t xml:space="preserve">Three boundaries condition both estimates and are stated here so that the interpretation in the next chapter does not exceed the evidence. The first is the construct itself. In both regressions the outcome is a publication count, a proxy for realized science rather than science directly, and in the instrument-level panel it is narrower still, a count from a technical-report citations interface that names the instrument or its data set rather than the full refereed corpus. The proxy preserves the cross-unit ordering that the regressions exploit but understates absolute output, and it undercounts missions and instruments whose value is operational or strategic rather than scholarly</w:t>
      </w:r>
      <w:r>
        <w:t xml:space="preserve"> </w:t>
      </w:r>
      <w:hyperlink w:anchor="ref-3">
        <w:r>
          <w:rPr>
            <w:rStyle w:val="Hyperlink"/>
          </w:rPr>
          <w:t xml:space="preserve">[3]</w:t>
        </w:r>
      </w:hyperlink>
      <w:r>
        <w:t xml:space="preserve">. The estimand is the elasticity of scholarly output with respect to the input, not of all mission or instrument value, and the policy reading is confined to assets whose primary deliverable is published planetary science.</w:t>
      </w:r>
    </w:p>
    <w:p>
      <w:pPr>
        <w:pStyle w:val="BodyText"/>
        <w:spacing w:line="480" w:lineRule="auto"/>
        <w:ind w:firstLine="720"/>
      </w:pPr>
      <w:r>
        <w:t xml:space="preserve">The second boundary is endogeneity, already named for cost and present in weaker form for mass. Neither input is randomly assigned. The headline specifications are deliberately parsimonious, a single regressor each, because the small panels cannot afford the degrees of freedom that mass and lifetime controls would consume, and because cost, mass, and lifetime move together across mission classes so that loading the regression would invite collinearity rather than identification. The consequence is that both elasticities are unconditional. Operating lifetime in particular is held in the data as documented context rather than partialled out, and a longer-lived asset accrues records mechanically</w:t>
      </w:r>
      <w:r>
        <w:t xml:space="preserve"> </w:t>
      </w:r>
      <w:hyperlink w:anchor="ref-6">
        <w:r>
          <w:rPr>
            <w:rStyle w:val="Hyperlink"/>
          </w:rPr>
          <w:t xml:space="preserve">[6]</w:t>
        </w:r>
      </w:hyperlink>
      <w:r>
        <w:t xml:space="preserve">, so a fuller specification with lifetime and host-mission fixed effects, the count-model design advanced in the prospectus, is the route to a conditional estimate that the present chapter does not claim to deliver.</w:t>
      </w:r>
    </w:p>
    <w:p>
      <w:pPr>
        <w:pStyle w:val="BodyText"/>
        <w:spacing w:line="480" w:lineRule="auto"/>
        <w:ind w:firstLine="720"/>
      </w:pPr>
      <w:r>
        <w:t xml:space="preserve">The third boundary is composition and scale. The cost panel is dominated by astrophysics and heliophysics observatories alongside planetary missions, and the mass panel, while wholly planetary, is built from nine missions whose instruments share buses and selection committees in ways the unconditional regression does not absorb. The precision of each coefficient, a standard error of 0.158 on the cost elasticity and 0.113 on the mass elasticity, is the honest current state of the evidence: enough to confirm that both inputs predict science, enough to convict mass of sub-proportional returns, and not yet enough to convict cost. The next increment of analysis should buy a larger panel before it buys a stronger claim. Within these boundaries, the two estimations stand as sourced, reproducible elasticities that together support diminishing returns to instrument scale and leave the mission-cost question open at an interval the field can now see explicitly.</w:t>
      </w:r>
    </w:p>
    <w:bookmarkEnd w:id="105"/>
    <w:bookmarkEnd w:id="106"/>
    <w:bookmarkStart w:id="113" w:name="X21322cb5e29cbf4eb576afddcad42f86ace4e0d"/>
    <w:p>
      <w:pPr>
        <w:pStyle w:val="Heading1"/>
        <w:spacing w:line="480" w:lineRule="auto"/>
      </w:pPr>
      <w:r>
        <w:t xml:space="preserve">Chapter 7. Discussion and Governance Implications</w:t>
      </w:r>
    </w:p>
    <w:bookmarkStart w:id="107" w:name="what-the-estimates-mean"/>
    <w:p>
      <w:pPr>
        <w:pStyle w:val="Heading2"/>
        <w:spacing w:line="480" w:lineRule="auto"/>
      </w:pPr>
      <w:r>
        <w:t xml:space="preserve">7.1 What the Estimates Mean</w:t>
      </w:r>
    </w:p>
    <w:p>
      <w:pPr>
        <w:pStyle w:val="FirstParagraph"/>
        <w:spacing w:line="480" w:lineRule="auto"/>
      </w:pPr>
      <w:r>
        <w:t xml:space="preserve">This dissertation set out to convert a portfolio-selection question that the planetary science community ordinarily argues by analogy and heritage into one that can be measured, replicated, and audited. The two empirical chapters that precede this one supply the measurements. The mission-level learning-curve regression returns a cost elasticity of publication output of 0.898, with a robust standard error of 0.158 and a ninety-five percent confidence interval running from 0.589 to 1.207, estimated across twenty-five space-science missions that span three orders of magnitude in cost. The instrument-level regression returns a mass elasticity of refereed output of 0.419, with a robust standard error of 0.113 and a ninety-five percent confidence interval running from 0.197 to 0.641, estimated across thirty-two planetary instruments drawn from nine flown missions. The first number cannot be statistically distinguished from one. The second is distinguishable from one by a wide margin and supports diminishing returns. The task of this chapter is to read those two numbers honestly against one another, to state what they license a program office or a JPL decision-maker to do, and to mark plainly the boundary past which the evidence does not yet reach.</w:t>
      </w:r>
    </w:p>
    <w:p>
      <w:pPr>
        <w:pStyle w:val="BodyText"/>
        <w:spacing w:line="480" w:lineRule="auto"/>
        <w:ind w:firstLine="720"/>
      </w:pPr>
      <w:r>
        <w:t xml:space="preserve">The two findings are not in conflict, and the temptation to treat the cost result as a refutation of the mass result, or the reverse, should be resisted. They estimate different elasticities on different inputs at different levels of aggregation. The mission-level cost elasticity asks whether a fixed appropriation, scaled up across whole missions, buys proportionally more papers; on the present sample it answers that scaling is statistically indistinguishable from proportional, with a central estimate that leans toward mild diminishing returns but a confidence interval too wide to certify it. The instrument-level mass elasticity asks a sharper and narrower question, whether the marginal kilogram of instrument complexity returns proportional science, and answers with a clean rejection of proportional scaling: doubling instrument mass is associated with roughly a thirty-four percent increase in expected refereed output rather than the hundred percent a constant-returns law would predict. The reconciliation is that the instrument-level panel isolates a physical productivity gradient that the coarser mission-level aggregate, with its three-orders-of-magnitude cost spread and its handful of flagship outliers, absorbs into a wider interval. Read together, the chapters say that the diminishing-returns signal is real and locatable at the instrument margin, that it attenuates and loses statistical sharpness when aggregated to the mission and expressed against cost rather than mass, and that the responsible posture is to treat the instrument-level gradient as the firmer of the two results and the mission-level elasticity as a precise-enough confirmation that cost predicts science without yet convicting scale of inefficiency.</w:t>
      </w:r>
    </w:p>
    <w:p>
      <w:pPr>
        <w:pStyle w:val="BodyText"/>
        <w:spacing w:line="480" w:lineRule="auto"/>
        <w:ind w:firstLine="720"/>
      </w:pPr>
      <w:r>
        <w:t xml:space="preserve">That asymmetry of confidence is itself the central substantive contribution of the work, and it matters because the field’s informal reasoning runs in the opposite direction. The community routinely invokes diminishing returns to scale at the level of whole missions, the portfolio argument that many small missions out-deliver a few large ones, while reasoning about instrument mass through the looser language of capability and heritage. The evidence assembled here inverts that confidence ordering. The mission-cost elasticity, where intuition is most assertive, is where the data are least able to adjudicate. The instrument-mass elasticity, where intuition is softest, is where the data speak most clearly. A governance apparatus that wishes to act on measured productivity rather than on analogy should therefore place its weight on the instrument margin, which is also, conveniently, the margin at which a program office actually trades one payload against another.</w:t>
      </w:r>
    </w:p>
    <w:bookmarkEnd w:id="107"/>
    <w:bookmarkStart w:id="108"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first implication for NASA program management is methodological before it is substantive. The agency already accepts regression on cost drivers as a tractable and legitimate analytic move; the architecture and cost literature has established that linear regression on the determinants of overall mission cost is a standard and defensible technique</w:t>
      </w:r>
      <w:r>
        <w:t xml:space="preserve"> </w:t>
      </w:r>
      <w:hyperlink w:anchor="ref-4">
        <w:r>
          <w:rPr>
            <w:rStyle w:val="Hyperlink"/>
          </w:rPr>
          <w:t xml:space="preserve">[4]</w:t>
        </w:r>
      </w:hyperlink>
      <w:r>
        <w:t xml:space="preserve">. What the agency has not yet done institutionally is carry that same regression logic through the cost barrier to the output side, from dollars and kilograms to published science. This dissertation demonstrates that the second step is no less tractable than the first. The data-provenance gate is satisfied entirely by public, programmatic sources: the Planetary Data System instrument registry, the Astrophysics Data System and Technical Reports Server bibliographies, the published bibliometric census of mission output</w:t>
      </w:r>
      <w:r>
        <w:t xml:space="preserve"> </w:t>
      </w:r>
      <w:hyperlink w:anchor="ref-5">
        <w:r>
          <w:rPr>
            <w:rStyle w:val="Hyperlink"/>
          </w:rPr>
          <w:t xml:space="preserve">[5]</w:t>
        </w:r>
      </w:hyperlink>
      <w:r>
        <w:t xml:space="preserve">, and public cost reporting. A program office that wished to institutionalize a science-return-per-dollar measure would not need privileged access or proprietary models. It would need only to adopt a standing convention for attributing refereed output to instruments and missions and to maintain the panel as a living artifact updated on each data release. The economic frame that motivates the exercise treats publicly funded science return as a distinct value stream that must be measured rather than asserted</w:t>
      </w:r>
      <w:r>
        <w:t xml:space="preserve"> </w:t>
      </w:r>
      <w:hyperlink w:anchor="ref-1">
        <w:r>
          <w:rPr>
            <w:rStyle w:val="Hyperlink"/>
          </w:rPr>
          <w:t xml:space="preserve">[1]</w:t>
        </w:r>
      </w:hyperlink>
      <w:r>
        <w:t xml:space="preserve">[3], and the present work shows the measurement is within reach of existing public infrastructure.</w:t>
      </w:r>
    </w:p>
    <w:p>
      <w:pPr>
        <w:pStyle w:val="BodyText"/>
        <w:spacing w:line="480" w:lineRule="auto"/>
        <w:ind w:firstLine="720"/>
      </w:pPr>
      <w:r>
        <w:t xml:space="preserve">The second implication concerns how the two elasticities should and should not enter a selection decision. The instrument-mass elasticity near 0.42 is a defensible lever for a specific and bounded class of decisions: payload trades whose cost structure is dominated by mass, where the deliverable is published planetary science, and where the decision-maker is choosing among candidate instruments rather than among whole missions. In that setting an allocation rule that rewards output per kilogram will systematically and correctly favor lighter instruments at the margin, because the diminishing gradient locates the least productive next kilogram at the heavy end of the distribution. This is not a recommendation to strip mass from payloads as an end in itself, which would confuse the surrogate for the science. It is a recommendation that, when two candidate instruments are otherwise comparable on science case and the trade is being resolved on mass-driven cost as the cost literature says such trades often are</w:t>
      </w:r>
      <w:r>
        <w:t xml:space="preserve"> </w:t>
      </w:r>
      <w:hyperlink w:anchor="ref-4">
        <w:r>
          <w:rPr>
            <w:rStyle w:val="Hyperlink"/>
          </w:rPr>
          <w:t xml:space="preserve">[4]</w:t>
        </w:r>
      </w:hyperlink>
      <w:r>
        <w:t xml:space="preserve">, the productivity gradient supplies a principled tiebreaker that the field currently resolves by heritage. The mission-cost elasticity, by contrast, does not yet license a portfolio tilt. A program office that doubled a mission’s budget could, on this evidence, expect roughly to double its eventual paper count, give or take a margin the confidence interval makes explicit, and the data neither convict the largest missions of inefficiency nor certify that scale is costless. The honest governance reading is that the small-mission portfolio argument must be justified on grounds the mission-level data here do not yet supply, even as the instrument-level data offer a narrower and firmer warrant for rewarding output per kilogram within a payload trade.</w:t>
      </w:r>
    </w:p>
    <w:p>
      <w:pPr>
        <w:pStyle w:val="BodyText"/>
        <w:spacing w:line="480" w:lineRule="auto"/>
        <w:ind w:firstLine="720"/>
      </w:pPr>
      <w:r>
        <w:t xml:space="preserve">The third implication is about decision discipline rather than about any single coefficient. The deepest contribution of a bibliometric productivity regression is not the elasticity it returns on a given sample but the conversion of an analogical argument into an interval that can be updated as evidence accumulates. NASA’s instrument-selection committees presently reason about science return through proposal narrative and engineering heritage, instruments which the field openly acknowledges scale capability and expense together</w:t>
      </w:r>
      <w:r>
        <w:t xml:space="preserve"> </w:t>
      </w:r>
      <w:hyperlink w:anchor="ref-5">
        <w:r>
          <w:rPr>
            <w:rStyle w:val="Hyperlink"/>
          </w:rPr>
          <w:t xml:space="preserve">[5]</w:t>
        </w:r>
      </w:hyperlink>
      <w:r>
        <w:t xml:space="preserve">[7]. A measured elasticity does not displace expert judgment; it disciplines it, by forcing the implicit productivity belief that underwrites a selection to be stated as a number with a confidence interval and then exposed to refutation as the panel grows. The governance value is the audit trail. A selection defended in part by a science-return-per-dollar figure is a selection whose reasoning a later reviewer, an inspector general, or a decadal panel can reconstruct and contest. That auditability is the same property the economic literature demands when it insists that government science return be measured rather than asserted</w:t>
      </w:r>
      <w:r>
        <w:t xml:space="preserve"> </w:t>
      </w:r>
      <w:hyperlink w:anchor="ref-1">
        <w:r>
          <w:rPr>
            <w:rStyle w:val="Hyperlink"/>
          </w:rPr>
          <w:t xml:space="preserve">[1]</w:t>
        </w:r>
      </w:hyperlink>
      <w:r>
        <w:t xml:space="preserve">, and it is the property the field’s current heritage-based reasoning structurally lacks.</w:t>
      </w:r>
    </w:p>
    <w:p>
      <w:pPr>
        <w:pStyle w:val="BodyText"/>
        <w:spacing w:line="480" w:lineRule="auto"/>
        <w:ind w:firstLine="720"/>
      </w:pPr>
      <w:r>
        <w:t xml:space="preserve">The fourth implication is a caution against overreach in the use of the surrogate. Refereed publication count is a proxy for realized science, not science itself, and it undercounts mission types whose value is operational, strategic, or infrastructural rather than scholarly</w:t>
      </w:r>
      <w:r>
        <w:t xml:space="preserve"> </w:t>
      </w:r>
      <w:hyperlink w:anchor="ref-3">
        <w:r>
          <w:rPr>
            <w:rStyle w:val="Hyperlink"/>
          </w:rPr>
          <w:t xml:space="preserve">[3]</w:t>
        </w:r>
      </w:hyperlink>
      <w:r>
        <w:t xml:space="preserve">. A program office that adopted a publication-based productivity metric without this boundary would systematically penalize instruments and missions whose deliverable is not a paper, a planetary-protection containment system whose value is the avoidance of a contamination failure</w:t>
      </w:r>
      <w:r>
        <w:t xml:space="preserve"> </w:t>
      </w:r>
      <w:hyperlink w:anchor="ref-23">
        <w:r>
          <w:rPr>
            <w:rStyle w:val="Hyperlink"/>
          </w:rPr>
          <w:t xml:space="preserve">[23]</w:t>
        </w:r>
      </w:hyperlink>
      <w:r>
        <w:t xml:space="preserve">, a wind sensor whose value is operational support to surface operations</w:t>
      </w:r>
      <w:r>
        <w:t xml:space="preserve"> </w:t>
      </w:r>
      <w:hyperlink w:anchor="ref-6">
        <w:r>
          <w:rPr>
            <w:rStyle w:val="Hyperlink"/>
          </w:rPr>
          <w:t xml:space="preserve">[6]</w:t>
        </w:r>
      </w:hyperlink>
      <w:r>
        <w:t xml:space="preserve">, or a dust-removal subsystem whose value is the protection of a crewed campaign</w:t>
      </w:r>
      <w:r>
        <w:t xml:space="preserve"> </w:t>
      </w:r>
      <w:hyperlink w:anchor="ref-8">
        <w:r>
          <w:rPr>
            <w:rStyle w:val="Hyperlink"/>
          </w:rPr>
          <w:t xml:space="preserve">[8]</w:t>
        </w:r>
      </w:hyperlink>
      <w:r>
        <w:t xml:space="preserve">. The metric is fit for the class of instruments whose primary deliverable is published planetary science and is unfit as a universal selection criterion. Governance use must therefore be scoped, applying the elasticity within the population for which publication is the intended output and explicitly exempting the operational and strategic deliverables that the proxy was never built to capture.</w:t>
      </w:r>
    </w:p>
    <w:bookmarkEnd w:id="108"/>
    <w:bookmarkStart w:id="109" w:name="implications-for-jpl-decision-making"/>
    <w:p>
      <w:pPr>
        <w:pStyle w:val="Heading2"/>
        <w:spacing w:line="480" w:lineRule="auto"/>
      </w:pPr>
      <w:r>
        <w:t xml:space="preserve">7.3 Implications for JPL Decision-Making</w:t>
      </w:r>
    </w:p>
    <w:p>
      <w:pPr>
        <w:pStyle w:val="FirstParagraph"/>
        <w:spacing w:line="480" w:lineRule="auto"/>
      </w:pPr>
      <w:r>
        <w:t xml:space="preserve">For a laboratory that builds instruments and competes for the missions that carry them, the findings carry a sharper edge than they do for the agency as a whole. JPL’s comparative position rests on instrument heritage, the accumulated engineering provenance that lowers technology-readiness risk and that the proposal process rewards. The mass-elasticity result complicates the simplest reading of that position. If heavier, more capable instruments return progressively less published science per kilogram, then a heritage strategy that defaults to the most capable available payload is not automatically a strategy that maximizes science return per dollar. The laboratory’s interest and the agency’s interest can diverge at exactly the point where the marginal kilogram is least productive. A JPL portfolio manager who internalized the instrument-level gradient would treat the output-per-kilogram metric not as a constraint imposed from outside but as an analytic asset, a way to identify, within a proposed payload suite, the instruments whose mass is carrying the least science and to interrogate whether that mass is buying capability the science case actually requires or merely capability the heritage inventory happens to offer.</w:t>
      </w:r>
    </w:p>
    <w:p>
      <w:pPr>
        <w:pStyle w:val="BodyText"/>
        <w:spacing w:line="480" w:lineRule="auto"/>
        <w:ind w:firstLine="720"/>
      </w:pPr>
      <w:r>
        <w:t xml:space="preserve">The second implication for JPL is about the identification threat that the dissertation could not fully neutralize, because that threat is also a description of how the laboratory wins. Cost and mass are not randomly assigned. Instruments are made expensive and heavy on purpose, frequently because their science case was judged strong in advance, which biases the elasticity toward one and may partly explain why constant returns could not be rejected at the mission level. For a laboratory whose proposals are built precisely to make the strongest science case for the most capable instrument, this endogeneity is not a nuisance parameter; it is the strategic environment. The prospectus advances an instrumental-variables design using pre-launch technology-readiness level and detector heritage as instruments for realized cost, on the reasoning that readiness and heritage move development cost through engineering channels plausibly orthogonal to a paper’s eventual citability. That design is the route to an estimate that JPL could trust for internal trade studies, because it would isolate the part of cost variation driven by engineering rather than by the very science-case strength that the laboratory’s proposals manufacture. Until that design is executed on an instrument-level panel, the laboratory should read both elasticities as descriptive of the population as selected, not as causal levers it can pull, and should weight the instrument-mass gradient more heavily than the mission-cost elasticity precisely because the mass result already rejects proportional scaling despite the same upward endogenous bias.</w:t>
      </w:r>
    </w:p>
    <w:p>
      <w:pPr>
        <w:pStyle w:val="BodyText"/>
        <w:spacing w:line="480" w:lineRule="auto"/>
        <w:ind w:firstLine="720"/>
      </w:pPr>
      <w:r>
        <w:t xml:space="preserve">The third implication is constructive and concerns where JPL’s analytic investment should go next. The laboratory is better positioned than any external party to build the instrument-level panel the prospectus specifies, because it holds the engineering provenance, the cost histories, and the operations records that the public archives only partially expose. A within-mission specification with mission fixed effects, the design that differences out target body, launch epoch, data-release policy, and science-team size by comparing instruments that shared a bus, is the natural vehicle for converting the unconditional mass elasticity reported here into a conditional estimate that a trade study could defend</w:t>
      </w:r>
      <w:r>
        <w:t xml:space="preserve"> </w:t>
      </w:r>
      <w:hyperlink w:anchor="ref-4">
        <w:r>
          <w:rPr>
            <w:rStyle w:val="Hyperlink"/>
          </w:rPr>
          <w:t xml:space="preserve">[4]</w:t>
        </w:r>
      </w:hyperlink>
      <w:r>
        <w:t xml:space="preserve">[6]. The marginal analytic dollar at JPL, to borrow the dissertation’s own framing, should buy a larger and better-instrumented panel before it buys a stronger claim. The laboratory that builds that panel first will hold a measured productivity model of its own payloads that its competitors reason about only by analogy, and that asymmetry is itself a capture advantage in a recompete environment where the agency is moving toward auditable, evidence-based selection.</w:t>
      </w:r>
    </w:p>
    <w:bookmarkEnd w:id="109"/>
    <w:bookmarkStart w:id="110" w:name="limitations"/>
    <w:p>
      <w:pPr>
        <w:pStyle w:val="Heading2"/>
        <w:spacing w:line="480" w:lineRule="auto"/>
      </w:pPr>
      <w:r>
        <w:t xml:space="preserve">7.4 Limitations</w:t>
      </w:r>
    </w:p>
    <w:p>
      <w:pPr>
        <w:pStyle w:val="FirstParagraph"/>
        <w:spacing w:line="480" w:lineRule="auto"/>
      </w:pPr>
      <w:r>
        <w:t xml:space="preserve">The limitations of this work are neither incidental nor fully remediable within the present design, and stating them plainly is a condition of the dissertation’s claim to rigor. Five deserve direct treatment.</w:t>
      </w:r>
    </w:p>
    <w:p>
      <w:pPr>
        <w:pStyle w:val="BodyText"/>
        <w:spacing w:line="480" w:lineRule="auto"/>
        <w:ind w:firstLine="720"/>
      </w:pPr>
      <w:r>
        <w:t xml:space="preserve">The first and most consequential limitation is construct validity. Refereed publication count is a proxy for realized science and not science itself. It measures the scholarly trace a data set leaves in the literature, which correlates with but is not identical to the knowledge an instrument produces, and it is silent on the operational, strategic, and infrastructural value that some instruments deliver</w:t>
      </w:r>
      <w:r>
        <w:t xml:space="preserve"> </w:t>
      </w:r>
      <w:hyperlink w:anchor="ref-3">
        <w:r>
          <w:rPr>
            <w:rStyle w:val="Hyperlink"/>
          </w:rPr>
          <w:t xml:space="preserve">[3]</w:t>
        </w:r>
      </w:hyperlink>
      <w:r>
        <w:t xml:space="preserve">. The economic framing that motivates the study is the same framing that bounds it: the estimand is the elasticity of the measurable value stream, the published-science slice, and not the elasticity of the whole value of the enterprise, which the broader revaluation of the space economy holds to be large and rising</w:t>
      </w:r>
      <w:r>
        <w:t xml:space="preserve"> </w:t>
      </w:r>
      <w:hyperlink w:anchor="ref-1">
        <w:r>
          <w:rPr>
            <w:rStyle w:val="Hyperlink"/>
          </w:rPr>
          <w:t xml:space="preserve">[1]</w:t>
        </w:r>
      </w:hyperlink>
      <w:r>
        <w:t xml:space="preserve">[2]. Every governance reading in this chapter is confined to instruments and missions whose primary intended deliverable is published planetary science, and the metric should not be carried past that boundary.</w:t>
      </w:r>
    </w:p>
    <w:p>
      <w:pPr>
        <w:pStyle w:val="BodyText"/>
        <w:spacing w:line="480" w:lineRule="auto"/>
        <w:ind w:firstLine="720"/>
      </w:pPr>
      <w:r>
        <w:t xml:space="preserve">The second limitation is statistical power, and it falls unevenly across the two chapters. The mission-level panel of twenty-five observations and the instrument-level panel of thirty-two are small by the standards of the inference they are asked to support. At the mission level the consequence is decisive: the confidence interval on the cost elasticity spans one, so the central question of whether returns to scale are constant or diminishing cannot be settled on this sample, and the null finding is a statement about the width of the interval as much as about the location of the point estimate. The parsimony of the headline specifications, a single regressor in each case, is a direct response to this constraint, since loading a twenty-five-observation regression with mass and lifetime controls would spend degrees of freedom the sample cannot afford and would invite collinearity among cost, mass, and lifetime that move together across mission classes. Parsimony buys a clean falsifiable coefficient at the price of leaving documented confounders in the interpretation rather than in the model. A larger panel is the first thing the next dollar of analysis should buy.</w:t>
      </w:r>
    </w:p>
    <w:p>
      <w:pPr>
        <w:pStyle w:val="BodyText"/>
        <w:spacing w:line="480" w:lineRule="auto"/>
        <w:ind w:firstLine="720"/>
      </w:pPr>
      <w:r>
        <w:t xml:space="preserve">The third limitation is the endogeneity of the regressors, discussed above as a JPL strategic environment and restated here as a threat to the causal reading of both elasticities. Cost and mass are assigned by a selection process that conditions on anticipated science strength, which biases both elasticities upward toward proportional scaling. The mass result rejects proportionality despite this bias, which makes the diminishing-returns reading at the instrument level more robust, not less, since the true elasticity is plausibly below the estimated 0.42. The mission result is consistent with the bias being large enough to push a genuinely diminishing elasticity up to the boundary of one. Neither the within-mission fixed-effects specification nor the instrumental-variables strategy using technology readiness and detector heritage is executed in the present chapters; both are specified in the prospectus as the route to a causal estimate, and their absence is the principal reason the elasticities reported here are described as productivity relationships in the population as selected rather than as design rules.</w:t>
      </w:r>
    </w:p>
    <w:p>
      <w:pPr>
        <w:pStyle w:val="BodyText"/>
        <w:spacing w:line="480" w:lineRule="auto"/>
        <w:ind w:firstLine="720"/>
      </w:pPr>
      <w:r>
        <w:t xml:space="preserve">The fourth limitation is measurement heterogeneity across the two output proxies. The mission-level chapter draws its outcome from a single bibliometric census applying uniform inclusion rules</w:t>
      </w:r>
      <w:r>
        <w:t xml:space="preserve"> </w:t>
      </w:r>
      <w:hyperlink w:anchor="ref-5">
        <w:r>
          <w:rPr>
            <w:rStyle w:val="Hyperlink"/>
          </w:rPr>
          <w:t xml:space="preserve">[5]</w:t>
        </w:r>
      </w:hyperlink>
      <w:r>
        <w:t xml:space="preserve">, while the instrument-level chapter draws its outcome from a Technical Reports Server citations interface that counts NASA technical records naming the instrument, a consistent but partial slice of the refereed corpus that understates absolute output while preserving cross-instrument ordering. Using different output measures at the two levels means the two elasticities are not strictly commensurable, and the difference between them cannot be attributed cleanly to the level of aggregation alone, since some of it may reflect the difference between a comprehensive publication census and a technical-report proxy. A harmonized output measure applied identically at both levels, the Astrophysics Data System census carried down to the instrument, is a necessary step before the two elasticities can be read as a single coherent productivity surface.</w:t>
      </w:r>
    </w:p>
    <w:p>
      <w:pPr>
        <w:pStyle w:val="BodyText"/>
        <w:spacing w:line="480" w:lineRule="auto"/>
        <w:ind w:firstLine="720"/>
      </w:pPr>
      <w:r>
        <w:t xml:space="preserve">The fifth limitation is attribution noise and survivorship in the publication counts themselves. A paper that uses several instruments inflates the count of each instrument it names, and crediting a paper integrally to every named instrument overstates the output of instruments that travel in suites; fractional crediting addresses this but introduces its own modeling choices. Instruments that fail early publish little, and their realized short lifetimes must be retained rather than filtered to avoid a survivorship bias that would inflate the elasticity, with operating lifetime entering as a control because a long-lived instrument accrues papers mechanically</w:t>
      </w:r>
      <w:r>
        <w:t xml:space="preserve"> </w:t>
      </w:r>
      <w:hyperlink w:anchor="ref-6">
        <w:r>
          <w:rPr>
            <w:rStyle w:val="Hyperlink"/>
          </w:rPr>
          <w:t xml:space="preserve">[6]</w:t>
        </w:r>
      </w:hyperlink>
      <w:r>
        <w:t xml:space="preserve">. The present chapters hold lifetime as documented context rather than partialling it out of the headline coefficient, so the reported elasticities are unconditional on lifetime, and a specification that enters lifetime explicitly is part of the fuller model the limitations point toward.</w:t>
      </w:r>
    </w:p>
    <w:bookmarkEnd w:id="110"/>
    <w:bookmarkStart w:id="111" w:name="future-research"/>
    <w:p>
      <w:pPr>
        <w:pStyle w:val="Heading2"/>
        <w:spacing w:line="480" w:lineRule="auto"/>
      </w:pPr>
      <w:r>
        <w:t xml:space="preserve">7.5 Future Research</w:t>
      </w:r>
    </w:p>
    <w:p>
      <w:pPr>
        <w:pStyle w:val="FirstParagraph"/>
        <w:spacing w:line="480" w:lineRule="auto"/>
      </w:pPr>
      <w:r>
        <w:t xml:space="preserve">The research agenda that follows from these limitations is specific and ordered, and the ordering matters because some steps are prerequisites for others.</w:t>
      </w:r>
    </w:p>
    <w:p>
      <w:pPr>
        <w:pStyle w:val="BodyText"/>
        <w:spacing w:line="480" w:lineRule="auto"/>
        <w:ind w:firstLine="720"/>
      </w:pPr>
      <w:r>
        <w:t xml:space="preserve">The first and highest-priority extension is the count-model, fixed-effects, instrument-level panel that the prospectus specifies and that neither empirical chapter executes. The negative-binomial regression of publication count on log cost, log mass, log operating lifetime, and mission fixed effects is the design that simultaneously addresses the small-sample power problem by moving to the instrument level where observations are more numerous, the confounding problem by differencing out everything common to a mission, and the count-data problem by using an estimator built for overdispersed non-negative integers rather than a log-linear approximation. The mission fixed effects are the core of the identification, comparing instruments that shared a bus and a campaign but differed in price, which strips the most obvious confounds that distinguish a Mars program from an outer-planets program</w:t>
      </w:r>
      <w:r>
        <w:t xml:space="preserve"> </w:t>
      </w:r>
      <w:hyperlink w:anchor="ref-4">
        <w:r>
          <w:rPr>
            <w:rStyle w:val="Hyperlink"/>
          </w:rPr>
          <w:t xml:space="preserve">[4]</w:t>
        </w:r>
      </w:hyperlink>
      <w:r>
        <w:t xml:space="preserve">. This is the single most important next paper, and the two chapters of this dissertation are best understood as the reduced-form precursors that establish the elasticities are estimable and signed before the fuller model refines them.</w:t>
      </w:r>
    </w:p>
    <w:p>
      <w:pPr>
        <w:pStyle w:val="BodyText"/>
        <w:spacing w:line="480" w:lineRule="auto"/>
        <w:ind w:firstLine="720"/>
      </w:pPr>
      <w:r>
        <w:t xml:space="preserve">The second extension is the instrumental-variables robustness check using pre-launch technology-readiness level and detector heritage as instruments for realized cost. This is the design that confronts the endogeneity head-on, isolating the engineering-driven component of cost variation that is plausibly orthogonal to a paper’s eventual citability and thereby converting the descriptive elasticity into a causal one. Without it, the laboratory and the agency are entitled to read the elasticities as descriptions of the selected population but not as levers; with it, a productivity estimate becomes admissible in a trade study. The IV design depends on assembling pre-launch readiness and heritage data at the instrument level, which is precisely the provenance JPL holds and the public archives only partially expose, so this extension is also the one most naturally executed inside the laboratory.</w:t>
      </w:r>
    </w:p>
    <w:p>
      <w:pPr>
        <w:pStyle w:val="BodyText"/>
        <w:spacing w:line="480" w:lineRule="auto"/>
        <w:ind w:firstLine="720"/>
      </w:pPr>
      <w:r>
        <w:t xml:space="preserve">The third extension is harmonization of the output measure across levels of aggregation, retrieving a single Astrophysics Data System census applied identically to missions and to instruments so that the mission-cost elasticity and the instrument-mass elasticity sit on a common output metric. This step is a prerequisite for the more ambitious goal of estimating a single productivity surface in which cost, mass, and lifetime enter jointly and the elasticities at the two levels can be read as projections of one model rather than as two incommensurable numbers.</w:t>
      </w:r>
    </w:p>
    <w:p>
      <w:pPr>
        <w:pStyle w:val="BodyText"/>
        <w:spacing w:line="480" w:lineRule="auto"/>
        <w:ind w:firstLine="720"/>
      </w:pPr>
      <w:r>
        <w:t xml:space="preserve">The fourth extension widens the panel beyond the astrophysics and heliophysics observatories that dominate the mission-level sample and beyond the nine missions that anchor the instrument-level sample, toward the full instrument-type space of optical imagers, hyperspectral and lidar sensors, mass spectrometers, magnetometers, and polarimeters whose publication norms differ across discipline and decade</w:t>
      </w:r>
      <w:r>
        <w:t xml:space="preserve"> </w:t>
      </w:r>
      <w:hyperlink w:anchor="ref-5">
        <w:r>
          <w:rPr>
            <w:rStyle w:val="Hyperlink"/>
          </w:rPr>
          <w:t xml:space="preserve">[5]</w:t>
        </w:r>
      </w:hyperlink>
      <w:r>
        <w:t xml:space="preserve">[7]. Instrument-type indicators that absorb cross-discipline rate differences, and a panel broad enough to estimate them, would let the productivity gradient be reported separately by instrument class rather than pooled, which is the form a payload trade actually needs, since a trade is usually between instruments of different types rather than different masses of the same type.</w:t>
      </w:r>
    </w:p>
    <w:p>
      <w:pPr>
        <w:pStyle w:val="BodyText"/>
        <w:spacing w:line="480" w:lineRule="auto"/>
        <w:ind w:firstLine="720"/>
      </w:pPr>
      <w:r>
        <w:t xml:space="preserve">The fifth extension reaches past planetary instruments toward the broader population of characterization and survey assets whose cost and capability the surrounding literature documents but whose publication productivity has not been estimated, the next-generation radar systems</w:t>
      </w:r>
      <w:r>
        <w:t xml:space="preserve"> </w:t>
      </w:r>
      <w:hyperlink w:anchor="ref-12">
        <w:r>
          <w:rPr>
            <w:rStyle w:val="Hyperlink"/>
          </w:rPr>
          <w:t xml:space="preserve">[12]</w:t>
        </w:r>
      </w:hyperlink>
      <w:r>
        <w:t xml:space="preserve">, the survey camera arrays</w:t>
      </w:r>
      <w:r>
        <w:t xml:space="preserve"> </w:t>
      </w:r>
      <w:hyperlink w:anchor="ref-11">
        <w:r>
          <w:rPr>
            <w:rStyle w:val="Hyperlink"/>
          </w:rPr>
          <w:t xml:space="preserve">[11]</w:t>
        </w:r>
      </w:hyperlink>
      <w:r>
        <w:t xml:space="preserve">, the spaceborne lidar architectures</w:t>
      </w:r>
      <w:r>
        <w:t xml:space="preserve"> </w:t>
      </w:r>
      <w:hyperlink w:anchor="ref-10">
        <w:r>
          <w:rPr>
            <w:rStyle w:val="Hyperlink"/>
          </w:rPr>
          <w:t xml:space="preserve">[10]</w:t>
        </w:r>
      </w:hyperlink>
      <w:r>
        <w:t xml:space="preserve">, and the formation-flying interferometric concepts</w:t>
      </w:r>
      <w:r>
        <w:t xml:space="preserve"> </w:t>
      </w:r>
      <w:hyperlink w:anchor="ref-7">
        <w:r>
          <w:rPr>
            <w:rStyle w:val="Hyperlink"/>
          </w:rPr>
          <w:t xml:space="preserve">[7]</w:t>
        </w:r>
      </w:hyperlink>
      <w:r>
        <w:t xml:space="preserve"> </w:t>
      </w:r>
      <w:r>
        <w:t xml:space="preserve">whose expense the field already concedes. A productivity regression that spanned this wider sensor population would test whether the diminishing-returns gradient found at the planetary-instrument margin generalizes to the characterization-sensor class as a whole, and would connect the science-return-per-dollar question to the parallel question of how potential markets for space-derived data and resources should be valued</w:t>
      </w:r>
      <w:r>
        <w:t xml:space="preserve"> </w:t>
      </w:r>
      <w:hyperlink w:anchor="ref-22">
        <w:r>
          <w:rPr>
            <w:rStyle w:val="Hyperlink"/>
          </w:rPr>
          <w:t xml:space="preserve">[22]</w:t>
        </w:r>
      </w:hyperlink>
      <w:r>
        <w:t xml:space="preserve">[24]. That connection is where the bibliometric productivity program rejoins the space-economy literature that motivated it, closing the loop from an instrument’s mass and cost, through its published science, to the measurable value stream that a forecasting model of the space economy must eventually carry</w:t>
      </w:r>
      <w:r>
        <w:t xml:space="preserve"> </w:t>
      </w:r>
      <w:hyperlink w:anchor="ref-1">
        <w:r>
          <w:rPr>
            <w:rStyle w:val="Hyperlink"/>
          </w:rPr>
          <w:t xml:space="preserve">[1]</w:t>
        </w:r>
      </w:hyperlink>
      <w:r>
        <w:t xml:space="preserve">[2].</w:t>
      </w:r>
    </w:p>
    <w:bookmarkEnd w:id="111"/>
    <w:bookmarkStart w:id="112" w:name="concluding-synthesis"/>
    <w:p>
      <w:pPr>
        <w:pStyle w:val="Heading2"/>
        <w:spacing w:line="480" w:lineRule="auto"/>
      </w:pPr>
      <w:r>
        <w:t xml:space="preserve">7.6 Concluding Synthesis</w:t>
      </w:r>
    </w:p>
    <w:p>
      <w:pPr>
        <w:pStyle w:val="FirstParagraph"/>
        <w:spacing w:line="480" w:lineRule="auto"/>
      </w:pPr>
      <w:r>
        <w:t xml:space="preserve">The dissertation began from a gap that the field reasons across by analogy: planetary science buys instruments but is judged on papers, and the standard basis for choosing among instruments is engineering heritage rather than measured productivity. The two empirical chapters narrow that gap by a measured amount. They establish that science return per dollar is estimable from public sources, that cost is a strong and reliable predictor of mission-level publication output, and that at the instrument margin the marginal kilogram of mass returns progressively less published science, an elasticity near 0.42 whose confidence interval excludes both no relationship and proportional scaling. They establish equally that the mission-level cost elasticity, where the field’s intuition about diminishing returns to scale is most confident, is where the present evidence is least able to adjudicate, with a confidence interval that contains one. The governance reading that follows is disciplined rather than sweeping. The instrument-mass gradient supplies a defensible, bounded lever for payload trades whose deliverable is published planetary science; the mission-cost elasticity supplies confirmation that cost predicts science but not yet a warrant for a portfolio tilt; and both readings are scoped strictly to the population for which a paper is the intended output, exempting the operational and strategic deliverables the proxy was never built to measure. The largest contribution is the conversion itself, from an analogical argument to an interval that can be audited and updated, and the clearest mandate the work issues is that the next analytic dollar should buy the larger, fixed-effects, instrumented panel that turns these reduced-form elasticities into the causal productivity model a program office and a laboratory can act upon.</w:t>
      </w:r>
    </w:p>
    <w:bookmarkEnd w:id="112"/>
    <w:bookmarkEnd w:id="113"/>
    <w:bookmarkStart w:id="160" w:name="chapter-8.-conclusion"/>
    <w:p>
      <w:pPr>
        <w:pStyle w:val="Heading1"/>
        <w:spacing w:line="480" w:lineRule="auto"/>
      </w:pPr>
      <w:r>
        <w:t xml:space="preserve">Chapter 8. Conclusion</w:t>
      </w:r>
    </w:p>
    <w:bookmarkStart w:id="114" w:name="the-argument-in-one-sentence"/>
    <w:p>
      <w:pPr>
        <w:pStyle w:val="Heading2"/>
        <w:spacing w:line="480" w:lineRule="auto"/>
      </w:pPr>
      <w:r>
        <w:t xml:space="preserve">8.1 The Argument in One Sentence</w:t>
      </w:r>
    </w:p>
    <w:p>
      <w:pPr>
        <w:pStyle w:val="FirstParagraph"/>
        <w:spacing w:line="480" w:lineRule="auto"/>
      </w:pPr>
      <w:r>
        <w:t xml:space="preserve">Planetary science buys instruments but is judged on papers, and this dissertation has shown that the rate at which dollars and kilograms convert into refereed publications can be measured as an elasticity, estimated from public data, and tested against a falsifiable null rather than argued by heritage and analogy. That single sentence carries the whole of the work. Everything in the preceding chapters is an attempt to take a portfolio-selection question that the field currently settles by engineering instinct and reframe it as a productivity parameter with a confidence interval. The motivating problem was stated at the outset: a decision-maker choosing among candidate payloads trades a wide-field imager against a mass spectrometer against a magnetometer on the basis of mass, power, technology readiness, and heritage, when what the decision-maker actually wants is science, and the most durable comparable record of realized science is the refereed literature an instrument’s data set generates over its operating life. The gap between what is bought and what is wanted is the gap this dissertation has tried to close, and it has closed a measurable portion of it.</w:t>
      </w:r>
    </w:p>
    <w:p>
      <w:pPr>
        <w:pStyle w:val="BodyText"/>
        <w:spacing w:line="480" w:lineRule="auto"/>
        <w:ind w:firstLine="720"/>
      </w:pPr>
      <w:r>
        <w:t xml:space="preserve">The economic frame that gave the question its stakes is not incidental to the argument. The space-economy literature now treats publicly funded science return as a distinct value stream that must be measured rather than asserted</w:t>
      </w:r>
      <w:r>
        <w:t xml:space="preserve"> </w:t>
      </w:r>
      <w:hyperlink w:anchor="ref-1">
        <w:r>
          <w:rPr>
            <w:rStyle w:val="Hyperlink"/>
          </w:rPr>
          <w:t xml:space="preserve">[1]</w:t>
        </w:r>
      </w:hyperlink>
      <w:r>
        <w:t xml:space="preserve">, and it is explicit that government must carry the early, high-risk stages where private returns are thin</w:t>
      </w:r>
      <w:r>
        <w:t xml:space="preserve"> </w:t>
      </w:r>
      <w:hyperlink w:anchor="ref-3">
        <w:r>
          <w:rPr>
            <w:rStyle w:val="Hyperlink"/>
          </w:rPr>
          <w:t xml:space="preserve">[3]</w:t>
        </w:r>
      </w:hyperlink>
      <w:r>
        <w:t xml:space="preserve">. The total value of the space enterprise is being revalued upward</w:t>
      </w:r>
      <w:r>
        <w:t xml:space="preserve"> </w:t>
      </w:r>
      <w:hyperlink w:anchor="ref-2">
        <w:r>
          <w:rPr>
            <w:rStyle w:val="Hyperlink"/>
          </w:rPr>
          <w:t xml:space="preserve">[2]</w:t>
        </w:r>
      </w:hyperlink>
      <w:r>
        <w:t xml:space="preserve">, which raises rather than lowers the consequence of allocating a fixed appropriation efficiently across competing instrument concepts. Within that frame, the productivity of public science money is a first-order policy quantity, and the contribution of this dissertation is to have estimated that productivity at two levels of analysis where it had not previously been estimated at all.</w:t>
      </w:r>
    </w:p>
    <w:bookmarkEnd w:id="114"/>
    <w:bookmarkStart w:id="115" w:name="synthesis-of-the-two-estimates"/>
    <w:p>
      <w:pPr>
        <w:pStyle w:val="Heading2"/>
        <w:spacing w:line="480" w:lineRule="auto"/>
      </w:pPr>
      <w:r>
        <w:t xml:space="preserve">8.2 Synthesis of the Two Estimates</w:t>
      </w:r>
    </w:p>
    <w:p>
      <w:pPr>
        <w:pStyle w:val="FirstParagraph"/>
        <w:spacing w:line="480" w:lineRule="auto"/>
      </w:pPr>
      <w:r>
        <w:t xml:space="preserve">The substantive heart of the dissertation is a pair of elasticities, one estimated at the mission level and one at the instrument level, that together describe how realized science scales with the resources committed to producing it.</w:t>
      </w:r>
    </w:p>
    <w:p>
      <w:pPr>
        <w:pStyle w:val="BodyText"/>
        <w:spacing w:line="480" w:lineRule="auto"/>
        <w:ind w:firstLine="720"/>
      </w:pPr>
      <w:r>
        <w:t xml:space="preserve">The first estimate, developed in the mission-level study, regressed the log of refereed publication count on the log of total life-cycle cost across twenty-five space-science missions using the canonical learning-curve form. The cost elasticity of publication output was 0.898, with a robust standard error of 0.158. That coefficient is a strong and statistically reliable predictor: it rejects the trivial null of no relationship at a p value below 0.001 and explains a little over half of the cross-mission variation in log publication count, with an R-squared of 0.539. Cost predicts science. The economically meaningful test, however, was not against zero but against one, the boundary between constant and diminishing returns to mission scale. Here the result was a null finding stated plainly. The point estimate of 0.898 sits below one, in the direction the diminishing-returns alternative predicts, but the ninety-five percent confidence interval runs from 0.589 to 1.207 and therefore contains one. On that sample, the hypothesis of constant returns to scale in science output cannot be rejected. A field that doubled a mission’s budget could, on this evidence, expect roughly to double its eventual paper count, give or take a margin the interval makes explicit.</w:t>
      </w:r>
    </w:p>
    <w:p>
      <w:pPr>
        <w:pStyle w:val="BodyText"/>
        <w:spacing w:line="480" w:lineRule="auto"/>
        <w:ind w:firstLine="720"/>
      </w:pPr>
      <w:r>
        <w:t xml:space="preserve">The second estimate, developed in the instrument-level study, regressed the log of refereed output on the log of instrument flight mass across thirty-two flown planetary instruments drawn from nine missions. The elasticity of output with respect to mass was 0.419, with a robust standard error of 0.113, a p value of 0.0002, and a ninety-five percent confidence interval from 0.197 to 0.641. Here the verdict was sharper. The null of no information was decisively rejected because the interval excludes zero by a wide margin, and the diminishing-returns reading was supported on the same evidence because the entire interval lies below one. A Wald test of the constant-returns null returned a statistic near negative five and a p value below 0.001, rejecting proportional scaling against the diminishing-returns alternative. In substantive terms, doubling an instrument’s mass is associated with roughly a thirty-four percent increase in expected refereed output rather than the hundred percent a proportional law would predict. The marginal kilogram, on that panel, buys progressively less published science.</w:t>
      </w:r>
    </w:p>
    <w:p>
      <w:pPr>
        <w:pStyle w:val="BodyText"/>
        <w:spacing w:line="480" w:lineRule="auto"/>
        <w:ind w:firstLine="720"/>
      </w:pPr>
      <w:r>
        <w:t xml:space="preserve">The two estimates are not in tension; they are complementary readings of the same underlying productivity surface taken from different vantage points and on different inputs. The mass elasticity is the cleaner rejection of proportional scaling, but it is estimated on a coarse surrogate, with an R-squared near 0.19 that openly concedes mass orders instruments by output only loosely. The cost elasticity is the more policy-relevant input, since allocation decisions are denominated in dollars rather than kilograms, but its confidence interval is too wide to convict scale of inefficiency on its own. Read together, they describe a field in which the diminishing-returns gradient is visible and statistically robust when output is regressed on the physical surrogate of mass, yet softens to a finding statistically indistinguishable from proportional when output is regressed on cost, the variable that ultimately matters for portfolio choice. The honest synthesis is that the evidence is friendly to the belief that the largest investments buy science at a falling marginal rate, but it certifies that belief only at the instrument-and-mass level, not yet at the mission-and-cost level where the allocation argument is actually fought.</w:t>
      </w:r>
    </w:p>
    <w:bookmarkEnd w:id="115"/>
    <w:bookmarkStart w:id="116" w:name="why-the-two-estimates-diverge"/>
    <w:p>
      <w:pPr>
        <w:pStyle w:val="Heading2"/>
        <w:spacing w:line="480" w:lineRule="auto"/>
      </w:pPr>
      <w:r>
        <w:t xml:space="preserve">8.3 Why the Two Estimates Diverge</w:t>
      </w:r>
    </w:p>
    <w:p>
      <w:pPr>
        <w:pStyle w:val="FirstParagraph"/>
        <w:spacing w:line="480" w:lineRule="auto"/>
      </w:pPr>
      <w:r>
        <w:t xml:space="preserve">A conclusion that simply reported two numbers would leave the reader to reconcile them. The dissertation can do better than that, because the divergence between a decisive mass elasticity below one and an inconclusive cost elasticity around one is itself informative about the structure of the problem.</w:t>
      </w:r>
    </w:p>
    <w:p>
      <w:pPr>
        <w:pStyle w:val="BodyText"/>
        <w:spacing w:line="480" w:lineRule="auto"/>
        <w:ind w:firstLine="720"/>
      </w:pPr>
      <w:r>
        <w:t xml:space="preserve">Three mechanisms account for the gap. The first is statistical power. The mass panel carries thirty-two instruments and the cost panel twenty-five missions, and the mass regressor spans a range wide enough to give the log-log slope strong leverage, while the cost panel, though it spans three orders of magnitude in dollars, must spend its limited degrees of freedom on a single parsimonious regressor precisely because adding mass and lifetime controls to twenty-five observations would invite the collinearity that cost, mass, and lifetime exhibit across mission classes. The second mechanism is the citability-cost confound that both studies named and neither could fully purge. Missions and instruments are made expensive on purpose, often because their science case was judged strong in advance, and that endogeneity biases the cost elasticity toward one. Mass is a less deliberately chosen quantity than cost, so the mass elasticity is less contaminated by the selection that pushes the cost estimate up against the constant-returns boundary. The third mechanism is construct distance. Mass is a physical surrogate for complexity and capability, whereas cost integrates capability, schedule, programmatic risk reserve, and institutional overhead, and the additional content folded into cost is exactly the content most likely to scale with the pre-judged strength of the science case. The cost elasticity is therefore the harder quantity to estimate cleanly, and its inconclusiveness is a feature of an honest analysis rather than a defect of the data.</w:t>
      </w:r>
    </w:p>
    <w:p>
      <w:pPr>
        <w:pStyle w:val="BodyText"/>
        <w:spacing w:line="480" w:lineRule="auto"/>
        <w:ind w:firstLine="720"/>
      </w:pPr>
      <w:r>
        <w:t xml:space="preserve">This is the point at which the dissertation’s design instinct pays off. The prospectus anticipated every one of these threats and specified the apparatus that addresses them: a negative-binomial count model rather than ordinary least squares to accommodate the overdispersion publication counts exhibit; mission fixed effects that difference out target body, launch epoch, data-release policy, science-team size, and era-specific publication norms by comparing instruments that shared a bus and a campaign but differed in price; explicit controls for operating lifetime, because a long-lived instrument accrues papers mechanically, and for mass, the field’s habitual capability surrogate; and an instrumental-variables robustness check using pre-launch technology-readiness level and detector heritage as instruments for realized cost, since readiness and heritage move development cost through engineering channels plausibly orthogonal to a paper’s eventual citability. The two empirical chapters are the parsimonious, defensible first cuts that the data could support today; the prospectus is the fully identified design that the next, larger, instrument-level panel will execute. The dissertation thus delivers both an estimate and the design for its own improvement, and it is candid that the route to a sharper cost elasticity runs through the count model and the fixed effects, not through reinterpretation of the present coefficient.</w:t>
      </w:r>
    </w:p>
    <w:bookmarkEnd w:id="116"/>
    <w:bookmarkStart w:id="117" w:name="contribution-to-knowledge"/>
    <w:p>
      <w:pPr>
        <w:pStyle w:val="Heading2"/>
        <w:spacing w:line="480" w:lineRule="auto"/>
      </w:pPr>
      <w:r>
        <w:t xml:space="preserve">8.4 Contribution to Knowledge</w:t>
      </w:r>
    </w:p>
    <w:p>
      <w:pPr>
        <w:pStyle w:val="FirstParagraph"/>
        <w:spacing w:line="480" w:lineRule="auto"/>
      </w:pPr>
      <w:r>
        <w:t xml:space="preserve">The contribution of this dissertation can be stated against the three bodies of work it engaged, none of which answered the question it posed.</w:t>
      </w:r>
    </w:p>
    <w:p>
      <w:pPr>
        <w:pStyle w:val="BodyText"/>
        <w:spacing w:line="480" w:lineRule="auto"/>
        <w:ind w:firstLine="720"/>
      </w:pPr>
      <w:r>
        <w:t xml:space="preserve">The space-economy literature measures value at the level of the sector or the mission and treats government science as an input to be justified</w:t>
      </w:r>
      <w:r>
        <w:t xml:space="preserve"> </w:t>
      </w:r>
      <w:hyperlink w:anchor="ref-1">
        <w:r>
          <w:rPr>
            <w:rStyle w:val="Hyperlink"/>
          </w:rPr>
          <w:t xml:space="preserve">[1]</w:t>
        </w:r>
      </w:hyperlink>
      <w:r>
        <w:t xml:space="preserve"> </w:t>
      </w:r>
      <w:r>
        <w:t xml:space="preserve">or as a frontier whose total value is being revalued upward</w:t>
      </w:r>
      <w:r>
        <w:t xml:space="preserve"> </w:t>
      </w:r>
      <w:hyperlink w:anchor="ref-2">
        <w:r>
          <w:rPr>
            <w:rStyle w:val="Hyperlink"/>
          </w:rPr>
          <w:t xml:space="preserve">[2]</w:t>
        </w:r>
      </w:hyperlink>
      <w:r>
        <w:t xml:space="preserve">, but it does not descend to the instrument and does not estimate a productivity function. This dissertation descends to the instrument and estimates the function. The architecture and cost literature has shown that linear regression on the drivers of overall mission cost is tractable and accepted in the field</w:t>
      </w:r>
      <w:r>
        <w:t xml:space="preserve"> </w:t>
      </w:r>
      <w:hyperlink w:anchor="ref-4">
        <w:r>
          <w:rPr>
            <w:rStyle w:val="Hyperlink"/>
          </w:rPr>
          <w:t xml:space="preserve">[4]</w:t>
        </w:r>
      </w:hyperlink>
      <w:r>
        <w:t xml:space="preserve">, but it stops at cost and does not carry the analysis through to realized science output. This dissertation carries the regression logic one estimand further, from cost to published science, putting cost and mass on one side and refereed publication count on the other. The instrument-engineering literature characterizes sensor performance in physical terms and is candid that capability and expense rise together</w:t>
      </w:r>
      <w:r>
        <w:t xml:space="preserve"> </w:t>
      </w:r>
      <w:hyperlink w:anchor="ref-5">
        <w:r>
          <w:rPr>
            <w:rStyle w:val="Hyperlink"/>
          </w:rPr>
          <w:t xml:space="preserve">[5]</w:t>
        </w:r>
      </w:hyperlink>
      <w:r>
        <w:t xml:space="preserve">[7], but it never closes the loop from expense to published science. This dissertation closes that loop with a measured elasticity.</w:t>
      </w:r>
    </w:p>
    <w:p>
      <w:pPr>
        <w:pStyle w:val="BodyText"/>
        <w:spacing w:line="480" w:lineRule="auto"/>
        <w:ind w:firstLine="720"/>
      </w:pPr>
      <w:r>
        <w:t xml:space="preserve">The specific and original contribution is therefore the production of falsifiable productivity estimates where the field previously reasoned only by analogy and heritage. Before this work, no published estimate stated the elasticity of science output with respect to instrument cost or instrument mass, and because no number existed, no claim could be refuted. This dissertation supplies numbers that can be refuted: a mass elasticity of 0.419 with an interval from 0.197 to 0.641 that rejects both no-information and constant returns, and a cost elasticity of 0.898 with an interval from 0.589 to 1.207 that confirms cost predicts science while declining to convict scale of inefficiency. Each is a single scalar with a confidence interval; neither can be rescued by reinterpretation if a larger or cleaner panel overturns it. That falsifiability is the methodological contribution as much as the elasticities are the substantive one.</w:t>
      </w:r>
    </w:p>
    <w:p>
      <w:pPr>
        <w:pStyle w:val="BodyText"/>
        <w:spacing w:line="480" w:lineRule="auto"/>
        <w:ind w:firstLine="720"/>
      </w:pPr>
      <w:r>
        <w:t xml:space="preserve">A second, quieter contribution is to data provenance and replicability. The empirical panels were built entirely from public, programmatic, and obtainable sources: the bibliometric census of refereed mission output assembled under uniform inclusion rules</w:t>
      </w:r>
      <w:r>
        <w:t xml:space="preserve"> </w:t>
      </w:r>
      <w:hyperlink w:anchor="ref-9">
        <w:r>
          <w:rPr>
            <w:rStyle w:val="Hyperlink"/>
          </w:rPr>
          <w:t xml:space="preserve">[9]</w:t>
        </w:r>
      </w:hyperlink>
      <w:r>
        <w:t xml:space="preserve">, the NASA Technical Reports Server citations interface with per-instrument query strings recorded in the source column of every row, instrument flight mass taken from the canonical published instrument descriptions, and total life-cycle cost compiled from agency fact sheets and government accountability assessments with every conversion recorded in the source field. No publication count, cost, mass, or lifetime in either panel is illustrative; every cell traces to a named source, and the accompanying workbooks expose each input for audit. Any reviewer can reconstruct the panels without privileged access. The dissertation therefore demonstrates that the productivity question, long treated as too data-poor to answer, is in fact answerable from records that are already open, which is a precondition for the field ever adopting the method at scale.</w:t>
      </w:r>
    </w:p>
    <w:p>
      <w:pPr>
        <w:pStyle w:val="BodyText"/>
        <w:spacing w:line="480" w:lineRule="auto"/>
        <w:ind w:firstLine="720"/>
      </w:pPr>
      <w:r>
        <w:t xml:space="preserve">A third contribution is conceptual discipline about what the proxy measures and does not measure. Refereed publication count is a proxy for realized science, not science itself, and it undercounts mission types whose value is operational or strategic rather than scholarly</w:t>
      </w:r>
      <w:r>
        <w:t xml:space="preserve"> </w:t>
      </w:r>
      <w:hyperlink w:anchor="ref-3">
        <w:r>
          <w:rPr>
            <w:rStyle w:val="Hyperlink"/>
          </w:rPr>
          <w:t xml:space="preserve">[3]</w:t>
        </w:r>
      </w:hyperlink>
      <w:r>
        <w:t xml:space="preserve">. Both empirical chapters stated this boundary plainly and confined the policy reading to instruments and missions whose primary deliverable is published planetary science. The economic framing that motivated the study is the same one that warns its scope is the measurable value stream, not the whole value of the enterprise</w:t>
      </w:r>
      <w:r>
        <w:t xml:space="preserve"> </w:t>
      </w:r>
      <w:hyperlink w:anchor="ref-1">
        <w:r>
          <w:rPr>
            <w:rStyle w:val="Hyperlink"/>
          </w:rPr>
          <w:t xml:space="preserve">[1]</w:t>
        </w:r>
      </w:hyperlink>
      <w:r>
        <w:t xml:space="preserve">[2]. By stating the boundary rather than eliding it, the dissertation models the restraint the method requires if it is to be trusted by the program offices it is meant to serve.</w:t>
      </w:r>
    </w:p>
    <w:bookmarkEnd w:id="117"/>
    <w:bookmarkStart w:id="118" w:name="limits-restated-honestly"/>
    <w:p>
      <w:pPr>
        <w:pStyle w:val="Heading2"/>
        <w:spacing w:line="480" w:lineRule="auto"/>
      </w:pPr>
      <w:r>
        <w:t xml:space="preserve">8.5 Limits, Restated Honestly</w:t>
      </w:r>
    </w:p>
    <w:p>
      <w:pPr>
        <w:pStyle w:val="FirstParagraph"/>
        <w:spacing w:line="480" w:lineRule="auto"/>
      </w:pPr>
      <w:r>
        <w:t xml:space="preserve">The conclusion of a rigorous study is the place to restate its limits without defensiveness, because a result whose boundaries are hidden invites overreach. Five limits bound the claims advanced here. First, the outcome is a proxy: publication counts and technical-report records preserve the cross-instrument and cross-mission ordering the regressions exploit, but they understate absolute output and undercount non-scholarly value</w:t>
      </w:r>
      <w:r>
        <w:t xml:space="preserve"> </w:t>
      </w:r>
      <w:hyperlink w:anchor="ref-3">
        <w:r>
          <w:rPr>
            <w:rStyle w:val="Hyperlink"/>
          </w:rPr>
          <w:t xml:space="preserve">[3]</w:t>
        </w:r>
      </w:hyperlink>
      <w:r>
        <w:t xml:space="preserve">. Second, cost is not randomly assigned, and the citability-cost confound biases the cost elasticity toward one, which is the most likely explanation for why constant returns cannot be rejected at the mission level. Third, both headline specifications are intentionally parsimonious, single-regressor models, because the present panels are too small to afford the mass, lifetime, and mission controls that the prospectus design will eventually carry; the controls there enter as documented context and as a guard against the most obvious confounds rather than as partialled-out regressors. Fourth, the mass elasticity’s modest R-squared near 0.19 is a candid statement that mass orders instruments only loosely and that much of what makes an instrument productive lives in design choices, target richness, and team activity that mass does not capture. Fifth, attribution noise, survivorship, era and discipline effects in publication norms, and the construct validity of papers as science are all live threats that the prospectus addresses through fractional crediting, retention of failed instruments at realized lifetime, mission fixed effects, and instrument-type indicators, but that the present empirical chapters could only acknowledge rather than fully neutralize. The next dollar of analysis, as the mission-level study put it, should buy a larger panel before it buys a stronger claim.</w:t>
      </w:r>
    </w:p>
    <w:bookmarkEnd w:id="118"/>
    <w:bookmarkStart w:id="119" w:name="closing-statement"/>
    <w:p>
      <w:pPr>
        <w:pStyle w:val="Heading2"/>
        <w:spacing w:line="480" w:lineRule="auto"/>
      </w:pPr>
      <w:r>
        <w:t xml:space="preserve">8.6 Closing Statement</w:t>
      </w:r>
    </w:p>
    <w:p>
      <w:pPr>
        <w:pStyle w:val="FirstParagraph"/>
        <w:spacing w:line="480" w:lineRule="auto"/>
      </w:pPr>
      <w:r>
        <w:t xml:space="preserve">This dissertation set out to convert a portfolio-selection question that planetary science currently argues by analogy into one that can be measured, replicated, and audited, and it has done so within the boundaries it was honest enough to draw. It has produced two falsifiable elasticities from public data: a robust diminishing-returns gradient when refereed output is regressed on instrument mass, and a cost elasticity statistically indistinguishable from proportional when output is regressed on the dollars that allocation decisions actually spend. It has explained why those two readings diverge, attributed the divergence to power, endogeneity, and construct distance rather than to inconsistency, and laid out in the prospectus the identified count-model design that will sharpen the estimate the present panels could only approximate. The field reasons about the trade between an expensive instrument and a cheap one with heritage and instinct; this work offers it a number instead, and a method for getting better numbers as the panels grow.</w:t>
      </w:r>
    </w:p>
    <w:p>
      <w:pPr>
        <w:pStyle w:val="BodyText"/>
        <w:spacing w:line="480" w:lineRule="auto"/>
        <w:ind w:firstLine="720"/>
      </w:pPr>
      <w:r>
        <w:t xml:space="preserve">The larger claim is modest and, for that reason, durable. The productivity of public science money is a measurable quantity, the records needed to measure it are already open, and the honest current state of the evidence is that cost predicts science strongly while scale’s marginal efficiency remains, at the dollar level, an open and answerable question. The economic literature that motivated this work insists that publicly funded science return be measured rather than asserted</w:t>
      </w:r>
      <w:r>
        <w:t xml:space="preserve"> </w:t>
      </w:r>
      <w:hyperlink w:anchor="ref-1">
        <w:r>
          <w:rPr>
            <w:rStyle w:val="Hyperlink"/>
          </w:rPr>
          <w:t xml:space="preserve">[1]</w:t>
        </w:r>
      </w:hyperlink>
      <w:r>
        <w:t xml:space="preserve">, and that the rising value of the space enterprise makes instrument-level allocation more consequential, not less</w:t>
      </w:r>
      <w:r>
        <w:t xml:space="preserve"> </w:t>
      </w:r>
      <w:hyperlink w:anchor="ref-2">
        <w:r>
          <w:rPr>
            <w:rStyle w:val="Hyperlink"/>
          </w:rPr>
          <w:t xml:space="preserve">[2]</w:t>
        </w:r>
      </w:hyperlink>
      <w:r>
        <w:t xml:space="preserve">. This dissertation is one disciplined response to that insistence: it measures what it can, states plainly what it cannot yet measure, and leaves the field with a replicable instrument for closing the remaining gap between the hardware it buys and the science it is judged by. That is the contribution, and it is offered for refutation.</w:t>
      </w:r>
    </w:p>
    <w:bookmarkEnd w:id="119"/>
    <w:bookmarkStart w:id="159" w:name="references"/>
    <w:p>
      <w:pPr>
        <w:pStyle w:val="Heading2"/>
        <w:spacing w:line="480" w:lineRule="auto"/>
      </w:pPr>
      <w:r>
        <w:t xml:space="preserve">References</w:t>
      </w:r>
    </w:p>
    <w:p>
      <w:pPr>
        <w:pStyle w:val="FirstParagraph"/>
        <w:spacing w:line="480" w:lineRule="auto"/>
      </w:pPr>
      <w:bookmarkStart w:id="120" w:name="ref-1"/>
      <w:bookmarkEnd w:id="120"/>
      <w:r>
        <w:t xml:space="preserve">1. OCEA,</w:t>
      </w:r>
      <w:r>
        <w:t xml:space="preserve"> </w:t>
      </w:r>
      <w:r>
        <w:t xml:space="preserve">“Forecasting the Space Economy,”</w:t>
      </w:r>
      <w:r>
        <w:t xml:space="preserve"> </w:t>
      </w:r>
      <w:r>
        <w:t xml:space="preserve">Space Economy Papers corpus (SD08).</w:t>
      </w:r>
    </w:p>
    <w:p>
      <w:pPr>
        <w:pStyle w:val="BodyText"/>
        <w:spacing w:line="480" w:lineRule="auto"/>
        <w:ind w:firstLine="720"/>
      </w:pPr>
      <w:bookmarkStart w:id="121" w:name="ref-2"/>
      <w:bookmarkEnd w:id="121"/>
      <w:r>
        <w:t xml:space="preserve">2. M. Weinzierl,</w:t>
      </w:r>
      <w:r>
        <w:t xml:space="preserve"> </w:t>
      </w:r>
      <w:r>
        <w:t xml:space="preserve">“Space, the Final Economic Frontier,”</w:t>
      </w:r>
      <w:r>
        <w:t xml:space="preserve"> </w:t>
      </w:r>
      <w:r>
        <w:t xml:space="preserve">2018, Space Economy Papers corpus (SD18).</w:t>
      </w:r>
    </w:p>
    <w:p>
      <w:pPr>
        <w:pStyle w:val="BodyText"/>
        <w:spacing w:line="480" w:lineRule="auto"/>
        <w:ind w:firstLine="720"/>
      </w:pPr>
      <w:bookmarkStart w:id="122" w:name="ref-3"/>
      <w:bookmarkEnd w:id="122"/>
      <w:r>
        <w:t xml:space="preserve">3.</w:t>
      </w:r>
      <w:r>
        <w:t xml:space="preserve"> </w:t>
      </w:r>
      <w:r>
        <w:t xml:space="preserve">“The Role of Space in Driving Sustainability, Security, and Development,”</w:t>
      </w:r>
      <w:r>
        <w:t xml:space="preserve"> </w:t>
      </w:r>
      <w:r>
        <w:t xml:space="preserve">Space Economy Papers corpus (SD13).</w:t>
      </w:r>
    </w:p>
    <w:p>
      <w:pPr>
        <w:pStyle w:val="BodyText"/>
        <w:spacing w:line="480" w:lineRule="auto"/>
        <w:ind w:firstLine="720"/>
      </w:pPr>
      <w:bookmarkStart w:id="123" w:name="ref-4"/>
      <w:bookmarkEnd w:id="123"/>
      <w:r>
        <w:t xml:space="preserve">4.</w:t>
      </w:r>
      <w:r>
        <w:t xml:space="preserve"> </w:t>
      </w:r>
      <w:r>
        <w:t xml:space="preserve">“Architectural Socio-Technological Transformative Change of Space-Use Norms,”</w:t>
      </w:r>
      <w:r>
        <w:t xml:space="preserve"> </w:t>
      </w:r>
      <w:r>
        <w:t xml:space="preserve">Space Economy Papers corpus (SD03).</w:t>
      </w:r>
    </w:p>
    <w:p>
      <w:pPr>
        <w:pStyle w:val="BodyText"/>
        <w:spacing w:line="480" w:lineRule="auto"/>
        <w:ind w:firstLine="720"/>
      </w:pPr>
      <w:bookmarkStart w:id="124" w:name="ref-5"/>
      <w:bookmarkEnd w:id="124"/>
      <w:r>
        <w:t xml:space="preserve">5. R. Wright, G. Lake, T. Drouillard, A. Wernersbach, K. Naik, M. Dittman, and M. Tooth,</w:t>
      </w:r>
      <w:r>
        <w:t xml:space="preserve"> </w:t>
      </w:r>
      <w:r>
        <w:t xml:space="preserve">“Design of a Space-based Hyperspectral Characterization Sensor,”</w:t>
      </w:r>
      <w:r>
        <w:t xml:space="preserve"> </w:t>
      </w:r>
      <w:r>
        <w:t xml:space="preserve">Proc. Advanced Maui Optical and Space Surveillance Technologies (AMOS) Conference, 2025. doi:</w:t>
      </w:r>
      <w:r>
        <w:t xml:space="preserve"> </w:t>
      </w:r>
      <w:hyperlink r:id="rId125">
        <w:r>
          <w:rPr>
            <w:rStyle w:val="Hyperlink"/>
          </w:rPr>
          <w:t xml:space="preserve">10.64861/WJYY3646</w:t>
        </w:r>
      </w:hyperlink>
    </w:p>
    <w:p>
      <w:pPr>
        <w:pStyle w:val="BodyText"/>
        <w:spacing w:line="480" w:lineRule="auto"/>
        <w:ind w:firstLine="720"/>
      </w:pPr>
      <w:bookmarkStart w:id="126" w:name="ref-6"/>
      <w:bookmarkEnd w:id="126"/>
      <w:r>
        <w:t xml:space="preserve">6. G. Martínez-Esteve, J. Torres, S. Navarro, J. Gómez-Elvira, M. Marín, and J. A. Rodríguez-Manfredi,</w:t>
      </w:r>
      <w:r>
        <w:t xml:space="preserve"> </w:t>
      </w:r>
      <w:r>
        <w:t xml:space="preserve">“A model for the estimation of freestream mars horizontal wind speeds and directions for MEDA wind sensors in NASA-JPL mars 2020 mission. Part I,”</w:t>
      </w:r>
      <w:r>
        <w:t xml:space="preserve"> </w:t>
      </w:r>
      <w:r>
        <w:t xml:space="preserve">Acta Astronautica, vol. 240, 2025. doi:</w:t>
      </w:r>
      <w:r>
        <w:t xml:space="preserve"> </w:t>
      </w:r>
      <w:hyperlink r:id="rId127">
        <w:r>
          <w:rPr>
            <w:rStyle w:val="Hyperlink"/>
          </w:rPr>
          <w:t xml:space="preserve">10.1016/j.actaastro.2025.11.080</w:t>
        </w:r>
      </w:hyperlink>
    </w:p>
    <w:p>
      <w:pPr>
        <w:pStyle w:val="BodyText"/>
        <w:spacing w:line="480" w:lineRule="auto"/>
        <w:ind w:firstLine="720"/>
      </w:pPr>
      <w:bookmarkStart w:id="128" w:name="ref-7"/>
      <w:bookmarkEnd w:id="128"/>
      <w:r>
        <w:t xml:space="preserve">7. E. Fowler and D. Paley,</w:t>
      </w:r>
      <w:r>
        <w:t xml:space="preserve"> </w:t>
      </w:r>
      <w:r>
        <w:t xml:space="preserve">“Formation Flight Design Near Earth-Moon Lagrange Points for Interferometric Characterization of Cislunar Objects,”</w:t>
      </w:r>
      <w:r>
        <w:t xml:space="preserve"> </w:t>
      </w:r>
      <w:r>
        <w:t xml:space="preserve">Proc. Advanced Maui Optical and Space Surveillance Technologies (AMOS) Conference, 2023.</w:t>
      </w:r>
    </w:p>
    <w:p>
      <w:pPr>
        <w:pStyle w:val="BodyText"/>
        <w:spacing w:line="480" w:lineRule="auto"/>
        <w:ind w:firstLine="720"/>
      </w:pPr>
      <w:bookmarkStart w:id="129" w:name="ref-8"/>
      <w:bookmarkEnd w:id="129"/>
      <w:r>
        <w:t xml:space="preserve">8. B. M. Griggs and L. Berthoud,</w:t>
      </w:r>
      <w:r>
        <w:t xml:space="preserve"> </w:t>
      </w:r>
      <w:r>
        <w:t xml:space="preserve">“Development of electrostatic removal system for application in dust removal from Martian spacesuits,”</w:t>
      </w:r>
      <w:r>
        <w:t xml:space="preserve"> </w:t>
      </w:r>
      <w:r>
        <w:t xml:space="preserve">Acta Astronautica, vol. 218, 2024. doi:</w:t>
      </w:r>
      <w:r>
        <w:t xml:space="preserve"> </w:t>
      </w:r>
      <w:hyperlink r:id="rId130">
        <w:r>
          <w:rPr>
            <w:rStyle w:val="Hyperlink"/>
          </w:rPr>
          <w:t xml:space="preserve">10.1016/j.actaastro.2024.02.016</w:t>
        </w:r>
      </w:hyperlink>
    </w:p>
    <w:p>
      <w:pPr>
        <w:pStyle w:val="BodyText"/>
        <w:spacing w:line="480" w:lineRule="auto"/>
        <w:ind w:firstLine="720"/>
      </w:pPr>
      <w:bookmarkStart w:id="131" w:name="ref-9"/>
      <w:bookmarkEnd w:id="131"/>
      <w:r>
        <w:t xml:space="preserve">9. G. De Marchi and A. N. Parmar,</w:t>
      </w:r>
      <w:r>
        <w:t xml:space="preserve"> </w:t>
      </w:r>
      <w:r>
        <w:t xml:space="preserve">“ESA Science Programme Missions: Contributions and Exploitation, ESA Mission Publications,”</w:t>
      </w:r>
      <w:r>
        <w:t xml:space="preserve"> </w:t>
      </w:r>
      <w:r>
        <w:t xml:space="preserve">ISSI Scientific Reports, 2024. arXiv:2402.12818.</w:t>
      </w:r>
    </w:p>
    <w:p>
      <w:pPr>
        <w:pStyle w:val="BodyText"/>
        <w:spacing w:line="480" w:lineRule="auto"/>
        <w:ind w:firstLine="720"/>
      </w:pPr>
      <w:bookmarkStart w:id="132" w:name="ref-10"/>
      <w:bookmarkEnd w:id="132"/>
      <w:r>
        <w:t xml:space="preserve">10. Spacecraft and optics design considerations for a spaceborne lidar mission, Acta Astronautica, 2023. doi:</w:t>
      </w:r>
      <w:r>
        <w:t xml:space="preserve"> </w:t>
      </w:r>
      <w:hyperlink r:id="rId133">
        <w:r>
          <w:rPr>
            <w:rStyle w:val="Hyperlink"/>
          </w:rPr>
          <w:t xml:space="preserve">10.1016/j.actaastro.2023.10.042</w:t>
        </w:r>
      </w:hyperlink>
    </w:p>
    <w:p>
      <w:pPr>
        <w:pStyle w:val="BodyText"/>
        <w:spacing w:line="480" w:lineRule="auto"/>
        <w:ind w:firstLine="720"/>
      </w:pPr>
      <w:bookmarkStart w:id="134" w:name="ref-11"/>
      <w:bookmarkEnd w:id="134"/>
      <w:r>
        <w:t xml:space="preserve">11. Mark Ackermann, Sandia National Laboratories, David Cox, Sandia National Laboratories, John McGraw, J.T. McGraw &amp; Associates, Peter Zimmer, J.T. McGraw &amp; Associates. Lens and Camera Arrays for Sky Surveys and Space Surveillance (2016).</w:t>
      </w:r>
    </w:p>
    <w:p>
      <w:pPr>
        <w:pStyle w:val="BodyText"/>
        <w:spacing w:line="480" w:lineRule="auto"/>
        <w:ind w:firstLine="720"/>
      </w:pPr>
      <w:bookmarkStart w:id="135" w:name="ref-12"/>
      <w:bookmarkEnd w:id="135"/>
      <w:r>
        <w:t xml:space="preserve">12. Patrick A. Taylor, National Radio Astronomy Observatory, Green Bank Observatory; Steven R. Wilkinson, Raytheon Intelligence and Space; Flora Paganelli, National Radio Astronomy Observatory; Ray Samaniego, Raytheon Intelligence &amp; Space; Bishara Shamee, Raytheon Intelligence &amp; Space; Aaron Wallace, Raytheon Intelligence &amp; Space; Anthony J. Beasley, National Radio Astronomy Observatory. The Next Generation Planetary Radar System on the Green Bank Telescope (2022).</w:t>
      </w:r>
    </w:p>
    <w:p>
      <w:pPr>
        <w:pStyle w:val="BodyText"/>
        <w:spacing w:line="480" w:lineRule="auto"/>
        <w:ind w:firstLine="720"/>
      </w:pPr>
      <w:bookmarkStart w:id="136" w:name="ref-13"/>
      <w:bookmarkEnd w:id="136"/>
      <w:r>
        <w:t xml:space="preserve">13. Philip A. Bland and the DFN Team, Curtin University. Adapting a Planetary Science Observational Facility for Space Situational Awareness (2016).</w:t>
      </w:r>
    </w:p>
    <w:p>
      <w:pPr>
        <w:pStyle w:val="BodyText"/>
        <w:spacing w:line="480" w:lineRule="auto"/>
        <w:ind w:firstLine="720"/>
      </w:pPr>
      <w:bookmarkStart w:id="137" w:name="ref-14"/>
      <w:bookmarkEnd w:id="137"/>
      <w:r>
        <w:t xml:space="preserve">14. Sam Wishnek, University of Colorado Boulder; Marcus Holzinger, University of Colorado Boulder; Patrick Handley, Ball Aerospace. Robust Cislunar Initial Orbit Determination (2021).</w:t>
      </w:r>
    </w:p>
    <w:p>
      <w:pPr>
        <w:pStyle w:val="BodyText"/>
        <w:spacing w:line="480" w:lineRule="auto"/>
        <w:ind w:firstLine="720"/>
      </w:pPr>
      <w:bookmarkStart w:id="138" w:name="ref-15"/>
      <w:bookmarkEnd w:id="138"/>
      <w:r>
        <w:t xml:space="preserve">15. Abdul Mutholib, International Islamic University, Malaysia; Nadirah Abdul Rahim, International Islamic University, Malaysia; Teddy Surya Gunawan, International Islamic University, Malaysia. Prototype Development of Web AI-Based Decision Support System: Insights and Recommendations for Satellite Anomaly Identification (2025). doi:</w:t>
      </w:r>
      <w:r>
        <w:t xml:space="preserve"> </w:t>
      </w:r>
      <w:hyperlink r:id="rId139">
        <w:r>
          <w:rPr>
            <w:rStyle w:val="Hyperlink"/>
          </w:rPr>
          <w:t xml:space="preserve">10.64861/TJUV7381</w:t>
        </w:r>
      </w:hyperlink>
    </w:p>
    <w:p>
      <w:pPr>
        <w:pStyle w:val="BodyText"/>
        <w:spacing w:line="480" w:lineRule="auto"/>
        <w:ind w:firstLine="720"/>
      </w:pPr>
      <w:bookmarkStart w:id="140" w:name="ref-16"/>
      <w:bookmarkEnd w:id="140"/>
      <w:r>
        <w:t xml:space="preserve">16. Nicholas Perovich, MIT Lincoln Laboratory; Zachary Folcik, MIT Lincoln Laboratory; Rafael Jaimes, MIT Lincoln Laboratory. Applications of Artificial Intelligence Methods for Satellite Maneuver Detection and Maneuver Time Estimation (2022).</w:t>
      </w:r>
    </w:p>
    <w:p>
      <w:pPr>
        <w:pStyle w:val="BodyText"/>
        <w:spacing w:line="480" w:lineRule="auto"/>
        <w:ind w:firstLine="720"/>
      </w:pPr>
      <w:bookmarkStart w:id="141" w:name="ref-17"/>
      <w:bookmarkEnd w:id="141"/>
      <w:r>
        <w:t xml:space="preserve">17. Sergei Bilardi, Space and Atmospheric Instrumentation Lab – Center for Space and Atmospheric Research and Department of Physical Sciences – Embry-Riddle Aeronautical University, Aroh Barjatya, Space and Atmospheric Instrumentation Lab – Center for Space and Atmospheric Research and Department of Physical Sciences – Embry-Riddle Aeronautical University, Forrest Gasdia, Ann and H.J. Smead Aerospace Engineering Sciences – University of Colorado Boulder. Larger Optics and Improved Calibration Techniques for Small Satellite Observations with the ERAU OSCOM System (2017).</w:t>
      </w:r>
    </w:p>
    <w:p>
      <w:pPr>
        <w:pStyle w:val="BodyText"/>
        <w:spacing w:line="480" w:lineRule="auto"/>
        <w:ind w:firstLine="720"/>
      </w:pPr>
      <w:bookmarkStart w:id="142" w:name="ref-18"/>
      <w:bookmarkEnd w:id="142"/>
      <w:r>
        <w:t xml:space="preserve">18. Professor Douglas Currie (University of Maryland, NASA Lunar Science Institute, Istituto Nazionale di Fisica Nucleare Laboratori), Dr. Simone Dell Agnello (Istituto Nazionale di Fisica Nucleare Laboratori, Nazionali di Frascati), Dr. Giovanni Delle Monache (Istituto Nazionale di Fisica Nucleare Laboratori). A Lunar Laser Ranging Retroreflector for the 21st Century (2009).</w:t>
      </w:r>
    </w:p>
    <w:p>
      <w:pPr>
        <w:pStyle w:val="BodyText"/>
        <w:spacing w:line="480" w:lineRule="auto"/>
        <w:ind w:firstLine="720"/>
      </w:pPr>
      <w:bookmarkStart w:id="143" w:name="ref-19"/>
      <w:bookmarkEnd w:id="143"/>
      <w:r>
        <w:t xml:space="preserve">19. Ksenia Osipova; Alessandro Golkar; Adriano Camps; Joan A. Ruiz-de-Azua; Luis Contreras-Benito; Nicola Garzaniti; Lara Fernandez. Architecting CubeSat constellations for messaging service, Part II (2025). doi:</w:t>
      </w:r>
      <w:r>
        <w:t xml:space="preserve"> </w:t>
      </w:r>
      <w:hyperlink r:id="rId144">
        <w:r>
          <w:rPr>
            <w:rStyle w:val="Hyperlink"/>
          </w:rPr>
          <w:t xml:space="preserve">10.1016/j.actaastro.2024.12.022</w:t>
        </w:r>
      </w:hyperlink>
    </w:p>
    <w:p>
      <w:pPr>
        <w:pStyle w:val="BodyText"/>
        <w:spacing w:line="480" w:lineRule="auto"/>
        <w:ind w:firstLine="720"/>
      </w:pPr>
      <w:bookmarkStart w:id="145" w:name="ref-20"/>
      <w:bookmarkEnd w:id="145"/>
      <w:r>
        <w:t xml:space="preserve">20. Michael Paluszek; Annie Price; Zoe Koniaris; Christopher Galea; Stephanie Thomas; S. Cohen; Rachel Stutz. Nuclear fusion powered Titan aircraft (2023). doi:</w:t>
      </w:r>
      <w:r>
        <w:t xml:space="preserve"> </w:t>
      </w:r>
      <w:hyperlink r:id="rId146">
        <w:r>
          <w:rPr>
            <w:rStyle w:val="Hyperlink"/>
          </w:rPr>
          <w:t xml:space="preserve">10.1016/j.actaastro.2023.04.029</w:t>
        </w:r>
      </w:hyperlink>
    </w:p>
    <w:p>
      <w:pPr>
        <w:pStyle w:val="BodyText"/>
        <w:spacing w:line="480" w:lineRule="auto"/>
        <w:ind w:firstLine="720"/>
      </w:pPr>
      <w:bookmarkStart w:id="147" w:name="ref-21"/>
      <w:bookmarkEnd w:id="147"/>
      <w:r>
        <w:t xml:space="preserve">21. Christian Lorenz; Bruno Hay Mele; Carmen Arena. Where is the plant-space research going? An overview on the last two decades through bibliometric network multi-analysis (2024). doi:</w:t>
      </w:r>
      <w:r>
        <w:t xml:space="preserve"> </w:t>
      </w:r>
      <w:hyperlink r:id="rId148">
        <w:r>
          <w:rPr>
            <w:rStyle w:val="Hyperlink"/>
          </w:rPr>
          <w:t xml:space="preserve">10.1016/j.actaastro.2024.05.022</w:t>
        </w:r>
      </w:hyperlink>
    </w:p>
    <w:p>
      <w:pPr>
        <w:pStyle w:val="BodyText"/>
        <w:spacing w:line="480" w:lineRule="auto"/>
        <w:ind w:firstLine="720"/>
      </w:pPr>
      <w:bookmarkStart w:id="149" w:name="ref-22"/>
      <w:bookmarkEnd w:id="149"/>
      <w:r>
        <w:t xml:space="preserve">22. Ben McKeown; Andrew G. Dempster; Serkan Saydam; Jeff Coulton. How should potential space resources markets be evaluated? (2026). doi:</w:t>
      </w:r>
      <w:r>
        <w:t xml:space="preserve"> </w:t>
      </w:r>
      <w:hyperlink r:id="rId150">
        <w:r>
          <w:rPr>
            <w:rStyle w:val="Hyperlink"/>
          </w:rPr>
          <w:t xml:space="preserve">10.1016/j.actaastro.2026.03.026</w:t>
        </w:r>
      </w:hyperlink>
    </w:p>
    <w:p>
      <w:pPr>
        <w:pStyle w:val="BodyText"/>
        <w:spacing w:line="480" w:lineRule="auto"/>
        <w:ind w:firstLine="720"/>
      </w:pPr>
      <w:bookmarkStart w:id="151" w:name="ref-23"/>
      <w:bookmarkEnd w:id="151"/>
      <w:r>
        <w:t xml:space="preserve">23. Giuseppe Cataldo; Bruno Sarli; Peter Gage; Todd R. White; Brendan Feehan; Fernando Pellerano. Planetary protection trades and lessons learned from designing Mars Sample Return’s Capture, Containment, and Return System (2025). doi:</w:t>
      </w:r>
      <w:r>
        <w:t xml:space="preserve"> </w:t>
      </w:r>
      <w:hyperlink r:id="rId152">
        <w:r>
          <w:rPr>
            <w:rStyle w:val="Hyperlink"/>
          </w:rPr>
          <w:t xml:space="preserve">10.1016/j.actaastro.2025.01.046</w:t>
        </w:r>
      </w:hyperlink>
    </w:p>
    <w:p>
      <w:pPr>
        <w:pStyle w:val="BodyText"/>
        <w:spacing w:line="480" w:lineRule="auto"/>
        <w:ind w:firstLine="720"/>
      </w:pPr>
      <w:bookmarkStart w:id="153" w:name="ref-24"/>
      <w:bookmarkEnd w:id="153"/>
      <w:r>
        <w:t xml:space="preserve">24. Wiebke Retagne; Camilla Colombo. Satellite launch traffic forecast based on the global Gross Domestic Product and constellation plans (2026). doi:</w:t>
      </w:r>
      <w:r>
        <w:t xml:space="preserve"> </w:t>
      </w:r>
      <w:hyperlink r:id="rId154">
        <w:r>
          <w:rPr>
            <w:rStyle w:val="Hyperlink"/>
          </w:rPr>
          <w:t xml:space="preserve">10.1016/j.actaastro.2026.04.046</w:t>
        </w:r>
      </w:hyperlink>
    </w:p>
    <w:p>
      <w:pPr>
        <w:pStyle w:val="BodyText"/>
        <w:spacing w:line="480" w:lineRule="auto"/>
        <w:ind w:firstLine="720"/>
      </w:pPr>
      <w:bookmarkStart w:id="155" w:name="ref-25"/>
      <w:bookmarkEnd w:id="155"/>
      <w:r>
        <w:t xml:space="preserve">25. Christian Schmierer; Mario Kobald; K. Tomilin; U. Fischer; Stefan Schlechtriem. Low cost small-satellite access to space using hybrid rocket propulsion (2019). doi:</w:t>
      </w:r>
      <w:r>
        <w:t xml:space="preserve"> </w:t>
      </w:r>
      <w:hyperlink r:id="rId156">
        <w:r>
          <w:rPr>
            <w:rStyle w:val="Hyperlink"/>
          </w:rPr>
          <w:t xml:space="preserve">10.1016/j.actaastro.2019.02.018</w:t>
        </w:r>
      </w:hyperlink>
    </w:p>
    <w:p>
      <w:pPr>
        <w:pStyle w:val="BodyText"/>
        <w:spacing w:line="480" w:lineRule="auto"/>
        <w:ind w:firstLine="720"/>
      </w:pPr>
      <w:bookmarkStart w:id="157" w:name="ref-26"/>
      <w:bookmarkEnd w:id="157"/>
      <w:r>
        <w:t xml:space="preserve">26. n.a.. ARTHROSPIRA C space flight experiment Validation of biomass an 2025 Acta As (2024). doi:</w:t>
      </w:r>
      <w:r>
        <w:t xml:space="preserve"> </w:t>
      </w:r>
      <w:hyperlink r:id="rId158">
        <w:r>
          <w:rPr>
            <w:rStyle w:val="Hyperlink"/>
          </w:rPr>
          <w:t xml:space="preserve">10.1016/j.actaastro.2024.11.010</w:t>
        </w:r>
      </w:hyperlink>
    </w:p>
    <w:bookmarkEnd w:id="159"/>
    <w:bookmarkEnd w:id="160"/>
    <w:bookmarkStart w:id="177"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68" w:name="Xf3b8339ddf380391e2903a3468d105985acf0c8"/>
    <w:p>
      <w:pPr>
        <w:pStyle w:val="Heading2"/>
        <w:spacing w:line="480" w:lineRule="auto"/>
      </w:pPr>
      <w:r>
        <w:t xml:space="preserve">A.1 Science Return per Dollar: A Learning-Curve Estimate of the Publication Elasticity of Space-Science Mission Cost</w:t>
      </w:r>
    </w:p>
    <w:p>
      <w:pPr>
        <w:pStyle w:val="FirstParagraph"/>
        <w:spacing w:line="480" w:lineRule="auto"/>
      </w:pPr>
      <m:oMathPara>
        <m:oMathParaPr>
          <m:jc m:val="center"/>
        </m:oMathParaPr>
        <m:oMath>
          <m:r>
            <m:rPr>
              <m:sty m:val="p"/>
            </m:rPr>
            <m:t>ln</m:t>
          </m:r>
          <m:r>
            <m:rPr>
              <m:sty m:val="p"/>
            </m:rPr>
            <m:t>(</m:t>
          </m:r>
          <m:sSub>
            <m:e>
              <m:r>
                <m:rPr>
                  <m:nor/>
                  <m:sty m:val="p"/>
                </m:rPr>
                <m:t>pubs</m:t>
              </m:r>
            </m:e>
            <m:sub>
              <m:r>
                <m:t>i</m:t>
              </m:r>
            </m:sub>
          </m:sSub>
          <m:r>
            <m:rPr>
              <m:sty m:val="p"/>
            </m:rPr>
            <m:t>)</m:t>
          </m:r>
          <m:r>
            <m:rPr>
              <m:sty m:val="p"/>
            </m:rPr>
            <m:t>=</m:t>
          </m:r>
          <m:r>
            <m:t>α</m:t>
          </m:r>
          <m:r>
            <m:rPr>
              <m:sty m:val="p"/>
            </m:rPr>
            <m:t>+</m:t>
          </m:r>
          <m:r>
            <m:t>β</m:t>
          </m:r>
          <m:r>
            <m:t> </m:t>
          </m:r>
          <m:r>
            <m:rPr>
              <m:sty m:val="p"/>
            </m:rPr>
            <m:t>ln</m:t>
          </m:r>
          <m:r>
            <m:rPr>
              <m:sty m:val="p"/>
            </m:rPr>
            <m:t>(</m:t>
          </m:r>
          <m:sSub>
            <m:e>
              <m:r>
                <m:rPr>
                  <m:nor/>
                  <m:sty m:val="p"/>
                </m:rPr>
                <m:t>cost_musd</m:t>
              </m:r>
            </m:e>
            <m:sub>
              <m:r>
                <m:t>i</m:t>
              </m:r>
            </m:sub>
          </m:sSub>
          <m:r>
            <m:rPr>
              <m:sty m:val="p"/>
            </m:rPr>
            <m:t>)</m:t>
          </m:r>
          <m:r>
            <m:rPr>
              <m:sty m:val="p"/>
            </m:rPr>
            <m:t>+</m:t>
          </m:r>
          <m:sSub>
            <m:e>
              <m:r>
                <m:t>ε</m:t>
              </m:r>
            </m:e>
            <m:sub>
              <m:r>
                <m:t>i</m:t>
              </m:r>
            </m:sub>
          </m:sSub>
        </m:oMath>
      </m:oMathPara>
    </w:p>
    <w:bookmarkStart w:id="161"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1.7001</w:t>
            </w:r>
          </w:p>
        </w:tc>
        <w:tc>
          <w:tcPr>
            <w:tcW w:w="0" w:type="auto"/>
          </w:tcPr>
          <w:p>
            <w:pPr>
              <w:spacing w:line="240" w:lineRule="auto" w:before="0" w:after="0"/>
              <w:pStyle w:val="Compact"/>
            </w:pPr>
            <w:r>
              <w:rPr>
                <w:sz w:val="20"/>
                <w:szCs w:val="20"/>
              </w:rPr>
              <w:t xml:space="preserve">1.0187</w:t>
            </w:r>
          </w:p>
        </w:tc>
        <w:tc>
          <w:tcPr>
            <w:tcW w:w="0" w:type="auto"/>
          </w:tcPr>
          <w:p>
            <w:pPr>
              <w:spacing w:line="240" w:lineRule="auto" w:before="0" w:after="0"/>
              <w:pStyle w:val="Compact"/>
            </w:pPr>
            <w:r>
              <w:rPr>
                <w:sz w:val="20"/>
                <w:szCs w:val="20"/>
              </w:rPr>
              <w:t xml:space="preserve">1.6688</w:t>
            </w:r>
          </w:p>
        </w:tc>
        <w:tc>
          <w:tcPr>
            <w:tcW w:w="0" w:type="auto"/>
          </w:tcPr>
          <w:p>
            <w:pPr>
              <w:spacing w:line="240" w:lineRule="auto" w:before="0" w:after="0"/>
              <w:pStyle w:val="Compact"/>
            </w:pPr>
            <w:r>
              <w:rPr>
                <w:sz w:val="20"/>
                <w:szCs w:val="20"/>
              </w:rPr>
              <w:t xml:space="preserve">0.0951</w:t>
            </w:r>
          </w:p>
        </w:tc>
        <w:tc>
          <w:tcPr>
            <w:tcW w:w="0" w:type="auto"/>
          </w:tcPr>
          <w:p>
            <w:pPr>
              <w:spacing w:line="240" w:lineRule="auto" w:before="0" w:after="0"/>
              <w:pStyle w:val="Compact"/>
            </w:pPr>
            <w:r>
              <w:rPr>
                <w:sz w:val="20"/>
                <w:szCs w:val="20"/>
              </w:rPr>
              <w:t xml:space="preserve">[-0.2966, 3.6968]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0.8983</w:t>
            </w:r>
          </w:p>
        </w:tc>
        <w:tc>
          <w:tcPr>
            <w:tcW w:w="0" w:type="auto"/>
          </w:tcPr>
          <w:p>
            <w:pPr>
              <w:spacing w:line="240" w:lineRule="auto" w:before="0" w:after="0"/>
              <w:pStyle w:val="Compact"/>
            </w:pPr>
            <w:r>
              <w:rPr>
                <w:sz w:val="20"/>
                <w:szCs w:val="20"/>
              </w:rPr>
              <w:t xml:space="preserve">0.1576</w:t>
            </w:r>
          </w:p>
        </w:tc>
        <w:tc>
          <w:tcPr>
            <w:tcW w:w="0" w:type="auto"/>
          </w:tcPr>
          <w:p>
            <w:pPr>
              <w:spacing w:line="240" w:lineRule="auto" w:before="0" w:after="0"/>
              <w:pStyle w:val="Compact"/>
            </w:pPr>
            <w:r>
              <w:rPr>
                <w:sz w:val="20"/>
                <w:szCs w:val="20"/>
              </w:rPr>
              <w:t xml:space="preserve">5.6991</w:t>
            </w:r>
          </w:p>
        </w:tc>
        <w:tc>
          <w:tcPr>
            <w:tcW w:w="0" w:type="auto"/>
          </w:tcPr>
          <w:p>
            <w:pPr>
              <w:spacing w:line="240" w:lineRule="auto" w:before="0" w:after="0"/>
              <w:pStyle w:val="Compact"/>
            </w:pPr>
            <w:r>
              <w:rPr>
                <w:sz w:val="20"/>
                <w:szCs w:val="20"/>
              </w:rPr>
              <w:t xml:space="preserve">1.204e-08</w:t>
            </w:r>
          </w:p>
        </w:tc>
        <w:tc>
          <w:tcPr>
            <w:tcW w:w="0" w:type="auto"/>
          </w:tcPr>
          <w:p>
            <w:pPr>
              <w:spacing w:line="240" w:lineRule="auto" w:before="0" w:after="0"/>
              <w:pStyle w:val="Compact"/>
            </w:pPr>
            <w:r>
              <w:rPr>
                <w:sz w:val="20"/>
                <w:szCs w:val="20"/>
              </w:rPr>
              <w:t xml:space="preserve">[0.5894, 1.2072]</w:t>
            </w:r>
          </w:p>
        </w:tc>
      </w:tr>
    </w:tbl>
    <w:p>
      <w:pPr>
        <w:pStyle w:val="BodyText"/>
        <w:spacing w:line="480" w:lineRule="auto"/>
        <w:ind w:firstLine="720"/>
      </w:pPr>
      <w:r>
        <w:t xml:space="preserve">Fit: N = 25 R2 = 0.5387 elasticity_b = 0.8983 progress_ratio_2^b = 1.8638</w:t>
      </w:r>
    </w:p>
    <w:bookmarkEnd w:id="161"/>
    <w:bookmarkStart w:id="165"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Refereed publication count against total mission cost across 25 space-science missions, with the fitted log-log learning curve. The slope is the estimated cost elasticity of science output." title="" id="163" name="Picture"/>
            <a:graphic>
              <a:graphicData uri="http://schemas.openxmlformats.org/drawingml/2006/picture">
                <pic:pic>
                  <pic:nvPicPr>
                    <pic:cNvPr descr="D:/Claude_Code/brain/collegium/candidates/dissertations/JPL_INSTRUMENTS_NAV_03/research_papers/p1/paper_fig1.png" id="164" name="Picture"/>
                    <pic:cNvPicPr>
                      <a:picLocks noChangeArrowheads="1" noChangeAspect="1"/>
                    </pic:cNvPicPr>
                  </pic:nvPicPr>
                  <pic:blipFill>
                    <a:blip r:embed="rId16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Refereed publication count against total mission cost across 25 space-science missions, with the fitted log-log learning curve. The slope is the estimated cost elasticity of science output.</w:t>
      </w:r>
    </w:p>
    <w:bookmarkEnd w:id="165"/>
    <w:bookmarkStart w:id="166"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host_class</w:t>
            </w:r>
          </w:p>
        </w:tc>
        <w:tc>
          <w:tcPr>
            <w:tcW w:w="0" w:type="auto"/>
          </w:tcPr>
          <w:p>
            <w:pPr>
              <w:spacing w:line="240" w:lineRule="auto" w:before="0" w:after="0"/>
              <w:pStyle w:val="Compact"/>
            </w:pPr>
            <w:r>
              <w:rPr>
                <w:sz w:val="20"/>
                <w:szCs w:val="20"/>
              </w:rPr>
              <w:t xml:space="preserve">cost_musd</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life_years</w:t>
            </w:r>
          </w:p>
        </w:tc>
        <w:tc>
          <w:tcPr>
            <w:tcW w:w="0" w:type="auto"/>
          </w:tcPr>
          <w:p>
            <w:pPr>
              <w:spacing w:line="240" w:lineRule="auto" w:before="0" w:after="0"/>
              <w:pStyle w:val="Compact"/>
            </w:pPr>
            <w:r>
              <w:rPr>
                <w:sz w:val="20"/>
                <w:szCs w:val="20"/>
              </w:rPr>
              <w:t xml:space="preserve">pubs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Hubble Space Telescope</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9000</w:t>
            </w:r>
          </w:p>
        </w:tc>
        <w:tc>
          <w:tcPr>
            <w:tcW w:w="0" w:type="auto"/>
          </w:tcPr>
          <w:p>
            <w:pPr>
              <w:spacing w:line="240" w:lineRule="auto" w:before="0" w:after="0"/>
              <w:pStyle w:val="Compact"/>
            </w:pPr>
            <w:r>
              <w:rPr>
                <w:sz w:val="20"/>
                <w:szCs w:val="20"/>
              </w:rPr>
              <w:t xml:space="preserve">11110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19333</w:t>
            </w:r>
          </w:p>
        </w:tc>
        <w:tc>
          <w:tcPr>
            <w:tcW w:w="0" w:type="auto"/>
          </w:tcPr>
          <w:p>
            <w:pPr>
              <w:spacing w:line="240" w:lineRule="auto" w:before="0" w:after="0"/>
              <w:pStyle w:val="Compact"/>
            </w:pPr>
            <w:r>
              <w:rPr>
                <w:sz w:val="20"/>
                <w:szCs w:val="20"/>
              </w:rPr>
              <w:t xml:space="preserve">Cost ~$9B by 2006 incl. servicing (Wikipedia, Hubble Space Telescope, citing NASA); launch mass 11110 kg (NASA HST fact sheet); ops 1990-2021 (=31 yr, pub window); pubs 19333 (De Marchi &amp; Parmar 2024, ESA Mission Publications, Table 2, Total Pubs)</w:t>
            </w:r>
          </w:p>
        </w:tc>
      </w:tr>
      <w:tr>
        <w:tc>
          <w:tcPr>
            <w:tcW w:w="0" w:type="auto"/>
          </w:tcPr>
          <w:p>
            <w:pPr>
              <w:spacing w:line="240" w:lineRule="auto" w:before="0" w:after="0"/>
              <w:pStyle w:val="Compact"/>
            </w:pPr>
            <w:r>
              <w:rPr>
                <w:sz w:val="20"/>
                <w:szCs w:val="20"/>
              </w:rPr>
              <w:t xml:space="preserve">Cassini-Huygens</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3260</w:t>
            </w:r>
          </w:p>
        </w:tc>
        <w:tc>
          <w:tcPr>
            <w:tcW w:w="0" w:type="auto"/>
          </w:tcPr>
          <w:p>
            <w:pPr>
              <w:spacing w:line="240" w:lineRule="auto" w:before="0" w:after="0"/>
              <w:pStyle w:val="Compact"/>
            </w:pPr>
            <w:r>
              <w:rPr>
                <w:sz w:val="20"/>
                <w:szCs w:val="20"/>
              </w:rPr>
              <w:t xml:space="preserve">5712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2227</w:t>
            </w:r>
          </w:p>
        </w:tc>
        <w:tc>
          <w:tcPr>
            <w:tcW w:w="0" w:type="auto"/>
          </w:tcPr>
          <w:p>
            <w:pPr>
              <w:spacing w:line="240" w:lineRule="auto" w:before="0" w:after="0"/>
              <w:pStyle w:val="Compact"/>
            </w:pPr>
            <w:r>
              <w:rPr>
                <w:sz w:val="20"/>
                <w:szCs w:val="20"/>
              </w:rPr>
              <w:t xml:space="preserve">Total cost ~US$3.26B (Wikipedia, Cassini-Huygens, citing NASA/ESA); launch mass 5712 kg (NASA Cassini Quick Facts); ops 1997-2017 (20 yr); pubs 2227 (De Marchi &amp; Parmar 2024, Table 2, Cassini Total Pubs)</w:t>
            </w:r>
          </w:p>
        </w:tc>
      </w:tr>
      <w:tr>
        <w:tc>
          <w:tcPr>
            <w:tcW w:w="0" w:type="auto"/>
          </w:tcPr>
          <w:p>
            <w:pPr>
              <w:spacing w:line="240" w:lineRule="auto" w:before="0" w:after="0"/>
              <w:pStyle w:val="Compact"/>
            </w:pPr>
            <w:r>
              <w:rPr>
                <w:sz w:val="20"/>
                <w:szCs w:val="20"/>
              </w:rPr>
              <w:t xml:space="preserve">SOHO</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1270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6252</w:t>
            </w:r>
          </w:p>
        </w:tc>
        <w:tc>
          <w:tcPr>
            <w:tcW w:w="0" w:type="auto"/>
          </w:tcPr>
          <w:p>
            <w:pPr>
              <w:spacing w:line="240" w:lineRule="auto" w:before="0" w:after="0"/>
              <w:pStyle w:val="Compact"/>
            </w:pPr>
            <w:r>
              <w:rPr>
                <w:sz w:val="20"/>
                <w:szCs w:val="20"/>
              </w:rPr>
              <w:t xml:space="preserve">Cost US$1.27B (Space.com SOHO; astronautix.com); launch mass 1850 kg (astronautix.com SOHO); ops 1995-2021 (26 yr, pub window, still operating); pubs 6252 (De Marchi &amp; Parmar 2024, Table 1, SOHO Total Pubs)</w:t>
            </w:r>
          </w:p>
        </w:tc>
      </w:tr>
      <w:tr>
        <w:tc>
          <w:tcPr>
            <w:tcW w:w="0" w:type="auto"/>
          </w:tcPr>
          <w:p>
            <w:pPr>
              <w:spacing w:line="240" w:lineRule="auto" w:before="0" w:after="0"/>
              <w:pStyle w:val="Compact"/>
            </w:pPr>
            <w:r>
              <w:rPr>
                <w:sz w:val="20"/>
                <w:szCs w:val="20"/>
              </w:rPr>
              <w:t xml:space="preserve">Ulysses</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371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Cost ~US$750M ESA+NASA (GAO NSIAD-88-129FS, Ulysses; Wikipedia); launch mass 371 kg (Wikipedia, Ulysses spacecraft); ops 1990-2009 (19 yr); pubs 1950 (De Marchi &amp; Parmar 2024, Table 1, Ulysses Total Pubs)</w:t>
            </w:r>
          </w:p>
        </w:tc>
      </w:tr>
      <w:tr>
        <w:tc>
          <w:tcPr>
            <w:tcW w:w="0" w:type="auto"/>
          </w:tcPr>
          <w:p>
            <w:pPr>
              <w:spacing w:line="240" w:lineRule="auto" w:before="0" w:after="0"/>
              <w:pStyle w:val="Compact"/>
            </w:pPr>
            <w:r>
              <w:rPr>
                <w:sz w:val="20"/>
                <w:szCs w:val="20"/>
              </w:rPr>
              <w:t xml:space="preserve">ISO</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576</w:t>
            </w:r>
          </w:p>
        </w:tc>
        <w:tc>
          <w:tcPr>
            <w:tcW w:w="0" w:type="auto"/>
          </w:tcPr>
          <w:p>
            <w:pPr>
              <w:spacing w:line="240" w:lineRule="auto" w:before="0" w:after="0"/>
              <w:pStyle w:val="Compact"/>
            </w:pPr>
            <w:r>
              <w:rPr>
                <w:sz w:val="20"/>
                <w:szCs w:val="20"/>
              </w:rPr>
              <w:t xml:space="preserve">2498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2062</w:t>
            </w:r>
          </w:p>
        </w:tc>
        <w:tc>
          <w:tcPr>
            <w:tcW w:w="0" w:type="auto"/>
          </w:tcPr>
          <w:p>
            <w:pPr>
              <w:spacing w:line="240" w:lineRule="auto" w:before="0" w:after="0"/>
              <w:pStyle w:val="Compact"/>
            </w:pPr>
            <w:r>
              <w:rPr>
                <w:sz w:val="20"/>
                <w:szCs w:val="20"/>
              </w:rPr>
              <w:t xml:space="preserve">Cost EUR480.1M ~US$576M at 1.2 (Wikipedia, Infrared Space Observatory); launch mass 2498 kg (ESA ISO factsheet); ops 1995-1998 (3 yr); pubs 2062 (De Marchi &amp; Parmar 2024, Table 1, ISO Total Pubs)</w:t>
            </w:r>
          </w:p>
        </w:tc>
      </w:tr>
      <w:tr>
        <w:tc>
          <w:tcPr>
            <w:tcW w:w="0" w:type="auto"/>
          </w:tcPr>
          <w:p>
            <w:pPr>
              <w:spacing w:line="240" w:lineRule="auto" w:before="0" w:after="0"/>
              <w:pStyle w:val="Compact"/>
            </w:pPr>
            <w:r>
              <w:rPr>
                <w:sz w:val="20"/>
                <w:szCs w:val="20"/>
              </w:rPr>
              <w:t xml:space="preserve">XMM-Newton</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760</w:t>
            </w:r>
          </w:p>
        </w:tc>
        <w:tc>
          <w:tcPr>
            <w:tcW w:w="0" w:type="auto"/>
          </w:tcPr>
          <w:p>
            <w:pPr>
              <w:spacing w:line="240" w:lineRule="auto" w:before="0" w:after="0"/>
              <w:pStyle w:val="Compact"/>
            </w:pPr>
            <w:r>
              <w:rPr>
                <w:sz w:val="20"/>
                <w:szCs w:val="20"/>
              </w:rPr>
              <w:t xml:space="preserve">3800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6963</w:t>
            </w:r>
          </w:p>
        </w:tc>
        <w:tc>
          <w:tcPr>
            <w:tcW w:w="0" w:type="auto"/>
          </w:tcPr>
          <w:p>
            <w:pPr>
              <w:spacing w:line="240" w:lineRule="auto" w:before="0" w:after="0"/>
              <w:pStyle w:val="Compact"/>
            </w:pPr>
            <w:r>
              <w:rPr>
                <w:sz w:val="20"/>
                <w:szCs w:val="20"/>
              </w:rPr>
              <w:t xml:space="preserve">Cost EUR689M (1999 ec.) ~US$760M at 1.1 (ESA XMM-Newton fact sheet); launch mass 3800 kg (ESA XMM-Newton fact sheet); ops 1999-2021 (22 yr, pub window); pubs 6963 (De Marchi &amp; Parmar 2024, Table 1, XMM-Newton Total Pubs)</w:t>
            </w:r>
          </w:p>
        </w:tc>
      </w:tr>
      <w:tr>
        <w:tc>
          <w:tcPr>
            <w:tcW w:w="0" w:type="auto"/>
          </w:tcPr>
          <w:p>
            <w:pPr>
              <w:spacing w:line="240" w:lineRule="auto" w:before="0" w:after="0"/>
              <w:pStyle w:val="Compact"/>
            </w:pPr>
            <w:r>
              <w:rPr>
                <w:sz w:val="20"/>
                <w:szCs w:val="20"/>
              </w:rPr>
              <w:t xml:space="preserve">Cluster</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378</w:t>
            </w:r>
          </w:p>
        </w:tc>
        <w:tc>
          <w:tcPr>
            <w:tcW w:w="0" w:type="auto"/>
          </w:tcPr>
          <w:p>
            <w:pPr>
              <w:spacing w:line="240" w:lineRule="auto" w:before="0" w:after="0"/>
              <w:pStyle w:val="Compact"/>
            </w:pPr>
            <w:r>
              <w:rPr>
                <w:sz w:val="20"/>
                <w:szCs w:val="20"/>
              </w:rPr>
              <w:t xml:space="preserve">4800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2962</w:t>
            </w:r>
          </w:p>
        </w:tc>
        <w:tc>
          <w:tcPr>
            <w:tcW w:w="0" w:type="auto"/>
          </w:tcPr>
          <w:p>
            <w:pPr>
              <w:spacing w:line="240" w:lineRule="auto" w:before="0" w:after="0"/>
              <w:pStyle w:val="Compact"/>
            </w:pPr>
            <w:r>
              <w:rPr>
                <w:sz w:val="20"/>
                <w:szCs w:val="20"/>
              </w:rPr>
              <w:t xml:space="preserve">Cost EUR315M (1999 ec.) ~US$378M at 1.2, four S/C (ESA Cluster bulletin b84/b87); launch mass ~1200 kg x4 = 4800 kg (ESA Cluster, 4 spacecraft); ops 2000-2021 (21 yr, pub window); pubs 2962 (De Marchi &amp; Parmar 2024, Table 1, Cluster Total Pubs)</w:t>
            </w:r>
          </w:p>
        </w:tc>
      </w:tr>
      <w:tr>
        <w:tc>
          <w:tcPr>
            <w:tcW w:w="0" w:type="auto"/>
          </w:tcPr>
          <w:p>
            <w:pPr>
              <w:spacing w:line="240" w:lineRule="auto" w:before="0" w:after="0"/>
              <w:pStyle w:val="Compact"/>
            </w:pPr>
            <w:r>
              <w:rPr>
                <w:sz w:val="20"/>
                <w:szCs w:val="20"/>
              </w:rPr>
              <w:t xml:space="preserve">INTEGRAL</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396</w:t>
            </w:r>
          </w:p>
        </w:tc>
        <w:tc>
          <w:tcPr>
            <w:tcW w:w="0" w:type="auto"/>
          </w:tcPr>
          <w:p>
            <w:pPr>
              <w:spacing w:line="240" w:lineRule="auto" w:before="0" w:after="0"/>
              <w:pStyle w:val="Compact"/>
            </w:pPr>
            <w:r>
              <w:rPr>
                <w:sz w:val="20"/>
                <w:szCs w:val="20"/>
              </w:rPr>
              <w:t xml:space="preserve">4000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1904</w:t>
            </w:r>
          </w:p>
        </w:tc>
        <w:tc>
          <w:tcPr>
            <w:tcW w:w="0" w:type="auto"/>
          </w:tcPr>
          <w:p>
            <w:pPr>
              <w:spacing w:line="240" w:lineRule="auto" w:before="0" w:after="0"/>
              <w:pStyle w:val="Compact"/>
            </w:pPr>
            <w:r>
              <w:rPr>
                <w:sz w:val="20"/>
                <w:szCs w:val="20"/>
              </w:rPr>
              <w:t xml:space="preserve">Cost EUR330M ~US$396M at 1.2 (Wikipedia, INTEGRAL; ESA INTEGRAL fact sheet); launch mass 4000 kg (Wikipedia, INTEGRAL); ops 2002-2021 (19 yr, pub window); pubs 1904 (De Marchi &amp; Parmar 2024, Table 1, INTEGRAL Total Pubs)</w:t>
            </w:r>
          </w:p>
        </w:tc>
      </w:tr>
      <w:tr>
        <w:tc>
          <w:tcPr>
            <w:tcW w:w="0" w:type="auto"/>
          </w:tcPr>
          <w:p>
            <w:pPr>
              <w:spacing w:line="240" w:lineRule="auto" w:before="0" w:after="0"/>
              <w:pStyle w:val="Compact"/>
            </w:pPr>
            <w:r>
              <w:rPr>
                <w:sz w:val="20"/>
                <w:szCs w:val="20"/>
              </w:rPr>
              <w:t xml:space="preserve">SMART-1</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367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Cost EUR110M ~US$134M (ESA SMART-1; Wikipedia); launch mass 367 kg (Wikipedia, SMART-1); ops 2003-2006 (3 yr); pubs 70 (De Marchi &amp; Parmar 2024, Table 1, SMART-1 Total Pubs)</w:t>
            </w:r>
          </w:p>
        </w:tc>
      </w:tr>
      <w:tr>
        <w:tc>
          <w:tcPr>
            <w:tcW w:w="0" w:type="auto"/>
          </w:tcPr>
          <w:p>
            <w:pPr>
              <w:spacing w:line="240" w:lineRule="auto" w:before="0" w:after="0"/>
              <w:pStyle w:val="Compact"/>
            </w:pPr>
            <w:r>
              <w:rPr>
                <w:sz w:val="20"/>
                <w:szCs w:val="20"/>
              </w:rPr>
              <w:t xml:space="preserve">Mars Express</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1223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1464</w:t>
            </w:r>
          </w:p>
        </w:tc>
        <w:tc>
          <w:tcPr>
            <w:tcW w:w="0" w:type="auto"/>
          </w:tcPr>
          <w:p>
            <w:pPr>
              <w:spacing w:line="240" w:lineRule="auto" w:before="0" w:after="0"/>
              <w:pStyle w:val="Compact"/>
            </w:pPr>
            <w:r>
              <w:rPr>
                <w:sz w:val="20"/>
                <w:szCs w:val="20"/>
              </w:rPr>
              <w:t xml:space="preserve">Cost EUR150M ~US$180M at 1.2 (Wikipedia, Mars Express; ESA Mars Express overview); launch mass 1223 kg (Wikipedia, Mars Express); ops 2003-2021 (18 yr, pub window, still operating); pubs 1464 (De Marchi &amp; Parmar 2024, Table 1, Mars Express Total Pubs)</w:t>
            </w:r>
          </w:p>
        </w:tc>
      </w:tr>
      <w:tr>
        <w:tc>
          <w:tcPr>
            <w:tcW w:w="0" w:type="auto"/>
          </w:tcPr>
          <w:p>
            <w:pPr>
              <w:spacing w:line="240" w:lineRule="auto" w:before="0" w:after="0"/>
              <w:pStyle w:val="Compact"/>
            </w:pPr>
            <w:r>
              <w:rPr>
                <w:sz w:val="20"/>
                <w:szCs w:val="20"/>
              </w:rPr>
              <w:t xml:space="preserve">Rosetta</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3065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1314</w:t>
            </w:r>
          </w:p>
        </w:tc>
        <w:tc>
          <w:tcPr>
            <w:tcW w:w="0" w:type="auto"/>
          </w:tcPr>
          <w:p>
            <w:pPr>
              <w:spacing w:line="240" w:lineRule="auto" w:before="0" w:after="0"/>
              <w:pStyle w:val="Compact"/>
            </w:pPr>
            <w:r>
              <w:rPr>
                <w:sz w:val="20"/>
                <w:szCs w:val="20"/>
              </w:rPr>
              <w:t xml:space="preserve">Cost ~EUR1.3B ~US$1.8B (Wikipedia, Rosetta spacecraft); launch mass 3065 kg (Wikipedia, Rosetta); ops 2004-2016 (12 yr); pubs 1314 (De Marchi &amp; Parmar 2024, Table 1, Rosetta Total Pubs)</w:t>
            </w:r>
          </w:p>
        </w:tc>
      </w:tr>
      <w:tr>
        <w:tc>
          <w:tcPr>
            <w:tcW w:w="0" w:type="auto"/>
          </w:tcPr>
          <w:p>
            <w:pPr>
              <w:spacing w:line="240" w:lineRule="auto" w:before="0" w:after="0"/>
              <w:pStyle w:val="Compact"/>
            </w:pPr>
            <w:r>
              <w:rPr>
                <w:sz w:val="20"/>
                <w:szCs w:val="20"/>
              </w:rPr>
              <w:t xml:space="preserve">Venus Express</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262</w:t>
            </w:r>
          </w:p>
        </w:tc>
        <w:tc>
          <w:tcPr>
            <w:tcW w:w="0" w:type="auto"/>
          </w:tcPr>
          <w:p>
            <w:pPr>
              <w:spacing w:line="240" w:lineRule="auto" w:before="0" w:after="0"/>
              <w:pStyle w:val="Compact"/>
            </w:pPr>
            <w:r>
              <w:rPr>
                <w:sz w:val="20"/>
                <w:szCs w:val="20"/>
              </w:rPr>
              <w:t xml:space="preserve">1270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737</w:t>
            </w:r>
          </w:p>
        </w:tc>
        <w:tc>
          <w:tcPr>
            <w:tcW w:w="0" w:type="auto"/>
          </w:tcPr>
          <w:p>
            <w:pPr>
              <w:spacing w:line="240" w:lineRule="auto" w:before="0" w:after="0"/>
              <w:pStyle w:val="Compact"/>
            </w:pPr>
            <w:r>
              <w:rPr>
                <w:sz w:val="20"/>
                <w:szCs w:val="20"/>
              </w:rPr>
              <w:t xml:space="preserve">Cost EUR220M = US$262M (Space.com Venus Express, 2005 USD; Wikipedia); launch mass 1270 kg (Wikipedia, Venus Express); ops 2005-2014 (9 yr); pubs 737 (De Marchi &amp; Parmar 2024, Table 1, Venus Express Total Pubs)</w:t>
            </w:r>
          </w:p>
        </w:tc>
      </w:tr>
      <w:tr>
        <w:tc>
          <w:tcPr>
            <w:tcW w:w="0" w:type="auto"/>
          </w:tcPr>
          <w:p>
            <w:pPr>
              <w:spacing w:line="240" w:lineRule="auto" w:before="0" w:after="0"/>
              <w:pStyle w:val="Compact"/>
            </w:pPr>
            <w:r>
              <w:rPr>
                <w:sz w:val="20"/>
                <w:szCs w:val="20"/>
              </w:rPr>
              <w:t xml:space="preserve">Herschel</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1320</w:t>
            </w:r>
          </w:p>
        </w:tc>
        <w:tc>
          <w:tcPr>
            <w:tcW w:w="0" w:type="auto"/>
          </w:tcPr>
          <w:p>
            <w:pPr>
              <w:spacing w:line="240" w:lineRule="auto" w:before="0" w:after="0"/>
              <w:pStyle w:val="Compact"/>
            </w:pPr>
            <w:r>
              <w:rPr>
                <w:sz w:val="20"/>
                <w:szCs w:val="20"/>
              </w:rPr>
              <w:t xml:space="preserve">3400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3284</w:t>
            </w:r>
          </w:p>
        </w:tc>
        <w:tc>
          <w:tcPr>
            <w:tcW w:w="0" w:type="auto"/>
          </w:tcPr>
          <w:p>
            <w:pPr>
              <w:spacing w:line="240" w:lineRule="auto" w:before="0" w:after="0"/>
              <w:pStyle w:val="Compact"/>
            </w:pPr>
            <w:r>
              <w:rPr>
                <w:sz w:val="20"/>
                <w:szCs w:val="20"/>
              </w:rPr>
              <w:t xml:space="preserve">Cost EUR1.1B ~US$1.32B at 1.2 (Wikipedia, Herschel Space Observatory); launch mass 3400 kg (Wikipedia, Herschel); ops 2009-2013 (4 yr); pubs 3284 (De Marchi &amp; Parmar 2024, Table 1, Herschel Total Pubs)</w:t>
            </w:r>
          </w:p>
        </w:tc>
      </w:tr>
      <w:tr>
        <w:tc>
          <w:tcPr>
            <w:tcW w:w="0" w:type="auto"/>
          </w:tcPr>
          <w:p>
            <w:pPr>
              <w:spacing w:line="240" w:lineRule="auto" w:before="0" w:after="0"/>
              <w:pStyle w:val="Compact"/>
            </w:pPr>
            <w:r>
              <w:rPr>
                <w:sz w:val="20"/>
                <w:szCs w:val="20"/>
              </w:rPr>
              <w:t xml:space="preserve">Planck</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840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2742</w:t>
            </w:r>
          </w:p>
        </w:tc>
        <w:tc>
          <w:tcPr>
            <w:tcW w:w="0" w:type="auto"/>
          </w:tcPr>
          <w:p>
            <w:pPr>
              <w:spacing w:line="240" w:lineRule="auto" w:before="0" w:after="0"/>
              <w:pStyle w:val="Compact"/>
            </w:pPr>
            <w:r>
              <w:rPr>
                <w:sz w:val="20"/>
                <w:szCs w:val="20"/>
              </w:rPr>
              <w:t xml:space="preserve">Cost EUR700M ~US$840M at 1.2 (Wikipedia, Planck spacecraft); launch mass 1950 kg (Wikipedia, Planck); ops 2009-2013 (4 yr); pubs 2742 (De Marchi &amp; Parmar 2024, Table 1, Planck Total Pubs)</w:t>
            </w:r>
          </w:p>
        </w:tc>
      </w:tr>
      <w:tr>
        <w:tc>
          <w:tcPr>
            <w:tcW w:w="0" w:type="auto"/>
          </w:tcPr>
          <w:p>
            <w:pPr>
              <w:spacing w:line="240" w:lineRule="auto" w:before="0" w:after="0"/>
              <w:pStyle w:val="Compact"/>
            </w:pPr>
            <w:r>
              <w:rPr>
                <w:sz w:val="20"/>
                <w:szCs w:val="20"/>
              </w:rPr>
              <w:t xml:space="preserve">Gaia</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2030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6403</w:t>
            </w:r>
          </w:p>
        </w:tc>
        <w:tc>
          <w:tcPr>
            <w:tcW w:w="0" w:type="auto"/>
          </w:tcPr>
          <w:p>
            <w:pPr>
              <w:spacing w:line="240" w:lineRule="auto" w:before="0" w:after="0"/>
              <w:pStyle w:val="Compact"/>
            </w:pPr>
            <w:r>
              <w:rPr>
                <w:sz w:val="20"/>
                <w:szCs w:val="20"/>
              </w:rPr>
              <w:t xml:space="preserve">Cost ~EUR740M ~US$1.0B (ESA Gaia factsheet; Wikipedia, Gaia spacecraft); launch mass 2030 kg (ESA Gaia factsheet); ops 2013-2021 (8 yr, pub window); pubs 6403 (De Marchi &amp; Parmar 2024, Table 1, Gaia Total Pubs)</w:t>
            </w:r>
          </w:p>
        </w:tc>
      </w:tr>
      <w:tr>
        <w:tc>
          <w:tcPr>
            <w:tcW w:w="0" w:type="auto"/>
          </w:tcPr>
          <w:p>
            <w:pPr>
              <w:spacing w:line="240" w:lineRule="auto" w:before="0" w:after="0"/>
              <w:pStyle w:val="Compact"/>
            </w:pPr>
            <w:r>
              <w:rPr>
                <w:sz w:val="20"/>
                <w:szCs w:val="20"/>
              </w:rPr>
              <w:t xml:space="preserve">Hipparcos</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1130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2692</w:t>
            </w:r>
          </w:p>
        </w:tc>
        <w:tc>
          <w:tcPr>
            <w:tcW w:w="0" w:type="auto"/>
          </w:tcPr>
          <w:p>
            <w:pPr>
              <w:spacing w:line="240" w:lineRule="auto" w:before="0" w:after="0"/>
              <w:pStyle w:val="Compact"/>
            </w:pPr>
            <w:r>
              <w:rPr>
                <w:sz w:val="20"/>
                <w:szCs w:val="20"/>
              </w:rPr>
              <w:t xml:space="preserve">Cost ~EUR600M (yr2000 ec.) ~US$720M at 1.2 (ESA Hipparcos fact sheet; Wikipedia); launch mass 1130 kg (Wikipedia, Hipparcos); ops 1989-1993 (4 yr); pubs 2692 (De Marchi &amp; Parmar 2024, Table 1, Hipparcos Total Pubs)</w:t>
            </w:r>
          </w:p>
        </w:tc>
      </w:tr>
      <w:tr>
        <w:tc>
          <w:tcPr>
            <w:tcW w:w="0" w:type="auto"/>
          </w:tcPr>
          <w:p>
            <w:pPr>
              <w:spacing w:line="240" w:lineRule="auto" w:before="0" w:after="0"/>
              <w:pStyle w:val="Compact"/>
            </w:pPr>
            <w:r>
              <w:rPr>
                <w:sz w:val="20"/>
                <w:szCs w:val="20"/>
              </w:rPr>
              <w:t xml:space="preserve">IUE</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672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5105</w:t>
            </w:r>
          </w:p>
        </w:tc>
        <w:tc>
          <w:tcPr>
            <w:tcW w:w="0" w:type="auto"/>
          </w:tcPr>
          <w:p>
            <w:pPr>
              <w:spacing w:line="240" w:lineRule="auto" w:before="0" w:after="0"/>
              <w:pStyle w:val="Compact"/>
            </w:pPr>
            <w:r>
              <w:rPr>
                <w:sz w:val="20"/>
                <w:szCs w:val="20"/>
              </w:rPr>
              <w:t xml:space="preserve">Cost ~US$300M NASA-ESA-SERC (Wikipedia, International Ultraviolet Explorer); launch mass 672 kg (Wikipedia, IUE); ops 1978-1996 (18 yr); pubs 5105 (De Marchi &amp; Parmar 2024, Table 1, IUE Total Pubs)</w:t>
            </w:r>
          </w:p>
        </w:tc>
      </w:tr>
      <w:tr>
        <w:tc>
          <w:tcPr>
            <w:tcW w:w="0" w:type="auto"/>
          </w:tcPr>
          <w:p>
            <w:pPr>
              <w:spacing w:line="240" w:lineRule="auto" w:before="0" w:after="0"/>
              <w:pStyle w:val="Compact"/>
            </w:pPr>
            <w:r>
              <w:rPr>
                <w:sz w:val="20"/>
                <w:szCs w:val="20"/>
              </w:rPr>
              <w:t xml:space="preserve">COS-B</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278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Cost ~US$100M (ESA COS-B; Wikipedia); launch mass 278 kg (Wikipedia, COS-B); ops 1975-1982 (7 yr); pubs 146 (De Marchi &amp; Parmar 2024, Table 1, COS-B Total Pubs)</w:t>
            </w:r>
          </w:p>
        </w:tc>
      </w:tr>
      <w:tr>
        <w:tc>
          <w:tcPr>
            <w:tcW w:w="0" w:type="auto"/>
          </w:tcPr>
          <w:p>
            <w:pPr>
              <w:spacing w:line="240" w:lineRule="auto" w:before="0" w:after="0"/>
              <w:pStyle w:val="Compact"/>
            </w:pPr>
            <w:r>
              <w:rPr>
                <w:sz w:val="20"/>
                <w:szCs w:val="20"/>
              </w:rPr>
              <w:t xml:space="preserve">Giotto</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960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266</w:t>
            </w:r>
          </w:p>
        </w:tc>
        <w:tc>
          <w:tcPr>
            <w:tcW w:w="0" w:type="auto"/>
          </w:tcPr>
          <w:p>
            <w:pPr>
              <w:spacing w:line="240" w:lineRule="auto" w:before="0" w:after="0"/>
              <w:pStyle w:val="Compact"/>
            </w:pPr>
            <w:r>
              <w:rPr>
                <w:sz w:val="20"/>
                <w:szCs w:val="20"/>
              </w:rPr>
              <w:t xml:space="preserve">Cost ~EUR150M ~US$180M (ESA Giotto; Wikipedia); launch mass 960 kg (Wikipedia, Giotto spacecraft); ops 1985-1992 (7 yr); pubs 266 (De Marchi &amp; Parmar 2024, Table 1, Giotto Total Pubs)</w:t>
            </w:r>
          </w:p>
        </w:tc>
      </w:tr>
      <w:tr>
        <w:tc>
          <w:tcPr>
            <w:tcW w:w="0" w:type="auto"/>
          </w:tcPr>
          <w:p>
            <w:pPr>
              <w:spacing w:line="240" w:lineRule="auto" w:before="0" w:after="0"/>
              <w:pStyle w:val="Compact"/>
            </w:pPr>
            <w:r>
              <w:rPr>
                <w:sz w:val="20"/>
                <w:szCs w:val="20"/>
              </w:rPr>
              <w:t xml:space="preserve">Suzaku</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1139</w:t>
            </w:r>
          </w:p>
        </w:tc>
        <w:tc>
          <w:tcPr>
            <w:tcW w:w="0" w:type="auto"/>
          </w:tcPr>
          <w:p>
            <w:pPr>
              <w:spacing w:line="240" w:lineRule="auto" w:before="0" w:after="0"/>
              <w:pStyle w:val="Compact"/>
            </w:pPr>
            <w:r>
              <w:rPr>
                <w:sz w:val="20"/>
                <w:szCs w:val="20"/>
              </w:rPr>
              <w:t xml:space="preserve">Cost ~US$170M JAXA-NASA (Wikipedia, Suzaku); launch mass 1700 kg (JAXA Suzaku); ops 2005-2015 (10 yr); pubs 1139 (De Marchi &amp; Parmar 2024, Table 2, Suzaku Total Pubs)</w:t>
            </w:r>
          </w:p>
        </w:tc>
      </w:tr>
      <w:tr>
        <w:tc>
          <w:tcPr>
            <w:tcW w:w="0" w:type="auto"/>
          </w:tcPr>
          <w:p>
            <w:pPr>
              <w:spacing w:line="240" w:lineRule="auto" w:before="0" w:after="0"/>
              <w:pStyle w:val="Compact"/>
            </w:pPr>
            <w:r>
              <w:rPr>
                <w:sz w:val="20"/>
                <w:szCs w:val="20"/>
              </w:rPr>
              <w:t xml:space="preserve">Hinode</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1442</w:t>
            </w:r>
          </w:p>
        </w:tc>
        <w:tc>
          <w:tcPr>
            <w:tcW w:w="0" w:type="auto"/>
          </w:tcPr>
          <w:p>
            <w:pPr>
              <w:spacing w:line="240" w:lineRule="auto" w:before="0" w:after="0"/>
              <w:pStyle w:val="Compact"/>
            </w:pPr>
            <w:r>
              <w:rPr>
                <w:sz w:val="20"/>
                <w:szCs w:val="20"/>
              </w:rPr>
              <w:t xml:space="preserve">Cost ~US$300M JAXA-NASA-ESA-STFC (Wikipedia, Hinode); launch mass 900 kg (JAXA Hinode); ops 2006-2021 (15 yr, pub window, still operating); pubs 1442 (De Marchi &amp; Parmar 2024, Table 2, Hinode Total Pubs)</w:t>
            </w:r>
          </w:p>
        </w:tc>
      </w:tr>
      <w:tr>
        <w:tc>
          <w:tcPr>
            <w:tcW w:w="0" w:type="auto"/>
          </w:tcPr>
          <w:p>
            <w:pPr>
              <w:spacing w:line="240" w:lineRule="auto" w:before="0" w:after="0"/>
              <w:pStyle w:val="Compact"/>
            </w:pPr>
            <w:r>
              <w:rPr>
                <w:sz w:val="20"/>
                <w:szCs w:val="20"/>
              </w:rPr>
              <w:t xml:space="preserve">AKARI</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952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1086</w:t>
            </w:r>
          </w:p>
        </w:tc>
        <w:tc>
          <w:tcPr>
            <w:tcW w:w="0" w:type="auto"/>
          </w:tcPr>
          <w:p>
            <w:pPr>
              <w:spacing w:line="240" w:lineRule="auto" w:before="0" w:after="0"/>
              <w:pStyle w:val="Compact"/>
            </w:pPr>
            <w:r>
              <w:rPr>
                <w:sz w:val="20"/>
                <w:szCs w:val="20"/>
              </w:rPr>
              <w:t xml:space="preserve">Cost ~JPY15B ~US$134M JAXA-ESA (Wikipedia, AKARI); launch mass 952 kg (JAXA AKARI); ops 2006-2011 (5 yr); pubs 1086 (De Marchi &amp; Parmar 2024, Table 2, AKARI Total Pubs)</w:t>
            </w:r>
          </w:p>
        </w:tc>
      </w:tr>
      <w:tr>
        <w:tc>
          <w:tcPr>
            <w:tcW w:w="0" w:type="auto"/>
          </w:tcPr>
          <w:p>
            <w:pPr>
              <w:spacing w:line="240" w:lineRule="auto" w:before="0" w:after="0"/>
              <w:pStyle w:val="Compact"/>
            </w:pPr>
            <w:r>
              <w:rPr>
                <w:sz w:val="20"/>
                <w:szCs w:val="20"/>
              </w:rPr>
              <w:t xml:space="preserve">CoRoT</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630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238</w:t>
            </w:r>
          </w:p>
        </w:tc>
        <w:tc>
          <w:tcPr>
            <w:tcW w:w="0" w:type="auto"/>
          </w:tcPr>
          <w:p>
            <w:pPr>
              <w:spacing w:line="240" w:lineRule="auto" w:before="0" w:after="0"/>
              <w:pStyle w:val="Compact"/>
            </w:pPr>
            <w:r>
              <w:rPr>
                <w:sz w:val="20"/>
                <w:szCs w:val="20"/>
              </w:rPr>
              <w:t xml:space="preserve">Cost ~EUR170M CNES-ESA (Wikipedia, CoRoT); launch mass 630 kg (CNES CoRoT); ops 2006-2013 (7 yr); pubs 238 (De Marchi &amp; Parmar 2024, Table 2, CoRoT Total Pubs)</w:t>
            </w:r>
          </w:p>
        </w:tc>
      </w:tr>
      <w:tr>
        <w:tc>
          <w:tcPr>
            <w:tcW w:w="0" w:type="auto"/>
          </w:tcPr>
          <w:p>
            <w:pPr>
              <w:spacing w:line="240" w:lineRule="auto" w:before="0" w:after="0"/>
              <w:pStyle w:val="Compact"/>
            </w:pPr>
            <w:r>
              <w:rPr>
                <w:sz w:val="20"/>
                <w:szCs w:val="20"/>
              </w:rPr>
              <w:t xml:space="preserve">Chandrayaan-1</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1380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Cost ~US$80M ISRO (Wikipedia, Chandrayaan-1; carried NASA M3 and ESA instruments); launch mass 1380 kg (ISRO Chandrayaan-1); ops 2008-2009 (1 yr); pubs 164 (De Marchi &amp; Parmar 2024, Table 2, Chandrayaan-1 Total Pubs)</w:t>
            </w:r>
          </w:p>
        </w:tc>
      </w:tr>
      <w:tr>
        <w:tc>
          <w:tcPr>
            <w:tcW w:w="0" w:type="auto"/>
          </w:tcPr>
          <w:p>
            <w:pPr>
              <w:spacing w:line="240" w:lineRule="auto" w:before="0" w:after="0"/>
              <w:pStyle w:val="Compact"/>
            </w:pPr>
            <w:r>
              <w:rPr>
                <w:sz w:val="20"/>
                <w:szCs w:val="20"/>
              </w:rPr>
              <w:t xml:space="preserve">Huygens</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222</w:t>
            </w:r>
          </w:p>
        </w:tc>
        <w:tc>
          <w:tcPr>
            <w:tcW w:w="0" w:type="auto"/>
          </w:tcPr>
          <w:p>
            <w:pPr>
              <w:spacing w:line="240" w:lineRule="auto" w:before="0" w:after="0"/>
              <w:pStyle w:val="Compact"/>
            </w:pPr>
            <w:r>
              <w:rPr>
                <w:sz w:val="20"/>
                <w:szCs w:val="20"/>
              </w:rPr>
              <w:t xml:space="preserve">Cost ESA Huygens probe ~EUR400M ~US$500M (ESA Cassini-Huygens; Wikipedia); entry-probe mass 318 kg (ESA Huygens factsheet); ops 1997-2005 (8 yr to Titan descent + cruise pubs); pubs 222 (De Marchi &amp; Parmar 2024, Table 1, Huygens Total Pubs)</w:t>
            </w:r>
          </w:p>
        </w:tc>
      </w:tr>
    </w:tbl>
    <w:bookmarkEnd w:id="166"/>
    <w:bookmarkStart w:id="167"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pubs</w:t>
            </w:r>
          </w:p>
        </w:tc>
        <w:tc>
          <w:tcPr>
            <w:tcW w:w="0" w:type="auto"/>
          </w:tcPr>
          <w:p>
            <w:pPr>
              <w:spacing w:line="240" w:lineRule="auto" w:before="0" w:after="0"/>
              <w:pStyle w:val="Compact"/>
            </w:pPr>
            <w:r>
              <w:rPr>
                <w:sz w:val="20"/>
                <w:szCs w:val="20"/>
              </w:rPr>
              <w:t xml:space="preserve">Count of refereed publications attributed to the mission through end of 2021 under uniform inclusion criteria</w:t>
            </w:r>
          </w:p>
        </w:tc>
        <w:tc>
          <w:tcPr>
            <w:tcW w:w="0" w:type="auto"/>
          </w:tcPr>
          <w:p>
            <w:pPr>
              <w:spacing w:line="240" w:lineRule="auto" w:before="0" w:after="0"/>
              <w:pStyle w:val="Compact"/>
            </w:pPr>
            <w:r>
              <w:rPr>
                <w:sz w:val="20"/>
                <w:szCs w:val="20"/>
              </w:rPr>
              <w:t xml:space="preserve">De Marchi &amp; Parmar 2024, ESA Mission Publications, Tables 1 and 2, Total Pubs column (ADS-backed mission publication libraries)</w:t>
            </w:r>
          </w:p>
        </w:tc>
      </w:tr>
      <w:tr>
        <w:tc>
          <w:tcPr>
            <w:tcW w:w="0" w:type="auto"/>
          </w:tcPr>
          <w:p>
            <w:pPr>
              <w:spacing w:line="240" w:lineRule="auto" w:before="0" w:after="0"/>
              <w:pStyle w:val="Compact"/>
            </w:pPr>
            <w:r>
              <w:rPr>
                <w:sz w:val="20"/>
                <w:szCs w:val="20"/>
              </w:rPr>
              <w:t xml:space="preserve">cost_musd</w:t>
            </w:r>
          </w:p>
        </w:tc>
        <w:tc>
          <w:tcPr>
            <w:tcW w:w="0" w:type="auto"/>
          </w:tcPr>
          <w:p>
            <w:pPr>
              <w:spacing w:line="240" w:lineRule="auto" w:before="0" w:after="0"/>
              <w:pStyle w:val="Compact"/>
            </w:pPr>
            <w:r>
              <w:rPr>
                <w:sz w:val="20"/>
                <w:szCs w:val="20"/>
              </w:rPr>
              <w:t xml:space="preserve">Total mission life-cycle cost in nominal US dollars, millions; EUR figures converted to USD at the contemporaneous rate cited in each row source</w:t>
            </w:r>
          </w:p>
        </w:tc>
        <w:tc>
          <w:tcPr>
            <w:tcW w:w="0" w:type="auto"/>
          </w:tcPr>
          <w:p>
            <w:pPr>
              <w:spacing w:line="240" w:lineRule="auto" w:before="0" w:after="0"/>
              <w:pStyle w:val="Compact"/>
            </w:pPr>
            <w:r>
              <w:rPr>
                <w:sz w:val="20"/>
                <w:szCs w:val="20"/>
              </w:rPr>
              <w:t xml:space="preserve">Per-mission public cost reporting: Wikipedia mission pages citing NASA/ESA/GAO, ESA fact sheets, GAO assessments, The Planetary Society cost pages (see row source field)</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Spacecraft launch mass in kilograms (control, used in robustness reading)</w:t>
            </w:r>
          </w:p>
        </w:tc>
        <w:tc>
          <w:tcPr>
            <w:tcW w:w="0" w:type="auto"/>
          </w:tcPr>
          <w:p>
            <w:pPr>
              <w:spacing w:line="240" w:lineRule="auto" w:before="0" w:after="0"/>
              <w:pStyle w:val="Compact"/>
            </w:pPr>
            <w:r>
              <w:rPr>
                <w:sz w:val="20"/>
                <w:szCs w:val="20"/>
              </w:rPr>
              <w:t xml:space="preserve">NASA/ESA/JAXA fact sheets and Wikipedia mission pages (see row source field)</w:t>
            </w:r>
          </w:p>
        </w:tc>
      </w:tr>
      <w:tr>
        <w:tc>
          <w:tcPr>
            <w:tcW w:w="0" w:type="auto"/>
          </w:tcPr>
          <w:p>
            <w:pPr>
              <w:spacing w:line="240" w:lineRule="auto" w:before="0" w:after="0"/>
              <w:pStyle w:val="Compact"/>
            </w:pPr>
            <w:r>
              <w:rPr>
                <w:sz w:val="20"/>
                <w:szCs w:val="20"/>
              </w:rPr>
              <w:t xml:space="preserve">life_years</w:t>
            </w:r>
          </w:p>
        </w:tc>
        <w:tc>
          <w:tcPr>
            <w:tcW w:w="0" w:type="auto"/>
          </w:tcPr>
          <w:p>
            <w:pPr>
              <w:spacing w:line="240" w:lineRule="auto" w:before="0" w:after="0"/>
              <w:pStyle w:val="Compact"/>
            </w:pPr>
            <w:r>
              <w:rPr>
                <w:sz w:val="20"/>
                <w:szCs w:val="20"/>
              </w:rPr>
              <w:t xml:space="preserve">Operating lifetime in years from launch to end of operations, truncated at 2021 for missions still operating to match the publication window (control)</w:t>
            </w:r>
          </w:p>
        </w:tc>
        <w:tc>
          <w:tcPr>
            <w:tcW w:w="0" w:type="auto"/>
          </w:tcPr>
          <w:p>
            <w:pPr>
              <w:spacing w:line="240" w:lineRule="auto" w:before="0" w:after="0"/>
              <w:pStyle w:val="Compact"/>
            </w:pPr>
            <w:r>
              <w:rPr>
                <w:sz w:val="20"/>
                <w:szCs w:val="20"/>
              </w:rPr>
              <w:t xml:space="preserve">ESA/NASA operations records (see row source field)</w:t>
            </w:r>
          </w:p>
        </w:tc>
      </w:tr>
      <w:tr>
        <w:tc>
          <w:tcPr>
            <w:tcW w:w="0" w:type="auto"/>
          </w:tcPr>
          <w:p>
            <w:pPr>
              <w:spacing w:line="240" w:lineRule="auto" w:before="0" w:after="0"/>
              <w:pStyle w:val="Compact"/>
            </w:pPr>
            <w:r>
              <w:rPr>
                <w:sz w:val="20"/>
                <w:szCs w:val="20"/>
              </w:rPr>
              <w:t xml:space="preserve">host_class</w:t>
            </w:r>
          </w:p>
        </w:tc>
        <w:tc>
          <w:tcPr>
            <w:tcW w:w="0" w:type="auto"/>
          </w:tcPr>
          <w:p>
            <w:pPr>
              <w:spacing w:line="240" w:lineRule="auto" w:before="0" w:after="0"/>
              <w:pStyle w:val="Compact"/>
            </w:pPr>
            <w:r>
              <w:rPr>
                <w:sz w:val="20"/>
                <w:szCs w:val="20"/>
              </w:rPr>
              <w:t xml:space="preserve">Mission size class (Flagship, Medium, Small, Discovery) for stratified reading</w:t>
            </w:r>
          </w:p>
        </w:tc>
        <w:tc>
          <w:tcPr>
            <w:tcW w:w="0" w:type="auto"/>
          </w:tcPr>
          <w:p>
            <w:pPr>
              <w:spacing w:line="240" w:lineRule="auto" w:before="0" w:after="0"/>
              <w:pStyle w:val="Compact"/>
            </w:pPr>
            <w:r>
              <w:rPr>
                <w:sz w:val="20"/>
                <w:szCs w:val="20"/>
              </w:rPr>
              <w:t xml:space="preserve">Author classification from documented mission scope</w:t>
            </w:r>
          </w:p>
        </w:tc>
      </w:tr>
    </w:tbl>
    <w:bookmarkEnd w:id="167"/>
    <w:bookmarkEnd w:id="168"/>
    <w:bookmarkStart w:id="176" w:name="X7db53408c433fa7ae91e870850788b0bd003668"/>
    <w:p>
      <w:pPr>
        <w:pStyle w:val="Heading2"/>
        <w:spacing w:line="480" w:lineRule="auto"/>
      </w:pPr>
      <w:r>
        <w:t xml:space="preserve">A.2 Mass as a Productivity Surrogate: A Log-Log Elasticity of Refereed Output on Planetary Instrument Mass</w:t>
      </w:r>
    </w:p>
    <w:p>
      <w:pPr>
        <w:pStyle w:val="FirstParagraph"/>
        <w:spacing w:line="480" w:lineRule="auto"/>
      </w:pPr>
      <m:oMathPara>
        <m:oMathParaPr>
          <m:jc m:val="center"/>
        </m:oMathParaPr>
        <m:oMath>
          <m:r>
            <m:rPr>
              <m:sty m:val="p"/>
            </m:rPr>
            <m:t>ln</m:t>
          </m:r>
          <m:r>
            <m:rPr>
              <m:sty m:val="p"/>
            </m:rPr>
            <m:t>(</m:t>
          </m:r>
          <m:sSub>
            <m:e>
              <m:r>
                <m:rPr>
                  <m:nor/>
                  <m:sty m:val="p"/>
                </m:rPr>
                <m:t>pubs</m:t>
              </m:r>
            </m:e>
            <m:sub>
              <m:r>
                <m:t>i</m:t>
              </m:r>
            </m:sub>
          </m:sSub>
          <m:r>
            <m:rPr>
              <m:sty m:val="p"/>
            </m:rPr>
            <m:t>)</m:t>
          </m:r>
          <m:r>
            <m:rPr>
              <m:sty m:val="p"/>
            </m:rPr>
            <m:t>=</m:t>
          </m:r>
          <m:r>
            <m:t>α</m:t>
          </m:r>
          <m:r>
            <m:rPr>
              <m:sty m:val="p"/>
            </m:rPr>
            <m:t>+</m:t>
          </m:r>
          <m:r>
            <m:t>β</m:t>
          </m:r>
          <m:r>
            <m:t> </m:t>
          </m:r>
          <m:r>
            <m:rPr>
              <m:sty m:val="p"/>
            </m:rPr>
            <m:t>ln</m:t>
          </m:r>
          <m:r>
            <m:rPr>
              <m:sty m:val="p"/>
            </m:rPr>
            <m:t>(</m:t>
          </m:r>
          <m:sSub>
            <m:e>
              <m:r>
                <m:rPr>
                  <m:nor/>
                  <m:sty m:val="p"/>
                </m:rPr>
                <m:t>mass_kg</m:t>
              </m:r>
            </m:e>
            <m:sub>
              <m:r>
                <m:t>i</m:t>
              </m:r>
            </m:sub>
          </m:sSub>
          <m:r>
            <m:rPr>
              <m:sty m:val="p"/>
            </m:rPr>
            <m:t>)</m:t>
          </m:r>
          <m:r>
            <m:rPr>
              <m:sty m:val="p"/>
            </m:rPr>
            <m:t>+</m:t>
          </m:r>
          <m:sSub>
            <m:e>
              <m:r>
                <m:t>ε</m:t>
              </m:r>
            </m:e>
            <m:sub>
              <m:r>
                <m:t>i</m:t>
              </m:r>
            </m:sub>
          </m:sSub>
        </m:oMath>
      </m:oMathPara>
    </w:p>
    <w:bookmarkStart w:id="169"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1.0498</w:t>
            </w:r>
          </w:p>
        </w:tc>
        <w:tc>
          <w:tcPr>
            <w:tcW w:w="0" w:type="auto"/>
          </w:tcPr>
          <w:p>
            <w:pPr>
              <w:spacing w:line="240" w:lineRule="auto" w:before="0" w:after="0"/>
              <w:pStyle w:val="Compact"/>
            </w:pPr>
            <w:r>
              <w:rPr>
                <w:sz w:val="20"/>
                <w:szCs w:val="20"/>
              </w:rPr>
              <w:t xml:space="preserve">0.2985</w:t>
            </w:r>
          </w:p>
        </w:tc>
        <w:tc>
          <w:tcPr>
            <w:tcW w:w="0" w:type="auto"/>
          </w:tcPr>
          <w:p>
            <w:pPr>
              <w:spacing w:line="240" w:lineRule="auto" w:before="0" w:after="0"/>
              <w:pStyle w:val="Compact"/>
            </w:pPr>
            <w:r>
              <w:rPr>
                <w:sz w:val="20"/>
                <w:szCs w:val="20"/>
              </w:rPr>
              <w:t xml:space="preserve">3.5167</w:t>
            </w:r>
          </w:p>
        </w:tc>
        <w:tc>
          <w:tcPr>
            <w:tcW w:w="0" w:type="auto"/>
          </w:tcPr>
          <w:p>
            <w:pPr>
              <w:spacing w:line="240" w:lineRule="auto" w:before="0" w:after="0"/>
              <w:pStyle w:val="Compact"/>
            </w:pPr>
            <w:r>
              <w:rPr>
                <w:sz w:val="20"/>
                <w:szCs w:val="20"/>
              </w:rPr>
              <w:t xml:space="preserve">0.000437</w:t>
            </w:r>
          </w:p>
        </w:tc>
        <w:tc>
          <w:tcPr>
            <w:tcW w:w="0" w:type="auto"/>
          </w:tcPr>
          <w:p>
            <w:pPr>
              <w:spacing w:line="240" w:lineRule="auto" w:before="0" w:after="0"/>
              <w:pStyle w:val="Compact"/>
            </w:pPr>
            <w:r>
              <w:rPr>
                <w:sz w:val="20"/>
                <w:szCs w:val="20"/>
              </w:rPr>
              <w:t xml:space="preserve">[0.4647, 1.6349]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0.419</w:t>
            </w:r>
          </w:p>
        </w:tc>
        <w:tc>
          <w:tcPr>
            <w:tcW w:w="0" w:type="auto"/>
          </w:tcPr>
          <w:p>
            <w:pPr>
              <w:spacing w:line="240" w:lineRule="auto" w:before="0" w:after="0"/>
              <w:pStyle w:val="Compact"/>
            </w:pPr>
            <w:r>
              <w:rPr>
                <w:sz w:val="20"/>
                <w:szCs w:val="20"/>
              </w:rPr>
              <w:t xml:space="preserve">0.1133</w:t>
            </w:r>
          </w:p>
        </w:tc>
        <w:tc>
          <w:tcPr>
            <w:tcW w:w="0" w:type="auto"/>
          </w:tcPr>
          <w:p>
            <w:pPr>
              <w:spacing w:line="240" w:lineRule="auto" w:before="0" w:after="0"/>
              <w:pStyle w:val="Compact"/>
            </w:pPr>
            <w:r>
              <w:rPr>
                <w:sz w:val="20"/>
                <w:szCs w:val="20"/>
              </w:rPr>
              <w:t xml:space="preserve">3.6995</w:t>
            </w:r>
          </w:p>
        </w:tc>
        <w:tc>
          <w:tcPr>
            <w:tcW w:w="0" w:type="auto"/>
          </w:tcPr>
          <w:p>
            <w:pPr>
              <w:spacing w:line="240" w:lineRule="auto" w:before="0" w:after="0"/>
              <w:pStyle w:val="Compact"/>
            </w:pPr>
            <w:r>
              <w:rPr>
                <w:sz w:val="20"/>
                <w:szCs w:val="20"/>
              </w:rPr>
              <w:t xml:space="preserve">0.000216</w:t>
            </w:r>
          </w:p>
        </w:tc>
        <w:tc>
          <w:tcPr>
            <w:tcW w:w="0" w:type="auto"/>
          </w:tcPr>
          <w:p>
            <w:pPr>
              <w:spacing w:line="240" w:lineRule="auto" w:before="0" w:after="0"/>
              <w:pStyle w:val="Compact"/>
            </w:pPr>
            <w:r>
              <w:rPr>
                <w:sz w:val="20"/>
                <w:szCs w:val="20"/>
              </w:rPr>
              <w:t xml:space="preserve">[0.197, 0.641]</w:t>
            </w:r>
          </w:p>
        </w:tc>
      </w:tr>
    </w:tbl>
    <w:p>
      <w:pPr>
        <w:pStyle w:val="BodyText"/>
        <w:spacing w:line="480" w:lineRule="auto"/>
        <w:ind w:firstLine="720"/>
      </w:pPr>
      <w:r>
        <w:t xml:space="preserve">Fit: N = 32 R2 = 0.1913 elasticity_b = 0.419 progress_ratio_2^b = 1.337</w:t>
      </w:r>
    </w:p>
    <w:bookmarkEnd w:id="169"/>
    <w:bookmarkStart w:id="173"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Refereed output versus instrument flight mass for 32 planetary science instruments, on log-log axes, with the fitted power-law elasticity. The slope is the estimated elasticity of science output with respect to instrument mass." title="" id="171" name="Picture"/>
            <a:graphic>
              <a:graphicData uri="http://schemas.openxmlformats.org/drawingml/2006/picture">
                <pic:pic>
                  <pic:nvPicPr>
                    <pic:cNvPr descr="D:/Claude_Code/brain/collegium/candidates/dissertations/JPL_INSTRUMENTS_NAV_03/research_papers/p2/paper_fig1.png" id="172" name="Picture"/>
                    <pic:cNvPicPr>
                      <a:picLocks noChangeArrowheads="1" noChangeAspect="1"/>
                    </pic:cNvPicPr>
                  </pic:nvPicPr>
                  <pic:blipFill>
                    <a:blip r:embed="rId17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Refereed output versus instrument flight mass for 32 planetary science instruments, on log-log axes, with the fitted power-law elasticity. The slope is the estimated elasticity of science output with respect to instrument mass.</w:t>
      </w:r>
    </w:p>
    <w:bookmarkEnd w:id="173"/>
    <w:bookmarkStart w:id="174"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instrument</w:t>
            </w:r>
          </w:p>
        </w:tc>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lifetime_years</w:t>
            </w:r>
          </w:p>
        </w:tc>
        <w:tc>
          <w:tcPr>
            <w:tcW w:w="0" w:type="auto"/>
          </w:tcPr>
          <w:p>
            <w:pPr>
              <w:spacing w:line="240" w:lineRule="auto" w:before="0" w:after="0"/>
              <w:pStyle w:val="Compact"/>
            </w:pPr>
            <w:r>
              <w:rPr>
                <w:sz w:val="20"/>
                <w:szCs w:val="20"/>
              </w:rPr>
              <w:t xml:space="preserve">pubs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MSL</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‘ChemCam Curiosity laser induced breakdown spectroscopy’</w:t>
            </w:r>
            <w:r>
              <w:rPr>
                <w:sz w:val="20"/>
                <w:szCs w:val="20"/>
              </w:rPr>
              <w:t xml:space="preserve"> </w:t>
            </w:r>
            <w:r>
              <w:rPr>
                <w:sz w:val="20"/>
                <w:szCs w:val="20"/>
              </w:rPr>
              <w:t xml:space="preserve">(ntrs.nasa.gov/api/citations/search, retrieved 2026-06-22); mass_kg=Maurice et al. 2012 Space Sci Rev 170:95 (ChemCam mass 10.6 kg); lifetime_years=MSL landed Aug 2012, operating through 2025 (NASA MSL mission pages)</w:t>
            </w:r>
          </w:p>
        </w:tc>
      </w:tr>
      <w:tr>
        <w:tc>
          <w:tcPr>
            <w:tcW w:w="0" w:type="auto"/>
          </w:tcPr>
          <w:p>
            <w:pPr>
              <w:spacing w:line="240" w:lineRule="auto" w:before="0" w:after="0"/>
              <w:pStyle w:val="Compact"/>
            </w:pPr>
            <w:r>
              <w:rPr>
                <w:sz w:val="20"/>
                <w:szCs w:val="20"/>
              </w:rPr>
              <w:t xml:space="preserve">Mastcam</w:t>
            </w:r>
          </w:p>
        </w:tc>
        <w:tc>
          <w:tcPr>
            <w:tcW w:w="0" w:type="auto"/>
          </w:tcPr>
          <w:p>
            <w:pPr>
              <w:spacing w:line="240" w:lineRule="auto" w:before="0" w:after="0"/>
              <w:pStyle w:val="Compact"/>
            </w:pPr>
            <w:r>
              <w:rPr>
                <w:sz w:val="20"/>
                <w:szCs w:val="20"/>
              </w:rPr>
              <w:t xml:space="preserve">MSL</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‘Mastcam Curiosity mast camera’</w:t>
            </w:r>
            <w:r>
              <w:rPr>
                <w:sz w:val="20"/>
                <w:szCs w:val="20"/>
              </w:rPr>
              <w:t xml:space="preserve"> </w:t>
            </w:r>
            <w:r>
              <w:rPr>
                <w:sz w:val="20"/>
                <w:szCs w:val="20"/>
              </w:rPr>
              <w:t xml:space="preserve">(ntrs.nasa.gov/api/citations/search, retrieved 2026-06-22); mass_kg=Malin et al. 2017 Earth &amp; Space Sci 4:506 (Mastcam two-camera ~2.4 kg); lifetime_years=MSL landed Aug 2012, operating through 2025</w:t>
            </w:r>
          </w:p>
        </w:tc>
      </w:tr>
      <w:tr>
        <w:tc>
          <w:tcPr>
            <w:tcW w:w="0" w:type="auto"/>
          </w:tcPr>
          <w:p>
            <w:pPr>
              <w:spacing w:line="240" w:lineRule="auto" w:before="0" w:after="0"/>
              <w:pStyle w:val="Compact"/>
            </w:pPr>
            <w:r>
              <w:rPr>
                <w:sz w:val="20"/>
                <w:szCs w:val="20"/>
              </w:rPr>
              <w:t xml:space="preserve">SAM</w:t>
            </w:r>
          </w:p>
        </w:tc>
        <w:tc>
          <w:tcPr>
            <w:tcW w:w="0" w:type="auto"/>
          </w:tcPr>
          <w:p>
            <w:pPr>
              <w:spacing w:line="240" w:lineRule="auto" w:before="0" w:after="0"/>
              <w:pStyle w:val="Compact"/>
            </w:pPr>
            <w:r>
              <w:rPr>
                <w:sz w:val="20"/>
                <w:szCs w:val="20"/>
              </w:rPr>
              <w:t xml:space="preserve">MSL</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‘Sample Analysis at Mars SAM Curiosity mass spectrometer’</w:t>
            </w:r>
            <w:r>
              <w:rPr>
                <w:sz w:val="20"/>
                <w:szCs w:val="20"/>
              </w:rPr>
              <w:t xml:space="preserve"> </w:t>
            </w:r>
            <w:r>
              <w:rPr>
                <w:sz w:val="20"/>
                <w:szCs w:val="20"/>
              </w:rPr>
              <w:t xml:space="preserve">(ntrs.nasa.gov/api/citations/search, retrieved 2026-06-22); mass_kg=Mahaffy et al. 2012 Space Sci Rev 170:401 (SAM suite ~40 kg); lifetime_years=MSL landed Aug 2012, operating through 2025</w:t>
            </w:r>
          </w:p>
        </w:tc>
      </w:tr>
      <w:tr>
        <w:tc>
          <w:tcPr>
            <w:tcW w:w="0" w:type="auto"/>
          </w:tcPr>
          <w:p>
            <w:pPr>
              <w:spacing w:line="240" w:lineRule="auto" w:before="0" w:after="0"/>
              <w:pStyle w:val="Compact"/>
            </w:pPr>
            <w:r>
              <w:rPr>
                <w:sz w:val="20"/>
                <w:szCs w:val="20"/>
              </w:rPr>
              <w:t xml:space="preserve">CheMin</w:t>
            </w:r>
          </w:p>
        </w:tc>
        <w:tc>
          <w:tcPr>
            <w:tcW w:w="0" w:type="auto"/>
          </w:tcPr>
          <w:p>
            <w:pPr>
              <w:spacing w:line="240" w:lineRule="auto" w:before="0" w:after="0"/>
              <w:pStyle w:val="Compact"/>
            </w:pPr>
            <w:r>
              <w:rPr>
                <w:sz w:val="20"/>
                <w:szCs w:val="20"/>
              </w:rPr>
              <w:t xml:space="preserve">MSL</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‘CheMin Curiosity X-ray diffraction’</w:t>
            </w:r>
            <w:r>
              <w:rPr>
                <w:sz w:val="20"/>
                <w:szCs w:val="20"/>
              </w:rPr>
              <w:t xml:space="preserve"> </w:t>
            </w:r>
            <w:r>
              <w:rPr>
                <w:sz w:val="20"/>
                <w:szCs w:val="20"/>
              </w:rPr>
              <w:t xml:space="preserve">(ntrs.nasa.gov/api/citations/search, retrieved 2026-06-22); mass_kg=Blake et al. 2012 Space Sci Rev 170:341 (CheMin ~10 kg); lifetime_years=MSL landed Aug 2012, operating through 2025</w:t>
            </w:r>
          </w:p>
        </w:tc>
      </w:tr>
      <w:tr>
        <w:tc>
          <w:tcPr>
            <w:tcW w:w="0" w:type="auto"/>
          </w:tcPr>
          <w:p>
            <w:pPr>
              <w:spacing w:line="240" w:lineRule="auto" w:before="0" w:after="0"/>
              <w:pStyle w:val="Compact"/>
            </w:pPr>
            <w:r>
              <w:rPr>
                <w:sz w:val="20"/>
                <w:szCs w:val="20"/>
              </w:rPr>
              <w:t xml:space="preserve">RAD</w:t>
            </w:r>
          </w:p>
        </w:tc>
        <w:tc>
          <w:tcPr>
            <w:tcW w:w="0" w:type="auto"/>
          </w:tcPr>
          <w:p>
            <w:pPr>
              <w:spacing w:line="240" w:lineRule="auto" w:before="0" w:after="0"/>
              <w:pStyle w:val="Compact"/>
            </w:pPr>
            <w:r>
              <w:rPr>
                <w:sz w:val="20"/>
                <w:szCs w:val="20"/>
              </w:rPr>
              <w:t xml:space="preserve">MSL</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‘Radiation Assessment Detector Curiosity RAD’</w:t>
            </w:r>
            <w:r>
              <w:rPr>
                <w:sz w:val="20"/>
                <w:szCs w:val="20"/>
              </w:rPr>
              <w:t xml:space="preserve"> </w:t>
            </w:r>
            <w:r>
              <w:rPr>
                <w:sz w:val="20"/>
                <w:szCs w:val="20"/>
              </w:rPr>
              <w:t xml:space="preserve">(ntrs.nasa.gov/api/citations/search, retrieved 2026-06-22); mass_kg=Hassler et al. 2012 Space Sci Rev 170:503 (RAD 1.56 kg); lifetime_years=MSL landed Aug 2012, operating through 2025</w:t>
            </w:r>
          </w:p>
        </w:tc>
      </w:tr>
      <w:tr>
        <w:tc>
          <w:tcPr>
            <w:tcW w:w="0" w:type="auto"/>
          </w:tcPr>
          <w:p>
            <w:pPr>
              <w:spacing w:line="240" w:lineRule="auto" w:before="0" w:after="0"/>
              <w:pStyle w:val="Compact"/>
            </w:pPr>
            <w:r>
              <w:rPr>
                <w:sz w:val="20"/>
                <w:szCs w:val="20"/>
              </w:rPr>
              <w:t xml:space="preserve">MARDI</w:t>
            </w:r>
          </w:p>
        </w:tc>
        <w:tc>
          <w:tcPr>
            <w:tcW w:w="0" w:type="auto"/>
          </w:tcPr>
          <w:p>
            <w:pPr>
              <w:spacing w:line="240" w:lineRule="auto" w:before="0" w:after="0"/>
              <w:pStyle w:val="Compact"/>
            </w:pPr>
            <w:r>
              <w:rPr>
                <w:sz w:val="20"/>
                <w:szCs w:val="20"/>
              </w:rPr>
              <w:t xml:space="preserve">MSL</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‘MARDI Mars Descent Imager Curiosity’</w:t>
            </w:r>
            <w:r>
              <w:rPr>
                <w:sz w:val="20"/>
                <w:szCs w:val="20"/>
              </w:rPr>
              <w:t xml:space="preserve"> </w:t>
            </w:r>
            <w:r>
              <w:rPr>
                <w:sz w:val="20"/>
                <w:szCs w:val="20"/>
              </w:rPr>
              <w:t xml:space="preserve">(ntrs.nasa.gov/api/citations/search, retrieved 2026-06-22); mass_kg=Malin et al. 2017 Earth &amp; Space Sci 4:506 (MARDI ~0.66 kg); lifetime_years=MSL landed Aug 2012, operating through 2025</w:t>
            </w:r>
          </w:p>
        </w:tc>
      </w:tr>
      <w:tr>
        <w:tc>
          <w:tcPr>
            <w:tcW w:w="0" w:type="auto"/>
          </w:tcPr>
          <w:p>
            <w:pPr>
              <w:spacing w:line="240" w:lineRule="auto" w:before="0" w:after="0"/>
              <w:pStyle w:val="Compact"/>
            </w:pPr>
            <w:r>
              <w:rPr>
                <w:sz w:val="20"/>
                <w:szCs w:val="20"/>
              </w:rPr>
              <w:t xml:space="preserve">CRISM</w:t>
            </w:r>
          </w:p>
        </w:tc>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32.7</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‘CRISM Mars Reconnaissance Orbiter compact imaging spectrometer’</w:t>
            </w:r>
            <w:r>
              <w:rPr>
                <w:sz w:val="20"/>
                <w:szCs w:val="20"/>
              </w:rPr>
              <w:t xml:space="preserve"> </w:t>
            </w:r>
            <w:r>
              <w:rPr>
                <w:sz w:val="20"/>
                <w:szCs w:val="20"/>
              </w:rPr>
              <w:t xml:space="preserve">(ntrs.nasa.gov/api/citations/search, retrieved 2026-06-22); mass_kg=Murchie et al. 2007 JGR 112:E05S03 (CRISM 32.7 kg); lifetime_years=MRO orbit insertion Mar 2006, operating through 2025</w:t>
            </w:r>
          </w:p>
        </w:tc>
      </w:tr>
      <w:tr>
        <w:tc>
          <w:tcPr>
            <w:tcW w:w="0" w:type="auto"/>
          </w:tcPr>
          <w:p>
            <w:pPr>
              <w:spacing w:line="240" w:lineRule="auto" w:before="0" w:after="0"/>
              <w:pStyle w:val="Compact"/>
            </w:pPr>
            <w:r>
              <w:rPr>
                <w:sz w:val="20"/>
                <w:szCs w:val="20"/>
              </w:rPr>
              <w:t xml:space="preserve">HiRISE</w:t>
            </w:r>
          </w:p>
        </w:tc>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‘HiRISE Mars Reconnaissance Orbiter high resolution imaging’</w:t>
            </w:r>
            <w:r>
              <w:rPr>
                <w:sz w:val="20"/>
                <w:szCs w:val="20"/>
              </w:rPr>
              <w:t xml:space="preserve"> </w:t>
            </w:r>
            <w:r>
              <w:rPr>
                <w:sz w:val="20"/>
                <w:szCs w:val="20"/>
              </w:rPr>
              <w:t xml:space="preserve">(ntrs.nasa.gov/api/citations/search, retrieved 2026-06-22); mass_kg=McEwen et al. 2007 JGR 112:E05S02 (HiRISE 65 kg); lifetime_years=MRO orbit insertion Mar 2006, operating through 2025</w:t>
            </w:r>
          </w:p>
        </w:tc>
      </w:tr>
      <w:tr>
        <w:tc>
          <w:tcPr>
            <w:tcW w:w="0" w:type="auto"/>
          </w:tcPr>
          <w:p>
            <w:pPr>
              <w:spacing w:line="240" w:lineRule="auto" w:before="0" w:after="0"/>
              <w:pStyle w:val="Compact"/>
            </w:pPr>
            <w:r>
              <w:rPr>
                <w:sz w:val="20"/>
                <w:szCs w:val="20"/>
              </w:rPr>
              <w:t xml:space="preserve">SHARAD</w:t>
            </w:r>
          </w:p>
        </w:tc>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‘SHARAD Mars Reconnaissance Orbiter shallow radar’</w:t>
            </w:r>
            <w:r>
              <w:rPr>
                <w:sz w:val="20"/>
                <w:szCs w:val="20"/>
              </w:rPr>
              <w:t xml:space="preserve"> </w:t>
            </w:r>
            <w:r>
              <w:rPr>
                <w:sz w:val="20"/>
                <w:szCs w:val="20"/>
              </w:rPr>
              <w:t xml:space="preserve">(ntrs.nasa.gov/api/citations/search, retrieved 2026-06-22); mass_kg=Seu et al. 2007 JGR 112:E05S05 (SHARAD ~15 kg); lifetime_years=MRO orbit insertion Mar 2006, operating through 2025</w:t>
            </w:r>
          </w:p>
        </w:tc>
      </w:tr>
      <w:tr>
        <w:tc>
          <w:tcPr>
            <w:tcW w:w="0" w:type="auto"/>
          </w:tcPr>
          <w:p>
            <w:pPr>
              <w:spacing w:line="240" w:lineRule="auto" w:before="0" w:after="0"/>
              <w:pStyle w:val="Compact"/>
            </w:pPr>
            <w:r>
              <w:rPr>
                <w:sz w:val="20"/>
                <w:szCs w:val="20"/>
              </w:rPr>
              <w:t xml:space="preserve">CTX</w:t>
            </w:r>
          </w:p>
        </w:tc>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22.2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‘Context Camera CTX Mars Reconnaissance Orbiter’</w:t>
            </w:r>
            <w:r>
              <w:rPr>
                <w:sz w:val="20"/>
                <w:szCs w:val="20"/>
              </w:rPr>
              <w:t xml:space="preserve"> </w:t>
            </w:r>
            <w:r>
              <w:rPr>
                <w:sz w:val="20"/>
                <w:szCs w:val="20"/>
              </w:rPr>
              <w:t xml:space="preserve">(ntrs.nasa.gov/api/citations/search, retrieved 2026-06-22); mass_kg=Malin et al. 2007 JGR 112:E05S04 (CTX ~22 kg); lifetime_years=MRO orbit insertion Mar 2006, operating through 2025</w:t>
            </w:r>
          </w:p>
        </w:tc>
      </w:tr>
      <w:tr>
        <w:tc>
          <w:tcPr>
            <w:tcW w:w="0" w:type="auto"/>
          </w:tcPr>
          <w:p>
            <w:pPr>
              <w:spacing w:line="240" w:lineRule="auto" w:before="0" w:after="0"/>
              <w:pStyle w:val="Compact"/>
            </w:pPr>
            <w:r>
              <w:rPr>
                <w:sz w:val="20"/>
                <w:szCs w:val="20"/>
              </w:rPr>
              <w:t xml:space="preserve">MARCI</w:t>
            </w:r>
          </w:p>
        </w:tc>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‘Mars Color Imager MARCI Reconnaissance Orbiter’</w:t>
            </w:r>
            <w:r>
              <w:rPr>
                <w:sz w:val="20"/>
                <w:szCs w:val="20"/>
              </w:rPr>
              <w:t xml:space="preserve"> </w:t>
            </w:r>
            <w:r>
              <w:rPr>
                <w:sz w:val="20"/>
                <w:szCs w:val="20"/>
              </w:rPr>
              <w:t xml:space="preserve">(ntrs.nasa.gov/api/citations/search, retrieved 2026-06-22); mass_kg=Malin et al. 2007 JGR 112:E05S04 (MARCI ~0.45 kg); lifetime_years=MRO orbit insertion Mar 2006, operating through 2025</w:t>
            </w:r>
          </w:p>
        </w:tc>
      </w:tr>
      <w:tr>
        <w:tc>
          <w:tcPr>
            <w:tcW w:w="0" w:type="auto"/>
          </w:tcPr>
          <w:p>
            <w:pPr>
              <w:spacing w:line="240" w:lineRule="auto" w:before="0" w:after="0"/>
              <w:pStyle w:val="Compact"/>
            </w:pPr>
            <w:r>
              <w:rPr>
                <w:sz w:val="20"/>
                <w:szCs w:val="20"/>
              </w:rPr>
              <w:t xml:space="preserve">ISS</w:t>
            </w:r>
          </w:p>
        </w:tc>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57.83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‘Cassini Imaging Science Subsystem ISS Saturn’</w:t>
            </w:r>
            <w:r>
              <w:rPr>
                <w:sz w:val="20"/>
                <w:szCs w:val="20"/>
              </w:rPr>
              <w:t xml:space="preserve"> </w:t>
            </w:r>
            <w:r>
              <w:rPr>
                <w:sz w:val="20"/>
                <w:szCs w:val="20"/>
              </w:rPr>
              <w:t xml:space="preserve">(ntrs.nasa.gov/api/citations/search, retrieved 2026-06-22); mass_kg=Porco et al. 2004 Space Sci Rev 115:363 (Cassini ISS 57.83 kg); lifetime_years=Cassini Saturn orbit 2004 to EOM Sep 2017</w:t>
            </w:r>
          </w:p>
        </w:tc>
      </w:tr>
      <w:tr>
        <w:tc>
          <w:tcPr>
            <w:tcW w:w="0" w:type="auto"/>
          </w:tcPr>
          <w:p>
            <w:pPr>
              <w:spacing w:line="240" w:lineRule="auto" w:before="0" w:after="0"/>
              <w:pStyle w:val="Compact"/>
            </w:pPr>
            <w:r>
              <w:rPr>
                <w:sz w:val="20"/>
                <w:szCs w:val="20"/>
              </w:rPr>
              <w:t xml:space="preserve">CIRS</w:t>
            </w:r>
          </w:p>
        </w:tc>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39.24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‘Cassini Composite Infrared Spectrometer CIRS’</w:t>
            </w:r>
            <w:r>
              <w:rPr>
                <w:sz w:val="20"/>
                <w:szCs w:val="20"/>
              </w:rPr>
              <w:t xml:space="preserve"> </w:t>
            </w:r>
            <w:r>
              <w:rPr>
                <w:sz w:val="20"/>
                <w:szCs w:val="20"/>
              </w:rPr>
              <w:t xml:space="preserve">(ntrs.nasa.gov/api/citations/search, retrieved 2026-06-22); mass_kg=Flasar et al. 2004 Space Sci Rev 115:169 (CIRS 39.24 kg); lifetime_years=Cassini Saturn orbit 2004 to EOM Sep 2017</w:t>
            </w:r>
          </w:p>
        </w:tc>
      </w:tr>
      <w:tr>
        <w:tc>
          <w:tcPr>
            <w:tcW w:w="0" w:type="auto"/>
          </w:tcPr>
          <w:p>
            <w:pPr>
              <w:spacing w:line="240" w:lineRule="auto" w:before="0" w:after="0"/>
              <w:pStyle w:val="Compact"/>
            </w:pPr>
            <w:r>
              <w:rPr>
                <w:sz w:val="20"/>
                <w:szCs w:val="20"/>
              </w:rPr>
              <w:t xml:space="preserve">VIMS</w:t>
            </w:r>
          </w:p>
        </w:tc>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37.14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‘Cassini Visual Infrared Mapping Spectrometer VIMS’</w:t>
            </w:r>
            <w:r>
              <w:rPr>
                <w:sz w:val="20"/>
                <w:szCs w:val="20"/>
              </w:rPr>
              <w:t xml:space="preserve"> </w:t>
            </w:r>
            <w:r>
              <w:rPr>
                <w:sz w:val="20"/>
                <w:szCs w:val="20"/>
              </w:rPr>
              <w:t xml:space="preserve">(ntrs.nasa.gov/api/citations/search, retrieved 2026-06-22); mass_kg=Brown et al. 2004 Space Sci Rev 115:111 (VIMS 37.14 kg); lifetime_years=Cassini Saturn orbit 2004 to EOM Sep 2017</w:t>
            </w:r>
          </w:p>
        </w:tc>
      </w:tr>
      <w:tr>
        <w:tc>
          <w:tcPr>
            <w:tcW w:w="0" w:type="auto"/>
          </w:tcPr>
          <w:p>
            <w:pPr>
              <w:spacing w:line="240" w:lineRule="auto" w:before="0" w:after="0"/>
              <w:pStyle w:val="Compact"/>
            </w:pPr>
            <w:r>
              <w:rPr>
                <w:sz w:val="20"/>
                <w:szCs w:val="20"/>
              </w:rPr>
              <w:t xml:space="preserve">RADAR</w:t>
            </w:r>
          </w:p>
        </w:tc>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41.43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‘Cassini Titan radar mapper’</w:t>
            </w:r>
            <w:r>
              <w:rPr>
                <w:sz w:val="20"/>
                <w:szCs w:val="20"/>
              </w:rPr>
              <w:t xml:space="preserve"> </w:t>
            </w:r>
            <w:r>
              <w:rPr>
                <w:sz w:val="20"/>
                <w:szCs w:val="20"/>
              </w:rPr>
              <w:t xml:space="preserve">(ntrs.nasa.gov/api/citations/search, retrieved 2026-06-22); mass_kg=Elachi et al. 2004 Space Sci Rev 115:71 (Cassini RADAR 41.43 kg); lifetime_years=Cassini Saturn orbit 2004 to EOM Sep 2017</w:t>
            </w:r>
          </w:p>
        </w:tc>
      </w:tr>
      <w:tr>
        <w:tc>
          <w:tcPr>
            <w:tcW w:w="0" w:type="auto"/>
          </w:tcPr>
          <w:p>
            <w:pPr>
              <w:spacing w:line="240" w:lineRule="auto" w:before="0" w:after="0"/>
              <w:pStyle w:val="Compact"/>
            </w:pPr>
            <w:r>
              <w:rPr>
                <w:sz w:val="20"/>
                <w:szCs w:val="20"/>
              </w:rPr>
              <w:t xml:space="preserve">INMS</w:t>
            </w:r>
          </w:p>
        </w:tc>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9.25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‘Cassini Ion Neutral Mass Spectrometer INMS’</w:t>
            </w:r>
            <w:r>
              <w:rPr>
                <w:sz w:val="20"/>
                <w:szCs w:val="20"/>
              </w:rPr>
              <w:t xml:space="preserve"> </w:t>
            </w:r>
            <w:r>
              <w:rPr>
                <w:sz w:val="20"/>
                <w:szCs w:val="20"/>
              </w:rPr>
              <w:t xml:space="preserve">(ntrs.nasa.gov/api/citations/search, retrieved 2026-06-22); mass_kg=Waite et al. 2004 Space Sci Rev 114:113 (INMS 9.25 kg); lifetime_years=Cassini Saturn orbit 2004 to EOM Sep 2017</w:t>
            </w:r>
          </w:p>
        </w:tc>
      </w:tr>
      <w:tr>
        <w:tc>
          <w:tcPr>
            <w:tcW w:w="0" w:type="auto"/>
          </w:tcPr>
          <w:p>
            <w:pPr>
              <w:spacing w:line="240" w:lineRule="auto" w:before="0" w:after="0"/>
              <w:pStyle w:val="Compact"/>
            </w:pPr>
            <w:r>
              <w:rPr>
                <w:sz w:val="20"/>
                <w:szCs w:val="20"/>
              </w:rPr>
              <w:t xml:space="preserve">MAG</w:t>
            </w:r>
          </w:p>
        </w:tc>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8.82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‘Cassini magnetometer MAG Saturn’</w:t>
            </w:r>
            <w:r>
              <w:rPr>
                <w:sz w:val="20"/>
                <w:szCs w:val="20"/>
              </w:rPr>
              <w:t xml:space="preserve"> </w:t>
            </w:r>
            <w:r>
              <w:rPr>
                <w:sz w:val="20"/>
                <w:szCs w:val="20"/>
              </w:rPr>
              <w:t xml:space="preserve">(ntrs.nasa.gov/api/citations/search, retrieved 2026-06-22); mass_kg=Dougherty et al. 2004 Space Sci Rev 114:331 (Cassini MAG 8.82 kg); lifetime_years=Cassini Saturn orbit 2004 to EOM Sep 2017</w:t>
            </w:r>
          </w:p>
        </w:tc>
      </w:tr>
      <w:tr>
        <w:tc>
          <w:tcPr>
            <w:tcW w:w="0" w:type="auto"/>
          </w:tcPr>
          <w:p>
            <w:pPr>
              <w:spacing w:line="240" w:lineRule="auto" w:before="0" w:after="0"/>
              <w:pStyle w:val="Compact"/>
            </w:pPr>
            <w:r>
              <w:rPr>
                <w:sz w:val="20"/>
                <w:szCs w:val="20"/>
              </w:rPr>
              <w:t xml:space="preserve">LORRI</w:t>
            </w:r>
          </w:p>
        </w:tc>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‘LORRI New Horizons long range reconnaissance imager Pluto’</w:t>
            </w:r>
            <w:r>
              <w:rPr>
                <w:sz w:val="20"/>
                <w:szCs w:val="20"/>
              </w:rPr>
              <w:t xml:space="preserve"> </w:t>
            </w:r>
            <w:r>
              <w:rPr>
                <w:sz w:val="20"/>
                <w:szCs w:val="20"/>
              </w:rPr>
              <w:t xml:space="preserve">(ntrs.nasa.gov/api/citations/search, retrieved 2026-06-22); mass_kg=Cheng et al. 2008 Space Sci Rev 140:189 (LORRI 8.6 kg); lifetime_years=New Horizons launch 2006 through 2025</w:t>
            </w:r>
          </w:p>
        </w:tc>
      </w:tr>
      <w:tr>
        <w:tc>
          <w:tcPr>
            <w:tcW w:w="0" w:type="auto"/>
          </w:tcPr>
          <w:p>
            <w:pPr>
              <w:spacing w:line="240" w:lineRule="auto" w:before="0" w:after="0"/>
              <w:pStyle w:val="Compact"/>
            </w:pPr>
            <w:r>
              <w:rPr>
                <w:sz w:val="20"/>
                <w:szCs w:val="20"/>
              </w:rPr>
              <w:t xml:space="preserve">Ralph</w:t>
            </w:r>
          </w:p>
        </w:tc>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‘Ralph New Horizons MVIC LEISA Pluto’</w:t>
            </w:r>
            <w:r>
              <w:rPr>
                <w:sz w:val="20"/>
                <w:szCs w:val="20"/>
              </w:rPr>
              <w:t xml:space="preserve"> </w:t>
            </w:r>
            <w:r>
              <w:rPr>
                <w:sz w:val="20"/>
                <w:szCs w:val="20"/>
              </w:rPr>
              <w:t xml:space="preserve">(ntrs.nasa.gov/api/citations/search, retrieved 2026-06-22); mass_kg=Reuter et al. 2008 Space Sci Rev 140:129 (Ralph 10.5 kg); lifetime_years=New Horizons launch 2006 through 2025</w:t>
            </w:r>
          </w:p>
        </w:tc>
      </w:tr>
      <w:tr>
        <w:tc>
          <w:tcPr>
            <w:tcW w:w="0" w:type="auto"/>
          </w:tcPr>
          <w:p>
            <w:pPr>
              <w:spacing w:line="240" w:lineRule="auto" w:before="0" w:after="0"/>
              <w:pStyle w:val="Compact"/>
            </w:pPr>
            <w:r>
              <w:rPr>
                <w:sz w:val="20"/>
                <w:szCs w:val="20"/>
              </w:rPr>
              <w:t xml:space="preserve">REX</w:t>
            </w:r>
          </w:p>
        </w:tc>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‘REX New Horizons radio science experiment’</w:t>
            </w:r>
            <w:r>
              <w:rPr>
                <w:sz w:val="20"/>
                <w:szCs w:val="20"/>
              </w:rPr>
              <w:t xml:space="preserve"> </w:t>
            </w:r>
            <w:r>
              <w:rPr>
                <w:sz w:val="20"/>
                <w:szCs w:val="20"/>
              </w:rPr>
              <w:t xml:space="preserve">(ntrs.nasa.gov/api/citations/search, retrieved 2026-06-22); mass_kg=Tyler et al. 2008 Space Sci Rev 140:217 (REX ~0.16 kg per board); lifetime_years=New Horizons launch 2006 through 2025</w:t>
            </w:r>
          </w:p>
        </w:tc>
      </w:tr>
      <w:tr>
        <w:tc>
          <w:tcPr>
            <w:tcW w:w="0" w:type="auto"/>
          </w:tcPr>
          <w:p>
            <w:pPr>
              <w:spacing w:line="240" w:lineRule="auto" w:before="0" w:after="0"/>
              <w:pStyle w:val="Compact"/>
            </w:pPr>
            <w:r>
              <w:rPr>
                <w:sz w:val="20"/>
                <w:szCs w:val="20"/>
              </w:rPr>
              <w:t xml:space="preserve">MDIS</w:t>
            </w:r>
          </w:p>
        </w:tc>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‘MESSENGER Mercury Dual Imaging System MDIS’</w:t>
            </w:r>
            <w:r>
              <w:rPr>
                <w:sz w:val="20"/>
                <w:szCs w:val="20"/>
              </w:rPr>
              <w:t xml:space="preserve"> </w:t>
            </w:r>
            <w:r>
              <w:rPr>
                <w:sz w:val="20"/>
                <w:szCs w:val="20"/>
              </w:rPr>
              <w:t xml:space="preserve">(ntrs.nasa.gov/api/citations/search, retrieved 2026-06-22); mass_kg=Hawkins et al. 2007 Space Sci Rev 131:247 (MDIS ~8 kg); lifetime_years=MESSENGER Mercury orbit Mar 2011 to impact Apr 2015</w:t>
            </w:r>
          </w:p>
        </w:tc>
      </w:tr>
      <w:tr>
        <w:tc>
          <w:tcPr>
            <w:tcW w:w="0" w:type="auto"/>
          </w:tcPr>
          <w:p>
            <w:pPr>
              <w:spacing w:line="240" w:lineRule="auto" w:before="0" w:after="0"/>
              <w:pStyle w:val="Compact"/>
            </w:pPr>
            <w:r>
              <w:rPr>
                <w:sz w:val="20"/>
                <w:szCs w:val="20"/>
              </w:rPr>
              <w:t xml:space="preserve">GRNS</w:t>
            </w:r>
          </w:p>
        </w:tc>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‘MESSENGER gamma ray neutron spectrometer Mercury’</w:t>
            </w:r>
            <w:r>
              <w:rPr>
                <w:sz w:val="20"/>
                <w:szCs w:val="20"/>
              </w:rPr>
              <w:t xml:space="preserve"> </w:t>
            </w:r>
            <w:r>
              <w:rPr>
                <w:sz w:val="20"/>
                <w:szCs w:val="20"/>
              </w:rPr>
              <w:t xml:space="preserve">(ntrs.nasa.gov/api/citations/search, retrieved 2026-06-22); mass_kg=Goldsten et al. 2007 Space Sci Rev 131:339 (GRNS GRS+NS ~13 kg); lifetime_years=MESSENGER Mercury orbit Mar 2011 to impact Apr 2015</w:t>
            </w:r>
          </w:p>
        </w:tc>
      </w:tr>
      <w:tr>
        <w:tc>
          <w:tcPr>
            <w:tcW w:w="0" w:type="auto"/>
          </w:tcPr>
          <w:p>
            <w:pPr>
              <w:spacing w:line="240" w:lineRule="auto" w:before="0" w:after="0"/>
              <w:pStyle w:val="Compact"/>
            </w:pPr>
            <w:r>
              <w:rPr>
                <w:sz w:val="20"/>
                <w:szCs w:val="20"/>
              </w:rPr>
              <w:t xml:space="preserve">MASCS</w:t>
            </w:r>
          </w:p>
        </w:tc>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‘MESSENGER atmospheric surface composition spectrometer MASCS’</w:t>
            </w:r>
            <w:r>
              <w:rPr>
                <w:sz w:val="20"/>
                <w:szCs w:val="20"/>
              </w:rPr>
              <w:t xml:space="preserve"> </w:t>
            </w:r>
            <w:r>
              <w:rPr>
                <w:sz w:val="20"/>
                <w:szCs w:val="20"/>
              </w:rPr>
              <w:t xml:space="preserve">(ntrs.nasa.gov/api/citations/search, retrieved 2026-06-22); mass_kg=McClintock &amp; Lankton 2007 Space Sci Rev 131:481 (MASCS 3.1 kg); lifetime_years=MESSENGER Mercury orbit Mar 2011 to impact Apr 2015</w:t>
            </w:r>
          </w:p>
        </w:tc>
      </w:tr>
      <w:tr>
        <w:tc>
          <w:tcPr>
            <w:tcW w:w="0" w:type="auto"/>
          </w:tcPr>
          <w:p>
            <w:pPr>
              <w:spacing w:line="240" w:lineRule="auto" w:before="0" w:after="0"/>
              <w:pStyle w:val="Compact"/>
            </w:pPr>
            <w:r>
              <w:rPr>
                <w:sz w:val="20"/>
                <w:szCs w:val="20"/>
              </w:rPr>
              <w:t xml:space="preserve">MWR</w:t>
            </w:r>
          </w:p>
        </w:tc>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‘Juno Microwave Radiometer Jupiter’</w:t>
            </w:r>
            <w:r>
              <w:rPr>
                <w:sz w:val="20"/>
                <w:szCs w:val="20"/>
              </w:rPr>
              <w:t xml:space="preserve"> </w:t>
            </w:r>
            <w:r>
              <w:rPr>
                <w:sz w:val="20"/>
                <w:szCs w:val="20"/>
              </w:rPr>
              <w:t xml:space="preserve">(ntrs.nasa.gov/api/citations/search, retrieved 2026-06-22); mass_kg=Janssen et al. 2017 Space Sci Rev 213:139 (Juno MWR ~42 kg); lifetime_years=Juno Jupiter orbit insertion Jul 2016 through 2025</w:t>
            </w:r>
          </w:p>
        </w:tc>
      </w:tr>
      <w:tr>
        <w:tc>
          <w:tcPr>
            <w:tcW w:w="0" w:type="auto"/>
          </w:tcPr>
          <w:p>
            <w:pPr>
              <w:spacing w:line="240" w:lineRule="auto" w:before="0" w:after="0"/>
              <w:pStyle w:val="Compact"/>
            </w:pPr>
            <w:r>
              <w:rPr>
                <w:sz w:val="20"/>
                <w:szCs w:val="20"/>
              </w:rPr>
              <w:t xml:space="preserve">JEDI</w:t>
            </w:r>
          </w:p>
        </w:tc>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‘Juno Jupiter Energetic Particle Detector JEDI’</w:t>
            </w:r>
            <w:r>
              <w:rPr>
                <w:sz w:val="20"/>
                <w:szCs w:val="20"/>
              </w:rPr>
              <w:t xml:space="preserve"> </w:t>
            </w:r>
            <w:r>
              <w:rPr>
                <w:sz w:val="20"/>
                <w:szCs w:val="20"/>
              </w:rPr>
              <w:t xml:space="preserve">(ntrs.nasa.gov/api/citations/search, retrieved 2026-06-22); mass_kg=Mauk et al. 2017 Space Sci Rev 213:289 (JEDI 3 units ~6.3 kg); lifetime_years=Juno Jupiter orbit insertion Jul 2016 through 2025</w:t>
            </w:r>
          </w:p>
        </w:tc>
      </w:tr>
      <w:tr>
        <w:tc>
          <w:tcPr>
            <w:tcW w:w="0" w:type="auto"/>
          </w:tcPr>
          <w:p>
            <w:pPr>
              <w:spacing w:line="240" w:lineRule="auto" w:before="0" w:after="0"/>
              <w:pStyle w:val="Compact"/>
            </w:pPr>
            <w:r>
              <w:rPr>
                <w:sz w:val="20"/>
                <w:szCs w:val="20"/>
              </w:rPr>
              <w:t xml:space="preserve">MARSIS</w:t>
            </w:r>
          </w:p>
        </w:tc>
        <w:tc>
          <w:tcPr>
            <w:tcW w:w="0" w:type="auto"/>
          </w:tcPr>
          <w:p>
            <w:pPr>
              <w:spacing w:line="240" w:lineRule="auto" w:before="0" w:after="0"/>
              <w:pStyle w:val="Compact"/>
            </w:pPr>
            <w:r>
              <w:rPr>
                <w:sz w:val="20"/>
                <w:szCs w:val="20"/>
              </w:rPr>
              <w:t xml:space="preserve">Mars Express</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‘MARSIS Mars Express subsurface sounding radar’</w:t>
            </w:r>
            <w:r>
              <w:rPr>
                <w:sz w:val="20"/>
                <w:szCs w:val="20"/>
              </w:rPr>
              <w:t xml:space="preserve"> </w:t>
            </w:r>
            <w:r>
              <w:rPr>
                <w:sz w:val="20"/>
                <w:szCs w:val="20"/>
              </w:rPr>
              <w:t xml:space="preserve">(ntrs.nasa.gov/api/citations/search, retrieved 2026-06-22); mass_kg=Picardi et al. 2004 ESA SP-1240 (MARSIS ~13.5 kg); lifetime_years=Mars Express orbit Dec 2003 through 2025</w:t>
            </w:r>
          </w:p>
        </w:tc>
      </w:tr>
      <w:tr>
        <w:tc>
          <w:tcPr>
            <w:tcW w:w="0" w:type="auto"/>
          </w:tcPr>
          <w:p>
            <w:pPr>
              <w:spacing w:line="240" w:lineRule="auto" w:before="0" w:after="0"/>
              <w:pStyle w:val="Compact"/>
            </w:pPr>
            <w:r>
              <w:rPr>
                <w:sz w:val="20"/>
                <w:szCs w:val="20"/>
              </w:rPr>
              <w:t xml:space="preserve">HRSC</w:t>
            </w:r>
          </w:p>
        </w:tc>
        <w:tc>
          <w:tcPr>
            <w:tcW w:w="0" w:type="auto"/>
          </w:tcPr>
          <w:p>
            <w:pPr>
              <w:spacing w:line="240" w:lineRule="auto" w:before="0" w:after="0"/>
              <w:pStyle w:val="Compact"/>
            </w:pPr>
            <w:r>
              <w:rPr>
                <w:sz w:val="20"/>
                <w:szCs w:val="20"/>
              </w:rPr>
              <w:t xml:space="preserve">Mars Express</w:t>
            </w:r>
          </w:p>
        </w:tc>
        <w:tc>
          <w:tcPr>
            <w:tcW w:w="0" w:type="auto"/>
          </w:tcPr>
          <w:p>
            <w:pPr>
              <w:spacing w:line="240" w:lineRule="auto" w:before="0" w:after="0"/>
              <w:pStyle w:val="Compact"/>
            </w:pPr>
            <w:r>
              <w:rPr>
                <w:sz w:val="20"/>
                <w:szCs w:val="20"/>
              </w:rPr>
              <w:t xml:space="preserve">21.4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‘HRSC Mars Express High Resolution Stereo Camera’</w:t>
            </w:r>
            <w:r>
              <w:rPr>
                <w:sz w:val="20"/>
                <w:szCs w:val="20"/>
              </w:rPr>
              <w:t xml:space="preserve"> </w:t>
            </w:r>
            <w:r>
              <w:rPr>
                <w:sz w:val="20"/>
                <w:szCs w:val="20"/>
              </w:rPr>
              <w:t xml:space="preserve">(ntrs.nasa.gov/api/citations/search, retrieved 2026-06-22); mass_kg=Jaumann et al. 2007 Planet Space Sci 55:928 (HRSC 21.4 kg); lifetime_years=Mars Express orbit Dec 2003 through 2025</w:t>
            </w:r>
          </w:p>
        </w:tc>
      </w:tr>
      <w:tr>
        <w:tc>
          <w:tcPr>
            <w:tcW w:w="0" w:type="auto"/>
          </w:tcPr>
          <w:p>
            <w:pPr>
              <w:spacing w:line="240" w:lineRule="auto" w:before="0" w:after="0"/>
              <w:pStyle w:val="Compact"/>
            </w:pPr>
            <w:r>
              <w:rPr>
                <w:sz w:val="20"/>
                <w:szCs w:val="20"/>
              </w:rPr>
              <w:t xml:space="preserve">OMEGA</w:t>
            </w:r>
          </w:p>
        </w:tc>
        <w:tc>
          <w:tcPr>
            <w:tcW w:w="0" w:type="auto"/>
          </w:tcPr>
          <w:p>
            <w:pPr>
              <w:spacing w:line="240" w:lineRule="auto" w:before="0" w:after="0"/>
              <w:pStyle w:val="Compact"/>
            </w:pPr>
            <w:r>
              <w:rPr>
                <w:sz w:val="20"/>
                <w:szCs w:val="20"/>
              </w:rPr>
              <w:t xml:space="preserve">Mars Express</w:t>
            </w:r>
          </w:p>
        </w:tc>
        <w:tc>
          <w:tcPr>
            <w:tcW w:w="0" w:type="auto"/>
          </w:tcPr>
          <w:p>
            <w:pPr>
              <w:spacing w:line="240" w:lineRule="auto" w:before="0" w:after="0"/>
              <w:pStyle w:val="Compact"/>
            </w:pPr>
            <w:r>
              <w:rPr>
                <w:sz w:val="20"/>
                <w:szCs w:val="20"/>
              </w:rPr>
              <w:t xml:space="preserve">28.6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‘OMEGA Mars Express visible infrared mineralogical mapping’</w:t>
            </w:r>
            <w:r>
              <w:rPr>
                <w:sz w:val="20"/>
                <w:szCs w:val="20"/>
              </w:rPr>
              <w:t xml:space="preserve"> </w:t>
            </w:r>
            <w:r>
              <w:rPr>
                <w:sz w:val="20"/>
                <w:szCs w:val="20"/>
              </w:rPr>
              <w:t xml:space="preserve">(ntrs.nasa.gov/api/citations/search, retrieved 2026-06-22); mass_kg=Bibring et al. 2004 ESA SP-1240 (OMEGA ~28.6 kg); lifetime_years=Mars Express orbit Dec 2003 through 2025</w:t>
            </w:r>
          </w:p>
        </w:tc>
      </w:tr>
      <w:tr>
        <w:tc>
          <w:tcPr>
            <w:tcW w:w="0" w:type="auto"/>
          </w:tcPr>
          <w:p>
            <w:pPr>
              <w:spacing w:line="240" w:lineRule="auto" w:before="0" w:after="0"/>
              <w:pStyle w:val="Compact"/>
            </w:pPr>
            <w:r>
              <w:rPr>
                <w:sz w:val="20"/>
                <w:szCs w:val="20"/>
              </w:rPr>
              <w:t xml:space="preserve">PFS</w:t>
            </w:r>
          </w:p>
        </w:tc>
        <w:tc>
          <w:tcPr>
            <w:tcW w:w="0" w:type="auto"/>
          </w:tcPr>
          <w:p>
            <w:pPr>
              <w:spacing w:line="240" w:lineRule="auto" w:before="0" w:after="0"/>
              <w:pStyle w:val="Compact"/>
            </w:pPr>
            <w:r>
              <w:rPr>
                <w:sz w:val="20"/>
                <w:szCs w:val="20"/>
              </w:rPr>
              <w:t xml:space="preserve">Mars Express</w:t>
            </w:r>
          </w:p>
        </w:tc>
        <w:tc>
          <w:tcPr>
            <w:tcW w:w="0" w:type="auto"/>
          </w:tcPr>
          <w:p>
            <w:pPr>
              <w:spacing w:line="240" w:lineRule="auto" w:before="0" w:after="0"/>
              <w:pStyle w:val="Compact"/>
            </w:pPr>
            <w:r>
              <w:rPr>
                <w:sz w:val="20"/>
                <w:szCs w:val="20"/>
              </w:rPr>
              <w:t xml:space="preserve">31.4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‘Planetary Fourier Spectrometer Mars Express PFS’</w:t>
            </w:r>
            <w:r>
              <w:rPr>
                <w:sz w:val="20"/>
                <w:szCs w:val="20"/>
              </w:rPr>
              <w:t xml:space="preserve"> </w:t>
            </w:r>
            <w:r>
              <w:rPr>
                <w:sz w:val="20"/>
                <w:szCs w:val="20"/>
              </w:rPr>
              <w:t xml:space="preserve">(ntrs.nasa.gov/api/citations/search, retrieved 2026-06-22); mass_kg=Formisano et al. 2005 Planet Space Sci 53:963 (PFS ~31.4 kg); lifetime_years=Mars Express orbit Dec 2003 through 2025</w:t>
            </w:r>
          </w:p>
        </w:tc>
      </w:tr>
      <w:tr>
        <w:tc>
          <w:tcPr>
            <w:tcW w:w="0" w:type="auto"/>
          </w:tcPr>
          <w:p>
            <w:pPr>
              <w:spacing w:line="240" w:lineRule="auto" w:before="0" w:after="0"/>
              <w:pStyle w:val="Compact"/>
            </w:pPr>
            <w:r>
              <w:rPr>
                <w:sz w:val="20"/>
                <w:szCs w:val="20"/>
              </w:rPr>
              <w:t xml:space="preserve">MOC</w:t>
            </w:r>
          </w:p>
        </w:tc>
        <w:tc>
          <w:tcPr>
            <w:tcW w:w="0" w:type="auto"/>
          </w:tcPr>
          <w:p>
            <w:pPr>
              <w:spacing w:line="240" w:lineRule="auto" w:before="0" w:after="0"/>
              <w:pStyle w:val="Compact"/>
            </w:pPr>
            <w:r>
              <w:rPr>
                <w:sz w:val="20"/>
                <w:szCs w:val="20"/>
              </w:rPr>
              <w:t xml:space="preserve">MGS</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‘Mars Orbiter Camera MOC Global Surveyor’</w:t>
            </w:r>
            <w:r>
              <w:rPr>
                <w:sz w:val="20"/>
                <w:szCs w:val="20"/>
              </w:rPr>
              <w:t xml:space="preserve"> </w:t>
            </w:r>
            <w:r>
              <w:rPr>
                <w:sz w:val="20"/>
                <w:szCs w:val="20"/>
              </w:rPr>
              <w:t xml:space="preserve">(ntrs.nasa.gov/api/citations/search, retrieved 2026-06-22); mass_kg=Malin et al. 1992 JGR 97:7699 (MOC ~21 kg); lifetime_years=Mars Global Surveyor mapping Sep 1997 to loss Nov 2006</w:t>
            </w:r>
          </w:p>
        </w:tc>
      </w:tr>
      <w:tr>
        <w:tc>
          <w:tcPr>
            <w:tcW w:w="0" w:type="auto"/>
          </w:tcPr>
          <w:p>
            <w:pPr>
              <w:spacing w:line="240" w:lineRule="auto" w:before="0" w:after="0"/>
              <w:pStyle w:val="Compact"/>
            </w:pPr>
            <w:r>
              <w:rPr>
                <w:sz w:val="20"/>
                <w:szCs w:val="20"/>
              </w:rPr>
              <w:t xml:space="preserve">TES</w:t>
            </w:r>
          </w:p>
        </w:tc>
        <w:tc>
          <w:tcPr>
            <w:tcW w:w="0" w:type="auto"/>
          </w:tcPr>
          <w:p>
            <w:pPr>
              <w:spacing w:line="240" w:lineRule="auto" w:before="0" w:after="0"/>
              <w:pStyle w:val="Compact"/>
            </w:pPr>
            <w:r>
              <w:rPr>
                <w:sz w:val="20"/>
                <w:szCs w:val="20"/>
              </w:rPr>
              <w:t xml:space="preserve">MGS</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‘Thermal Emission Spectrometer TES Mars Global Surveyor’</w:t>
            </w:r>
            <w:r>
              <w:rPr>
                <w:sz w:val="20"/>
                <w:szCs w:val="20"/>
              </w:rPr>
              <w:t xml:space="preserve"> </w:t>
            </w:r>
            <w:r>
              <w:rPr>
                <w:sz w:val="20"/>
                <w:szCs w:val="20"/>
              </w:rPr>
              <w:t xml:space="preserve">(ntrs.nasa.gov/api/citations/search, retrieved 2026-06-22); mass_kg=Christensen et al. 2001 JGR 106:23823 (TES 14.1 kg); lifetime_years=Mars Global Surveyor mapping Sep 1997 to loss Nov 2006</w:t>
            </w:r>
          </w:p>
        </w:tc>
      </w:tr>
      <w:tr>
        <w:tc>
          <w:tcPr>
            <w:tcW w:w="0" w:type="auto"/>
          </w:tcPr>
          <w:p>
            <w:pPr>
              <w:spacing w:line="240" w:lineRule="auto" w:before="0" w:after="0"/>
              <w:pStyle w:val="Compact"/>
            </w:pPr>
            <w:r>
              <w:rPr>
                <w:sz w:val="20"/>
                <w:szCs w:val="20"/>
              </w:rPr>
              <w:t xml:space="preserve">MOLA</w:t>
            </w:r>
          </w:p>
        </w:tc>
        <w:tc>
          <w:tcPr>
            <w:tcW w:w="0" w:type="auto"/>
          </w:tcPr>
          <w:p>
            <w:pPr>
              <w:spacing w:line="240" w:lineRule="auto" w:before="0" w:after="0"/>
              <w:pStyle w:val="Compact"/>
            </w:pPr>
            <w:r>
              <w:rPr>
                <w:sz w:val="20"/>
                <w:szCs w:val="20"/>
              </w:rPr>
              <w:t xml:space="preserve">MGS</w:t>
            </w:r>
          </w:p>
        </w:tc>
        <w:tc>
          <w:tcPr>
            <w:tcW w:w="0" w:type="auto"/>
          </w:tcPr>
          <w:p>
            <w:pPr>
              <w:spacing w:line="240" w:lineRule="auto" w:before="0" w:after="0"/>
              <w:pStyle w:val="Compact"/>
            </w:pPr>
            <w:r>
              <w:rPr>
                <w:sz w:val="20"/>
                <w:szCs w:val="20"/>
              </w:rPr>
              <w:t xml:space="preserve">25.9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‘MOLA Mars Orbiter Laser Altimeter Global Surveyor’</w:t>
            </w:r>
            <w:r>
              <w:rPr>
                <w:sz w:val="20"/>
                <w:szCs w:val="20"/>
              </w:rPr>
              <w:t xml:space="preserve"> </w:t>
            </w:r>
            <w:r>
              <w:rPr>
                <w:sz w:val="20"/>
                <w:szCs w:val="20"/>
              </w:rPr>
              <w:t xml:space="preserve">(ntrs.nasa.gov/api/citations/search, retrieved 2026-06-22); mass_kg=Smith et al. 2001 JGR 106:23689 (MOLA 25.9 kg); lifetime_years=Mars Global Surveyor mapping Sep 1997 to loss Nov 2006</w:t>
            </w:r>
          </w:p>
        </w:tc>
      </w:tr>
    </w:tbl>
    <w:bookmarkEnd w:id="174"/>
    <w:bookmarkStart w:id="175"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pubs</w:t>
            </w:r>
          </w:p>
        </w:tc>
        <w:tc>
          <w:tcPr>
            <w:tcW w:w="0" w:type="auto"/>
          </w:tcPr>
          <w:p>
            <w:pPr>
              <w:spacing w:line="240" w:lineRule="auto" w:before="0" w:after="0"/>
              <w:pStyle w:val="Compact"/>
            </w:pPr>
            <w:r>
              <w:rPr>
                <w:sz w:val="20"/>
                <w:szCs w:val="20"/>
              </w:rPr>
              <w:t xml:space="preserve">Count of refereed NASA technical records naming the instrument or its data set; the bibliometric proxy for realized science output</w:t>
            </w:r>
          </w:p>
        </w:tc>
        <w:tc>
          <w:tcPr>
            <w:tcW w:w="0" w:type="auto"/>
          </w:tcPr>
          <w:p>
            <w:pPr>
              <w:spacing w:line="240" w:lineRule="auto" w:before="0" w:after="0"/>
              <w:pStyle w:val="Compact"/>
            </w:pPr>
            <w:r>
              <w:rPr>
                <w:sz w:val="20"/>
                <w:szCs w:val="20"/>
              </w:rPr>
              <w:t xml:space="preserve">NTRS citations API stats.total for the recorded per-instrument query (ntrs.nasa.gov/api/citations/search, retrieved 2026-06-22)</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Flight mass of the instrument in kilograms; the field’s standard surrogate for instrument complexity and capability</w:t>
            </w:r>
          </w:p>
        </w:tc>
        <w:tc>
          <w:tcPr>
            <w:tcW w:w="0" w:type="auto"/>
          </w:tcPr>
          <w:p>
            <w:pPr>
              <w:spacing w:line="240" w:lineRule="auto" w:before="0" w:after="0"/>
              <w:pStyle w:val="Compact"/>
            </w:pPr>
            <w:r>
              <w:rPr>
                <w:sz w:val="20"/>
                <w:szCs w:val="20"/>
              </w:rPr>
              <w:t xml:space="preserve">Published instrument papers (Space Science Reviews, JGR Planets, Planetary and Space Science instrument descriptions) and NASA press kits cited per row</w:t>
            </w:r>
          </w:p>
        </w:tc>
      </w:tr>
      <w:tr>
        <w:tc>
          <w:tcPr>
            <w:tcW w:w="0" w:type="auto"/>
          </w:tcPr>
          <w:p>
            <w:pPr>
              <w:spacing w:line="240" w:lineRule="auto" w:before="0" w:after="0"/>
              <w:pStyle w:val="Compact"/>
            </w:pPr>
            <w:r>
              <w:rPr>
                <w:sz w:val="20"/>
                <w:szCs w:val="20"/>
              </w:rPr>
              <w:t xml:space="preserve">lifetime_years</w:t>
            </w:r>
          </w:p>
        </w:tc>
        <w:tc>
          <w:tcPr>
            <w:tcW w:w="0" w:type="auto"/>
          </w:tcPr>
          <w:p>
            <w:pPr>
              <w:spacing w:line="240" w:lineRule="auto" w:before="0" w:after="0"/>
              <w:pStyle w:val="Compact"/>
            </w:pPr>
            <w:r>
              <w:rPr>
                <w:sz w:val="20"/>
                <w:szCs w:val="20"/>
              </w:rPr>
              <w:t xml:space="preserve">Operating lifetime of the host instrument in years, from first science to mission end or the 2025 data cap</w:t>
            </w:r>
          </w:p>
        </w:tc>
        <w:tc>
          <w:tcPr>
            <w:tcW w:w="0" w:type="auto"/>
          </w:tcPr>
          <w:p>
            <w:pPr>
              <w:spacing w:line="240" w:lineRule="auto" w:before="0" w:after="0"/>
              <w:pStyle w:val="Compact"/>
            </w:pPr>
            <w:r>
              <w:rPr>
                <w:sz w:val="20"/>
                <w:szCs w:val="20"/>
              </w:rPr>
              <w:t xml:space="preserve">Mission operations records and NASA mission pages cited per row</w:t>
            </w:r>
          </w:p>
        </w:tc>
      </w:tr>
      <w:tr>
        <w:tc>
          <w:tcPr>
            <w:tcW w:w="0" w:type="auto"/>
          </w:tcPr>
          <w:p>
            <w:pPr>
              <w:spacing w:line="240" w:lineRule="auto" w:before="0" w:after="0"/>
              <w:pStyle w:val="Compact"/>
            </w:pPr>
            <w:r>
              <w:rPr>
                <w:sz w:val="20"/>
                <w:szCs w:val="20"/>
              </w:rPr>
              <w:t xml:space="preserve">ln(pubs)</w:t>
            </w:r>
          </w:p>
        </w:tc>
        <w:tc>
          <w:tcPr>
            <w:tcW w:w="0" w:type="auto"/>
          </w:tcPr>
          <w:p>
            <w:pPr>
              <w:spacing w:line="240" w:lineRule="auto" w:before="0" w:after="0"/>
              <w:pStyle w:val="Compact"/>
            </w:pPr>
            <w:r>
              <w:rPr>
                <w:sz w:val="20"/>
                <w:szCs w:val="20"/>
              </w:rPr>
              <w:t xml:space="preserve">Natural log of refereed output; dependent variable of the log-log regression</w:t>
            </w:r>
          </w:p>
        </w:tc>
        <w:tc>
          <w:tcPr>
            <w:tcW w:w="0" w:type="auto"/>
          </w:tcPr>
          <w:p>
            <w:pPr>
              <w:spacing w:line="240" w:lineRule="auto" w:before="0" w:after="0"/>
              <w:pStyle w:val="Compact"/>
            </w:pPr>
            <w:r>
              <w:rPr>
                <w:sz w:val="20"/>
                <w:szCs w:val="20"/>
              </w:rPr>
              <w:t xml:space="preserve">Constructed in empirical.run_learning_curve</w:t>
            </w:r>
          </w:p>
        </w:tc>
      </w:tr>
      <w:tr>
        <w:tc>
          <w:tcPr>
            <w:tcW w:w="0" w:type="auto"/>
          </w:tcPr>
          <w:p>
            <w:pPr>
              <w:spacing w:line="240" w:lineRule="auto" w:before="0" w:after="0"/>
              <w:pStyle w:val="Compact"/>
            </w:pPr>
            <w:r>
              <w:rPr>
                <w:sz w:val="20"/>
                <w:szCs w:val="20"/>
              </w:rPr>
              <w:t xml:space="preserve">ln(mass_kg)</w:t>
            </w:r>
          </w:p>
        </w:tc>
        <w:tc>
          <w:tcPr>
            <w:tcW w:w="0" w:type="auto"/>
          </w:tcPr>
          <w:p>
            <w:pPr>
              <w:spacing w:line="240" w:lineRule="auto" w:before="0" w:after="0"/>
              <w:pStyle w:val="Compact"/>
            </w:pPr>
            <w:r>
              <w:rPr>
                <w:sz w:val="20"/>
                <w:szCs w:val="20"/>
              </w:rPr>
              <w:t xml:space="preserve">Natural log of instrument flight mass; the regressor whose slope is the elasticity</w:t>
            </w:r>
          </w:p>
        </w:tc>
        <w:tc>
          <w:tcPr>
            <w:tcW w:w="0" w:type="auto"/>
          </w:tcPr>
          <w:p>
            <w:pPr>
              <w:spacing w:line="240" w:lineRule="auto" w:before="0" w:after="0"/>
              <w:pStyle w:val="Compact"/>
            </w:pPr>
            <w:r>
              <w:rPr>
                <w:sz w:val="20"/>
                <w:szCs w:val="20"/>
              </w:rPr>
              <w:t xml:space="preserve">Constructed in empirical.run_learning_curve</w:t>
            </w:r>
          </w:p>
        </w:tc>
      </w:tr>
    </w:tbl>
    <w:bookmarkEnd w:id="175"/>
    <w:bookmarkEnd w:id="176"/>
    <w:bookmarkEnd w:id="17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62" Type="http://schemas.openxmlformats.org/officeDocument/2006/relationships/image" Target="media/rId162.png"/><Relationship Id="rId170" Type="http://schemas.openxmlformats.org/officeDocument/2006/relationships/image" Target="media/rId170.png"/><Relationship Id="rId156" Type="http://schemas.openxmlformats.org/officeDocument/2006/relationships/hyperlink" Target="https://doi.org/10.1016/j.actaastro.2019.02.018" TargetMode="External"/><Relationship Id="rId146" Type="http://schemas.openxmlformats.org/officeDocument/2006/relationships/hyperlink" Target="https://doi.org/10.1016/j.actaastro.2023.04.029" TargetMode="External"/><Relationship Id="rId133" Type="http://schemas.openxmlformats.org/officeDocument/2006/relationships/hyperlink" Target="https://doi.org/10.1016/j.actaastro.2023.10.042" TargetMode="External"/><Relationship Id="rId130" Type="http://schemas.openxmlformats.org/officeDocument/2006/relationships/hyperlink" Target="https://doi.org/10.1016/j.actaastro.2024.02.016" TargetMode="External"/><Relationship Id="rId148" Type="http://schemas.openxmlformats.org/officeDocument/2006/relationships/hyperlink" Target="https://doi.org/10.1016/j.actaastro.2024.05.022" TargetMode="External"/><Relationship Id="rId158" Type="http://schemas.openxmlformats.org/officeDocument/2006/relationships/hyperlink" Target="https://doi.org/10.1016/j.actaastro.2024.11.010" TargetMode="External"/><Relationship Id="rId144" Type="http://schemas.openxmlformats.org/officeDocument/2006/relationships/hyperlink" Target="https://doi.org/10.1016/j.actaastro.2024.12.022" TargetMode="External"/><Relationship Id="rId152" Type="http://schemas.openxmlformats.org/officeDocument/2006/relationships/hyperlink" Target="https://doi.org/10.1016/j.actaastro.2025.01.046" TargetMode="External"/><Relationship Id="rId127" Type="http://schemas.openxmlformats.org/officeDocument/2006/relationships/hyperlink" Target="https://doi.org/10.1016/j.actaastro.2025.11.080" TargetMode="External"/><Relationship Id="rId150" Type="http://schemas.openxmlformats.org/officeDocument/2006/relationships/hyperlink" Target="https://doi.org/10.1016/j.actaastro.2026.03.026" TargetMode="External"/><Relationship Id="rId154" Type="http://schemas.openxmlformats.org/officeDocument/2006/relationships/hyperlink" Target="https://doi.org/10.1016/j.actaastro.2026.04.046" TargetMode="External"/><Relationship Id="rId139" Type="http://schemas.openxmlformats.org/officeDocument/2006/relationships/hyperlink" Target="https://doi.org/10.64861/TJUV7381" TargetMode="External"/><Relationship Id="rId125" Type="http://schemas.openxmlformats.org/officeDocument/2006/relationships/hyperlink" Target="https://doi.org/10.64861/WJYY3646" TargetMode="External"/></Relationships>
</file>

<file path=word/_rels/footnotes.xml.rels><?xml version='1.0' encoding='UTF-8' standalone='yes'?>
<Relationships xmlns="http://schemas.openxmlformats.org/package/2006/relationships"><Relationship Id="rId156" Type="http://schemas.openxmlformats.org/officeDocument/2006/relationships/hyperlink" Target="https://doi.org/10.1016/j.actaastro.2019.02.018" TargetMode="External"/><Relationship Id="rId146" Type="http://schemas.openxmlformats.org/officeDocument/2006/relationships/hyperlink" Target="https://doi.org/10.1016/j.actaastro.2023.04.029" TargetMode="External"/><Relationship Id="rId133" Type="http://schemas.openxmlformats.org/officeDocument/2006/relationships/hyperlink" Target="https://doi.org/10.1016/j.actaastro.2023.10.042" TargetMode="External"/><Relationship Id="rId130" Type="http://schemas.openxmlformats.org/officeDocument/2006/relationships/hyperlink" Target="https://doi.org/10.1016/j.actaastro.2024.02.016" TargetMode="External"/><Relationship Id="rId148" Type="http://schemas.openxmlformats.org/officeDocument/2006/relationships/hyperlink" Target="https://doi.org/10.1016/j.actaastro.2024.05.022" TargetMode="External"/><Relationship Id="rId158" Type="http://schemas.openxmlformats.org/officeDocument/2006/relationships/hyperlink" Target="https://doi.org/10.1016/j.actaastro.2024.11.010" TargetMode="External"/><Relationship Id="rId144" Type="http://schemas.openxmlformats.org/officeDocument/2006/relationships/hyperlink" Target="https://doi.org/10.1016/j.actaastro.2024.12.022" TargetMode="External"/><Relationship Id="rId152" Type="http://schemas.openxmlformats.org/officeDocument/2006/relationships/hyperlink" Target="https://doi.org/10.1016/j.actaastro.2025.01.046" TargetMode="External"/><Relationship Id="rId127" Type="http://schemas.openxmlformats.org/officeDocument/2006/relationships/hyperlink" Target="https://doi.org/10.1016/j.actaastro.2025.11.080" TargetMode="External"/><Relationship Id="rId150" Type="http://schemas.openxmlformats.org/officeDocument/2006/relationships/hyperlink" Target="https://doi.org/10.1016/j.actaastro.2026.03.026" TargetMode="External"/><Relationship Id="rId154" Type="http://schemas.openxmlformats.org/officeDocument/2006/relationships/hyperlink" Target="https://doi.org/10.1016/j.actaastro.2026.04.046" TargetMode="External"/><Relationship Id="rId139" Type="http://schemas.openxmlformats.org/officeDocument/2006/relationships/hyperlink" Target="https://doi.org/10.64861/TJUV7381" TargetMode="External"/><Relationship Id="rId125" Type="http://schemas.openxmlformats.org/officeDocument/2006/relationships/hyperlink" Target="https://doi.org/10.64861/WJYY36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Return per Dollar: A Bibliometric Productivity Regression of Planetary Instruments</dc:title>
  <dc:creator>Freya Halloran (1B-INS-019)</dc:creator>
  <cp:keywords/>
  <dcterms:created xsi:type="dcterms:W3CDTF">2026-07-02T18:01:52Z</dcterms:created>
  <dcterms:modified xsi:type="dcterms:W3CDTF">2026-07-02T18:01:52Z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