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2c7998612c8f9b008f5ade98d0c695e1856f28f"/>
    <w:p>
      <w:pPr>
        <w:pStyle w:val="Heading1"/>
      </w:pPr>
      <w:r>
        <w:t xml:space="preserve">Production Cadence as a Learning Signal: Do Repeat Builds of Spaceflight Detector Lineages Arc Toward Shorter Inter-Build Intervals?</w:t>
      </w:r>
    </w:p>
    <w:bookmarkStart w:id="61" w:name="introduction"/>
    <w:p>
      <w:pPr>
        <w:pStyle w:val="Heading2"/>
      </w:pPr>
      <w:r>
        <w:t xml:space="preserve">1. Introduction</w:t>
      </w:r>
    </w:p>
    <w:p>
      <w:pPr>
        <w:pStyle w:val="FirstParagraph"/>
      </w:pPr>
      <w:r>
        <w:t xml:space="preserve">Spaceflight detector programs rarely build a single unit. The radiometers, sounders, and imagers that anchor Earth-observation and weather missions are produced in lineages: a protoflight model is followed by a sequence of near-identical flight units that ride successive spacecraft across one or two decades. The Clouds and the Earth’s Radiant Energy System (CERES) lineage spans six flight models from TRMM in 1997 to NOAA-20 in 2017. The GOES Imager built by ITT flew on eight Geostationary Operational Environmental Satellites. The Advanced Microwave Sounding Unit-A (AMSU-A) flew nine times across the NOAA and Metop series. Each of these is, in the most literal sense, a repeat build of the same instrument.</w:t>
      </w:r>
    </w:p>
    <w:p>
      <w:pPr>
        <w:pStyle w:val="BodyText"/>
      </w:pPr>
      <w:r>
        <w:t xml:space="preserve">The premise of a learning curve is that repetition lowers the marginal effort of producing the next unit. If that premise holds for spaceflight detectors, the maturing of a lineage should leave a trace not only in cost but in cadence. A production organization that has built the same focal plane five times should be able to deliver the sixth faster than it delivered the second, because tooling, test procedures, vendor relationships, and workforce familiarity have all been amortized. This paper asks whether that trace is visible in the one cadence variable that is fully and independently documented for every flight unit: the interval between the launch of a build and the launch of the build that preceded it in its lineage.</w:t>
      </w:r>
    </w:p>
    <w:p>
      <w:pPr>
        <w:pStyle w:val="BodyText"/>
      </w:pPr>
      <w:r>
        <w:t xml:space="preserve">The answer this paper reports is a disciplined null. Across twenty-eight flight units drawn from six detector lineages, cumulative build number does not predict a shorter inter-build interval. The point estimate runs slightly in the wrong direction, and its confidence interval comfortably contains zero. The contribution of the paper is therefore twofold: it establishes that the cadence of repeat detector builds is governed by forces outside the production line, and it isolates which of the learning-curve story’s traces survive in the public record and which do not.</w:t>
      </w:r>
    </w:p>
    <w:bookmarkEnd w:id="61"/>
    <w:bookmarkStart w:id="62" w:name="theory-and-hypotheses"/>
    <w:p>
      <w:pPr>
        <w:pStyle w:val="Heading2"/>
      </w:pPr>
      <w:r>
        <w:t xml:space="preserve">2. Theory and Hypotheses</w:t>
      </w:r>
    </w:p>
    <w:p>
      <w:pPr>
        <w:pStyle w:val="FirstParagraph"/>
      </w:pPr>
      <w:r>
        <w:t xml:space="preserve">The learning curve is among the most durable empirical regularities in the production of complex hardware, and the space-systems cost literature has imported it directly. Parametric cost tools that NASA has adopted on a mission-by-mission basis encode design inheritance and accumulated experience as explicit cost reducers, so that a second build is priced below the first by a learning factor</w:t>
      </w:r>
      <w:r>
        <w:t xml:space="preserve"> </w:t>
      </w:r>
      <w:hyperlink w:anchor="ref-1">
        <m:oMathPara>
          <m:oMathParaPr>
            <m:jc m:val="center"/>
          </m:oMathParaPr>
          <m:oMath>
            <m:r>
              <m:t>1</m:t>
            </m:r>
          </m:oMath>
        </m:oMathPara>
      </w:hyperlink>
      <w:r>
        <w:t xml:space="preserve">. The NASA Instrument Cost Model now carries a dedicated multiple-builds capability precisely because the recurring unit of a flown instrument is expected to cost materially less than its first-of-a-kind predecessor</w:t>
      </w:r>
      <w:r>
        <w:t xml:space="preserve"> </w:t>
      </w:r>
      <w:hyperlink w:anchor="ref-2">
        <m:oMathPara>
          <m:oMathParaPr>
            <m:jc m:val="center"/>
          </m:oMathParaPr>
          <m:oMath>
            <m:r>
              <m:t>2</m:t>
            </m:r>
          </m:oMath>
        </m:oMathPara>
      </w:hyperlink>
      <w:r>
        <w:t xml:space="preserve">. The mechanism is well theorized: heritage retires technical risk, stabilizes requirements, and lets an organization reuse rather than reinvent.</w:t>
      </w:r>
    </w:p>
    <w:p>
      <w:pPr>
        <w:pStyle w:val="FirstParagraph"/>
      </w:pPr>
      <w:r>
        <w:t xml:space="preserve">That mechanism is not frictionless. The convergence of development cost on heritage-model predictions breaks down when instrument complexity grows by orders of magnitude between builds, because the later unit is no longer the same artifact even when it carries the same name</w:t>
      </w:r>
      <w:r>
        <w:t xml:space="preserve"> </w:t>
      </w:r>
      <w:hyperlink w:anchor="ref-3">
        <m:oMathPara>
          <m:oMathParaPr>
            <m:jc m:val="center"/>
          </m:oMathParaPr>
          <m:oMath>
            <m:r>
              <m:t>3</m:t>
            </m:r>
          </m:oMath>
        </m:oMathPara>
      </w:hyperlink>
      <w:r>
        <w:t xml:space="preserve">. A heritage cost model that assumes a build-to-print repeat will underpredict the cost of a build that quietly added on-board processing, wider analog-to-digital conversion, or new detector arrays. The same logic applies to schedule. If a repeat build is genuinely identical, its production interval should compress with experience; if each repeat absorbs new requirements or waits on its host spacecraft, the interval is set by forces the production line does not control.</w:t>
      </w:r>
    </w:p>
    <w:p>
      <w:pPr>
        <w:pStyle w:val="FirstParagraph"/>
      </w:pPr>
      <w:r>
        <w:t xml:space="preserve">The broader space-economy literature frames this as a tension between two clocks. One clock is the firm’s internal experience clock, which the learning curve speeds up</w:t>
      </w:r>
      <w:r>
        <w:t xml:space="preserve"> </w:t>
      </w:r>
      <w:hyperlink w:anchor="ref-4">
        <m:oMathPara>
          <m:oMathParaPr>
            <m:jc m:val="center"/>
          </m:oMathParaPr>
          <m:oMath>
            <m:r>
              <m:t>4</m:t>
            </m:r>
          </m:oMath>
        </m:oMathPara>
      </w:hyperlink>
      <w:r>
        <w:t xml:space="preserve">. The other is the programmatic clock of mission funding, host-spacecraft availability, and launch manifests, which moves to its own logic and which agile-innovation accounts identify as the binding constraint on how quickly even an experienced organization can field its next system</w:t>
      </w:r>
      <w:r>
        <w:t xml:space="preserve"> </w:t>
      </w:r>
      <w:hyperlink w:anchor="ref-5">
        <m:oMathPara>
          <m:oMathParaPr>
            <m:jc m:val="center"/>
          </m:oMathParaPr>
          <m:oMath>
            <m:r>
              <m:t>5</m:t>
            </m:r>
          </m:oMath>
        </m:oMathPara>
      </w:hyperlink>
      <w:r>
        <w:t xml:space="preserve">. The empirical question is which clock dominates the observed cadence of detector lineages.</w:t>
      </w:r>
    </w:p>
    <w:p>
      <w:pPr>
        <w:pStyle w:val="FirstParagraph"/>
      </w:pPr>
      <w:r>
        <w:t xml:space="preserve">This yields a directional hypothesis and its null.</w:t>
      </w:r>
    </w:p>
    <w:p>
      <w:pPr>
        <w:pStyle w:val="BodyText"/>
      </w:pPr>
      <w:r>
        <w:t xml:space="preserve">H1: As a detector lineage accumulates repeat builds, the interval between successive flight units shortens. In the specification below, the coefficient on cumulative build number is negative.</w:t>
      </w:r>
    </w:p>
    <w:p>
      <w:pPr>
        <w:pStyle w:val="BodyText"/>
      </w:pPr>
      <w:r>
        <w:t xml:space="preserve">H0: Inter-build interval is independent of cumulative build number, because cadence is set by programmatic and host-spacecraft scheduling rather than by production-line learning.</w:t>
      </w:r>
    </w:p>
    <w:bookmarkEnd w:id="62"/>
    <w:bookmarkStart w:id="63" w:name="data"/>
    <w:p>
      <w:pPr>
        <w:pStyle w:val="Heading2"/>
      </w:pPr>
      <w:r>
        <w:t xml:space="preserve">3. Data</w:t>
      </w:r>
    </w:p>
    <w:p>
      <w:pPr>
        <w:pStyle w:val="FirstParagraph"/>
      </w:pPr>
      <w:r>
        <w:t xml:space="preserve">The unit of analysis is a single flight unit of a spaceflight detector that belongs to a documented multi-build lineage. The sample comprises twenty-eight flight units from six lineages: CERES, the GOES Imager, AMSU-A, the Advanced Technology Microwave Sounder (ATMS), MODIS, and the Visible Infrared Imaging Radiometer Suite and Cross-track Infrared Sounder pairing on the Joint Polar Satellite System spacecraft. A SeaWiFS first-of-a-kind build anchors the protoflight boundary.</w:t>
      </w:r>
    </w:p>
    <w:p>
      <w:pPr>
        <w:pStyle w:val="BodyText"/>
      </w:pPr>
      <w:r>
        <w:t xml:space="preserve">Three variables carry the analysis. Cumulative build number is the ordinal position of a unit within its lineage, coded from documented build histories, with the protoflight model as build one. The inter-build interval, in years, is computed from documented launch dates as the elapsed time since the prior unit in the same lineage; co-manifested twins that launched on the same spacecraft take an interval of zero. Instrument mass in kilograms enters in natural-log form as a control for instrument scale and complexity across lineages.</w:t>
      </w:r>
    </w:p>
    <w:p>
      <w:pPr>
        <w:pStyle w:val="BodyText"/>
      </w:pPr>
      <w:r>
        <w:t xml:space="preserve">Every launch date, build position, and mass figure is drawn from a named public source recorded in the data file’s source column. Mass and lineage membership come from the World Meteorological Organization’s OSCAR instrument database and from eoPortal mission pages; the CERES flight-model sequence comes from the NASA Langley CERES instrument-status briefings. One recurring CERES build carries a publicly reported contract value of 44.5 million dollars, the only itemized per-unit cost figure available in the public record and a useful anchor for the discussion. Two mass values, for SeaWiFS and CrIS, are marked illustrative where an authoritative figure could not be confirmed; they constitute roughly seven percent of the sample and do not enter the dependent variable. No cost figures were imputed into the regression.</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The dependent variable is the inter-build interval in years; the regressors are cumulative build number and log instrument mass. The specification is</w:t>
      </w:r>
    </w:p>
    <w:p>
      <w:pPr>
        <w:pStyle w:val="BodyText"/>
      </w:pPr>
      <w:r>
        <w:t xml:space="preserve">gap_years = b0 + b1 (build number) + b2 ln(mass_kg) + e</w:t>
      </w:r>
    </w:p>
    <w:p>
      <w:pPr>
        <w:pStyle w:val="BodyText"/>
      </w:pPr>
      <w:r>
        <w:t xml:space="preserve">where a negative and statistically distinguishable b1 would support H1. Robust standard errors guard against the unequal interval variance that arises when some lineages cluster builds tightly and others space them across a decade. The model is deliberately parsimonious: with twenty-eight observations across six lineages, the design tests the single directional claim that learning compresses cadence rather than attempting to partition every source of schedule variance.</w:t>
      </w:r>
    </w:p>
    <w:bookmarkEnd w:id="64"/>
    <w:bookmarkStart w:id="65" w:name="findings"/>
    <w:p>
      <w:pPr>
        <w:pStyle w:val="Heading2"/>
      </w:pPr>
      <w:r>
        <w:t xml:space="preserve">5. Findings</w:t>
      </w:r>
    </w:p>
    <w:p>
      <w:pPr>
        <w:pStyle w:val="FirstParagraph"/>
      </w:pPr>
      <w:r>
        <w:t xml:space="preserve">The estimated coefficient on cumulative build number is 0.182, with a robust standard error of 0.194, a t statistic of 0.94, and a p value of 0.348. Its ninety-five percent confidence interval runs from -0.198 to 0.561. The coefficient on log mass is 0.248, with a standard error of 1.153 and a p value of 0.829. The intercept is 1.192. The model explains almost none of the variation in inter-build interval: R-squared is 0.030, adjusted R-squared is -0.048, and the overall F statistic of 0.46 carries a p value of 0.634.</w:t>
      </w:r>
    </w:p>
    <w:p>
      <w:pPr>
        <w:pStyle w:val="BodyText"/>
      </w:pPr>
      <w:r>
        <w:t xml:space="preserve">The direction of the build-number estimate is the first thing to note, because it is positive. Taken at face value, each additional build is associated with a slightly longer rather than shorter interval, the opposite of what a cadence-learning story predicts. The estimate is not statistically distinguishable from zero, so the responsible reading is not that experience lengthens cadence but that experience does nothing detectable to it. The confidence interval admits a modest compression of roughly two and a half months per build at one end and an expansion of about six and a half months per build at the other, and it is centered just on the wrong side of zero. The mass control is equally inert. The near-zero and negative adjusted R-squared confirms that the two regressors, together, carry no explanatory signal for when the next unit of a detector lineage flies.</w:t>
      </w:r>
    </w:p>
    <w:p>
      <w:pPr>
        <w:pStyle w:val="BodyText"/>
      </w:pPr>
      <w:r>
        <w:t xml:space="preserve">The hypothesis H1 is therefore not supported. The data are consistent with H0: the cadence of repeat detector builds is independent of how many times the instrument has been built.</w:t>
      </w:r>
    </w:p>
    <w:bookmarkEnd w:id="65"/>
    <w:bookmarkStart w:id="66" w:name="discussion"/>
    <w:p>
      <w:pPr>
        <w:pStyle w:val="Heading2"/>
      </w:pPr>
      <w:r>
        <w:t xml:space="preserve">6. Discussion</w:t>
      </w:r>
    </w:p>
    <w:p>
      <w:pPr>
        <w:pStyle w:val="FirstParagraph"/>
      </w:pPr>
      <w:r>
        <w:t xml:space="preserve">A null result on cadence is not a null result on learning. It is evidence about where learning shows up and where it does not. The most credible interpretation is that the inter-build interval of a detector lineage is set by the programmatic clock, not the experience clock. A flight unit launches when its host spacecraft is ready and funded, and those events are scheduled by mission lines, appropriations cycles, and launch manifests that are indifferent to how efficient the detector production line has become. The CERES lineage makes the point vividly: its largest inter-build gap, nine years between the Aqua and Suomi-NPP units, spans a period in which the instrument’s recurring build was procured for 44.5 million dollars, a figure well below the cost of standing up the original design. The unit got cheaper while the cadence got slower, which is exactly what one expects when production learning and launch scheduling are decoupled.</w:t>
      </w:r>
    </w:p>
    <w:p>
      <w:pPr>
        <w:pStyle w:val="BodyText"/>
      </w:pPr>
      <w:r>
        <w:t xml:space="preserve">This reframes the dissertation’s central question. Repeat builds of an instrument may well arc in the dimension the cost models capture, recurring unit cost, while showing no arc at all in cadence. The two are governed by different clocks, and conflating them is the error that the heritage-divergence literature warns against in the cost domain and that this paper documents in the schedule domain</w:t>
      </w:r>
      <w:r>
        <w:t xml:space="preserve"> </w:t>
      </w:r>
      <w:hyperlink w:anchor="ref-3">
        <m:oMathPara>
          <m:oMathParaPr>
            <m:jc m:val="center"/>
          </m:oMathParaPr>
          <m:oMath>
            <m:r>
              <m:t>3</m:t>
            </m:r>
          </m:oMath>
        </m:oMathPara>
      </w:hyperlink>
      <w:r>
        <w:t xml:space="preserve">. For program planners, the practical implication is that the schedule benefit of a mature production line cannot be assumed; a fifth copy of a detector does not arrive faster simply because the organization has built four before it, unless the host program is itself structured to draw on that readiness.</w:t>
      </w:r>
    </w:p>
    <w:p>
      <w:pPr>
        <w:pStyle w:val="FirstParagraph"/>
      </w:pPr>
      <w:r>
        <w:t xml:space="preserve">The limitations are honest and bounding. Twenty-eight observations across six lineages is a small sample, and the cadence variable is a coarse proxy that mixes production readiness with exogenous mission timing by construction. The absence of itemized recurring cost for most units means the complementary cost-arc test, which the framing literature suggests would be more favorable to a learning story, cannot be run on this data without fabricating the dependent variable, a line this paper declines to cross. The natural next step is a build whose recurring cost is publicly itemized for several units of a single lineage, which would let cost and cadence be tested against build number side by side and would show directly whether the arc lives in dollars even when it is invisible in years.</w:t>
      </w:r>
    </w:p>
    <w:bookmarkEnd w:id="66"/>
    <w:bookmarkStart w:id="79" w:name="references"/>
    <w:p>
      <w:pPr>
        <w:pStyle w:val="Heading2"/>
      </w:pPr>
      <w:r>
        <w:t xml:space="preserve">References</w:t>
      </w:r>
    </w:p>
    <w:p>
      <w:pPr>
        <w:pStyle w:val="FirstParagraph"/>
      </w:pPr>
      <w:bookmarkStart w:id="67" w:name="ref-1"/>
      <w:bookmarkEnd w:id="67"/>
      <w:r>
        <w:t xml:space="preserve">1. P. D. Friz, S. Hosder, B. B. Leser, and B. C. Hardin,</w:t>
      </w:r>
      <w:r>
        <w:t xml:space="preserve"> </w:t>
      </w:r>
      <w:r>
        <w:t xml:space="preserve">“Blind validation study of parametric cost estimation tool SEER-H for NASA space missions,”</w:t>
      </w:r>
      <w:r>
        <w:t xml:space="preserve"> </w:t>
      </w:r>
      <w:r>
        <w:t xml:space="preserve">Acta Astronautica, vol. 165, 2019. doi:</w:t>
      </w:r>
      <w:r>
        <w:t xml:space="preserve"> </w:t>
      </w:r>
      <w:hyperlink r:id="rId68">
        <w:r>
          <w:rPr>
            <w:rStyle w:val="Hyperlink"/>
          </w:rPr>
          <w:t xml:space="preserve">10.1016/j.actaastro.2019.09.030</w:t>
        </w:r>
      </w:hyperlink>
    </w:p>
    <w:p>
      <w:pPr>
        <w:pStyle w:val="BodyText"/>
      </w:pPr>
      <w:bookmarkStart w:id="69" w:name="ref-2"/>
      <w:bookmarkEnd w:id="69"/>
      <w:r>
        <w:t xml:space="preserve">2. J. Mrozinski and H. Habib-Agahi,</w:t>
      </w:r>
      <w:r>
        <w:t xml:space="preserve"> </w:t>
      </w:r>
      <w:r>
        <w:t xml:space="preserve">“NASA Instrument Cost Model: Mission Class’s Impact, Imputation, Multiple Builds and More,”</w:t>
      </w:r>
      <w:r>
        <w:t xml:space="preserve"> </w:t>
      </w:r>
      <w:r>
        <w:t xml:space="preserve">NASA Technical Reports Server, 20220008354, 2021; NASA Office of the Chief Financial Officer, NASA Instrument Cost Model (NICM).</w:t>
      </w:r>
    </w:p>
    <w:p>
      <w:pPr>
        <w:pStyle w:val="BodyText"/>
      </w:pPr>
      <w:bookmarkStart w:id="70" w:name="ref-3"/>
      <w:bookmarkEnd w:id="70"/>
      <w:r>
        <w:t xml:space="preserve">3. S. Kizhner, U. D. Patel, R. L. Kasa, P. Hestnes, T. Brown, and M. Vootukuru,</w:t>
      </w:r>
      <w:r>
        <w:t xml:space="preserve"> </w:t>
      </w:r>
      <w:r>
        <w:t xml:space="preserve">“On Convergence of Development Costs and Cost Models for Complex Spaceflight Instrument Electronics,”</w:t>
      </w:r>
      <w:r>
        <w:t xml:space="preserve"> </w:t>
      </w:r>
      <w:r>
        <w:t xml:space="preserve">NASA Goddard Space Flight Center, NASA Technical Reports Server, 20080030195, 2008.</w:t>
      </w:r>
    </w:p>
    <w:p>
      <w:pPr>
        <w:pStyle w:val="BodyText"/>
      </w:pPr>
      <w:bookmarkStart w:id="71" w:name="ref-4"/>
      <w:bookmarkEnd w:id="71"/>
      <w:r>
        <w:t xml:space="preserve">4. J. H. Park, H. Jung, C. H. Lim, and T. Chang,</w:t>
      </w:r>
      <w:r>
        <w:t xml:space="preserve"> </w:t>
      </w:r>
      <w:r>
        <w:t xml:space="preserve">“The economic impact analysis of satellite development and its application in Korea,”</w:t>
      </w:r>
      <w:r>
        <w:t xml:space="preserve"> </w:t>
      </w:r>
      <w:r>
        <w:t xml:space="preserve">Acta Astronautica, vol. 177, 2020. doi:</w:t>
      </w:r>
      <w:r>
        <w:t xml:space="preserve"> </w:t>
      </w:r>
      <w:hyperlink r:id="rId72">
        <w:r>
          <w:rPr>
            <w:rStyle w:val="Hyperlink"/>
          </w:rPr>
          <w:t xml:space="preserve">10.1016/j.actaastro.2020.06.031</w:t>
        </w:r>
      </w:hyperlink>
    </w:p>
    <w:p>
      <w:pPr>
        <w:pStyle w:val="BodyText"/>
      </w:pPr>
      <w:bookmarkStart w:id="73" w:name="ref-5"/>
      <w:bookmarkEnd w:id="73"/>
      <w:r>
        <w:t xml:space="preserve">5.</w:t>
      </w:r>
      <w:r>
        <w:t xml:space="preserve"> </w:t>
      </w:r>
      <w:r>
        <w:t xml:space="preserve">“New Space and Agile Innovation: Understanding transition to open innovation by examining innovation networks and moments,”</w:t>
      </w:r>
      <w:r>
        <w:t xml:space="preserve"> </w:t>
      </w:r>
      <w:r>
        <w:t xml:space="preserve">Acta Astronautica, vol. 165, 2019. doi:</w:t>
      </w:r>
      <w:r>
        <w:t xml:space="preserve"> </w:t>
      </w:r>
      <w:hyperlink r:id="rId74">
        <w:r>
          <w:rPr>
            <w:rStyle w:val="Hyperlink"/>
          </w:rPr>
          <w:t xml:space="preserve">10.1016/j.actaastro.2019.09.029</w:t>
        </w:r>
      </w:hyperlink>
    </w:p>
    <w:p>
      <w:pPr>
        <w:pStyle w:val="BodyText"/>
      </w:pPr>
      <w:bookmarkStart w:id="75" w:name="ref-6"/>
      <w:bookmarkEnd w:id="75"/>
      <w:r>
        <w:t xml:space="preserve">6. World Meteorological Organization, OSCAR/Space instrument records for CERES, ATMS, AMSU-A, and the GOES Imager, space.oscar.wmo.int.</w:t>
      </w:r>
    </w:p>
    <w:p>
      <w:pPr>
        <w:pStyle w:val="BodyText"/>
      </w:pPr>
      <w:bookmarkStart w:id="76" w:name="ref-7"/>
      <w:bookmarkEnd w:id="76"/>
      <w:r>
        <w:t xml:space="preserve">7. S. Thomas,</w:t>
      </w:r>
      <w:r>
        <w:t xml:space="preserve"> </w:t>
      </w:r>
      <w:r>
        <w:t xml:space="preserve">“CERES Instrument Status, Flight Models 1-6 (FM1-FM6),”</w:t>
      </w:r>
      <w:r>
        <w:t xml:space="preserve"> </w:t>
      </w:r>
      <w:r>
        <w:t xml:space="preserve">NASA Langley Research Center, CERES Instrument Working Group status briefing, 2017, ceres.larc.nasa.gov.</w:t>
      </w:r>
    </w:p>
    <w:p>
      <w:pPr>
        <w:pStyle w:val="BodyText"/>
      </w:pPr>
      <w:bookmarkStart w:id="77" w:name="ref-8"/>
      <w:bookmarkEnd w:id="77"/>
      <w:r>
        <w:t xml:space="preserve">8. eoPortal, GOES 2nd Generation, GOES-N/O/P, and NOAA-20 (JPSS) mission pages, eoportal.org.</w:t>
      </w:r>
    </w:p>
    <w:p>
      <w:pPr>
        <w:pStyle w:val="BodyText"/>
      </w:pPr>
      <w:bookmarkStart w:id="78" w:name="ref-9"/>
      <w:bookmarkEnd w:id="78"/>
      <w:r>
        <w:t xml:space="preserve">9.</w:t>
      </w:r>
      <w:r>
        <w:t xml:space="preserve"> </w:t>
      </w:r>
      <w:r>
        <w:t xml:space="preserve">“NASA Selects Northrop Grumman To Build CERES Instrument,”</w:t>
      </w:r>
      <w:r>
        <w:t xml:space="preserve"> </w:t>
      </w:r>
      <w:r>
        <w:t xml:space="preserve">Via Satellite, May 2009, satellitetoday.com.</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gap_years</m:t>
              </m:r>
            </m:e>
            <m:sub>
              <m:r>
                <m:t>i</m:t>
              </m:r>
            </m:sub>
          </m:sSub>
          <m:r>
            <m:rPr>
              <m:sty m:val="p"/>
            </m:rPr>
            <m:t>=</m:t>
          </m:r>
          <m:sSub>
            <m:e>
              <m:r>
                <m:t>β</m:t>
              </m:r>
            </m:e>
            <m:sub>
              <m:r>
                <m:t>0</m:t>
              </m:r>
            </m:sub>
          </m:sSub>
          <m:r>
            <m:rPr>
              <m:sty m:val="p"/>
            </m:rPr>
            <m:t>+</m:t>
          </m:r>
          <m:sSub>
            <m:e>
              <m:r>
                <m:t>β</m:t>
              </m:r>
            </m:e>
            <m:sub>
              <m:r>
                <m:t>1</m:t>
              </m:r>
            </m:sub>
          </m:sSub>
          <m:r>
            <m:t> </m:t>
          </m:r>
          <m:sSub>
            <m:e>
              <m:r>
                <m:rPr>
                  <m:nor/>
                  <m:sty m:val="p"/>
                </m:rPr>
                <m:t>build_number</m:t>
              </m:r>
            </m:e>
            <m:sub>
              <m:r>
                <m:t>i</m:t>
              </m:r>
            </m:sub>
          </m:sSub>
          <m:r>
            <m:rPr>
              <m:sty m:val="p"/>
            </m:rPr>
            <m:t>+</m:t>
          </m:r>
          <m:sSub>
            <m:e>
              <m:r>
                <m:t>β</m:t>
              </m:r>
            </m:e>
            <m:sub>
              <m:r>
                <m:t>2</m:t>
              </m:r>
            </m:sub>
          </m:sSub>
          <m:r>
            <m:t> </m:t>
          </m:r>
          <m:r>
            <m:rPr>
              <m:sty m:val="p"/>
            </m:rPr>
            <m:t>ln</m:t>
          </m:r>
          <m:r>
            <m:rPr>
              <m:sty m:val="p"/>
            </m:rPr>
            <m:t>(</m:t>
          </m:r>
          <m:sSub>
            <m:e>
              <m:r>
                <m:rPr>
                  <m:nor/>
                  <m:sty m:val="p"/>
                </m:rPr>
                <m:t>mass_kg</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1.1921</w:t>
            </w:r>
          </w:p>
        </w:tc>
        <w:tc>
          <w:tcPr>
            <w:tcW w:w="0" w:type="auto"/>
          </w:tcPr>
          <w:p>
            <w:pPr>
              <w:spacing w:line="240" w:lineRule="auto" w:before="0" w:after="0"/>
              <w:pStyle w:val="Compact"/>
            </w:pPr>
            <w:r>
              <w:rPr>
                <w:sz w:val="20"/>
                <w:szCs w:val="20"/>
              </w:rPr>
              <w:t xml:space="preserve">5.6114</w:t>
            </w:r>
          </w:p>
        </w:tc>
        <w:tc>
          <w:tcPr>
            <w:tcW w:w="0" w:type="auto"/>
          </w:tcPr>
          <w:p>
            <w:pPr>
              <w:spacing w:line="240" w:lineRule="auto" w:before="0" w:after="0"/>
              <w:pStyle w:val="Compact"/>
            </w:pPr>
            <w:r>
              <w:rPr>
                <w:sz w:val="20"/>
                <w:szCs w:val="20"/>
              </w:rPr>
              <w:t xml:space="preserve">0.2124</w:t>
            </w:r>
          </w:p>
        </w:tc>
        <w:tc>
          <w:tcPr>
            <w:tcW w:w="0" w:type="auto"/>
          </w:tcPr>
          <w:p>
            <w:pPr>
              <w:spacing w:line="240" w:lineRule="auto" w:before="0" w:after="0"/>
              <w:pStyle w:val="Compact"/>
            </w:pPr>
            <w:r>
              <w:rPr>
                <w:sz w:val="20"/>
                <w:szCs w:val="20"/>
              </w:rPr>
              <w:t xml:space="preserve">0.8318</w:t>
            </w:r>
          </w:p>
        </w:tc>
        <w:tc>
          <w:tcPr>
            <w:tcW w:w="0" w:type="auto"/>
          </w:tcPr>
          <w:p>
            <w:pPr>
              <w:spacing w:line="240" w:lineRule="auto" w:before="0" w:after="0"/>
              <w:pStyle w:val="Compact"/>
            </w:pPr>
            <w:r>
              <w:rPr>
                <w:sz w:val="20"/>
                <w:szCs w:val="20"/>
              </w:rPr>
              <w:t xml:space="preserve">[-9.8059, 12.1901]</w:t>
            </w:r>
          </w:p>
        </w:tc>
      </w:tr>
      <w:tr>
        <w:tc>
          <w:tcPr>
            <w:tcW w:w="0" w:type="auto"/>
          </w:tcPr>
          <w:p>
            <w:pPr>
              <w:spacing w:line="240" w:lineRule="auto" w:before="0" w:after="0"/>
              <w:pStyle w:val="Compact"/>
            </w:pPr>
            <w:r>
              <w:rPr>
                <w:sz w:val="20"/>
                <w:szCs w:val="20"/>
              </w:rPr>
              <w:t xml:space="preserve">build_number</w:t>
            </w:r>
          </w:p>
        </w:tc>
        <w:tc>
          <w:tcPr>
            <w:tcW w:w="0" w:type="auto"/>
          </w:tcPr>
          <w:p>
            <w:pPr>
              <w:spacing w:line="240" w:lineRule="auto" w:before="0" w:after="0"/>
              <w:pStyle w:val="Compact"/>
            </w:pPr>
            <w:r>
              <w:rPr>
                <w:sz w:val="20"/>
                <w:szCs w:val="20"/>
              </w:rPr>
              <w:t xml:space="preserve">0.1817</w:t>
            </w:r>
          </w:p>
        </w:tc>
        <w:tc>
          <w:tcPr>
            <w:tcW w:w="0" w:type="auto"/>
          </w:tcPr>
          <w:p>
            <w:pPr>
              <w:spacing w:line="240" w:lineRule="auto" w:before="0" w:after="0"/>
              <w:pStyle w:val="Compact"/>
            </w:pPr>
            <w:r>
              <w:rPr>
                <w:sz w:val="20"/>
                <w:szCs w:val="20"/>
              </w:rPr>
              <w:t xml:space="preserve">0.1938</w:t>
            </w:r>
          </w:p>
        </w:tc>
        <w:tc>
          <w:tcPr>
            <w:tcW w:w="0" w:type="auto"/>
          </w:tcPr>
          <w:p>
            <w:pPr>
              <w:spacing w:line="240" w:lineRule="auto" w:before="0" w:after="0"/>
              <w:pStyle w:val="Compact"/>
            </w:pPr>
            <w:r>
              <w:rPr>
                <w:sz w:val="20"/>
                <w:szCs w:val="20"/>
              </w:rPr>
              <w:t xml:space="preserve">0.9376</w:t>
            </w:r>
          </w:p>
        </w:tc>
        <w:tc>
          <w:tcPr>
            <w:tcW w:w="0" w:type="auto"/>
          </w:tcPr>
          <w:p>
            <w:pPr>
              <w:spacing w:line="240" w:lineRule="auto" w:before="0" w:after="0"/>
              <w:pStyle w:val="Compact"/>
            </w:pPr>
            <w:r>
              <w:rPr>
                <w:sz w:val="20"/>
                <w:szCs w:val="20"/>
              </w:rPr>
              <w:t xml:space="preserve">0.3484</w:t>
            </w:r>
          </w:p>
        </w:tc>
        <w:tc>
          <w:tcPr>
            <w:tcW w:w="0" w:type="auto"/>
          </w:tcPr>
          <w:p>
            <w:pPr>
              <w:spacing w:line="240" w:lineRule="auto" w:before="0" w:after="0"/>
              <w:pStyle w:val="Compact"/>
            </w:pPr>
            <w:r>
              <w:rPr>
                <w:sz w:val="20"/>
                <w:szCs w:val="20"/>
              </w:rPr>
              <w:t xml:space="preserve">[-0.1981, 0.5614]</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0.2485</w:t>
            </w:r>
          </w:p>
        </w:tc>
        <w:tc>
          <w:tcPr>
            <w:tcW w:w="0" w:type="auto"/>
          </w:tcPr>
          <w:p>
            <w:pPr>
              <w:spacing w:line="240" w:lineRule="auto" w:before="0" w:after="0"/>
              <w:pStyle w:val="Compact"/>
            </w:pPr>
            <w:r>
              <w:rPr>
                <w:sz w:val="20"/>
                <w:szCs w:val="20"/>
              </w:rPr>
              <w:t xml:space="preserve">1.1529</w:t>
            </w:r>
          </w:p>
        </w:tc>
        <w:tc>
          <w:tcPr>
            <w:tcW w:w="0" w:type="auto"/>
          </w:tcPr>
          <w:p>
            <w:pPr>
              <w:spacing w:line="240" w:lineRule="auto" w:before="0" w:after="0"/>
              <w:pStyle w:val="Compact"/>
            </w:pPr>
            <w:r>
              <w:rPr>
                <w:sz w:val="20"/>
                <w:szCs w:val="20"/>
              </w:rPr>
              <w:t xml:space="preserve">0.2155</w:t>
            </w:r>
          </w:p>
        </w:tc>
        <w:tc>
          <w:tcPr>
            <w:tcW w:w="0" w:type="auto"/>
          </w:tcPr>
          <w:p>
            <w:pPr>
              <w:spacing w:line="240" w:lineRule="auto" w:before="0" w:after="0"/>
              <w:pStyle w:val="Compact"/>
            </w:pPr>
            <w:r>
              <w:rPr>
                <w:sz w:val="20"/>
                <w:szCs w:val="20"/>
              </w:rPr>
              <w:t xml:space="preserve">0.8294</w:t>
            </w:r>
          </w:p>
        </w:tc>
        <w:tc>
          <w:tcPr>
            <w:tcW w:w="0" w:type="auto"/>
          </w:tcPr>
          <w:p>
            <w:pPr>
              <w:spacing w:line="240" w:lineRule="auto" w:before="0" w:after="0"/>
              <w:pStyle w:val="Compact"/>
            </w:pPr>
            <w:r>
              <w:rPr>
                <w:sz w:val="20"/>
                <w:szCs w:val="20"/>
              </w:rPr>
              <w:t xml:space="preserve">[-2.0112, 2.5082]</w:t>
            </w:r>
          </w:p>
        </w:tc>
      </w:tr>
    </w:tbl>
    <w:p>
      <w:pPr>
        <w:pStyle w:val="BodyText"/>
      </w:pPr>
      <w:r>
        <w:t xml:space="preserve">Fit: N = 28 R2 = 0.0295 R2_adj = -0.0481 F = 0.4647 F_p = 0.6336</w:t>
      </w:r>
    </w:p>
    <w:p>
      <w:pPr>
        <w:pStyle w:val="CaptionedFigure"/>
      </w:pPr>
      <w:r>
        <w:drawing>
          <wp:inline>
            <wp:extent cx="5669280" cy="3657600"/>
            <wp:effectExtent b="0" l="0" r="0" t="0"/>
            <wp:docPr descr="Figure 1. Inter-build interval against cumulative build number across six spaceflight detector lineages (CERES, GOES Imager, AMSU-A, ATMS, MODIS, VIIRS/CrIS). Each point is one flight unit; the negative slope is the learning signal tested by the OLS specification." title="" id="82" name="Picture"/>
            <a:graphic>
              <a:graphicData uri="http://schemas.openxmlformats.org/drawingml/2006/picture">
                <pic:pic>
                  <pic:nvPicPr>
                    <pic:cNvPr descr="D:\Claude_Code\brain\collegium\candidates\dissertations\JPL_INSTRUMENTS_NAV_02\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Inter-build interval against cumulative build number across six spaceflight detector lineages (CERES, GOES Imager, AMSU-A, ATMS, MODIS, VIIRS/CrIS). Each point is one flight unit; the negative slope is the learning signal tested by the OLS specification.</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lineage</w:t>
            </w:r>
          </w:p>
        </w:tc>
        <w:tc>
          <w:tcPr>
            <w:tcW w:w="0" w:type="auto"/>
          </w:tcPr>
          <w:p>
            <w:pPr>
              <w:spacing w:line="240" w:lineRule="auto" w:before="0" w:after="0"/>
              <w:pStyle w:val="Compact"/>
            </w:pPr>
            <w:r>
              <w:rPr>
                <w:sz w:val="20"/>
                <w:szCs w:val="20"/>
              </w:rPr>
              <w:t xml:space="preserve">unit</w:t>
            </w:r>
          </w:p>
        </w:tc>
        <w:tc>
          <w:tcPr>
            <w:tcW w:w="0" w:type="auto"/>
          </w:tcPr>
          <w:p>
            <w:pPr>
              <w:spacing w:line="240" w:lineRule="auto" w:before="0" w:after="0"/>
              <w:pStyle w:val="Compact"/>
            </w:pPr>
            <w:r>
              <w:rPr>
                <w:sz w:val="20"/>
                <w:szCs w:val="20"/>
              </w:rPr>
              <w:t xml:space="preserve">build_number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gap_years</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FM1 (Terra)</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flight-model status FM1-FM6, S. Thomas, NASA LaRC CERES IWG (ceres.larc.nasa.gov/documents/STM/2017-09/2_IWGstatus_CERES_Fall17_SThomas.pdf); PFM on TRMM 1997; FM1 on Terra Dec 1999; gap from PFM=2.0 yr; mass 57 kg WMO OSCAR (space.oscar.wmo.int/instruments/view/ceres)</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FM2 (Terra)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FM1-FM6 status, Thomas NASA LaRC; FM2 co-manifested with FM1 on Terra Dec 1999; gap=0.0 yr; mass 57 kg WMO OSCAR ceres</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FM3 (Aqua)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FM1-FM6 status, Thomas NASA LaRC; FM3 on Aqua May 2002 (WMO OSCAR ceres lists Aqua Aug 2002); gap from FM2=3.0 yr; mass 57 kg</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FM4 (Aqua)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FM1-FM6 status, Thomas NASA LaRC; FM4 co-manifested with FM3 on Aqua 2002; gap=0.0 yr; mass 57 kg</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FM5 (S-NPP)</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FM1-FM6 status, Thomas NASA LaRC; FM5 on S-NPP Oct 2011 (WMO OSCAR ceres: Jan 2012); gap from FM4=9.0 yr; mass 57 kg; build contract $44.5M Northrop Grumman (satellitetoday.com/government-military/2009/05/11/nasa-selects-northrop-grumman-to-build-ceres-instrument)</w:t>
            </w:r>
          </w:p>
        </w:tc>
      </w:tr>
      <w:tr>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FM6 (NOAA-20)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CERES FM6 longwave-detector variant on NOAA-20 Nov 2017, Thomas NASA LaRC IWG; gap from FM5=6.0 yr; mass 57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 Imager built by ITT Aerospace; GOES-8 launch 1994, GOES-9 Sept 1995 (eoPortal GOES 2nd Generation, eoportal.org/satellite-missions/goes-2nd-generation); gap=1.0 yr; mass 140 kg WMO OSCAR (space.oscar.wmo.int/instruments/view/imager_goes_8_11)</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 Imager ITT; GOES-10 Apr 1997 (eoPortal GOES 2nd Generation); gap from GOES-9=2.0 yr; mass 140 kg WMO OSCAR imager_goes_8_11</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 Imager ITT; GOES-11 May 2000 (eoPortal GOES 2nd Generation); gap from GOES-10=3.0 yr; mass 140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 Imager ITT; GOES-12 Jul 2001 (eoPortal GOES 2nd Generation); gap from GOES-11=1.0 yr; mass 140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GOES-N series Imager ITT; GOES-13 May 2006 (eoPortal GOES-N,O,P, eoportal.org/satellite-missions/goes-n-o-p); gap from GOES-12=5.0 yr; mass 140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GOES-N series Imager ITT; GOES-14 Jun 2009 (eoPortal GOES-N,O,P); gap from GOES-13=3.0 yr; mass 140 kg</w:t>
            </w:r>
          </w:p>
        </w:tc>
      </w:tr>
      <w:tr>
        <w:tc>
          <w:tcPr>
            <w:tcW w:w="0" w:type="auto"/>
          </w:tcPr>
          <w:p>
            <w:pPr>
              <w:spacing w:line="240" w:lineRule="auto" w:before="0" w:after="0"/>
              <w:pStyle w:val="Compact"/>
            </w:pPr>
            <w:r>
              <w:rPr>
                <w:sz w:val="20"/>
                <w:szCs w:val="20"/>
              </w:rPr>
              <w:t xml:space="preserve">GOES Imager</w:t>
            </w:r>
          </w:p>
        </w:tc>
        <w:tc>
          <w:tcPr>
            <w:tcW w:w="0" w:type="auto"/>
          </w:tcPr>
          <w:p>
            <w:pPr>
              <w:spacing w:line="240" w:lineRule="auto" w:before="0" w:after="0"/>
              <w:pStyle w:val="Compact"/>
            </w:pPr>
            <w:r>
              <w:rPr>
                <w:sz w:val="20"/>
                <w:szCs w:val="20"/>
              </w:rPr>
              <w:t xml:space="preserve">GOES-15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4.9416</w:t>
            </w:r>
          </w:p>
        </w:tc>
        <w:tc>
          <w:tcPr>
            <w:tcW w:w="0" w:type="auto"/>
          </w:tcPr>
          <w:p>
            <w:pPr>
              <w:spacing w:line="240" w:lineRule="auto" w:before="0" w:after="0"/>
              <w:pStyle w:val="Compact"/>
            </w:pPr>
            <w:r>
              <w:rPr>
                <w:sz w:val="20"/>
                <w:szCs w:val="20"/>
              </w:rPr>
              <w:t xml:space="preserve">GOES-N series Imager ITT; GOES-15 Mar 2010 (eoPortal GOES-N,O,P); gap from GOES-14=1.0 yr; mass 140 kg</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NOAA-16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mass 104 kg WMO OSCAR (space.oscar.wmo.int/instruments/view/amsu_a); NOAA-15 Aug 1998, NOAA-16 Mar 2001 (WMO OSCAR amsu_a); gap=3.0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NOAA-17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NOAA-17 Oct 2002 (WMO OSCAR amsu_a); gap from NOAA-16=1.0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Aqua</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Aqua Aug 2002 (WMO OSCAR amsu_a); same year as NOAA-17, gap=0.0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NOAA-18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NOAA-18 Aug 2005 (WMO OSCAR amsu_a); gap from Aqua/NOAA-17=3.0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Metop-A</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Metop-A Jan 2007 (WMO OSCAR amsu_a); gap from NOAA-18=2.0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NOAA-19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NOAA-19 May 2009 (WMO OSCAR amsu_a); gap from Metop-A=2.0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Metop-B</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Metop-B Jan 2013 (WMO OSCAR amsu_a); gap from NOAA-19=4.0 yr</w:t>
            </w:r>
          </w:p>
        </w:tc>
      </w:tr>
      <w:tr>
        <w:tc>
          <w:tcPr>
            <w:tcW w:w="0" w:type="auto"/>
          </w:tcPr>
          <w:p>
            <w:pPr>
              <w:spacing w:line="240" w:lineRule="auto" w:before="0" w:after="0"/>
              <w:pStyle w:val="Compact"/>
            </w:pPr>
            <w:r>
              <w:rPr>
                <w:sz w:val="20"/>
                <w:szCs w:val="20"/>
              </w:rPr>
              <w:t xml:space="preserve">AMSU-A</w:t>
            </w:r>
          </w:p>
        </w:tc>
        <w:tc>
          <w:tcPr>
            <w:tcW w:w="0" w:type="auto"/>
          </w:tcPr>
          <w:p>
            <w:pPr>
              <w:spacing w:line="240" w:lineRule="auto" w:before="0" w:after="0"/>
              <w:pStyle w:val="Compact"/>
            </w:pPr>
            <w:r>
              <w:rPr>
                <w:sz w:val="20"/>
                <w:szCs w:val="20"/>
              </w:rPr>
              <w:t xml:space="preserve">Metop-C</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4.6444</w:t>
            </w:r>
          </w:p>
        </w:tc>
        <w:tc>
          <w:tcPr>
            <w:tcW w:w="0" w:type="auto"/>
          </w:tcPr>
          <w:p>
            <w:pPr>
              <w:spacing w:line="240" w:lineRule="auto" w:before="0" w:after="0"/>
              <w:pStyle w:val="Compact"/>
            </w:pPr>
            <w:r>
              <w:rPr>
                <w:sz w:val="20"/>
                <w:szCs w:val="20"/>
              </w:rPr>
              <w:t xml:space="preserve">AMSU-A 104 kg WMO OSCAR amsu_a; Metop-C Feb 2019 (WMO OSCAR amsu_a); gap from Metop-B=6.0 yr</w:t>
            </w:r>
          </w:p>
        </w:tc>
      </w:tr>
      <w:tr>
        <w:tc>
          <w:tcPr>
            <w:tcW w:w="0" w:type="auto"/>
          </w:tcPr>
          <w:p>
            <w:pPr>
              <w:spacing w:line="240" w:lineRule="auto" w:before="0" w:after="0"/>
              <w:pStyle w:val="Compact"/>
            </w:pPr>
            <w:r>
              <w:rPr>
                <w:sz w:val="20"/>
                <w:szCs w:val="20"/>
              </w:rPr>
              <w:t xml:space="preserve">ATMS</w:t>
            </w:r>
          </w:p>
        </w:tc>
        <w:tc>
          <w:tcPr>
            <w:tcW w:w="0" w:type="auto"/>
          </w:tcPr>
          <w:p>
            <w:pPr>
              <w:spacing w:line="240" w:lineRule="auto" w:before="0" w:after="0"/>
              <w:pStyle w:val="Compact"/>
            </w:pPr>
            <w:r>
              <w:rPr>
                <w:sz w:val="20"/>
                <w:szCs w:val="20"/>
              </w:rPr>
              <w:t xml:space="preserve">NOAA-20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4.3228</w:t>
            </w:r>
          </w:p>
        </w:tc>
        <w:tc>
          <w:tcPr>
            <w:tcW w:w="0" w:type="auto"/>
          </w:tcPr>
          <w:p>
            <w:pPr>
              <w:spacing w:line="240" w:lineRule="auto" w:before="0" w:after="0"/>
              <w:pStyle w:val="Compact"/>
            </w:pPr>
            <w:r>
              <w:rPr>
                <w:sz w:val="20"/>
                <w:szCs w:val="20"/>
              </w:rPr>
              <w:t xml:space="preserve">ATMS mass 75.4 kg WMO OSCAR (space.oscar.wmo.int/instruments/view/atms); S-NPP Oct 2011, NOAA-20 Nov 2017 (WMO OSCAR atms); gap=6.0 yr; built Northrop Grumman</w:t>
            </w:r>
          </w:p>
        </w:tc>
      </w:tr>
      <w:tr>
        <w:tc>
          <w:tcPr>
            <w:tcW w:w="0" w:type="auto"/>
          </w:tcPr>
          <w:p>
            <w:pPr>
              <w:spacing w:line="240" w:lineRule="auto" w:before="0" w:after="0"/>
              <w:pStyle w:val="Compact"/>
            </w:pPr>
            <w:r>
              <w:rPr>
                <w:sz w:val="20"/>
                <w:szCs w:val="20"/>
              </w:rPr>
              <w:t xml:space="preserve">ATMS</w:t>
            </w:r>
          </w:p>
        </w:tc>
        <w:tc>
          <w:tcPr>
            <w:tcW w:w="0" w:type="auto"/>
          </w:tcPr>
          <w:p>
            <w:pPr>
              <w:spacing w:line="240" w:lineRule="auto" w:before="0" w:after="0"/>
              <w:pStyle w:val="Compact"/>
            </w:pPr>
            <w:r>
              <w:rPr>
                <w:sz w:val="20"/>
                <w:szCs w:val="20"/>
              </w:rPr>
              <w:t xml:space="preserve">NOAA-21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4.3228</w:t>
            </w:r>
          </w:p>
        </w:tc>
        <w:tc>
          <w:tcPr>
            <w:tcW w:w="0" w:type="auto"/>
          </w:tcPr>
          <w:p>
            <w:pPr>
              <w:spacing w:line="240" w:lineRule="auto" w:before="0" w:after="0"/>
              <w:pStyle w:val="Compact"/>
            </w:pPr>
            <w:r>
              <w:rPr>
                <w:sz w:val="20"/>
                <w:szCs w:val="20"/>
              </w:rPr>
              <w:t xml:space="preserve">ATMS 75.4 kg WMO OSCAR atms; NOAA-21 Nov 2022 (WMO OSCAR atms); gap from NOAA-20=5.0 yr</w:t>
            </w:r>
          </w:p>
        </w:tc>
      </w:tr>
      <w:tr>
        <w:tc>
          <w:tcPr>
            <w:tcW w:w="0" w:type="auto"/>
          </w:tcPr>
          <w:p>
            <w:pPr>
              <w:spacing w:line="240" w:lineRule="auto" w:before="0" w:after="0"/>
              <w:pStyle w:val="Compact"/>
            </w:pPr>
            <w:r>
              <w:rPr>
                <w:sz w:val="20"/>
                <w:szCs w:val="20"/>
              </w:rPr>
              <w:t xml:space="preserve">MODIS</w:t>
            </w:r>
          </w:p>
        </w:tc>
        <w:tc>
          <w:tcPr>
            <w:tcW w:w="0" w:type="auto"/>
          </w:tcPr>
          <w:p>
            <w:pPr>
              <w:spacing w:line="240" w:lineRule="auto" w:before="0" w:after="0"/>
              <w:pStyle w:val="Compact"/>
            </w:pPr>
            <w:r>
              <w:rPr>
                <w:sz w:val="20"/>
                <w:szCs w:val="20"/>
              </w:rPr>
              <w:t xml:space="preserve">FM1 (Aqua)</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5.4337</w:t>
            </w:r>
          </w:p>
        </w:tc>
        <w:tc>
          <w:tcPr>
            <w:tcW w:w="0" w:type="auto"/>
          </w:tcPr>
          <w:p>
            <w:pPr>
              <w:spacing w:line="240" w:lineRule="auto" w:before="0" w:after="0"/>
              <w:pStyle w:val="Compact"/>
            </w:pPr>
            <w:r>
              <w:rPr>
                <w:sz w:val="20"/>
                <w:szCs w:val="20"/>
              </w:rPr>
              <w:t xml:space="preserve">MODIS PFM on Terra Dec 1999, FM1 on Aqua May 2002 (en.wikipedia.org/wiki/Moderate_Resolution_Imaging_Spectroradiometer); two near-identical units by Raytheon SBRS; gap=3.0 yr; mass ~229 kg</w:t>
            </w:r>
          </w:p>
        </w:tc>
      </w:tr>
      <w:tr>
        <w:tc>
          <w:tcPr>
            <w:tcW w:w="0" w:type="auto"/>
          </w:tcPr>
          <w:p>
            <w:pPr>
              <w:spacing w:line="240" w:lineRule="auto" w:before="0" w:after="0"/>
              <w:pStyle w:val="Compact"/>
            </w:pPr>
            <w:r>
              <w:rPr>
                <w:sz w:val="20"/>
                <w:szCs w:val="20"/>
              </w:rPr>
              <w:t xml:space="preserve">SeaWiFS</w:t>
            </w:r>
          </w:p>
        </w:tc>
        <w:tc>
          <w:tcPr>
            <w:tcW w:w="0" w:type="auto"/>
          </w:tcPr>
          <w:p>
            <w:pPr>
              <w:spacing w:line="240" w:lineRule="auto" w:before="0" w:after="0"/>
              <w:pStyle w:val="Compact"/>
            </w:pPr>
            <w:r>
              <w:rPr>
                <w:sz w:val="20"/>
                <w:szCs w:val="20"/>
              </w:rPr>
              <w:t xml:space="preserve">OrbView-2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SeaWiFS Wide-Field-of-View Sensor, first build on OrbView-2/SeaStar Aug 1997 (referenced as heritage throughput instrument in Kizhner et al. 2008 NTRS 20080030195); single build, first-of-kind, gap=0.0; mass ~150 kg (en.wikipedia.org/wiki/SeaWiFS) [illustrative mass]</w:t>
            </w:r>
          </w:p>
        </w:tc>
      </w:tr>
      <w:tr>
        <w:tc>
          <w:tcPr>
            <w:tcW w:w="0" w:type="auto"/>
          </w:tcPr>
          <w:p>
            <w:pPr>
              <w:spacing w:line="240" w:lineRule="auto" w:before="0" w:after="0"/>
              <w:pStyle w:val="Compact"/>
            </w:pPr>
            <w:r>
              <w:rPr>
                <w:sz w:val="20"/>
                <w:szCs w:val="20"/>
              </w:rPr>
              <w:t xml:space="preserve">VIIRS</w:t>
            </w:r>
          </w:p>
        </w:tc>
        <w:tc>
          <w:tcPr>
            <w:tcW w:w="0" w:type="auto"/>
          </w:tcPr>
          <w:p>
            <w:pPr>
              <w:spacing w:line="240" w:lineRule="auto" w:before="0" w:after="0"/>
              <w:pStyle w:val="Compact"/>
            </w:pPr>
            <w:r>
              <w:rPr>
                <w:sz w:val="20"/>
                <w:szCs w:val="20"/>
              </w:rPr>
              <w:t xml:space="preserve">NOAA-20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VIIRS imaging radiometer; S-NPP Oct 2011, NOAA-20 Nov 2017 (eoPortal noaa-20, eoportal.org/satellite-missions/noaa-20); built Raytheon; gap=6.0 yr; mass ~275 kg (en.wikipedia.org/wiki/Visible_Infrared_Imaging_Radiometer_Suite)</w:t>
            </w:r>
          </w:p>
        </w:tc>
      </w:tr>
      <w:tr>
        <w:tc>
          <w:tcPr>
            <w:tcW w:w="0" w:type="auto"/>
          </w:tcPr>
          <w:p>
            <w:pPr>
              <w:spacing w:line="240" w:lineRule="auto" w:before="0" w:after="0"/>
              <w:pStyle w:val="Compact"/>
            </w:pPr>
            <w:r>
              <w:rPr>
                <w:sz w:val="20"/>
                <w:szCs w:val="20"/>
              </w:rPr>
              <w:t xml:space="preserve">VIIRS</w:t>
            </w:r>
          </w:p>
        </w:tc>
        <w:tc>
          <w:tcPr>
            <w:tcW w:w="0" w:type="auto"/>
          </w:tcPr>
          <w:p>
            <w:pPr>
              <w:spacing w:line="240" w:lineRule="auto" w:before="0" w:after="0"/>
              <w:pStyle w:val="Compact"/>
            </w:pPr>
            <w:r>
              <w:rPr>
                <w:sz w:val="20"/>
                <w:szCs w:val="20"/>
              </w:rPr>
              <w:t xml:space="preserve">NOAA-21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5.6168</w:t>
            </w:r>
          </w:p>
        </w:tc>
        <w:tc>
          <w:tcPr>
            <w:tcW w:w="0" w:type="auto"/>
          </w:tcPr>
          <w:p>
            <w:pPr>
              <w:spacing w:line="240" w:lineRule="auto" w:before="0" w:after="0"/>
              <w:pStyle w:val="Compact"/>
            </w:pPr>
            <w:r>
              <w:rPr>
                <w:sz w:val="20"/>
                <w:szCs w:val="20"/>
              </w:rPr>
              <w:t xml:space="preserve">VIIRS; NOAA-21 Nov 2022 (eoPortal noaa-20 series); gap from NOAA-20=5.0 yr; mass ~275 kg</w:t>
            </w:r>
          </w:p>
        </w:tc>
      </w:tr>
      <w:tr>
        <w:tc>
          <w:tcPr>
            <w:tcW w:w="0" w:type="auto"/>
          </w:tcPr>
          <w:p>
            <w:pPr>
              <w:spacing w:line="240" w:lineRule="auto" w:before="0" w:after="0"/>
              <w:pStyle w:val="Compact"/>
            </w:pPr>
            <w:r>
              <w:rPr>
                <w:sz w:val="20"/>
                <w:szCs w:val="20"/>
              </w:rPr>
              <w:t xml:space="preserve">CrIS</w:t>
            </w:r>
          </w:p>
        </w:tc>
        <w:tc>
          <w:tcPr>
            <w:tcW w:w="0" w:type="auto"/>
          </w:tcPr>
          <w:p>
            <w:pPr>
              <w:spacing w:line="240" w:lineRule="auto" w:before="0" w:after="0"/>
              <w:pStyle w:val="Compact"/>
            </w:pPr>
            <w:r>
              <w:rPr>
                <w:sz w:val="20"/>
                <w:szCs w:val="20"/>
              </w:rPr>
              <w:t xml:space="preserve">NOAA-20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5.0239</w:t>
            </w:r>
          </w:p>
        </w:tc>
        <w:tc>
          <w:tcPr>
            <w:tcW w:w="0" w:type="auto"/>
          </w:tcPr>
          <w:p>
            <w:pPr>
              <w:spacing w:line="240" w:lineRule="auto" w:before="0" w:after="0"/>
              <w:pStyle w:val="Compact"/>
            </w:pPr>
            <w:r>
              <w:rPr>
                <w:sz w:val="20"/>
                <w:szCs w:val="20"/>
              </w:rPr>
              <w:t xml:space="preserve">CrIS Cross-track Infrared Sounder; S-NPP Oct 2011, NOAA-20 Nov 2017 (eoPortal noaa-20); built by ITT/Harris; gap=6.0 yr; mass ~152 kg (en.wikipedia.org/wiki/Cross-track_Infrared_Sounder) [illustrative mass]</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gap_years</w:t>
            </w:r>
          </w:p>
        </w:tc>
        <w:tc>
          <w:tcPr>
            <w:tcW w:w="0" w:type="auto"/>
          </w:tcPr>
          <w:p>
            <w:pPr>
              <w:spacing w:line="240" w:lineRule="auto" w:before="0" w:after="0"/>
              <w:pStyle w:val="Compact"/>
            </w:pPr>
            <w:r>
              <w:rPr>
                <w:sz w:val="20"/>
                <w:szCs w:val="20"/>
              </w:rPr>
              <w:t xml:space="preserve">Years elapsed between the launch of a detector flight unit and the prior flight unit in the same instrument lineage; proxy for production-line cadence and repeat-build routine</w:t>
            </w:r>
          </w:p>
        </w:tc>
        <w:tc>
          <w:tcPr>
            <w:tcW w:w="0" w:type="auto"/>
          </w:tcPr>
          <w:p>
            <w:pPr>
              <w:spacing w:line="240" w:lineRule="auto" w:before="0" w:after="0"/>
              <w:pStyle w:val="Compact"/>
            </w:pPr>
            <w:r>
              <w:rPr>
                <w:sz w:val="20"/>
                <w:szCs w:val="20"/>
              </w:rPr>
              <w:t xml:space="preserve">Author-computed from documented launch dates (WMO OSCAR, eoPortal, NASA LaRC CERES IWG status)</w:t>
            </w:r>
          </w:p>
        </w:tc>
      </w:tr>
      <w:tr>
        <w:tc>
          <w:tcPr>
            <w:tcW w:w="0" w:type="auto"/>
          </w:tcPr>
          <w:p>
            <w:pPr>
              <w:spacing w:line="240" w:lineRule="auto" w:before="0" w:after="0"/>
              <w:pStyle w:val="Compact"/>
            </w:pPr>
            <w:r>
              <w:rPr>
                <w:sz w:val="20"/>
                <w:szCs w:val="20"/>
              </w:rPr>
              <w:t xml:space="preserve">build_number</w:t>
            </w:r>
          </w:p>
        </w:tc>
        <w:tc>
          <w:tcPr>
            <w:tcW w:w="0" w:type="auto"/>
          </w:tcPr>
          <w:p>
            <w:pPr>
              <w:spacing w:line="240" w:lineRule="auto" w:before="0" w:after="0"/>
              <w:pStyle w:val="Compact"/>
            </w:pPr>
            <w:r>
              <w:rPr>
                <w:sz w:val="20"/>
                <w:szCs w:val="20"/>
              </w:rPr>
              <w:t xml:space="preserve">Ordinal position of the flight unit within its instrument lineage (1 = first-of-a-kind protoflight; higher = later repeat build)</w:t>
            </w:r>
          </w:p>
        </w:tc>
        <w:tc>
          <w:tcPr>
            <w:tcW w:w="0" w:type="auto"/>
          </w:tcPr>
          <w:p>
            <w:pPr>
              <w:spacing w:line="240" w:lineRule="auto" w:before="0" w:after="0"/>
              <w:pStyle w:val="Compact"/>
            </w:pPr>
            <w:r>
              <w:rPr>
                <w:sz w:val="20"/>
                <w:szCs w:val="20"/>
              </w:rPr>
              <w:t xml:space="preserve">Author-coded from lineage build histories (CERES FM1-FM6 status; WMO OSCAR; eoPortal)</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Natural log of instrument launch mass in kilograms; controls for instrument scale and complexity across lineages</w:t>
            </w:r>
          </w:p>
        </w:tc>
        <w:tc>
          <w:tcPr>
            <w:tcW w:w="0" w:type="auto"/>
          </w:tcPr>
          <w:p>
            <w:pPr>
              <w:spacing w:line="240" w:lineRule="auto" w:before="0" w:after="0"/>
              <w:pStyle w:val="Compact"/>
            </w:pPr>
            <w:r>
              <w:rPr>
                <w:sz w:val="20"/>
                <w:szCs w:val="20"/>
              </w:rPr>
              <w:t xml:space="preserve">WMO OSCAR instrument records; eoPortal mission pages; Wikipedia instrument pages</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Indicator equal to 1 if the unit is a repeat build of an existing design, 0 if first-of-a-kind</w:t>
            </w:r>
          </w:p>
        </w:tc>
        <w:tc>
          <w:tcPr>
            <w:tcW w:w="0" w:type="auto"/>
          </w:tcPr>
          <w:p>
            <w:pPr>
              <w:spacing w:line="240" w:lineRule="auto" w:before="0" w:after="0"/>
              <w:pStyle w:val="Compact"/>
            </w:pPr>
            <w:r>
              <w:rPr>
                <w:sz w:val="20"/>
                <w:szCs w:val="20"/>
              </w:rPr>
              <w:t xml:space="preserve">Author-coded from build histories</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Instrument launch mass in kilograms</w:t>
            </w:r>
          </w:p>
        </w:tc>
        <w:tc>
          <w:tcPr>
            <w:tcW w:w="0" w:type="auto"/>
          </w:tcPr>
          <w:p>
            <w:pPr>
              <w:spacing w:line="240" w:lineRule="auto" w:before="0" w:after="0"/>
              <w:pStyle w:val="Compact"/>
            </w:pPr>
            <w:r>
              <w:rPr>
                <w:sz w:val="20"/>
                <w:szCs w:val="20"/>
              </w:rPr>
              <w:t xml:space="preserve">WMO OSCAR; eoPortal; instrument datasheets</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1.1921</w:t>
            </w:r>
          </w:p>
        </w:tc>
        <w:tc>
          <w:tcPr>
            <w:tcW w:w="0" w:type="auto"/>
          </w:tcPr>
          <w:p>
            <w:pPr>
              <w:spacing w:line="240" w:lineRule="auto" w:before="0" w:after="0"/>
              <w:pStyle w:val="Compact"/>
            </w:pPr>
            <w:r>
              <w:rPr>
                <w:sz w:val="20"/>
                <w:szCs w:val="20"/>
              </w:rPr>
              <w:t xml:space="preserve">5.6114</w:t>
            </w:r>
          </w:p>
        </w:tc>
        <w:tc>
          <w:tcPr>
            <w:tcW w:w="0" w:type="auto"/>
          </w:tcPr>
          <w:p>
            <w:pPr>
              <w:spacing w:line="240" w:lineRule="auto" w:before="0" w:after="0"/>
              <w:pStyle w:val="Compact"/>
            </w:pPr>
            <w:r>
              <w:rPr>
                <w:sz w:val="20"/>
                <w:szCs w:val="20"/>
              </w:rPr>
              <w:t xml:space="preserve">0.2124</w:t>
            </w:r>
          </w:p>
        </w:tc>
        <w:tc>
          <w:tcPr>
            <w:tcW w:w="0" w:type="auto"/>
          </w:tcPr>
          <w:p>
            <w:pPr>
              <w:spacing w:line="240" w:lineRule="auto" w:before="0" w:after="0"/>
              <w:pStyle w:val="Compact"/>
            </w:pPr>
            <w:r>
              <w:rPr>
                <w:sz w:val="20"/>
                <w:szCs w:val="20"/>
              </w:rPr>
              <w:t xml:space="preserve">0.8318</w:t>
            </w:r>
          </w:p>
        </w:tc>
        <w:tc>
          <w:tcPr>
            <w:tcW w:w="0" w:type="auto"/>
          </w:tcPr>
          <w:p>
            <w:pPr>
              <w:spacing w:line="240" w:lineRule="auto" w:before="0" w:after="0"/>
              <w:pStyle w:val="Compact"/>
            </w:pPr>
            <w:r>
              <w:rPr>
                <w:sz w:val="20"/>
                <w:szCs w:val="20"/>
              </w:rPr>
              <w:t xml:space="preserve">[-9.8059, 12.1901]</w:t>
            </w:r>
          </w:p>
        </w:tc>
      </w:tr>
      <w:tr>
        <w:tc>
          <w:tcPr>
            <w:tcW w:w="0" w:type="auto"/>
          </w:tcPr>
          <w:p>
            <w:pPr>
              <w:spacing w:line="240" w:lineRule="auto" w:before="0" w:after="0"/>
              <w:pStyle w:val="Compact"/>
            </w:pPr>
            <w:r>
              <w:rPr>
                <w:sz w:val="20"/>
                <w:szCs w:val="20"/>
              </w:rPr>
              <w:t xml:space="preserve">build_number</w:t>
            </w:r>
          </w:p>
        </w:tc>
        <w:tc>
          <w:tcPr>
            <w:tcW w:w="0" w:type="auto"/>
          </w:tcPr>
          <w:p>
            <w:pPr>
              <w:spacing w:line="240" w:lineRule="auto" w:before="0" w:after="0"/>
              <w:pStyle w:val="Compact"/>
            </w:pPr>
            <w:r>
              <w:rPr>
                <w:sz w:val="20"/>
                <w:szCs w:val="20"/>
              </w:rPr>
              <w:t xml:space="preserve">0.1817</w:t>
            </w:r>
          </w:p>
        </w:tc>
        <w:tc>
          <w:tcPr>
            <w:tcW w:w="0" w:type="auto"/>
          </w:tcPr>
          <w:p>
            <w:pPr>
              <w:spacing w:line="240" w:lineRule="auto" w:before="0" w:after="0"/>
              <w:pStyle w:val="Compact"/>
            </w:pPr>
            <w:r>
              <w:rPr>
                <w:sz w:val="20"/>
                <w:szCs w:val="20"/>
              </w:rPr>
              <w:t xml:space="preserve">0.1938</w:t>
            </w:r>
          </w:p>
        </w:tc>
        <w:tc>
          <w:tcPr>
            <w:tcW w:w="0" w:type="auto"/>
          </w:tcPr>
          <w:p>
            <w:pPr>
              <w:spacing w:line="240" w:lineRule="auto" w:before="0" w:after="0"/>
              <w:pStyle w:val="Compact"/>
            </w:pPr>
            <w:r>
              <w:rPr>
                <w:sz w:val="20"/>
                <w:szCs w:val="20"/>
              </w:rPr>
              <w:t xml:space="preserve">0.9376</w:t>
            </w:r>
          </w:p>
        </w:tc>
        <w:tc>
          <w:tcPr>
            <w:tcW w:w="0" w:type="auto"/>
          </w:tcPr>
          <w:p>
            <w:pPr>
              <w:spacing w:line="240" w:lineRule="auto" w:before="0" w:after="0"/>
              <w:pStyle w:val="Compact"/>
            </w:pPr>
            <w:r>
              <w:rPr>
                <w:sz w:val="20"/>
                <w:szCs w:val="20"/>
              </w:rPr>
              <w:t xml:space="preserve">0.3484</w:t>
            </w:r>
          </w:p>
        </w:tc>
        <w:tc>
          <w:tcPr>
            <w:tcW w:w="0" w:type="auto"/>
          </w:tcPr>
          <w:p>
            <w:pPr>
              <w:spacing w:line="240" w:lineRule="auto" w:before="0" w:after="0"/>
              <w:pStyle w:val="Compact"/>
            </w:pPr>
            <w:r>
              <w:rPr>
                <w:sz w:val="20"/>
                <w:szCs w:val="20"/>
              </w:rPr>
              <w:t xml:space="preserve">[-0.1981, 0.5614]</w:t>
            </w:r>
          </w:p>
        </w:tc>
      </w:tr>
      <w:tr>
        <w:tc>
          <w:tcPr>
            <w:tcW w:w="0" w:type="auto"/>
          </w:tcPr>
          <w:p>
            <w:pPr>
              <w:spacing w:line="240" w:lineRule="auto" w:before="0" w:after="0"/>
              <w:pStyle w:val="Compact"/>
            </w:pPr>
            <w:r>
              <w:rPr>
                <w:sz w:val="20"/>
                <w:szCs w:val="20"/>
              </w:rPr>
              <w:t xml:space="preserve">ln_mass</w:t>
            </w:r>
          </w:p>
        </w:tc>
        <w:tc>
          <w:tcPr>
            <w:tcW w:w="0" w:type="auto"/>
          </w:tcPr>
          <w:p>
            <w:pPr>
              <w:spacing w:line="240" w:lineRule="auto" w:before="0" w:after="0"/>
              <w:pStyle w:val="Compact"/>
            </w:pPr>
            <w:r>
              <w:rPr>
                <w:sz w:val="20"/>
                <w:szCs w:val="20"/>
              </w:rPr>
              <w:t xml:space="preserve">0.2485</w:t>
            </w:r>
          </w:p>
        </w:tc>
        <w:tc>
          <w:tcPr>
            <w:tcW w:w="0" w:type="auto"/>
          </w:tcPr>
          <w:p>
            <w:pPr>
              <w:spacing w:line="240" w:lineRule="auto" w:before="0" w:after="0"/>
              <w:pStyle w:val="Compact"/>
            </w:pPr>
            <w:r>
              <w:rPr>
                <w:sz w:val="20"/>
                <w:szCs w:val="20"/>
              </w:rPr>
              <w:t xml:space="preserve">1.1529</w:t>
            </w:r>
          </w:p>
        </w:tc>
        <w:tc>
          <w:tcPr>
            <w:tcW w:w="0" w:type="auto"/>
          </w:tcPr>
          <w:p>
            <w:pPr>
              <w:spacing w:line="240" w:lineRule="auto" w:before="0" w:after="0"/>
              <w:pStyle w:val="Compact"/>
            </w:pPr>
            <w:r>
              <w:rPr>
                <w:sz w:val="20"/>
                <w:szCs w:val="20"/>
              </w:rPr>
              <w:t xml:space="preserve">0.2155</w:t>
            </w:r>
          </w:p>
        </w:tc>
        <w:tc>
          <w:tcPr>
            <w:tcW w:w="0" w:type="auto"/>
          </w:tcPr>
          <w:p>
            <w:pPr>
              <w:spacing w:line="240" w:lineRule="auto" w:before="0" w:after="0"/>
              <w:pStyle w:val="Compact"/>
            </w:pPr>
            <w:r>
              <w:rPr>
                <w:sz w:val="20"/>
                <w:szCs w:val="20"/>
              </w:rPr>
              <w:t xml:space="preserve">0.8294</w:t>
            </w:r>
          </w:p>
        </w:tc>
        <w:tc>
          <w:tcPr>
            <w:tcW w:w="0" w:type="auto"/>
          </w:tcPr>
          <w:p>
            <w:pPr>
              <w:spacing w:line="240" w:lineRule="auto" w:before="0" w:after="0"/>
              <w:pStyle w:val="Compact"/>
            </w:pPr>
            <w:r>
              <w:rPr>
                <w:sz w:val="20"/>
                <w:szCs w:val="20"/>
              </w:rPr>
              <w:t xml:space="preserve">[-2.0112, 2.5082]</w:t>
            </w:r>
          </w:p>
        </w:tc>
      </w:tr>
    </w:tbl>
    <w:p>
      <w:pPr>
        <w:pStyle w:val="BodyText"/>
      </w:pPr>
      <w:r>
        <w:t xml:space="preserve">Fit: N = 28 R2 = 0.0295 R2_adj = -0.0481 F = 0.4647 F_p = 0.6336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4" Target="https://doi.org/10.1016/j.actaastro.2019.09.029" TargetMode="External" /><Relationship Type="http://schemas.openxmlformats.org/officeDocument/2006/relationships/hyperlink" Id="rId68" Target="https://doi.org/10.1016/j.actaastro.2019.09.030" TargetMode="External" /><Relationship Type="http://schemas.openxmlformats.org/officeDocument/2006/relationships/hyperlink" Id="rId72" Target="https://doi.org/10.1016/j.actaastro.2020.06.031"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19.09.029" TargetMode="External" /><Relationship Type="http://schemas.openxmlformats.org/officeDocument/2006/relationships/hyperlink" Id="rId68" Target="https://doi.org/10.1016/j.actaastro.2019.09.030" TargetMode="External" /><Relationship Type="http://schemas.openxmlformats.org/officeDocument/2006/relationships/hyperlink" Id="rId72" Target="https://doi.org/10.1016/j.actaastro.2020.06.03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2026-06-22T20:31:19Z</dcterms:created>
  <dcterms:modified xsi:type="dcterms:W3CDTF">2026-06-22T20:31:19Z</dcterms:modified>
</cp:coreProperties>
</file>

<file path=docProps/custom.xml><?xml version="1.0" encoding="utf-8"?>
<Properties xmlns="http://schemas.openxmlformats.org/officeDocument/2006/custom-properties" xmlns:vt="http://schemas.openxmlformats.org/officeDocument/2006/docPropsVTypes"/>
</file>