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LEARNING CURVES FOR SPACEFLIGHT DETECTORS: DO REPEAT BUILDS OF AN INSTRUMENT ARC</w:t>
      </w:r>
    </w:p>
    <w:p>
      <w:pPr>
        <w:jc w:val="center"/>
      </w:pPr>
    </w:p>
    <w:p>
      <w:pPr>
        <w:jc w:val="center"/>
      </w:pPr>
      <w:r>
        <w:rPr>
          <w:rFonts w:ascii="Times New Roman" w:hAnsi="Times New Roman"/>
          <w:sz w:val="24"/>
        </w:rPr>
        <w:t>by</w:t>
      </w:r>
    </w:p>
    <w:p>
      <w:pPr>
        <w:jc w:val="center"/>
      </w:pPr>
      <w:r>
        <w:rPr>
          <w:rFonts w:ascii="Times New Roman" w:hAnsi="Times New Roman"/>
          <w:b/>
          <w:sz w:val="28"/>
        </w:rPr>
        <w:t>Hugo Heinz</w:t>
      </w:r>
    </w:p>
    <w:p>
      <w:pPr>
        <w:jc w:val="center"/>
      </w:pPr>
      <w:r>
        <w:rPr>
          <w:rFonts w:ascii="Times New Roman" w:hAnsi="Times New Roman"/>
          <w:sz w:val="24"/>
        </w:rPr>
        <w:t>1B-INS-018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Xcc87f8cc58145b0ff2f4d63f1ef458f6283435c"/>
    <w:p>
      <w:pPr>
        <w:pStyle w:val="Heading2"/>
        <w:spacing w:line="480" w:lineRule="auto"/>
      </w:pPr>
      <w:r>
        <w:t xml:space="preserve">1.1 The Problem and Why It Matters to NASA and JPL</w:t>
      </w:r>
    </w:p>
    <w:p>
      <w:pPr>
        <w:pStyle w:val="FirstParagraph"/>
        <w:spacing w:line="480" w:lineRule="auto"/>
      </w:pPr>
      <w:r>
        <w:t xml:space="preserve">Every mission concept that NASA and the Jet Propulsion Laboratory price carries, somewhere in its cost model, a claim about repetition. When a study office credits a detector line with heritage, it is asserting that building the instrument again will be cheaper, faster, or more capable than building it for the first time. This assertion is not casual. NASA’s instrument cost model encodes it formally, propagating the cost of additional copies forward along a Wright learning curve and carrying a dedicated multiple-builds capability precisely because the recurring unit of a flown instrument is expected to cost materially less than its first-of-a-kind predecessor</w:t>
      </w:r>
      <w:r>
        <w:t xml:space="preserve"> </w:t>
      </w:r>
      <w:hyperlink w:anchor="ref-8">
        <w:r>
          <w:rPr>
            <w:rStyle w:val="Hyperlink"/>
          </w:rPr>
          <w:t xml:space="preserve">[8]</w:t>
        </w:r>
      </w:hyperlink>
      <w:r>
        <w:t xml:space="preserve">,</w:t>
      </w:r>
      <w:r>
        <w:t xml:space="preserve"> </w:t>
      </w:r>
      <w:hyperlink w:anchor="ref-18">
        <w:r>
          <w:rPr>
            <w:rStyle w:val="Hyperlink"/>
          </w:rPr>
          <w:t xml:space="preserve">[18]</w:t>
        </w:r>
      </w:hyperlink>
      <w:r>
        <w:t xml:space="preserve">. Parametric tools that NASA has validated mission by mission embed the same logic, pricing a second build below the first by an experience factor</w:t>
      </w:r>
      <w:r>
        <w:t xml:space="preserve"> </w:t>
      </w:r>
      <w:hyperlink w:anchor="ref-7">
        <w:r>
          <w:rPr>
            <w:rStyle w:val="Hyperlink"/>
          </w:rPr>
          <w:t xml:space="preserve">[7]</w:t>
        </w:r>
      </w:hyperlink>
      <w:r>
        <w:t xml:space="preserve">. The conviction that repeat builds arc downward is, in the strict sense, institutionalized.</w:t>
      </w:r>
    </w:p>
    <w:p>
      <w:pPr>
        <w:pStyle w:val="BodyText"/>
        <w:spacing w:line="480" w:lineRule="auto"/>
        <w:ind w:firstLine="720"/>
      </w:pPr>
      <w:r>
        <w:t xml:space="preserve">At the level it was built for, the conviction is well founded. The space-economy literature documents that economies of scale in production and launch have characterized the modern sector and are expected to deepen as launch cadence rises</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and the learning curve traces to Wright’s original observation that direct labor per airframe fell by a constant fraction each time cumulative production doubled, summarized in conventional aerospace progress ratios of eighty-five to ninety percent</w:t>
      </w:r>
      <w:r>
        <w:t xml:space="preserve"> </w:t>
      </w:r>
      <w:hyperlink w:anchor="ref-19">
        <w:r>
          <w:rPr>
            <w:rStyle w:val="Hyperlink"/>
          </w:rPr>
          <w:t xml:space="preserve">[19]</w:t>
        </w:r>
      </w:hyperlink>
      <w:r>
        <w:t xml:space="preserve">. At the scale of launch vehicles, satellite buses, and large constellations, the experience effect has hundreds of production articles to trace and has reshaped the economics of access to orbit. The unit of repetition in those domains is a roughly fungible production article, and the curve has the data density to be estimated cleanly.</w:t>
      </w:r>
    </w:p>
    <w:p>
      <w:pPr>
        <w:pStyle w:val="BodyText"/>
        <w:spacing w:line="480" w:lineRule="auto"/>
        <w:ind w:firstLine="720"/>
      </w:pPr>
      <w:r>
        <w:t xml:space="preserve">Scientific spaceflight detectors break the conditions under which that curve was validated. A back-illuminated deep-depletion charge-coupled device tuned for resident-space-object characterization is a bespoke article, integrated into a single telescope and optimized for a single observing regime</w:t>
      </w:r>
      <w:r>
        <w:t xml:space="preserve"> </w:t>
      </w:r>
      <w:hyperlink w:anchor="ref-3">
        <w:r>
          <w:rPr>
            <w:rStyle w:val="Hyperlink"/>
          </w:rPr>
          <w:t xml:space="preserve">[3]</w:t>
        </w:r>
      </w:hyperlink>
      <w:r>
        <w:t xml:space="preserve">. Detector and camera systems are selected and tuned per mission, with spectral and noise performance treated as a design variable rather than a fixed commodity property</w:t>
      </w:r>
      <w:r>
        <w:t xml:space="preserve"> </w:t>
      </w:r>
      <w:hyperlink w:anchor="ref-4">
        <w:r>
          <w:rPr>
            <w:rStyle w:val="Hyperlink"/>
          </w:rPr>
          <w:t xml:space="preserve">[4]</w:t>
        </w:r>
      </w:hyperlink>
      <w:r>
        <w:t xml:space="preserve">. The performance figures that matter, calibration precision and response speed at the level needed for picophotometric and differential-spectrophotometric measurement, are achieved through instrument-specific engineering rather than through volume</w:t>
      </w:r>
      <w:r>
        <w:t xml:space="preserve"> </w:t>
      </w:r>
      <w:hyperlink w:anchor="ref-6">
        <w:r>
          <w:rPr>
            <w:rStyle w:val="Hyperlink"/>
          </w:rPr>
          <w:t xml:space="preserve">[6]</w:t>
        </w:r>
      </w:hyperlink>
      <w:r>
        <w:t xml:space="preserve">. These instruments are produced in lots of one to a few dozen. The hundreds that give a learning curve its statistical purchase never exist here. Whether the experience mechanism that governs satellite buses reaches down into this small-batch, performance-defined regime has been assumed in the cost models but never isolated in the open record.</w:t>
      </w:r>
    </w:p>
    <w:p>
      <w:pPr>
        <w:pStyle w:val="BodyText"/>
        <w:spacing w:line="480" w:lineRule="auto"/>
        <w:ind w:firstLine="720"/>
      </w:pPr>
      <w:r>
        <w:t xml:space="preserve">The stakes for NASA and JPL are concrete and bidirectional. If repeat builds of a detector family genuinely arc, then a mission cost model may legitimately credit a heritage line for a quantifiable gain per build, a study office may price the premium it pays to reuse a proven detector rather than develop a new one, and a portfolio strategist may treat the concentration of demand on fewer, more frequently repeated instrument lines as a defensible lever on unit cost rather than a matter of faith. If repeat builds do not arc, then the routine extrapolation of constellation-scale curves into the instrument domain is unwarranted, the savings attributed to detector heritage must be sourced elsewhere, and a schedule or risk argument must carry the weight that a cost or performance argument cannot. Either outcome disciplines a number that currently enters mission budgets on the strength of an analogy. The question is not whether learning curves exist in space; the record establishes that they do at the system level</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 The question is whether the mechanism reaches the instrument, and in which dimension it leaves a trace.</w:t>
      </w:r>
    </w:p>
    <w:p>
      <w:pPr>
        <w:pStyle w:val="BodyText"/>
        <w:spacing w:line="480" w:lineRule="auto"/>
        <w:ind w:firstLine="720"/>
      </w:pPr>
      <w:r>
        <w:t xml:space="preserve">That last qualification is the crux. Convergence of development cost on heritage-model predictions is known to break down when instrument complexity grows by orders of magnitude between builds, because the later unit is no longer the same artifact even when it carries the same name</w:t>
      </w:r>
      <w:r>
        <w:t xml:space="preserve"> </w:t>
      </w:r>
      <w:hyperlink w:anchor="ref-9">
        <w:r>
          <w:rPr>
            <w:rStyle w:val="Hyperlink"/>
          </w:rPr>
          <w:t xml:space="preserve">[9]</w:t>
        </w:r>
      </w:hyperlink>
      <w:r>
        <w:t xml:space="preserve">. A heritage model that assumes a build-to-print repeat will underpredict a build that quietly added on-board processing or new detector arrays. This warning, raised originally in the cost domain, implies that the arc may live in one dimension of a detector lineage and be wholly absent in another. A detector family may get cheaper across copies while its cadence is governed by forces the production line does not control, or it may improve in delivered performance while its dollar cost is set by mission class. Establishing which dimension carries the experience signal, and which does not, is the empirical work this dissertation undertakes.</w:t>
      </w:r>
    </w:p>
    <w:bookmarkEnd w:id="61"/>
    <w:bookmarkStart w:id="62" w:name="Xfb88ffc49ee5343136593b06b1ccea157d2ec8a"/>
    <w:p>
      <w:pPr>
        <w:pStyle w:val="Heading2"/>
        <w:spacing w:line="480" w:lineRule="auto"/>
      </w:pPr>
      <w:r>
        <w:t xml:space="preserve">1.2 The Gap Between the Domain Literature and the Method Literature</w:t>
      </w:r>
    </w:p>
    <w:p>
      <w:pPr>
        <w:pStyle w:val="FirstParagraph"/>
        <w:spacing w:line="480" w:lineRule="auto"/>
      </w:pPr>
      <w:r>
        <w:t xml:space="preserve">Two bodies of work bear directly on this question, and they do not meet. The first is the domain literature on spaceflight detectors and instruments. It characterizes individual sensors in exquisite depth: the noise floor of a deep-depletion charge-coupled device deployed for low-Earth-orbit object characterization</w:t>
      </w:r>
      <w:r>
        <w:t xml:space="preserve"> </w:t>
      </w:r>
      <w:hyperlink w:anchor="ref-3">
        <w:r>
          <w:rPr>
            <w:rStyle w:val="Hyperlink"/>
          </w:rPr>
          <w:t xml:space="preserve">[3]</w:t>
        </w:r>
      </w:hyperlink>
      <w:r>
        <w:t xml:space="preserve">, the spectral and noise optimization of small-telescope sensor systems for space-object detection</w:t>
      </w:r>
      <w:r>
        <w:t xml:space="preserve"> </w:t>
      </w:r>
      <w:hyperlink w:anchor="ref-4">
        <w:r>
          <w:rPr>
            <w:rStyle w:val="Hyperlink"/>
          </w:rPr>
          <w:t xml:space="preserve">[4]</w:t>
        </w:r>
      </w:hyperlink>
      <w:r>
        <w:t xml:space="preserve">, the calibration and precision attainable with fast-response detectors used for differential spectrophotometry</w:t>
      </w:r>
      <w:r>
        <w:t xml:space="preserve"> </w:t>
      </w:r>
      <w:hyperlink w:anchor="ref-6">
        <w:r>
          <w:rPr>
            <w:rStyle w:val="Hyperlink"/>
          </w:rPr>
          <w:t xml:space="preserve">[6]</w:t>
        </w:r>
      </w:hyperlink>
      <w:r>
        <w:t xml:space="preserve">, and a long line of single-photon-counting imaging detectors with high spatial and temporal resolution developed for astronomical and space-sensing applications</w:t>
      </w:r>
      <w:r>
        <w:t xml:space="preserve"> </w:t>
      </w:r>
      <w:hyperlink w:anchor="ref-21">
        <w:r>
          <w:rPr>
            <w:rStyle w:val="Hyperlink"/>
          </w:rPr>
          <w:t xml:space="preserve">[21]</w:t>
        </w:r>
      </w:hyperlink>
      <w:r>
        <w:t xml:space="preserve">,</w:t>
      </w:r>
      <w:r>
        <w:t xml:space="preserve"> </w:t>
      </w:r>
      <w:hyperlink w:anchor="ref-27">
        <w:r>
          <w:rPr>
            <w:rStyle w:val="Hyperlink"/>
          </w:rPr>
          <w:t xml:space="preserve">[27]</w:t>
        </w:r>
      </w:hyperlink>
      <w:r>
        <w:t xml:space="preserve">. Build-to-print heritage appears explicitly in this literature, as when a Mars rover zoom-camera focal-plane array is documented as essentially a build-to-print copy of an earlier mast-camera array with only obsolescent parts replaced</w:t>
      </w:r>
      <w:r>
        <w:t xml:space="preserve"> </w:t>
      </w:r>
      <w:hyperlink w:anchor="ref-20">
        <w:r>
          <w:rPr>
            <w:rStyle w:val="Hyperlink"/>
          </w:rPr>
          <w:t xml:space="preserve">[20]</w:t>
        </w:r>
      </w:hyperlink>
      <w:r>
        <w:t xml:space="preserve">. These papers establish what a given detector achieves and, occasionally, that a later detector inherited from an earlier one. They treat each detector as a point, however, not as one observation in a sequence of repeat builds, and they do not connect cumulative build number to a performance figure of merit.</w:t>
      </w:r>
    </w:p>
    <w:p>
      <w:pPr>
        <w:pStyle w:val="BodyText"/>
        <w:spacing w:line="480" w:lineRule="auto"/>
        <w:ind w:firstLine="720"/>
      </w:pPr>
      <w:r>
        <w:t xml:space="preserve">The second body of work is the method literature on learning curves and space-systems cost. It supplies the functional form: a power law in which unit cost is proportional to cumulative quantity raised to a negative exponent, so that the log of unit cost falls linearly in the log of cumulative quantity, with the progress ratio given by two raised to the slope</w:t>
      </w:r>
      <w:r>
        <w:t xml:space="preserve"> </w:t>
      </w:r>
      <w:hyperlink w:anchor="ref-19">
        <w:r>
          <w:rPr>
            <w:rStyle w:val="Hyperlink"/>
          </w:rPr>
          <w:t xml:space="preserve">[19]</w:t>
        </w:r>
      </w:hyperlink>
      <w:r>
        <w:t xml:space="preserve">. NASA’s cost-estimating practice adopts this framework directly, anchoring a theoretical first unit to the instrument cost model and propagating additional copies along a Wright curve</w:t>
      </w:r>
      <w:r>
        <w:t xml:space="preserve"> </w:t>
      </w:r>
      <w:hyperlink w:anchor="ref-8">
        <w:r>
          <w:rPr>
            <w:rStyle w:val="Hyperlink"/>
          </w:rPr>
          <w:t xml:space="preserve">[8]</w:t>
        </w:r>
      </w:hyperlink>
      <w:r>
        <w:t xml:space="preserve">,</w:t>
      </w:r>
      <w:r>
        <w:t xml:space="preserve"> </w:t>
      </w:r>
      <w:hyperlink w:anchor="ref-18">
        <w:r>
          <w:rPr>
            <w:rStyle w:val="Hyperlink"/>
          </w:rPr>
          <w:t xml:space="preserve">[18]</w:t>
        </w:r>
      </w:hyperlink>
      <w:r>
        <w:t xml:space="preserve">, and the broader space-economy corpus situates the same mechanism within returns to scale across launch and manufacturing</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This literature is methodologically precise about how to estimate an experience effect. It takes aggregate cost as its dependent variable, and it operates at the level of the launch vehicle, the satellite bus, and the constellation. It does not descend to the instrument, and it does not treat delivered performance as the quantity that learns.</w:t>
      </w:r>
    </w:p>
    <w:p>
      <w:pPr>
        <w:pStyle w:val="BodyText"/>
        <w:spacing w:line="480" w:lineRule="auto"/>
        <w:ind w:firstLine="720"/>
      </w:pPr>
      <w:r>
        <w:t xml:space="preserve">The gap is the join between the two. No retrieved source models a detector family as a sequence of repeat builds and asks whether the delivered performance, the calibration precision, read noise, or radiometric stability, traces a learning curve in cumulative build number. The domain sources supply the performance figures that could populate a dependent variable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method sources supply the log-linear functional form and the estimation discipline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What is missing is the study that places a detector family’s repeat builds on the horizontal axis and a performance figure of merit on the vertical axis and tests whether the slope is real and distinguishable from zero. The economic-impact and innovation-network analyses of satellite development that round out the method corpus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t>
      </w:r>
      <w:r>
        <w:t xml:space="preserve">reason about programs and firms, not about successive copies of a single instrument resolved to its delivered figure of merit. This dissertation occupies exactly that join, and it does so with a deliberate division of labor across cost, cadence, and performance so that the dimension in which the arc lives, if it lives at all, can be located rather than assumed.</w:t>
      </w:r>
    </w:p>
    <w:p>
      <w:pPr>
        <w:pStyle w:val="BodyText"/>
        <w:spacing w:line="480" w:lineRule="auto"/>
        <w:ind w:firstLine="720"/>
      </w:pPr>
      <w:r>
        <w:t xml:space="preserve">The two empirical studies that precede this introduction in the dissertation program already mark out the boundaries of the gap from opposite sides, and their juxtaposition sharpens the contribution that remains. A cross-program estimate of unit-cost decline finds that repeat builds of detector and instrument lines do arc downward in dollars: pooled across twenty documented production points spanning four orders of magnitude in build quantity, the log-log slope is negative and statistically distinguishable from zero, with an implied progress ratio near two-thirds, steeper than the canonical aerospace band because the high-volume commercial constellations at the long-quantity end exert leverage on the pooled fit</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A companion study of production cadence reaches the opposite verdict in the schedule dimension: across twenty-eight flight units drawn from six documented detector lineages, cumulative build number does not predict a shorter inter-build interval, the point estimate runs slightly in the wrong direction, and its confidence interval comfortably contains zero, consistent with the interpretation that cadence is set by the programmatic clock of mission funding and host-spacecraft availability rather than by the production line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Together these results show that the arc is dimension-specific: real in cost, absent in cadence. What neither study addresses, and what the domain literature leaves untouched, is whether the arc reaches the dimension that distinguishes a scientific detector from a commodity bus, namely delivered performance.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states one testable proposition and stakes its claim on the sign and significance of a single estimated coefficient. The proposition is that a spaceflight detector family’s delivered performance improves log-linearly with cumulative build number, in the same functional form that the space-systems cost literature validates for unit cost</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p>
    <w:p>
      <w:pPr>
        <w:pStyle w:val="BodyText"/>
        <w:spacing w:line="480" w:lineRule="auto"/>
        <w:ind w:firstLine="720"/>
      </w:pPr>
      <w:r>
        <w:t xml:space="preserve">Let</w:t>
      </w:r>
      <w:r>
        <w:t xml:space="preserve"> </w:t>
      </w:r>
      <w:r>
        <w:rPr>
          <w:i/>
          <w:iCs/>
        </w:rPr>
        <w:t xml:space="preserve">P</w:t>
      </w:r>
      <w:r>
        <w:t xml:space="preserve">₍ₙ₎ denote a detector performance figure of merit for the</w:t>
      </w:r>
      <w:r>
        <w:t xml:space="preserve"> </w:t>
      </w:r>
      <w:r>
        <w:rPr>
          <w:i/>
          <w:iCs/>
        </w:rPr>
        <w:t xml:space="preserve">n</w:t>
      </w:r>
      <w:r>
        <w:t xml:space="preserve">-th build in a detector family, defined so that lower is better, for example a root-mean-square calibration residual or a read-noise figure. Let</w:t>
      </w:r>
      <w:r>
        <w:t xml:space="preserve"> </w:t>
      </w:r>
      <w:r>
        <w:rPr>
          <w:i/>
          <w:iCs/>
        </w:rPr>
        <w:t xml:space="preserve">n</w:t>
      </w:r>
      <w:r>
        <w:t xml:space="preserve"> </w:t>
      </w:r>
      <w:r>
        <w:t xml:space="preserve">be the cumulative build index within that family. The Wright-form model predicts</w:t>
      </w:r>
    </w:p>
    <w:p>
      <w:pPr>
        <w:pStyle w:val="BodyText"/>
        <w:spacing w:line="480" w:lineRule="auto"/>
        <w:ind w:firstLine="720"/>
      </w:pPr>
      <w:r>
        <w:t xml:space="preserve">log</w:t>
      </w:r>
      <w:r>
        <w:t xml:space="preserve"> </w:t>
      </w:r>
      <w:r>
        <w:rPr>
          <w:i/>
          <w:iCs/>
        </w:rPr>
        <w:t xml:space="preserve">P</w:t>
      </w:r>
      <w:r>
        <w:t xml:space="preserve">₍ₙ₎ = log</w:t>
      </w:r>
      <w:r>
        <w:t xml:space="preserve"> </w:t>
      </w:r>
      <w:r>
        <w:rPr>
          <w:i/>
          <w:iCs/>
        </w:rPr>
        <w:t xml:space="preserve">P</w:t>
      </w:r>
      <w:r>
        <w:t xml:space="preserve">₁ +</w:t>
      </w:r>
      <w:r>
        <w:t xml:space="preserve"> </w:t>
      </w:r>
      <w:r>
        <w:rPr>
          <w:i/>
          <w:iCs/>
        </w:rPr>
        <w:t xml:space="preserve">b</w:t>
      </w:r>
      <w:r>
        <w:t xml:space="preserve"> </w:t>
      </w:r>
      <w:r>
        <w:t xml:space="preserve">· log</w:t>
      </w:r>
      <w:r>
        <w:t xml:space="preserve"> </w:t>
      </w:r>
      <w:r>
        <w:rPr>
          <w:i/>
          <w:iCs/>
        </w:rPr>
        <w:t xml:space="preserve">n</w:t>
      </w:r>
      <w:r>
        <w:t xml:space="preserve"> </w:t>
      </w:r>
      <w:r>
        <w:t xml:space="preserve">+</w:t>
      </w:r>
      <w:r>
        <w:t xml:space="preserve"> </w:t>
      </w:r>
      <w:r>
        <w:rPr>
          <w:i/>
          <w:iCs/>
        </w:rPr>
        <w:t xml:space="preserve">e</w:t>
      </w:r>
      <w:r>
        <w:t xml:space="preserve">₍ₙ₎,</w:t>
      </w:r>
    </w:p>
    <w:p>
      <w:pPr>
        <w:pStyle w:val="BodyText"/>
        <w:spacing w:line="480" w:lineRule="auto"/>
        <w:ind w:firstLine="720"/>
      </w:pPr>
      <w:r>
        <w:t xml:space="preserve">where</w:t>
      </w:r>
      <w:r>
        <w:t xml:space="preserve"> </w:t>
      </w:r>
      <w:r>
        <w:rPr>
          <w:i/>
          <w:iCs/>
        </w:rPr>
        <w:t xml:space="preserve">b</w:t>
      </w:r>
      <w:r>
        <w:t xml:space="preserve"> </w:t>
      </w:r>
      <w:r>
        <w:t xml:space="preserve">is the learning slope,</w:t>
      </w:r>
      <w:r>
        <w:t xml:space="preserve"> </w:t>
      </w:r>
      <w:r>
        <w:rPr>
          <w:i/>
          <w:iCs/>
        </w:rPr>
        <w:t xml:space="preserve">e</w:t>
      </w:r>
      <w:r>
        <w:t xml:space="preserve">₍ₙ₎ is an error term, and the learning rate is two raised to</w:t>
      </w:r>
      <w:r>
        <w:t xml:space="preserve"> </w:t>
      </w:r>
      <w:r>
        <w:rPr>
          <w:i/>
          <w:iCs/>
        </w:rPr>
        <w:t xml:space="preserve">b</w:t>
      </w:r>
      <w:r>
        <w:t xml:space="preserve">. A negative</w:t>
      </w:r>
      <w:r>
        <w:t xml:space="preserve"> </w:t>
      </w:r>
      <w:r>
        <w:rPr>
          <w:i/>
          <w:iCs/>
        </w:rPr>
        <w:t xml:space="preserve">b</w:t>
      </w:r>
      <w:r>
        <w:t xml:space="preserve"> </w:t>
      </w:r>
      <w:r>
        <w:t xml:space="preserve">means performance improves with repetition.</w:t>
      </w:r>
    </w:p>
    <w:p>
      <w:pPr>
        <w:pStyle w:val="BodyText"/>
        <w:spacing w:line="480" w:lineRule="auto"/>
        <w:ind w:firstLine="720"/>
      </w:pPr>
      <w:r>
        <w:rPr>
          <w:b/>
          <w:bCs/>
        </w:rPr>
        <w:t xml:space="preserve">H0 (null):</w:t>
      </w:r>
      <w:r>
        <w:t xml:space="preserve"> </w:t>
      </w:r>
      <w:r>
        <w:rPr>
          <w:i/>
          <w:iCs/>
        </w:rPr>
        <w:t xml:space="preserve">b</w:t>
      </w:r>
      <w:r>
        <w:t xml:space="preserve"> </w:t>
      </w:r>
      <w:r>
        <w:t xml:space="preserve">= 0. Repeat builds of a detector family show no systematic improvement in the performance figure of merit with cumulative build number. Detector performance is set by per-build engineering and design choices, not by accumulated experience, and the learning curve that governs satellite buses and launch vehicles</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w:t>
      </w:r>
      <w:r>
        <w:t xml:space="preserve">does not reach the instrument’s delivered performance.</w:t>
      </w:r>
    </w:p>
    <w:p>
      <w:pPr>
        <w:pStyle w:val="BodyText"/>
        <w:spacing w:line="480" w:lineRule="auto"/>
        <w:ind w:firstLine="720"/>
      </w:pPr>
      <w:r>
        <w:rPr>
          <w:b/>
          <w:bCs/>
        </w:rPr>
        <w:t xml:space="preserve">H1 (alternative):</w:t>
      </w:r>
      <w:r>
        <w:t xml:space="preserve"> </w:t>
      </w:r>
      <w:r>
        <w:rPr>
          <w:i/>
          <w:iCs/>
        </w:rPr>
        <w:t xml:space="preserve">b</w:t>
      </w:r>
      <w:r>
        <w:t xml:space="preserve"> </w:t>
      </w:r>
      <w:r>
        <w:t xml:space="preserve">&lt; 0, distinguishable from zero. The log of the detector performance figure of merit declines linearly in the log of cumulative build number, demonstrating a measurable detector learning curve in performance. The experience mechanism documented at the system level</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w:t>
      </w:r>
      <w:r>
        <w:t xml:space="preserve">operates also in the small-batch, performance-defined instrument regime.</w:t>
      </w:r>
    </w:p>
    <w:p>
      <w:pPr>
        <w:pStyle w:val="BodyText"/>
        <w:spacing w:line="480" w:lineRule="auto"/>
        <w:ind w:firstLine="720"/>
      </w:pPr>
      <w:r>
        <w:t xml:space="preserve">The proposition is falsifiable in the strict sense. A fitted slope statistically indistinguishable from zero, or positive, refutes H1 and sustains H0. The study reports a single estimate of</w:t>
      </w:r>
      <w:r>
        <w:t xml:space="preserve"> </w:t>
      </w:r>
      <w:r>
        <w:rPr>
          <w:i/>
          <w:iCs/>
        </w:rPr>
        <w:t xml:space="preserve">b</w:t>
      </w:r>
      <w:r>
        <w:t xml:space="preserve"> </w:t>
      </w:r>
      <w:r>
        <w:t xml:space="preserve">per detector family with its confidence interval, and the sign and significance of</w:t>
      </w:r>
      <w:r>
        <w:t xml:space="preserve"> </w:t>
      </w:r>
      <w:r>
        <w:rPr>
          <w:i/>
          <w:iCs/>
        </w:rPr>
        <w:t xml:space="preserve">b</w:t>
      </w:r>
      <w:r>
        <w:t xml:space="preserve"> </w:t>
      </w:r>
      <w:r>
        <w:t xml:space="preserve">decide the question. The estimand is identified from within-family repeat builds: successive builds of the</w:t>
      </w:r>
      <w:r>
        <w:t xml:space="preserve"> </w:t>
      </w:r>
      <w:r>
        <w:rPr>
          <w:i/>
          <w:iCs/>
        </w:rPr>
        <w:t xml:space="preserve">same</w:t>
      </w:r>
      <w:r>
        <w:t xml:space="preserve"> </w:t>
      </w:r>
      <w:r>
        <w:t xml:space="preserve">detector family are compared, so that design archetype, vendor, and measurement regime are held fixed and the only systematically varying quantity is cumulative build number. This within-family design absorbs the cross-family heterogeneity that would otherwise confound a genuine experience effect with the simple selection of better detector designs over calendar time. A calendar-year control separates the experience effect from secular technology improvement, since a family that merely benefits from the advancing state of charge-coupled and complementary metal-oxide-semiconductor sensor technology over time</w:t>
      </w:r>
      <w:r>
        <w:t xml:space="preserve"> </w:t>
      </w:r>
      <w:hyperlink w:anchor="ref-4">
        <w:r>
          <w:rPr>
            <w:rStyle w:val="Hyperlink"/>
          </w:rPr>
          <w:t xml:space="preserve">[4]</w:t>
        </w:r>
      </w:hyperlink>
      <w:r>
        <w:t xml:space="preserve"> </w:t>
      </w:r>
      <w:r>
        <w:t xml:space="preserve">would mimic a learning curve without any within-family experience mechanism, and a placebo specification on a randomly permuted build index guards against fitting artifacts.</w:t>
      </w:r>
    </w:p>
    <w:p>
      <w:pPr>
        <w:pStyle w:val="BodyText"/>
        <w:spacing w:line="480" w:lineRule="auto"/>
        <w:ind w:firstLine="720"/>
      </w:pPr>
      <w:r>
        <w:t xml:space="preserve">The contribution is therefore narrow by design and precise by construction. It is not a survey of learning effects in space, nor a general theory of instrument economics. It is the isolation of one slope, in one dimension, for the class of artifacts where the experience mechanism has been assumed but never tested. Positioned against the two preceding studies, the contribution completes a three-dimensional account of whether repeat builds of an instrument arc: the cost dimension, where the answer is affirmative and the slope is steep</w:t>
      </w:r>
      <w:r>
        <w:t xml:space="preserve"> </w:t>
      </w:r>
      <w:hyperlink w:anchor="ref-19">
        <w:r>
          <w:rPr>
            <w:rStyle w:val="Hyperlink"/>
          </w:rPr>
          <w:t xml:space="preserve">[19]</w:t>
        </w:r>
      </w:hyperlink>
      <w:r>
        <w:t xml:space="preserve">; the cadence dimension, where the answer is null and the programmatic clock dominates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and the performance dimension addressed here, where the answer remains open and is decided by the estimated</w:t>
      </w:r>
      <w:r>
        <w:t xml:space="preserve"> </w:t>
      </w:r>
      <w:r>
        <w:rPr>
          <w:i/>
          <w:iCs/>
        </w:rPr>
        <w:t xml:space="preserve">b</w:t>
      </w:r>
      <w:r>
        <w:t xml:space="preserve">. Locating the arc across all three dimensions, rather than presuming it transfers wholesale from buses to detectors, is the dissertation’s claim to a contribution that the cited record does not already contain</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as follows. Chapter 2 develops the theoretical frame, deriving the Wright-form learning model from its origins in airframe production</w:t>
      </w:r>
      <w:r>
        <w:t xml:space="preserve"> </w:t>
      </w:r>
      <w:hyperlink w:anchor="ref-19">
        <w:r>
          <w:rPr>
            <w:rStyle w:val="Hyperlink"/>
          </w:rPr>
          <w:t xml:space="preserve">[19]</w:t>
        </w:r>
      </w:hyperlink>
      <w:r>
        <w:t xml:space="preserve"> </w:t>
      </w:r>
      <w:r>
        <w:t xml:space="preserve">and tracing its importation into space-systems cost practice through the instrument cost model and its multiple-builds extension</w:t>
      </w:r>
      <w:r>
        <w:t xml:space="preserve"> </w:t>
      </w:r>
      <w:hyperlink w:anchor="ref-8">
        <w:r>
          <w:rPr>
            <w:rStyle w:val="Hyperlink"/>
          </w:rPr>
          <w:t xml:space="preserve">[8]</w:t>
        </w:r>
      </w:hyperlink>
      <w:r>
        <w:t xml:space="preserve">,</w:t>
      </w:r>
      <w:r>
        <w:t xml:space="preserve"> </w:t>
      </w:r>
      <w:hyperlink w:anchor="ref-18">
        <w:r>
          <w:rPr>
            <w:rStyle w:val="Hyperlink"/>
          </w:rPr>
          <w:t xml:space="preserve">[18]</w:t>
        </w:r>
      </w:hyperlink>
      <w:r>
        <w:t xml:space="preserve">, the parametric validation literature</w:t>
      </w:r>
      <w:r>
        <w:t xml:space="preserve"> </w:t>
      </w:r>
      <w:hyperlink w:anchor="ref-7">
        <w:r>
          <w:rPr>
            <w:rStyle w:val="Hyperlink"/>
          </w:rPr>
          <w:t xml:space="preserve">[7]</w:t>
        </w:r>
      </w:hyperlink>
      <w:r>
        <w:t xml:space="preserve">, and the heritage-divergence caution that complexity growth between builds can sever the build-to-print assumption on which the curve rests</w:t>
      </w:r>
      <w:r>
        <w:t xml:space="preserve"> </w:t>
      </w:r>
      <w:hyperlink w:anchor="ref-9">
        <w:r>
          <w:rPr>
            <w:rStyle w:val="Hyperlink"/>
          </w:rPr>
          <w:t xml:space="preserve">[9]</w:t>
        </w:r>
      </w:hyperlink>
      <w:r>
        <w:t xml:space="preserve">. The chapter formalizes the distinction between the firm’s internal experience clock and the external programmatic clock, and it motivates why performance, rather than cost or cadence alone, is the dependent variable that most directly tests whether the experience mechanism reaches a scientific detector</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Chapter 3 presents the data and its provenance. The performance panel is built from the open detector-characterization record: the AMOS conference technical-paper archive, a public corpus of optical-systems and non-resolved-object-characterization papers spanning 2006 to 2025, which reports quantitative figures of merit for named sensor families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supplemented by the broader instrument-characterization record where additional repeat builds within a family are documented</w:t>
      </w:r>
      <w:r>
        <w:t xml:space="preserve"> </w:t>
      </w:r>
      <w:hyperlink w:anchor="ref-21">
        <w:r>
          <w:rPr>
            <w:rStyle w:val="Hyperlink"/>
          </w:rPr>
          <w:t xml:space="preserve">[21]</w:t>
        </w:r>
      </w:hyperlink>
      <w:r>
        <w:t xml:space="preserve">,</w:t>
      </w:r>
      <w:r>
        <w:t xml:space="preserve"> </w:t>
      </w:r>
      <w:hyperlink w:anchor="ref-25">
        <w:r>
          <w:rPr>
            <w:rStyle w:val="Hyperlink"/>
          </w:rPr>
          <w:t xml:space="preserve">[25]</w:t>
        </w:r>
      </w:hyperlink>
      <w:r>
        <w:t xml:space="preserve">,</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 The chapter specifies the construction of the build index</w:t>
      </w:r>
      <w:r>
        <w:t xml:space="preserve"> </w:t>
      </w:r>
      <w:r>
        <w:rPr>
          <w:i/>
          <w:iCs/>
        </w:rPr>
        <w:t xml:space="preserve">n</w:t>
      </w:r>
      <w:r>
        <w:t xml:space="preserve"> </w:t>
      </w:r>
      <w:r>
        <w:t xml:space="preserve">by within-family ordering and of the figure of merit</w:t>
      </w:r>
      <w:r>
        <w:t xml:space="preserve"> </w:t>
      </w:r>
      <w:r>
        <w:rPr>
          <w:i/>
          <w:iCs/>
        </w:rPr>
        <w:t xml:space="preserve">P</w:t>
      </w:r>
      <w:r>
        <w:t xml:space="preserve">₍ₙ₎ by extraction from reported calibration and noise tables, and it establishes that every observation links to a named public source so that the constructed panel is auditable end to end, with no proprietary vendor data required.</w:t>
      </w:r>
    </w:p>
    <w:p>
      <w:pPr>
        <w:pStyle w:val="BodyText"/>
        <w:spacing w:line="480" w:lineRule="auto"/>
        <w:ind w:firstLine="720"/>
      </w:pPr>
      <w:r>
        <w:t xml:space="preserve">Chapter 4 reports the cost arc, the cross-program log-log estimate of unit-cost decline with cumulative build quantity, establishing that the arc is real and statistically distinguishable from a flat line in the dollar dimension while reading the steeper-than-conventional pooled slope as a composition effect of the sample’s span rather than a within-line learning rate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Chapter 5 reports the cadence result, the disciplined null on inter-build interval that locates detector cadence on the programmatic clock rather than the experience clock, and reconciles a cheaper recurring unit with a slower or unchanged cadence as the expected signature of decoupled cost and schedule learning</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p>
    <w:p>
      <w:pPr>
        <w:pStyle w:val="BodyText"/>
        <w:spacing w:line="480" w:lineRule="auto"/>
        <w:ind w:firstLine="720"/>
      </w:pPr>
      <w:r>
        <w:t xml:space="preserve">Chapter 6 reports the central performance test, the within-family estimate of the learning slope</w:t>
      </w:r>
      <w:r>
        <w:t xml:space="preserve"> </w:t>
      </w:r>
      <w:r>
        <w:rPr>
          <w:i/>
          <w:iCs/>
        </w:rPr>
        <w:t xml:space="preserve">b</w:t>
      </w:r>
      <w:r>
        <w:t xml:space="preserve"> </w:t>
      </w:r>
      <w:r>
        <w:t xml:space="preserve">in the log-linear model of Section 1.3, with its confidence interval, the calendar-year robustness control, and the placebo specification, and renders the verdict on H0 against H1 family by family before any pooling. Chapter 7 addresses threats to validity in full: the small samples intrinsic to flight detectors built in lots of one to a few dozen</w:t>
      </w:r>
      <w:r>
        <w:t xml:space="preserve"> </w:t>
      </w:r>
      <w:hyperlink w:anchor="ref-3">
        <w:r>
          <w:rPr>
            <w:rStyle w:val="Hyperlink"/>
          </w:rPr>
          <w:t xml:space="preserve">[3]</w:t>
        </w:r>
      </w:hyperlink>
      <w:r>
        <w:t xml:space="preserve">, the confounding of the experience effect with secular technology gain</w:t>
      </w:r>
      <w:r>
        <w:t xml:space="preserve"> </w:t>
      </w:r>
      <w:hyperlink w:anchor="ref-4">
        <w:r>
          <w:rPr>
            <w:rStyle w:val="Hyperlink"/>
          </w:rPr>
          <w:t xml:space="preserve">[4]</w:t>
        </w:r>
      </w:hyperlink>
      <w:r>
        <w:t xml:space="preserve">, the selection and survivorship bias of an open record that favors published successes, and the commensurability of figures of merit reported under differing observing regimes and noise definitions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Chapter 8 synthesizes the three-dimensional account, draws the implication for how NASA and JPL cost models should and should not credit detector heritage, and states the next step the evidence points toward, a within-line specification on a family for which copy-level performance and recurring cost are jointly reconstructable, so that the arc can be tested in cost and performance side by side on the same lineage</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w:t>
      </w:r>
    </w:p>
    <w:bookmarkEnd w:id="64"/>
    <w:bookmarkEnd w:id="65"/>
    <w:bookmarkStart w:id="94" w:name="chapter-2.-literature-review"/>
    <w:p>
      <w:pPr>
        <w:pStyle w:val="Heading1"/>
        <w:spacing w:line="480" w:lineRule="auto"/>
      </w:pPr>
      <w:r>
        <w:t xml:space="preserve">Chapter 2. Literature Review</w:t>
      </w:r>
    </w:p>
    <w:bookmarkStart w:id="66" w:name="introduction-and-organization"/>
    <w:p>
      <w:pPr>
        <w:pStyle w:val="Heading2"/>
        <w:spacing w:line="480" w:lineRule="auto"/>
      </w:pPr>
      <w:r>
        <w:t xml:space="preserve">2.1 Introduction and Organization</w:t>
      </w:r>
    </w:p>
    <w:p>
      <w:pPr>
        <w:pStyle w:val="FirstParagraph"/>
        <w:spacing w:line="480" w:lineRule="auto"/>
      </w:pPr>
      <w:r>
        <w:t xml:space="preserve">This chapter reviews the two bodies of scholarship that this dissertation seeks to join and demonstrates that, despite their proximity to the same empirical object, they have never been brought into contact. The first is the cliometric and econometric methodology literature on the learning curve, the durable empirical regularity that the unit cost of a manufactured article declines log-linearly in the cumulative quantity produced. The second is the domain technical literature on spaceflight detectors, the radiometers, charge-coupled devices, complementary metal-oxide-semiconductor sensors, photon-counting imagers, and calibration assemblies that constitute the measurement front end of scientific and surveillance spacecraft. The first literature supplies a method but addresses cost; the second supplies a wealth of delivered-performance measurements but treats each instrument as a singular artifact rather than as one observation in a repeat-build sequence. The unexploited intersection of the two is the analytic territory this dissertation occupies.</w:t>
      </w:r>
    </w:p>
    <w:p>
      <w:pPr>
        <w:pStyle w:val="BodyText"/>
        <w:spacing w:line="480" w:lineRule="auto"/>
        <w:ind w:firstLine="720"/>
      </w:pPr>
      <w:r>
        <w:t xml:space="preserve">The chapter proceeds in five parts. Section 2.2 reconstructs the learning-curve methodology from its Wright-form origins through its formal adoption into NASA and defense cost estimation, establishing the functional form, the estimands, and the identification problems that any application must confront. Section 2.3 surveys how that methodology has been applied within the space economy, at the level of the launch vehicle, the satellite bus, and the constellation, and shows that the dependent variable in every case is aggregate cost. Section 2.4 turns to the instrumentation literature and documents both its depth in characterizing single detectors and its silence on the question of repetition. Section 2.5 synthesizes the two strands, identifies precisely where they fail to meet, and states the gap. Section 2.6 positions the two empirical papers that anchor this dissertation against that gap and motivates the performance-arc hypothesis that the remaining chapters test. Throughout, citations are restricted to the assembled reference pool.</w:t>
      </w:r>
    </w:p>
    <w:bookmarkEnd w:id="66"/>
    <w:bookmarkStart w:id="72" w:name="X2dbf94c82d7acad894057deb8d14790471584c2"/>
    <w:p>
      <w:pPr>
        <w:pStyle w:val="Heading2"/>
        <w:spacing w:line="480" w:lineRule="auto"/>
      </w:pPr>
      <w:r>
        <w:t xml:space="preserve">2.2 The Cliometric Foundation: The Wright-Form Learning Curve</w:t>
      </w:r>
    </w:p>
    <w:bookmarkStart w:id="67" w:name="origins-and-functional-form"/>
    <w:p>
      <w:pPr>
        <w:pStyle w:val="Heading3"/>
        <w:spacing w:line="480" w:lineRule="auto"/>
      </w:pPr>
      <w:r>
        <w:t xml:space="preserve">2.2.1 Origins and functional form</w:t>
      </w:r>
    </w:p>
    <w:p>
      <w:pPr>
        <w:pStyle w:val="FirstParagraph"/>
        <w:spacing w:line="480" w:lineRule="auto"/>
      </w:pPr>
      <w:r>
        <w:t xml:space="preserve">The learning curve enters the empirical literature as Wright’s observation that the direct labor required per airframe fell by a constant fraction each time cumulative production doubled</w:t>
      </w:r>
      <w:r>
        <w:t xml:space="preserve"> </w:t>
      </w:r>
      <w:hyperlink w:anchor="ref-19">
        <w:r>
          <w:rPr>
            <w:rStyle w:val="Hyperlink"/>
          </w:rPr>
          <w:t xml:space="preserve">[19]</w:t>
        </w:r>
      </w:hyperlink>
      <w:r>
        <w:t xml:space="preserve">. The regularity proved remarkably general, and its modern statement is a power law: unit cost is proportional to cumulative quantity raised to a negative exponent, so that taking logarithms yields a linear relationship between the log of unit cost and the log of cumulative quantity</w:t>
      </w:r>
      <w:r>
        <w:t xml:space="preserve"> </w:t>
      </w:r>
      <w:hyperlink w:anchor="ref-19">
        <w:r>
          <w:rPr>
            <w:rStyle w:val="Hyperlink"/>
          </w:rPr>
          <w:t xml:space="preserve">[19]</w:t>
        </w:r>
      </w:hyperlink>
      <w:r>
        <w:t xml:space="preserve">. Writing the relationship as a regression, the slope of that line is the cost elasticity with respect to cumulative production, and two raised to the slope is the progress ratio, the fraction by which unit cost is multiplied at each doubling of cumulative volume. A progress ratio below unity is the diagnostic signature of learning, and the further below unity it sits, the steeper the descent.</w:t>
      </w:r>
    </w:p>
    <w:p>
      <w:pPr>
        <w:pStyle w:val="BodyText"/>
        <w:spacing w:line="480" w:lineRule="auto"/>
        <w:ind w:firstLine="720"/>
      </w:pPr>
      <w:r>
        <w:t xml:space="preserve">The functional form is the central methodological inheritance this dissertation draws from the cliometric literature. It is parsimonious, it requires only two observed quantities per data point, the cumulative count and the figure being tracked, and it transforms a multiplicative process into a linear one that ordinary least squares can fit directly. For aerospace hardware, the canonical empirical range places progress ratios between roughly eighty-five and ninety percent, a band that has become the default assumption in defense and civil-space cost work</w:t>
      </w:r>
      <w:r>
        <w:t xml:space="preserve"> </w:t>
      </w:r>
      <w:hyperlink w:anchor="ref-19">
        <w:r>
          <w:rPr>
            <w:rStyle w:val="Hyperlink"/>
          </w:rPr>
          <w:t xml:space="preserve">[19]</w:t>
        </w:r>
      </w:hyperlink>
      <w:r>
        <w:t xml:space="preserve">. The conventional band is itself a summary of decades of observed airframe, missile, and electronics production, and it functions in practice as a prior against which any newly estimated slope is read.</w:t>
      </w:r>
    </w:p>
    <w:bookmarkEnd w:id="67"/>
    <w:bookmarkStart w:id="68" w:name="Xba9c0a363959bb3e6058c1ff95ca25a27b89221"/>
    <w:p>
      <w:pPr>
        <w:pStyle w:val="Heading3"/>
        <w:spacing w:line="480" w:lineRule="auto"/>
      </w:pPr>
      <w:r>
        <w:t xml:space="preserve">2.2.2 Formalization into NASA and defense cost estimation</w:t>
      </w:r>
    </w:p>
    <w:p>
      <w:pPr>
        <w:pStyle w:val="FirstParagraph"/>
        <w:spacing w:line="480" w:lineRule="auto"/>
      </w:pPr>
      <w:r>
        <w:t xml:space="preserve">The learning curve is not merely an academic regularity in the space sector; it is operationalized in the cost-estimating tools that program offices use to price flight hardware. Parametric cost tools adopted on a mission-by-mission basis encode design inheritance and accumulated experience as explicit cost reducers, so that a second build is priced below the first by a learning factor</w:t>
      </w:r>
      <w:r>
        <w:t xml:space="preserve"> </w:t>
      </w:r>
      <w:hyperlink w:anchor="ref-1">
        <w:r>
          <w:rPr>
            <w:rStyle w:val="Hyperlink"/>
          </w:rPr>
          <w:t xml:space="preserve">[1]</w:t>
        </w:r>
      </w:hyperlink>
      <w:r>
        <w:t xml:space="preserve"> </w:t>
      </w:r>
      <w:hyperlink w:anchor="ref-7">
        <w:r>
          <w:rPr>
            <w:rStyle w:val="Hyperlink"/>
          </w:rPr>
          <w:t xml:space="preserve">[7]</w:t>
        </w:r>
      </w:hyperlink>
      <w:r>
        <w:t xml:space="preserve">. Blind-validation studies of such parametric tools against realized NASA mission costs are part of the methodological record, establishing both that the tools are used in anger and that their predictive accuracy is an empirical question rather than an assumed property</w:t>
      </w:r>
      <w:r>
        <w:t xml:space="preserve"> </w:t>
      </w:r>
      <w:hyperlink w:anchor="ref-7">
        <w:r>
          <w:rPr>
            <w:rStyle w:val="Hyperlink"/>
          </w:rPr>
          <w:t xml:space="preserve">[7]</w:t>
        </w:r>
      </w:hyperlink>
      <w:r>
        <w:t xml:space="preserve">. The NASA Instrument Cost Model carries a dedicated multiple-builds capability precisely because the recurring unit of a flown instrument is expected to cost materially less than its first-of-a-kind predecessor, and the model propagates the cost of additional copies forward along a Wright learning curve in the conventional band</w:t>
      </w:r>
      <w:r>
        <w:t xml:space="preserve"> </w:t>
      </w:r>
      <w:hyperlink w:anchor="ref-2">
        <w:r>
          <w:rPr>
            <w:rStyle w:val="Hyperlink"/>
          </w:rPr>
          <w:t xml:space="preserve">[2]</w:t>
        </w:r>
      </w:hyperlink>
      <w:r>
        <w:t xml:space="preserve"> </w:t>
      </w:r>
      <w:hyperlink w:anchor="ref-8">
        <w:r>
          <w:rPr>
            <w:rStyle w:val="Hyperlink"/>
          </w:rPr>
          <w:t xml:space="preserve">[8]</w:t>
        </w:r>
      </w:hyperlink>
      <w:r>
        <w:t xml:space="preserve"> </w:t>
      </w:r>
      <w:hyperlink w:anchor="ref-18">
        <w:r>
          <w:rPr>
            <w:rStyle w:val="Hyperlink"/>
          </w:rPr>
          <w:t xml:space="preserve">[18]</w:t>
        </w:r>
      </w:hyperlink>
      <w:r>
        <w:t xml:space="preserve">. The recurring unit is treated, in the cost models’ own logic, as the rule rather than the exception for flight hardware</w:t>
      </w:r>
      <w:r>
        <w:t xml:space="preserve"> </w:t>
      </w:r>
      <w:hyperlink w:anchor="ref-18">
        <w:r>
          <w:rPr>
            <w:rStyle w:val="Hyperlink"/>
          </w:rPr>
          <w:t xml:space="preserve">[18]</w:t>
        </w:r>
      </w:hyperlink>
      <w:r>
        <w:t xml:space="preserve">.</w:t>
      </w:r>
    </w:p>
    <w:p>
      <w:pPr>
        <w:pStyle w:val="BodyText"/>
        <w:spacing w:line="480" w:lineRule="auto"/>
        <w:ind w:firstLine="720"/>
      </w:pPr>
      <w:r>
        <w:t xml:space="preserve">This formal adoption matters for the present argument in two ways. First, it establishes that the learning-curve assumption is already load-bearing in the instrument domain: cost models book a heritage discount for additional detector copies as a matter of routine</w:t>
      </w:r>
      <w:r>
        <w:t xml:space="preserve"> </w:t>
      </w:r>
      <w:hyperlink w:anchor="ref-2">
        <w:r>
          <w:rPr>
            <w:rStyle w:val="Hyperlink"/>
          </w:rPr>
          <w:t xml:space="preserve">[2]</w:t>
        </w:r>
      </w:hyperlink>
      <w:r>
        <w:t xml:space="preserve"> </w:t>
      </w:r>
      <w:hyperlink w:anchor="ref-18">
        <w:r>
          <w:rPr>
            <w:rStyle w:val="Hyperlink"/>
          </w:rPr>
          <w:t xml:space="preserve">[18]</w:t>
        </w:r>
      </w:hyperlink>
      <w:r>
        <w:t xml:space="preserve">. Second, it locates the assumption’s evidentiary base. The cross-program evidence that the assumption survives contact with documented build quantities and prices is thinner than the confidence with which the assumption is applied, a tension that motivates direct estimation of the slope rather than reliance on the canonical band.</w:t>
      </w:r>
    </w:p>
    <w:bookmarkEnd w:id="68"/>
    <w:bookmarkStart w:id="69" w:name="X9858173157b61ef7c10a66376d8d5d8498c6a8f"/>
    <w:p>
      <w:pPr>
        <w:pStyle w:val="Heading3"/>
        <w:spacing w:line="480" w:lineRule="auto"/>
      </w:pPr>
      <w:r>
        <w:t xml:space="preserve">2.2.3 The friction in the mechanism: heritage divergence</w:t>
      </w:r>
    </w:p>
    <w:p>
      <w:pPr>
        <w:pStyle w:val="FirstParagraph"/>
        <w:spacing w:line="480" w:lineRule="auto"/>
      </w:pPr>
      <w:r>
        <w:t xml:space="preserve">The learning mechanism is not frictionless, and the methodology literature documents its principal failure mode. The convergence of development cost on heritage-model predictions breaks down when instrument complexity grows by orders of magnitude between successive builds, because the later unit is no longer the same artifact even when it carries the same name</w:t>
      </w:r>
      <w:r>
        <w:t xml:space="preserve"> </w:t>
      </w:r>
      <w:hyperlink w:anchor="ref-9">
        <w:r>
          <w:rPr>
            <w:rStyle w:val="Hyperlink"/>
          </w:rPr>
          <w:t xml:space="preserve">[9]</w:t>
        </w:r>
      </w:hyperlink>
      <w:r>
        <w:t xml:space="preserve">. A heritage cost model that assumes a build-to-print repeat will underpredict the cost of a build that quietly added on-board processing, wider analog-to-digital conversion, or new detector arrays</w:t>
      </w:r>
      <w:r>
        <w:t xml:space="preserve"> </w:t>
      </w:r>
      <w:hyperlink w:anchor="ref-9">
        <w:r>
          <w:rPr>
            <w:rStyle w:val="Hyperlink"/>
          </w:rPr>
          <w:t xml:space="preserve">[9]</w:t>
        </w:r>
      </w:hyperlink>
      <w:r>
        <w:t xml:space="preserve">. This heritage-divergence finding is the methodology’s most important internal caveat: it warns that the unit of repetition must be genuinely the same artifact for the learning curve to apply, and that nominal continuity of a name across builds is not sufficient evidence of artifact continuity.</w:t>
      </w:r>
    </w:p>
    <w:p>
      <w:pPr>
        <w:pStyle w:val="BodyText"/>
        <w:spacing w:line="480" w:lineRule="auto"/>
        <w:ind w:firstLine="720"/>
      </w:pPr>
      <w:r>
        <w:t xml:space="preserve">The same logic extends from cost to any other quantity tracked against build number. If a repeat build is genuinely identical, the quantity of interest, whether cost, schedule, or performance, should evolve smoothly with experience; if each repeat silently absorbs new requirements or new technology, the apparent arc may reflect compositional change rather than an experience effect. The heritage-divergence literature thus supplies both a methodological warning and an identification strategy: hold the artifact fixed, compare like with like, and isolate the experience mechanism from the confound of redesign</w:t>
      </w:r>
      <w:r>
        <w:t xml:space="preserve"> </w:t>
      </w:r>
      <w:hyperlink w:anchor="ref-9">
        <w:r>
          <w:rPr>
            <w:rStyle w:val="Hyperlink"/>
          </w:rPr>
          <w:t xml:space="preserve">[9]</w:t>
        </w:r>
      </w:hyperlink>
      <w:r>
        <w:t xml:space="preserve">.</w:t>
      </w:r>
    </w:p>
    <w:bookmarkEnd w:id="69"/>
    <w:bookmarkStart w:id="70" w:name="X1ba9fb645e296f8f11360c3abd0ed140efd574f"/>
    <w:p>
      <w:pPr>
        <w:pStyle w:val="Heading3"/>
        <w:spacing w:line="480" w:lineRule="auto"/>
      </w:pPr>
      <w:r>
        <w:t xml:space="preserve">2.2.4 Two clocks: experience versus the programmatic schedule</w:t>
      </w:r>
    </w:p>
    <w:p>
      <w:pPr>
        <w:pStyle w:val="FirstParagraph"/>
        <w:spacing w:line="480" w:lineRule="auto"/>
      </w:pPr>
      <w:r>
        <w:t xml:space="preserve">A further strand of the methodology literature distinguishes the firm’s internal experience clock, which the learning curve speeds up, from the programmatic clock of mission funding, host-spacecraft availability, and launch manifests, which moves to its own logic</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economic-impact analyses of satellite development frame learning as one driver of cost evolution among several, embedding the experience effect within broader returns to scale and to the maturation of an industrial base</w:t>
      </w:r>
      <w:r>
        <w:t xml:space="preserve"> </w:t>
      </w:r>
      <w:hyperlink w:anchor="ref-10">
        <w:r>
          <w:rPr>
            <w:rStyle w:val="Hyperlink"/>
          </w:rPr>
          <w:t xml:space="preserve">[10]</w:t>
        </w:r>
      </w:hyperlink>
      <w:r>
        <w:t xml:space="preserve">. Agile-innovation accounts of the New Space transition identify the programmatic and institutional clock, rather than the production line, as frequently the binding constraint on how quickly even an experienced organization can field its next system</w:t>
      </w:r>
      <w:r>
        <w:t xml:space="preserve"> </w:t>
      </w:r>
      <w:hyperlink w:anchor="ref-11">
        <w:r>
          <w:rPr>
            <w:rStyle w:val="Hyperlink"/>
          </w:rPr>
          <w:t xml:space="preserve">[11]</w:t>
        </w:r>
      </w:hyperlink>
      <w:r>
        <w:t xml:space="preserve">. This two-clock framing is decisive for any cliometric test in the instrument domain, because it implies that a learning arc may be present in one dependent variable, cost, while being entirely absent in another, cadence, simply because the two are governed by different clocks. The methodology, in other words, does not predict that every trace of repetition will appear in every observable; it predicts that the trace will appear in the quantity the production line actually controls.</w:t>
      </w:r>
    </w:p>
    <w:bookmarkEnd w:id="70"/>
    <w:bookmarkStart w:id="71" w:name="X01b1b4a9840a23d47ecd9b582aac7220da9b468"/>
    <w:p>
      <w:pPr>
        <w:pStyle w:val="Heading3"/>
        <w:spacing w:line="480" w:lineRule="auto"/>
      </w:pPr>
      <w:r>
        <w:t xml:space="preserve">2.2.5 Returns to scale and the broader economic frame</w:t>
      </w:r>
    </w:p>
    <w:p>
      <w:pPr>
        <w:pStyle w:val="FirstParagraph"/>
        <w:spacing w:line="480" w:lineRule="auto"/>
      </w:pPr>
      <w:r>
        <w:t xml:space="preserve">The learning curve sits inside a wider economic literature on returns to scale and scope in space production. Forecasts of the space economy attribute the dramatic reduction in satellite manufacturing cost to repetition and scale, and they project that orbital arrays and large constellations become viable only as further cost declines and technology maturation compound over successive production lots</w:t>
      </w:r>
      <w:r>
        <w:t xml:space="preserve"> </w:t>
      </w:r>
      <w:hyperlink w:anchor="ref-1">
        <w:r>
          <w:rPr>
            <w:rStyle w:val="Hyperlink"/>
          </w:rPr>
          <w:t xml:space="preserve">[1]</w:t>
        </w:r>
      </w:hyperlink>
      <w:r>
        <w:t xml:space="preserve">. Treatments of space-driven sustainability and development document economies of scale in satellite production and launch and expect them to deepen as launch cadence rises</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 economic framing of space as a final frontier emphasizes economies of scale and scope in commercial activity as a structural feature of the sector</w:t>
      </w:r>
      <w:r>
        <w:t xml:space="preserve"> </w:t>
      </w:r>
      <w:hyperlink w:anchor="ref-17">
        <w:r>
          <w:rPr>
            <w:rStyle w:val="Hyperlink"/>
          </w:rPr>
          <w:t xml:space="preserve">[17]</w:t>
        </w:r>
      </w:hyperlink>
      <w:r>
        <w:t xml:space="preserve">. Architectural treatments of space-use norms go further, proposing explicit reductions in satellite systems’ total acquisition cost as a design objective achievable through repetition and standardization</w:t>
      </w:r>
      <w:r>
        <w:t xml:space="preserve"> </w:t>
      </w:r>
      <w:hyperlink w:anchor="ref-5">
        <w:r>
          <w:rPr>
            <w:rStyle w:val="Hyperlink"/>
          </w:rPr>
          <w:t xml:space="preserve">[5]</w:t>
        </w:r>
      </w:hyperlink>
      <w:r>
        <w:t xml:space="preserve">. These accounts establish that the learning curve is one instance of a more general expectation, that volume lowers unit cost across the space industrial base, and they supply the economic motivation for asking whether the same mechanism reaches the small-batch instrument.</w:t>
      </w:r>
    </w:p>
    <w:bookmarkEnd w:id="71"/>
    <w:bookmarkEnd w:id="72"/>
    <w:bookmarkStart w:id="77" w:name="Xab55ad08a54cb12b886324c593ca7adb00fd1f2"/>
    <w:p>
      <w:pPr>
        <w:pStyle w:val="Heading2"/>
        <w:spacing w:line="480" w:lineRule="auto"/>
      </w:pPr>
      <w:r>
        <w:t xml:space="preserve">2.3 Application of the Methodology in the Space Economy</w:t>
      </w:r>
    </w:p>
    <w:bookmarkStart w:id="73" w:name="the-system-level-evidence-base"/>
    <w:p>
      <w:pPr>
        <w:pStyle w:val="Heading3"/>
        <w:spacing w:line="480" w:lineRule="auto"/>
      </w:pPr>
      <w:r>
        <w:t xml:space="preserve">2.3.1 The system-level evidence base</w:t>
      </w:r>
    </w:p>
    <w:p>
      <w:pPr>
        <w:pStyle w:val="FirstParagraph"/>
        <w:spacing w:line="480" w:lineRule="auto"/>
      </w:pPr>
      <w:r>
        <w:t xml:space="preserve">When the learning-curve methodology has been applied to space hardware, the unit of repetition has overwhelmingly been a system-level production article and the dependent variable has been aggregate cost. The space-economy corpus documents sample cost curves, from heavy launch to geostationary communications satellites, that fall predictably with cumulative volume</w:t>
      </w:r>
      <w:r>
        <w:t xml:space="preserve"> </w:t>
      </w:r>
      <w:hyperlink w:anchor="ref-2">
        <w:r>
          <w:rPr>
            <w:rStyle w:val="Hyperlink"/>
          </w:rPr>
          <w:t xml:space="preserve">[2]</w:t>
        </w:r>
      </w:hyperlink>
      <w:r>
        <w:t xml:space="preserve">, and it treats mass production as the near-universal lever behind falling unit cost across launch, satellites, and infrastructure</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 communications satellite bus, the launch vehicle stage, and the flat-panel antenna can each be built hundreds of times, so the learning curve has hundreds of data points to trace, and the resulting slopes are estimated with the precision that large samples confer. The architectural literature on space-use norms reinforces this, framing standardization and repetition as deliberate cost-reduction levers at the system level</w:t>
      </w:r>
      <w:r>
        <w:t xml:space="preserve"> </w:t>
      </w:r>
      <w:hyperlink w:anchor="ref-5">
        <w:r>
          <w:rPr>
            <w:rStyle w:val="Hyperlink"/>
          </w:rPr>
          <w:t xml:space="preserve">[5]</w:t>
        </w:r>
      </w:hyperlink>
      <w:r>
        <w:t xml:space="preserve">.</w:t>
      </w:r>
    </w:p>
    <w:bookmarkEnd w:id="73"/>
    <w:bookmarkStart w:id="74" w:name="X8257d10bb4d23c57486a55b0cac8eec7cd93538"/>
    <w:p>
      <w:pPr>
        <w:pStyle w:val="Heading3"/>
        <w:spacing w:line="480" w:lineRule="auto"/>
      </w:pPr>
      <w:r>
        <w:t xml:space="preserve">2.3.2 The constellation end of the experience range</w:t>
      </w:r>
    </w:p>
    <w:p>
      <w:pPr>
        <w:pStyle w:val="FirstParagraph"/>
        <w:spacing w:line="480" w:lineRule="auto"/>
      </w:pPr>
      <w:r>
        <w:t xml:space="preserve">The modern extension of the methodology pushes to the high-volume constellation regime, where an assembly-line process turns a detector or transponder design into a repeatable unit produced in lots of dozens to thousands. The lessons-learned record from mega-constellation deployment documents the scale at which serial production now operates and the operational consequences of fielding many near-identical units in rapid succession</w:t>
      </w:r>
      <w:r>
        <w:t xml:space="preserve"> </w:t>
      </w:r>
      <w:hyperlink w:anchor="ref-24">
        <w:r>
          <w:rPr>
            <w:rStyle w:val="Hyperlink"/>
          </w:rPr>
          <w:t xml:space="preserve">[24]</w:t>
        </w:r>
      </w:hyperlink>
      <w:r>
        <w:t xml:space="preserve">. The economic literature anticipates that such volume manufacturing deepens the cost decline beyond what within-design repetition alone would produce, because it couples experience with a deliberate shift to automated assembly and commercial-grade parts</w:t>
      </w:r>
      <w:r>
        <w:t xml:space="preserve"> </w:t>
      </w:r>
      <w:hyperlink w:anchor="ref-1">
        <w:r>
          <w:rPr>
            <w:rStyle w:val="Hyperlink"/>
          </w:rPr>
          <w:t xml:space="preserve">[1]</w:t>
        </w:r>
      </w:hyperlink>
      <w:r>
        <w:t xml:space="preserve"> </w:t>
      </w:r>
      <w:hyperlink w:anchor="ref-17">
        <w:r>
          <w:rPr>
            <w:rStyle w:val="Hyperlink"/>
          </w:rPr>
          <w:t xml:space="preserve">[17]</w:t>
        </w:r>
      </w:hyperlink>
      <w:r>
        <w:t xml:space="preserve">. This is the regime in which the learning curve is most legible and most steeply sloped, and it anchors the long-quantity end of any cross-program estimate.</w:t>
      </w:r>
    </w:p>
    <w:bookmarkEnd w:id="74"/>
    <w:bookmarkStart w:id="75" w:name="X10d96140e45029e8b74f7303d37aa1dcb4f7837"/>
    <w:p>
      <w:pPr>
        <w:pStyle w:val="Heading3"/>
        <w:spacing w:line="480" w:lineRule="auto"/>
      </w:pPr>
      <w:r>
        <w:t xml:space="preserve">2.3.3 Detector-level heritage as the most legible layer</w:t>
      </w:r>
    </w:p>
    <w:p>
      <w:pPr>
        <w:pStyle w:val="FirstParagraph"/>
        <w:spacing w:line="480" w:lineRule="auto"/>
      </w:pPr>
      <w:r>
        <w:t xml:space="preserve">The space-economy literature locates the detector layer as the place where the build-to-print mechanism is most clearly visible, because focal-plane arrays, detector electronics, and calibration assemblies are precisely the elements most often copied unchanged from one mission to the next. The Mars rover camera line is the canonical illustration: the zoom-camera focal-plane array flown on the later mission was essentially a build-to-print copy of the earlier mast-camera array, with only obsolescent parts replaced</w:t>
      </w:r>
      <w:r>
        <w:t xml:space="preserve"> </w:t>
      </w:r>
      <w:hyperlink w:anchor="ref-20">
        <w:r>
          <w:rPr>
            <w:rStyle w:val="Hyperlink"/>
          </w:rPr>
          <w:t xml:space="preserve">[20]</w:t>
        </w:r>
      </w:hyperlink>
      <w:r>
        <w:t xml:space="preserve">. This example is doubly important for the present dissertation. It demonstrates that genuine artifact continuity does occur at the detector level, satisfying the heritage-divergence condition</w:t>
      </w:r>
      <w:r>
        <w:t xml:space="preserve"> </w:t>
      </w:r>
      <w:hyperlink w:anchor="ref-9">
        <w:r>
          <w:rPr>
            <w:rStyle w:val="Hyperlink"/>
          </w:rPr>
          <w:t xml:space="preserve">[9]</w:t>
        </w:r>
      </w:hyperlink>
      <w:r>
        <w:t xml:space="preserve">, and it shows that the heritage relationship between successive detector builds is documented in the technical record in enough detail to be reconstructed. Yet even here the literature stops at the assertion of heritage; it does not place the successive builds on a horizontal axis and ask whether their delivered performance, as opposed to their lineage, traces an arc.</w:t>
      </w:r>
    </w:p>
    <w:bookmarkEnd w:id="75"/>
    <w:bookmarkStart w:id="76" w:name="X64efe66a33acad422f5cca38823b5064e14ad41"/>
    <w:p>
      <w:pPr>
        <w:pStyle w:val="Heading3"/>
        <w:spacing w:line="480" w:lineRule="auto"/>
      </w:pPr>
      <w:r>
        <w:t xml:space="preserve">2.3.4 What the system-level literature does not do</w:t>
      </w:r>
    </w:p>
    <w:p>
      <w:pPr>
        <w:pStyle w:val="FirstParagraph"/>
        <w:spacing w:line="480" w:lineRule="auto"/>
      </w:pPr>
      <w:r>
        <w:t xml:space="preserve">Two features of the system-level application bound its relevance to the instrument question and define the first edge of the gap. First, the dependent variable is always aggregate cost, never delivered performance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16">
        <w:r>
          <w:rPr>
            <w:rStyle w:val="Hyperlink"/>
          </w:rPr>
          <w:t xml:space="preserve">[16]</w:t>
        </w:r>
      </w:hyperlink>
      <w:r>
        <w:t xml:space="preserve"> </w:t>
      </w:r>
      <w:hyperlink w:anchor="ref-17">
        <w:r>
          <w:rPr>
            <w:rStyle w:val="Hyperlink"/>
          </w:rPr>
          <w:t xml:space="preserve">[17]</w:t>
        </w:r>
      </w:hyperlink>
      <w:r>
        <w:t xml:space="preserve">. The methodology has been used to ask whether the next satellite is cheaper, never whether the next detector is better. Second, the unit of repetition is a roughly fungible production article built in large numbers, not a bespoke performance-defined instrument built in lots of one to a few dozen. The system-level evidence is therefore silent on whether the experience mechanism descends to the small-batch, performance-defined detector, and its high-volume slopes cannot be extrapolated to that regime without an explicit test. The methodology supplies the functional form and the canonical band, but it has never been pointed at a performance figure of merit for a repeat-built instrument family.</w:t>
      </w:r>
    </w:p>
    <w:bookmarkEnd w:id="76"/>
    <w:bookmarkEnd w:id="77"/>
    <w:bookmarkStart w:id="83" w:name="X19bc7e934953b5511fb9b33fc00a5a1604c3cd5"/>
    <w:p>
      <w:pPr>
        <w:pStyle w:val="Heading2"/>
        <w:spacing w:line="480" w:lineRule="auto"/>
      </w:pPr>
      <w:r>
        <w:t xml:space="preserve">2.4 The Domain Technical Literature: Spaceflight Detectors</w:t>
      </w:r>
    </w:p>
    <w:bookmarkStart w:id="78" w:name="X76fa9c49f57a76a0799d0c9fb5400895dee8cd5"/>
    <w:p>
      <w:pPr>
        <w:pStyle w:val="Heading3"/>
        <w:spacing w:line="480" w:lineRule="auto"/>
      </w:pPr>
      <w:r>
        <w:t xml:space="preserve">2.4.1 Depth of single-instrument characterization</w:t>
      </w:r>
    </w:p>
    <w:p>
      <w:pPr>
        <w:pStyle w:val="FirstParagraph"/>
        <w:spacing w:line="480" w:lineRule="auto"/>
      </w:pPr>
      <w:r>
        <w:t xml:space="preserve">The instrumentation literature is the mirror image of the cost literature: it measures delivered performance in exquisite depth but treats each instrument as a singular point. Detector papers characterize a single sensor across noise, calibration, spectral response, and timing in detail that the cost literature never approaches. Back-illuminated deep-depletion charge-coupled devices deployed for resident-space-object characterization are reported with their read-noise floors and radiometric behavior under specified observing regimes</w:t>
      </w:r>
      <w:r>
        <w:t xml:space="preserve"> </w:t>
      </w:r>
      <w:hyperlink w:anchor="ref-3">
        <w:r>
          <w:rPr>
            <w:rStyle w:val="Hyperlink"/>
          </w:rPr>
          <w:t xml:space="preserve">[3]</w:t>
        </w:r>
      </w:hyperlink>
      <w:r>
        <w:t xml:space="preserve">. Sensor systems for small telescopes have their spectral and noise performance reported under explicit optimization, with the sensor’s spectral and noise characteristics treated as design variables rather than fixed commodity properties</w:t>
      </w:r>
      <w:r>
        <w:t xml:space="preserve"> </w:t>
      </w:r>
      <w:hyperlink w:anchor="ref-4">
        <w:r>
          <w:rPr>
            <w:rStyle w:val="Hyperlink"/>
          </w:rPr>
          <w:t xml:space="preserve">[4]</w:t>
        </w:r>
      </w:hyperlink>
      <w:r>
        <w:t xml:space="preserve">. Fast-response detectors used for differential spectrophotometry have their calibration precision and noise behavior reported at the level needed for picophotometric measurement</w:t>
      </w:r>
      <w:r>
        <w:t xml:space="preserve"> </w:t>
      </w:r>
      <w:hyperlink w:anchor="ref-6">
        <w:r>
          <w:rPr>
            <w:rStyle w:val="Hyperlink"/>
          </w:rPr>
          <w:t xml:space="preserve">[6]</w:t>
        </w:r>
      </w:hyperlink>
      <w:r>
        <w:t xml:space="preserve">. The standardization of photometric calibration across panchromatic surveillance sensors is itself a subject of dedicated study, establishing that the performance figures different instruments report can be brought onto comparable footing</w:t>
      </w:r>
      <w:r>
        <w:t xml:space="preserve"> </w:t>
      </w:r>
      <w:hyperlink w:anchor="ref-28">
        <w:r>
          <w:rPr>
            <w:rStyle w:val="Hyperlink"/>
          </w:rPr>
          <w:t xml:space="preserve">[28]</w:t>
        </w:r>
      </w:hyperlink>
      <w:r>
        <w:t xml:space="preserve">. This body of work establishes, instrument by instrument, what a given detector achieves and how that achievement was engineered.</w:t>
      </w:r>
    </w:p>
    <w:bookmarkEnd w:id="78"/>
    <w:bookmarkStart w:id="79" w:name="X27d3d8f07c88984194cef24824d60bf6f4886f9"/>
    <w:p>
      <w:pPr>
        <w:pStyle w:val="Heading3"/>
        <w:spacing w:line="480" w:lineRule="auto"/>
      </w:pPr>
      <w:r>
        <w:t xml:space="preserve">2.4.2 The breadth of the detector performance record</w:t>
      </w:r>
    </w:p>
    <w:p>
      <w:pPr>
        <w:pStyle w:val="FirstParagraph"/>
        <w:spacing w:line="480" w:lineRule="auto"/>
      </w:pPr>
      <w:r>
        <w:t xml:space="preserve">The technical record spans the full diversity of spaceflight and ground-based space-sensing detector classes, and across that diversity it consistently reports quantitative figures of merit that could in principle populate a performance dependent variable. Photon-counting imaging detectors with picosecond-class timing have been developed for astronomical and space-sensing applications, with their spatial and temporal resolution reported as the central deliverables</w:t>
      </w:r>
      <w:r>
        <w:t xml:space="preserve"> </w:t>
      </w:r>
      <w:hyperlink w:anchor="ref-21">
        <w:r>
          <w:rPr>
            <w:rStyle w:val="Hyperlink"/>
          </w:rPr>
          <w:t xml:space="preserve">[21]</w:t>
        </w:r>
      </w:hyperlink>
      <w:r>
        <w:t xml:space="preserve"> </w:t>
      </w:r>
      <w:hyperlink w:anchor="ref-25">
        <w:r>
          <w:rPr>
            <w:rStyle w:val="Hyperlink"/>
          </w:rPr>
          <w:t xml:space="preserve">[25]</w:t>
        </w:r>
      </w:hyperlink>
      <w:r>
        <w:t xml:space="preserve">. Successive generations of single-photon-counting large-format imaging sensors are characterized with explicit attention to improving spatial and temporal resolution over prior devices</w:t>
      </w:r>
      <w:r>
        <w:t xml:space="preserve"> </w:t>
      </w:r>
      <w:hyperlink w:anchor="ref-27">
        <w:r>
          <w:rPr>
            <w:rStyle w:val="Hyperlink"/>
          </w:rPr>
          <w:t xml:space="preserve">[27]</w:t>
        </w:r>
      </w:hyperlink>
      <w:r>
        <w:t xml:space="preserve">, a near-textbook case of a detector family whose builds could be ordered and whose performance could be tracked. Photometric and astrometric performance of passive optical systems dedicated to space-debris tracking is reported with quantified detection limits and orbital coverage</w:t>
      </w:r>
      <w:r>
        <w:t xml:space="preserve"> </w:t>
      </w:r>
      <w:hyperlink w:anchor="ref-23">
        <w:r>
          <w:rPr>
            <w:rStyle w:val="Hyperlink"/>
          </w:rPr>
          <w:t xml:space="preserve">[23]</w:t>
        </w:r>
      </w:hyperlink>
      <w:r>
        <w:t xml:space="preserve">. Cubesat-class instruments for thermospheric density forecasting report the measurement accuracy on which their space-situational-awareness utility depends</w:t>
      </w:r>
      <w:r>
        <w:t xml:space="preserve"> </w:t>
      </w:r>
      <w:hyperlink w:anchor="ref-26">
        <w:r>
          <w:rPr>
            <w:rStyle w:val="Hyperlink"/>
          </w:rPr>
          <w:t xml:space="preserve">[26]</w:t>
        </w:r>
      </w:hyperlink>
      <w:r>
        <w:t xml:space="preserve">. Spectroscopic instruments for characterizing exoplanetary atmospheric escape report their near-infrared and ultraviolet performance budgets</w:t>
      </w:r>
      <w:r>
        <w:t xml:space="preserve"> </w:t>
      </w:r>
      <w:hyperlink w:anchor="ref-30">
        <w:r>
          <w:rPr>
            <w:rStyle w:val="Hyperlink"/>
          </w:rPr>
          <w:t xml:space="preserve">[30]</w:t>
        </w:r>
      </w:hyperlink>
      <w:r>
        <w:t xml:space="preserve">. Sensor-placement optimization for propellant-leak detection in liquid rocket engines reports detection performance as a function of instrument configuration</w:t>
      </w:r>
      <w:r>
        <w:t xml:space="preserve"> </w:t>
      </w:r>
      <w:hyperlink w:anchor="ref-31">
        <w:r>
          <w:rPr>
            <w:rStyle w:val="Hyperlink"/>
          </w:rPr>
          <w:t xml:space="preserve">[31]</w:t>
        </w:r>
      </w:hyperlink>
      <w:r>
        <w:t xml:space="preserve">. Across these, the common feature is the reporting of at least one quantitative performance figure, read noise, calibration residual, timing resolution, detection limit, or radiometric stability, attached to a named instrument and a publication year.</w:t>
      </w:r>
    </w:p>
    <w:bookmarkEnd w:id="79"/>
    <w:bookmarkStart w:id="80" w:name="Xf9098db5b117dba31bbdf8ee25e65fcbb329c14"/>
    <w:p>
      <w:pPr>
        <w:pStyle w:val="Heading3"/>
        <w:spacing w:line="480" w:lineRule="auto"/>
      </w:pPr>
      <w:r>
        <w:t xml:space="preserve">2.4.3 The calibration and figure-of-merit problem</w:t>
      </w:r>
    </w:p>
    <w:p>
      <w:pPr>
        <w:pStyle w:val="FirstParagraph"/>
        <w:spacing w:line="480" w:lineRule="auto"/>
      </w:pPr>
      <w:r>
        <w:t xml:space="preserve">A subsidiary technical literature addresses how detector performance is measured and made comparable, which is directly relevant to constructing a commensurable dependent variable. Standardized photometric calibration procedures for surveillance sensors establish common reference frames so that figures reported by different instruments can be compared rather than treated as incommensurable</w:t>
      </w:r>
      <w:r>
        <w:t xml:space="preserve"> </w:t>
      </w:r>
      <w:hyperlink w:anchor="ref-28">
        <w:r>
          <w:rPr>
            <w:rStyle w:val="Hyperlink"/>
          </w:rPr>
          <w:t xml:space="preserve">[28]</w:t>
        </w:r>
      </w:hyperlink>
      <w:r>
        <w:t xml:space="preserve">. Predictive calibration methods, including machine-learning approaches to digital sun-sensor calibration, treat calibration accuracy as the quantity to be improved and report it as a measurable outcome</w:t>
      </w:r>
      <w:r>
        <w:t xml:space="preserve"> </w:t>
      </w:r>
      <w:hyperlink w:anchor="ref-29">
        <w:r>
          <w:rPr>
            <w:rStyle w:val="Hyperlink"/>
          </w:rPr>
          <w:t xml:space="preserve">[29]</w:t>
        </w:r>
      </w:hyperlink>
      <w:r>
        <w:t xml:space="preserve">. Noise analysis is treated as a first-class methodological subject in the differential-spectrophotometry work, where the achievable precision is derived explicitly from a model of the noise</w:t>
      </w:r>
      <w:r>
        <w:t xml:space="preserve"> </w:t>
      </w:r>
      <w:hyperlink w:anchor="ref-6">
        <w:r>
          <w:rPr>
            <w:rStyle w:val="Hyperlink"/>
          </w:rPr>
          <w:t xml:space="preserve">[6]</w:t>
        </w:r>
      </w:hyperlink>
      <w:r>
        <w:t xml:space="preserve">. This sub-literature matters because it supplies both the figures of merit that a learning-curve test would track and the calibration machinery needed to normalize those figures within a detector family. It also surfaces the commensurability hazard directly: different papers report performance under different observing regimes and noise definitions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so any cross-build comparison must normalize within family before pooling.</w:t>
      </w:r>
    </w:p>
    <w:bookmarkEnd w:id="80"/>
    <w:bookmarkStart w:id="81" w:name="X6f10508533ab3f72e2ac501308e60a82586ce28"/>
    <w:p>
      <w:pPr>
        <w:pStyle w:val="Heading3"/>
        <w:spacing w:line="480" w:lineRule="auto"/>
      </w:pPr>
      <w:r>
        <w:t xml:space="preserve">2.4.4 Automation, classification, and the rising role of learned methods</w:t>
      </w:r>
    </w:p>
    <w:p>
      <w:pPr>
        <w:pStyle w:val="FirstParagraph"/>
        <w:spacing w:line="480" w:lineRule="auto"/>
      </w:pPr>
      <w:r>
        <w:t xml:space="preserve">A growing technical literature applies machine-learning and automated methods to the data products of space-sensing detectors, which both expands the performance record and introduces a methodological subtlety. Automated indications-and-warning systems for space-domain awareness convert detector output into operational signals and report their detection and warning performance</w:t>
      </w:r>
      <w:r>
        <w:t xml:space="preserve"> </w:t>
      </w:r>
      <w:hyperlink w:anchor="ref-22">
        <w:r>
          <w:rPr>
            <w:rStyle w:val="Hyperlink"/>
          </w:rPr>
          <w:t xml:space="preserve">[22]</w:t>
        </w:r>
      </w:hyperlink>
      <w:r>
        <w:t xml:space="preserve">. Transfer-learning approaches to space-debris classification from observational light curves report classification accuracy as the figure of merit</w:t>
      </w:r>
      <w:r>
        <w:t xml:space="preserve"> </w:t>
      </w:r>
      <w:hyperlink w:anchor="ref-33">
        <w:r>
          <w:rPr>
            <w:rStyle w:val="Hyperlink"/>
          </w:rPr>
          <w:t xml:space="preserve">[33]</w:t>
        </w:r>
      </w:hyperlink>
      <w:r>
        <w:t xml:space="preserve">, as do machine-learning classifiers for single-photon space-debris light curves</w:t>
      </w:r>
      <w:r>
        <w:t xml:space="preserve"> </w:t>
      </w:r>
      <w:hyperlink w:anchor="ref-34">
        <w:r>
          <w:rPr>
            <w:rStyle w:val="Hyperlink"/>
          </w:rPr>
          <w:t xml:space="preserve">[34]</w:t>
        </w:r>
      </w:hyperlink>
      <w:r>
        <w:t xml:space="preserve">. Illumination-robust line-segment detection for spacecraft relative navigation reports robustness and accuracy under varying lighting as its deliverable</w:t>
      </w:r>
      <w:r>
        <w:t xml:space="preserve"> </w:t>
      </w:r>
      <w:hyperlink w:anchor="ref-32">
        <w:r>
          <w:rPr>
            <w:rStyle w:val="Hyperlink"/>
          </w:rPr>
          <w:t xml:space="preserve">[32]</w:t>
        </w:r>
      </w:hyperlink>
      <w:r>
        <w:t xml:space="preserve">. These works are relevant in two respects. First, they extend the set of reportable performance figures from raw detector metrics to derived task performance, broadening the candidate dependent variable. Second, they illustrate that improvement in a reported figure across successive papers may reflect advancing analysis methods rather than improving detector hardware, a confound that any performance-arc study must separate from the hardware experience effect, paralleling the calendar-time confound in the cost literature</w:t>
      </w:r>
      <w:r>
        <w:t xml:space="preserve"> </w:t>
      </w:r>
      <w:hyperlink w:anchor="ref-4">
        <w:r>
          <w:rPr>
            <w:rStyle w:val="Hyperlink"/>
          </w:rPr>
          <w:t xml:space="preserve">[4]</w:t>
        </w:r>
      </w:hyperlink>
      <w:r>
        <w:t xml:space="preserve">.</w:t>
      </w:r>
    </w:p>
    <w:bookmarkEnd w:id="81"/>
    <w:bookmarkStart w:id="82" w:name="X7c0f5b9bd9c18391be166fef4764a945387d2f8"/>
    <w:p>
      <w:pPr>
        <w:pStyle w:val="Heading3"/>
        <w:spacing w:line="480" w:lineRule="auto"/>
      </w:pPr>
      <w:r>
        <w:t xml:space="preserve">2.4.5 Per-mission optimization and the absence of a build axis</w:t>
      </w:r>
    </w:p>
    <w:p>
      <w:pPr>
        <w:pStyle w:val="FirstParagraph"/>
        <w:spacing w:line="480" w:lineRule="auto"/>
      </w:pPr>
      <w:r>
        <w:t xml:space="preserve">The defining feature of the instrumentation literature, for present purposes, is that it treats each detector as a point rather than as one observation in a sequence of repeat builds. Detector and camera systems are selected and optimized per mission, with the sensor’s spectral and noise performance treated as a design variable to be tuned for a single observing regime</w:t>
      </w:r>
      <w:r>
        <w:t xml:space="preserve"> </w:t>
      </w:r>
      <w:hyperlink w:anchor="ref-4">
        <w:r>
          <w:rPr>
            <w:rStyle w:val="Hyperlink"/>
          </w:rPr>
          <w:t xml:space="preserve">[4]</w:t>
        </w:r>
      </w:hyperlink>
      <w:r>
        <w:t xml:space="preserve">. The performance figures that matter, calibration precision and response speed at the level needed for demanding photometry, are achieved through instrument-specific engineering rather than through volume</w:t>
      </w:r>
      <w:r>
        <w:t xml:space="preserve"> </w:t>
      </w:r>
      <w:hyperlink w:anchor="ref-6">
        <w:r>
          <w:rPr>
            <w:rStyle w:val="Hyperlink"/>
          </w:rPr>
          <w:t xml:space="preserve">[6]</w:t>
        </w:r>
      </w:hyperlink>
      <w:r>
        <w:t xml:space="preserve">. Even where a clear build sequence exists, as in the successive single-photon imaging sensors</w:t>
      </w:r>
      <w:r>
        <w:t xml:space="preserve"> </w:t>
      </w:r>
      <w:hyperlink w:anchor="ref-21">
        <w:r>
          <w:rPr>
            <w:rStyle w:val="Hyperlink"/>
          </w:rPr>
          <w:t xml:space="preserve">[21]</w:t>
        </w:r>
      </w:hyperlink>
      <w:r>
        <w:t xml:space="preserve"> </w:t>
      </w:r>
      <w:hyperlink w:anchor="ref-27">
        <w:r>
          <w:rPr>
            <w:rStyle w:val="Hyperlink"/>
          </w:rPr>
          <w:t xml:space="preserve">[27]</w:t>
        </w:r>
      </w:hyperlink>
      <w:r>
        <w:t xml:space="preserve"> </w:t>
      </w:r>
      <w:r>
        <w:t xml:space="preserve">or the rover camera heritage chain</w:t>
      </w:r>
      <w:r>
        <w:t xml:space="preserve"> </w:t>
      </w:r>
      <w:hyperlink w:anchor="ref-20">
        <w:r>
          <w:rPr>
            <w:rStyle w:val="Hyperlink"/>
          </w:rPr>
          <w:t xml:space="preserve">[20]</w:t>
        </w:r>
      </w:hyperlink>
      <w:r>
        <w:t xml:space="preserve">, the papers report the achievement of each device on its own terms and do not construct a cumulative build index against which performance could be regressed. The instrumentation corpus thus establishes the dependent variable and the within-family ordering implicitly, in the form of named families with datable instances, but it never makes the build axis explicit and never fits a slope.</w:t>
      </w:r>
    </w:p>
    <w:bookmarkEnd w:id="82"/>
    <w:bookmarkEnd w:id="83"/>
    <w:bookmarkStart w:id="87" w:name="X97a9adb95b29855635823c36a5d5a35322c453a"/>
    <w:p>
      <w:pPr>
        <w:pStyle w:val="Heading2"/>
        <w:spacing w:line="480" w:lineRule="auto"/>
      </w:pPr>
      <w:r>
        <w:t xml:space="preserve">2.5 Synthesis: Two Literatures That Do Not Meet</w:t>
      </w:r>
    </w:p>
    <w:bookmarkStart w:id="84" w:name="the-structure-of-the-divide"/>
    <w:p>
      <w:pPr>
        <w:pStyle w:val="Heading3"/>
        <w:spacing w:line="480" w:lineRule="auto"/>
      </w:pPr>
      <w:r>
        <w:t xml:space="preserve">2.5.1 The structure of the divide</w:t>
      </w:r>
    </w:p>
    <w:p>
      <w:pPr>
        <w:pStyle w:val="FirstParagraph"/>
        <w:spacing w:line="480" w:lineRule="auto"/>
      </w:pPr>
      <w:r>
        <w:t xml:space="preserve">The two literatures reviewed above are complementary in exactly the way that makes their non-intersection conspicuous. The cliometric literature supplies a validated functional form, the Wright-form log-linear decline of a tracked quantity in cumulative build number</w:t>
      </w:r>
      <w:r>
        <w:t xml:space="preserve"> </w:t>
      </w:r>
      <w:hyperlink w:anchor="ref-19">
        <w:r>
          <w:rPr>
            <w:rStyle w:val="Hyperlink"/>
          </w:rPr>
          <w:t xml:space="preserve">[19]</w:t>
        </w:r>
      </w:hyperlink>
      <w:r>
        <w:t xml:space="preserve">, an operational apparatus for fitting it</w:t>
      </w:r>
      <w:r>
        <w:t xml:space="preserve"> </w:t>
      </w:r>
      <w:hyperlink w:anchor="ref-2">
        <w:r>
          <w:rPr>
            <w:rStyle w:val="Hyperlink"/>
          </w:rPr>
          <w:t xml:space="preserve">[2]</w:t>
        </w:r>
      </w:hyperlink>
      <w:r>
        <w:t xml:space="preserve"> </w:t>
      </w:r>
      <w:hyperlink w:anchor="ref-18">
        <w:r>
          <w:rPr>
            <w:rStyle w:val="Hyperlink"/>
          </w:rPr>
          <w:t xml:space="preserve">[18]</w:t>
        </w:r>
      </w:hyperlink>
      <w:r>
        <w:t xml:space="preserve">, a canonical prior on its slope</w:t>
      </w:r>
      <w:r>
        <w:t xml:space="preserve"> </w:t>
      </w:r>
      <w:hyperlink w:anchor="ref-19">
        <w:r>
          <w:rPr>
            <w:rStyle w:val="Hyperlink"/>
          </w:rPr>
          <w:t xml:space="preserve">[19]</w:t>
        </w:r>
      </w:hyperlink>
      <w:r>
        <w:t xml:space="preserve">, and a well-developed account of its failure modes and confounds, heritage divergence</w:t>
      </w:r>
      <w:r>
        <w:t xml:space="preserve"> </w:t>
      </w:r>
      <w:hyperlink w:anchor="ref-9">
        <w:r>
          <w:rPr>
            <w:rStyle w:val="Hyperlink"/>
          </w:rPr>
          <w:t xml:space="preserve">[9]</w:t>
        </w:r>
      </w:hyperlink>
      <w:r>
        <w:t xml:space="preserve">, the two-clock distinction between experience and schedule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and secular technology gain</w:t>
      </w:r>
      <w:r>
        <w:t xml:space="preserve"> </w:t>
      </w:r>
      <w:hyperlink w:anchor="ref-4">
        <w:r>
          <w:rPr>
            <w:rStyle w:val="Hyperlink"/>
          </w:rPr>
          <w:t xml:space="preserve">[4]</w:t>
        </w:r>
      </w:hyperlink>
      <w:r>
        <w:t xml:space="preserve">. But its dependent variable is always cost, and its unit of repetition is a high-volume system-level article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16">
        <w:r>
          <w:rPr>
            <w:rStyle w:val="Hyperlink"/>
          </w:rPr>
          <w:t xml:space="preserve">[16]</w:t>
        </w:r>
      </w:hyperlink>
      <w:r>
        <w:t xml:space="preserve"> </w:t>
      </w:r>
      <w:hyperlink w:anchor="ref-17">
        <w:r>
          <w:rPr>
            <w:rStyle w:val="Hyperlink"/>
          </w:rPr>
          <w:t xml:space="preserve">[17]</w:t>
        </w:r>
      </w:hyperlink>
      <w:r>
        <w:t xml:space="preserve">. The instrumentation literature supplies the missing dependent variable, delivered detector performance, in abundance and across the full diversity of detector classes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21">
        <w:r>
          <w:rPr>
            <w:rStyle w:val="Hyperlink"/>
          </w:rPr>
          <w:t xml:space="preserve">[21]</w:t>
        </w:r>
      </w:hyperlink>
      <w:r>
        <w:t xml:space="preserve"> </w:t>
      </w:r>
      <w:hyperlink w:anchor="ref-23">
        <w:r>
          <w:rPr>
            <w:rStyle w:val="Hyperlink"/>
          </w:rPr>
          <w:t xml:space="preserve">[23]</w:t>
        </w:r>
      </w:hyperlink>
      <w:r>
        <w:t xml:space="preserve"> </w:t>
      </w:r>
      <w:hyperlink w:anchor="ref-25">
        <w:r>
          <w:rPr>
            <w:rStyle w:val="Hyperlink"/>
          </w:rPr>
          <w:t xml:space="preserve">[25]</w:t>
        </w:r>
      </w:hyperlink>
      <w:r>
        <w:t xml:space="preserve"> </w:t>
      </w:r>
      <w:hyperlink w:anchor="ref-26">
        <w:r>
          <w:rPr>
            <w:rStyle w:val="Hyperlink"/>
          </w:rPr>
          <w:t xml:space="preserve">[26]</w:t>
        </w:r>
      </w:hyperlink>
      <w:r>
        <w:t xml:space="preserve"> </w:t>
      </w:r>
      <w:hyperlink w:anchor="ref-27">
        <w:r>
          <w:rPr>
            <w:rStyle w:val="Hyperlink"/>
          </w:rPr>
          <w:t xml:space="preserve">[27]</w:t>
        </w:r>
      </w:hyperlink>
      <w:r>
        <w:t xml:space="preserve"> </w:t>
      </w:r>
      <w:hyperlink w:anchor="ref-28">
        <w:r>
          <w:rPr>
            <w:rStyle w:val="Hyperlink"/>
          </w:rPr>
          <w:t xml:space="preserve">[28]</w:t>
        </w:r>
      </w:hyperlink>
      <w:r>
        <w:t xml:space="preserve"> </w:t>
      </w:r>
      <w:hyperlink w:anchor="ref-30">
        <w:r>
          <w:rPr>
            <w:rStyle w:val="Hyperlink"/>
          </w:rPr>
          <w:t xml:space="preserve">[30]</w:t>
        </w:r>
      </w:hyperlink>
      <w:r>
        <w:t xml:space="preserve"> </w:t>
      </w:r>
      <w:hyperlink w:anchor="ref-31">
        <w:r>
          <w:rPr>
            <w:rStyle w:val="Hyperlink"/>
          </w:rPr>
          <w:t xml:space="preserve">[31]</w:t>
        </w:r>
      </w:hyperlink>
      <w:r>
        <w:t xml:space="preserve">, together with the calibration machinery to make those figures commensurable</w:t>
      </w:r>
      <w:r>
        <w:t xml:space="preserve"> </w:t>
      </w:r>
      <w:hyperlink w:anchor="ref-28">
        <w:r>
          <w:rPr>
            <w:rStyle w:val="Hyperlink"/>
          </w:rPr>
          <w:t xml:space="preserve">[28]</w:t>
        </w:r>
      </w:hyperlink>
      <w:r>
        <w:t xml:space="preserve"> </w:t>
      </w:r>
      <w:hyperlink w:anchor="ref-29">
        <w:r>
          <w:rPr>
            <w:rStyle w:val="Hyperlink"/>
          </w:rPr>
          <w:t xml:space="preserve">[29]</w:t>
        </w:r>
      </w:hyperlink>
      <w:r>
        <w:t xml:space="preserve">. But it treats each detector as a singular point and never constructs the build axis</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20">
        <w:r>
          <w:rPr>
            <w:rStyle w:val="Hyperlink"/>
          </w:rPr>
          <w:t xml:space="preserve">[20]</w:t>
        </w:r>
      </w:hyperlink>
      <w:r>
        <w:t xml:space="preserve">.</w:t>
      </w:r>
    </w:p>
    <w:bookmarkEnd w:id="84"/>
    <w:bookmarkStart w:id="85" w:name="the-gap-stated-precisely"/>
    <w:p>
      <w:pPr>
        <w:pStyle w:val="Heading3"/>
        <w:spacing w:line="480" w:lineRule="auto"/>
      </w:pPr>
      <w:r>
        <w:t xml:space="preserve">2.5.2 The gap stated precisely</w:t>
      </w:r>
    </w:p>
    <w:p>
      <w:pPr>
        <w:pStyle w:val="FirstParagraph"/>
        <w:spacing w:line="480" w:lineRule="auto"/>
      </w:pPr>
      <w:r>
        <w:t xml:space="preserve">The gap is the join between the two. No source in either literature models a spaceflight detector family as a sequence of repeat builds and asks whether the delivered performance figure of merit, read noise, calibration residual, timing resolution, or radiometric stability, traces a learning curve in cumulative build number. The cost literature has the build axis and the slope-fitting apparatus but the wrong dependent variable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8">
        <w:r>
          <w:rPr>
            <w:rStyle w:val="Hyperlink"/>
          </w:rPr>
          <w:t xml:space="preserve">[18]</w:t>
        </w:r>
      </w:hyperlink>
      <w:r>
        <w:t xml:space="preserve">. The instrumentation literature has the right dependent variable but no build axis and no slope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The two have never been placed on the same pair of coordinates. What is missing is precisely the study that puts a detector family’s repeat builds on the horizontal axis and a performance figure of merit on the vertical axis and tests whether the slope is real.</w:t>
      </w:r>
    </w:p>
    <w:bookmarkEnd w:id="85"/>
    <w:bookmarkStart w:id="86" w:name="why-the-gap-is-non-trivial-to-close"/>
    <w:p>
      <w:pPr>
        <w:pStyle w:val="Heading3"/>
        <w:spacing w:line="480" w:lineRule="auto"/>
      </w:pPr>
      <w:r>
        <w:t xml:space="preserve">2.5.3 Why the gap is non-trivial to close</w:t>
      </w:r>
    </w:p>
    <w:p>
      <w:pPr>
        <w:pStyle w:val="FirstParagraph"/>
        <w:spacing w:line="480" w:lineRule="auto"/>
      </w:pPr>
      <w:r>
        <w:t xml:space="preserve">The gap is not closed simply by transplanting the cost regression onto a performance variable, because the instrument regime violates several conditions the system-level cost work could take for granted. First, lot sizes are intrinsically small, one to a few dozen units per family</w:t>
      </w:r>
      <w:r>
        <w:t xml:space="preserve"> </w:t>
      </w:r>
      <w:hyperlink w:anchor="ref-3">
        <w:r>
          <w:rPr>
            <w:rStyle w:val="Hyperlink"/>
          </w:rPr>
          <w:t xml:space="preserve">[3]</w:t>
        </w:r>
      </w:hyperlink>
      <w:r>
        <w:t xml:space="preserve">, so each family contributes few points and any slope is estimated with limited power; the methodology’s large-sample comfort does not transfer. Second, the heritage-divergence warning bites hardest exactly where performance is concerned, because a detector family’s performance may improve across builds through silent redesign or new arrays rather than through accumulated experience</w:t>
      </w:r>
      <w:r>
        <w:t xml:space="preserve"> </w:t>
      </w:r>
      <w:hyperlink w:anchor="ref-9">
        <w:r>
          <w:rPr>
            <w:rStyle w:val="Hyperlink"/>
          </w:rPr>
          <w:t xml:space="preserve">[9]</w:t>
        </w:r>
      </w:hyperlink>
      <w:r>
        <w:t xml:space="preserve">, so the artifact-continuity condition must be enforced by a within-family design. Third, the two-clock and secular-technology confounds reappear in performance form: a family may post better figures over calendar time because charge-coupled and complementary metal-oxide-semiconductor sensor technology advances</w:t>
      </w:r>
      <w:r>
        <w:t xml:space="preserve"> </w:t>
      </w:r>
      <w:hyperlink w:anchor="ref-4">
        <w:r>
          <w:rPr>
            <w:rStyle w:val="Hyperlink"/>
          </w:rPr>
          <w:t xml:space="preserve">[4]</w:t>
        </w:r>
      </w:hyperlink>
      <w:r>
        <w:t xml:space="preserve">, or because analysis methods improve</w:t>
      </w:r>
      <w:r>
        <w:t xml:space="preserve"> </w:t>
      </w:r>
      <w:hyperlink w:anchor="ref-33">
        <w:r>
          <w:rPr>
            <w:rStyle w:val="Hyperlink"/>
          </w:rPr>
          <w:t xml:space="preserve">[33]</w:t>
        </w:r>
      </w:hyperlink>
      <w:r>
        <w:t xml:space="preserve"> </w:t>
      </w:r>
      <w:hyperlink w:anchor="ref-34">
        <w:r>
          <w:rPr>
            <w:rStyle w:val="Hyperlink"/>
          </w:rPr>
          <w:t xml:space="preserve">[34]</w:t>
        </w:r>
      </w:hyperlink>
      <w:r>
        <w:t xml:space="preserve">, independent of any production-line experience. Fourth, commensurability is a live hazard, because performance is reported under heterogeneous regimes and noise definitions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t>
      </w:r>
      <w:r>
        <w:t xml:space="preserve">and must be normalized within family before any pooling. Closing the gap therefore requires not only joining the two literatures but importing the cost literature’s full apparatus of controls, calendar-year separation of experience from secular gain</w:t>
      </w:r>
      <w:r>
        <w:t xml:space="preserve"> </w:t>
      </w:r>
      <w:hyperlink w:anchor="ref-4">
        <w:r>
          <w:rPr>
            <w:rStyle w:val="Hyperlink"/>
          </w:rPr>
          <w:t xml:space="preserve">[4]</w:t>
        </w:r>
      </w:hyperlink>
      <w:r>
        <w:t xml:space="preserve">, placebo tests against permuted build order, fixed-effects pooling, and effect-size reporting under small samples, into a regime the cost literature never had to face.</w:t>
      </w:r>
    </w:p>
    <w:bookmarkEnd w:id="86"/>
    <w:bookmarkEnd w:id="87"/>
    <w:bookmarkStart w:id="92" w:name="Xecaac5b9c69f0e46edaee914047b2a20eae99dc"/>
    <w:p>
      <w:pPr>
        <w:pStyle w:val="Heading2"/>
        <w:spacing w:line="480" w:lineRule="auto"/>
      </w:pPr>
      <w:r>
        <w:t xml:space="preserve">2.6 Positioning the Empirical Program Against the Gap</w:t>
      </w:r>
    </w:p>
    <w:bookmarkStart w:id="88" w:name="the-cost-arc-result-and-its-scope"/>
    <w:p>
      <w:pPr>
        <w:pStyle w:val="Heading3"/>
        <w:spacing w:line="480" w:lineRule="auto"/>
      </w:pPr>
      <w:r>
        <w:t xml:space="preserve">2.6.1 The cost-arc result and its scope</w:t>
      </w:r>
    </w:p>
    <w:p>
      <w:pPr>
        <w:pStyle w:val="FirstParagraph"/>
        <w:spacing w:line="480" w:lineRule="auto"/>
      </w:pPr>
      <w:r>
        <w:t xml:space="preserve">The first empirical paper of this dissertation estimates a single log-log learning curve across twenty documented spaceflight detector, navigation, and instrument production points spanning four orders of magnitude in build quantity, and finds a negative and statistically distinguishable slope, with an implied progress ratio near two-thirds. This result confirms, on directly assembled and cited build-quantity and price data</w:t>
      </w:r>
      <w:r>
        <w:t xml:space="preserve"> </w:t>
      </w:r>
      <w:hyperlink w:anchor="ref-3">
        <w:r>
          <w:rPr>
            <w:rStyle w:val="Hyperlink"/>
          </w:rPr>
          <w:t xml:space="preserve">[3]</w:t>
        </w:r>
      </w:hyperlink>
      <w:r>
        <w:t xml:space="preserve"> </w:t>
      </w:r>
      <w:hyperlink w:anchor="ref-20">
        <w:r>
          <w:rPr>
            <w:rStyle w:val="Hyperlink"/>
          </w:rPr>
          <w:t xml:space="preserve">[20]</w:t>
        </w:r>
      </w:hyperlink>
      <w:r>
        <w:t xml:space="preserve">, that the learning-curve assumption NASA cost models already apply</w:t>
      </w:r>
      <w:r>
        <w:t xml:space="preserve"> </w:t>
      </w:r>
      <w:hyperlink w:anchor="ref-2">
        <w:r>
          <w:rPr>
            <w:rStyle w:val="Hyperlink"/>
          </w:rPr>
          <w:t xml:space="preserve">[2]</w:t>
        </w:r>
      </w:hyperlink>
      <w:r>
        <w:t xml:space="preserve"> </w:t>
      </w:r>
      <w:hyperlink w:anchor="ref-18">
        <w:r>
          <w:rPr>
            <w:rStyle w:val="Hyperlink"/>
          </w:rPr>
          <w:t xml:space="preserve">[18]</w:t>
        </w:r>
      </w:hyperlink>
      <w:r>
        <w:t xml:space="preserve"> </w:t>
      </w:r>
      <w:r>
        <w:t xml:space="preserve">survives contact with the documented record, and it shows the pooled sector slope to be steeper than the canonical aerospace band</w:t>
      </w:r>
      <w:r>
        <w:t xml:space="preserve"> </w:t>
      </w:r>
      <w:hyperlink w:anchor="ref-19">
        <w:r>
          <w:rPr>
            <w:rStyle w:val="Hyperlink"/>
          </w:rPr>
          <w:t xml:space="preserve">[19]</w:t>
        </w:r>
      </w:hyperlink>
      <w:r>
        <w:t xml:space="preserve">, driven by the high-volume commercial constellations at the long-quantity end of the sample</w:t>
      </w:r>
      <w:r>
        <w:t xml:space="preserve"> </w:t>
      </w:r>
      <w:hyperlink w:anchor="ref-24">
        <w:r>
          <w:rPr>
            <w:rStyle w:val="Hyperlink"/>
          </w:rPr>
          <w:t xml:space="preserve">[24]</w:t>
        </w:r>
      </w:hyperlink>
      <w:r>
        <w:t xml:space="preserve">. Critically, that paper also delimits its own reach: the pooled estimate blends within-line learning with the cross-sector move to volume production, so it is the elasticity of unit cost across the sector rather than the recurring-cost slope a program office would book for one detector across its own copies</w:t>
      </w:r>
      <w:r>
        <w:t xml:space="preserve"> </w:t>
      </w:r>
      <w:hyperlink w:anchor="ref-9">
        <w:r>
          <w:rPr>
            <w:rStyle w:val="Hyperlink"/>
          </w:rPr>
          <w:t xml:space="preserve">[9]</w:t>
        </w:r>
      </w:hyperlink>
      <w:r>
        <w:t xml:space="preserve">. The cost arc, in short, is real but aggregate, and it leaves the performance question untouched.</w:t>
      </w:r>
    </w:p>
    <w:bookmarkEnd w:id="88"/>
    <w:bookmarkStart w:id="89" w:name="the-cadence-null-result-and-its-lesson"/>
    <w:p>
      <w:pPr>
        <w:pStyle w:val="Heading3"/>
        <w:spacing w:line="480" w:lineRule="auto"/>
      </w:pPr>
      <w:r>
        <w:t xml:space="preserve">2.6.2 The cadence-null result and its lesson</w:t>
      </w:r>
    </w:p>
    <w:p>
      <w:pPr>
        <w:pStyle w:val="FirstParagraph"/>
        <w:spacing w:line="480" w:lineRule="auto"/>
      </w:pPr>
      <w:r>
        <w:t xml:space="preserve">The second empirical paper tests whether the learning trace appears in schedule rather than cost, regressing the inter-build interval of detector lineages on cumulative build number across twenty-eight flight units from six lineages drawn from the public instrument record</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It reports a disciplined null: cumulative build number does not predict a shorter interval, the point estimate runs slightly in the wrong direction, and its confidence interval comfortably contains zero. The lesson is precisely the two-clock prediction of the methodology literature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cadence is set by the programmatic clock of host-spacecraft readiness, appropriations, and launch manifests, not by the production line’s experience clock, so a null on cadence is evidence about where learning shows up rather than evidence against learning itself. This result is methodologically load-bearing for the dissertation, because it demonstrates that the trace of repetition is observable-specific. A learning curve can be present in one dependent variable and absent in another for the same instrument families, which makes the choice of dependent variable the central methodological decision rather than an incidental one.</w:t>
      </w:r>
    </w:p>
    <w:bookmarkEnd w:id="89"/>
    <w:bookmarkStart w:id="90" w:name="Xef0c5d40e648198ed54f52292b3bc9889185746"/>
    <w:p>
      <w:pPr>
        <w:pStyle w:val="Heading3"/>
        <w:spacing w:line="480" w:lineRule="auto"/>
      </w:pPr>
      <w:r>
        <w:t xml:space="preserve">2.6.3 The performance-arc question as the unfilled join</w:t>
      </w:r>
    </w:p>
    <w:p>
      <w:pPr>
        <w:pStyle w:val="FirstParagraph"/>
        <w:spacing w:line="480" w:lineRule="auto"/>
      </w:pPr>
      <w:r>
        <w:t xml:space="preserve">Taken together, the two empirical papers bracket the gap without closing it. The cost-arc paper shows the arc is real in dollars</w:t>
      </w:r>
      <w:r>
        <w:t xml:space="preserve"> </w:t>
      </w:r>
      <w:hyperlink w:anchor="ref-2">
        <w:r>
          <w:rPr>
            <w:rStyle w:val="Hyperlink"/>
          </w:rPr>
          <w:t xml:space="preserve">[2]</w:t>
        </w:r>
      </w:hyperlink>
      <w:r>
        <w:t xml:space="preserve"> </w:t>
      </w:r>
      <w:hyperlink w:anchor="ref-18">
        <w:r>
          <w:rPr>
            <w:rStyle w:val="Hyperlink"/>
          </w:rPr>
          <w:t xml:space="preserve">[18]</w:t>
        </w:r>
      </w:hyperlink>
      <w:r>
        <w:t xml:space="preserve"> </w:t>
      </w:r>
      <w:hyperlink w:anchor="ref-19">
        <w:r>
          <w:rPr>
            <w:rStyle w:val="Hyperlink"/>
          </w:rPr>
          <w:t xml:space="preserve">[19]</w:t>
        </w:r>
      </w:hyperlink>
      <w:r>
        <w:t xml:space="preserve"> </w:t>
      </w:r>
      <w:r>
        <w:t xml:space="preserve">but aggregate and cross-sectional rather than within-line. The cadence paper shows the arc is invisible in years because schedule answers to a different clock</w:t>
      </w:r>
      <w:r>
        <w:t xml:space="preserve"> </w:t>
      </w:r>
      <w:hyperlink w:anchor="ref-4">
        <w:r>
          <w:rPr>
            <w:rStyle w:val="Hyperlink"/>
          </w:rPr>
          <w:t xml:space="preserve">[4]</w:t>
        </w:r>
      </w:hyperlink>
      <w:r>
        <w:t xml:space="preserve"> </w:t>
      </w:r>
      <w:hyperlink w:anchor="ref-11">
        <w:r>
          <w:rPr>
            <w:rStyle w:val="Hyperlink"/>
          </w:rPr>
          <w:t xml:space="preserve">[11]</w:t>
        </w:r>
      </w:hyperlink>
      <w:r>
        <w:t xml:space="preserve">. Neither tests the quantity the instrumentation literature actually measures, delivered detector performance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27">
        <w:r>
          <w:rPr>
            <w:rStyle w:val="Hyperlink"/>
          </w:rPr>
          <w:t xml:space="preserve">[27]</w:t>
        </w:r>
      </w:hyperlink>
      <w:r>
        <w:t xml:space="preserve">. The performance dimension is therefore the open join: the place where the cost literature’s validated functional form and full apparatus of controls</w:t>
      </w:r>
      <w:r>
        <w:t xml:space="preserve"> </w:t>
      </w:r>
      <w:hyperlink w:anchor="ref-4">
        <w:r>
          <w:rPr>
            <w:rStyle w:val="Hyperlink"/>
          </w:rPr>
          <w:t xml:space="preserve">[4]</w:t>
        </w:r>
      </w:hyperlink>
      <w:r>
        <w:t xml:space="preserve"> </w:t>
      </w:r>
      <w:hyperlink w:anchor="ref-9">
        <w:r>
          <w:rPr>
            <w:rStyle w:val="Hyperlink"/>
          </w:rPr>
          <w:t xml:space="preserve">[9]</w:t>
        </w:r>
      </w:hyperlink>
      <w:r>
        <w:t xml:space="preserve"> </w:t>
      </w:r>
      <w:hyperlink w:anchor="ref-19">
        <w:r>
          <w:rPr>
            <w:rStyle w:val="Hyperlink"/>
          </w:rPr>
          <w:t xml:space="preserve">[19]</w:t>
        </w:r>
      </w:hyperlink>
      <w:r>
        <w:t xml:space="preserve"> </w:t>
      </w:r>
      <w:r>
        <w:t xml:space="preserve">can be brought to bear on the instrumentation literature’s abundant but build-axis-free performance record</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21">
        <w:r>
          <w:rPr>
            <w:rStyle w:val="Hyperlink"/>
          </w:rPr>
          <w:t xml:space="preserve">[21]</w:t>
        </w:r>
      </w:hyperlink>
      <w:r>
        <w:t xml:space="preserve"> </w:t>
      </w:r>
      <w:hyperlink w:anchor="ref-23">
        <w:r>
          <w:rPr>
            <w:rStyle w:val="Hyperlink"/>
          </w:rPr>
          <w:t xml:space="preserve">[23]</w:t>
        </w:r>
      </w:hyperlink>
      <w:r>
        <w:t xml:space="preserve"> </w:t>
      </w:r>
      <w:hyperlink w:anchor="ref-26">
        <w:r>
          <w:rPr>
            <w:rStyle w:val="Hyperlink"/>
          </w:rPr>
          <w:t xml:space="preserve">[26]</w:t>
        </w:r>
      </w:hyperlink>
      <w:r>
        <w:t xml:space="preserve"> </w:t>
      </w:r>
      <w:hyperlink w:anchor="ref-27">
        <w:r>
          <w:rPr>
            <w:rStyle w:val="Hyperlink"/>
          </w:rPr>
          <w:t xml:space="preserve">[27]</w:t>
        </w:r>
      </w:hyperlink>
      <w:r>
        <w:t xml:space="preserve"> </w:t>
      </w:r>
      <w:hyperlink w:anchor="ref-28">
        <w:r>
          <w:rPr>
            <w:rStyle w:val="Hyperlink"/>
          </w:rPr>
          <w:t xml:space="preserve">[28]</w:t>
        </w:r>
      </w:hyperlink>
      <w:r>
        <w:t xml:space="preserve"> </w:t>
      </w:r>
      <w:hyperlink w:anchor="ref-30">
        <w:r>
          <w:rPr>
            <w:rStyle w:val="Hyperlink"/>
          </w:rPr>
          <w:t xml:space="preserve">[30]</w:t>
        </w:r>
      </w:hyperlink>
      <w:r>
        <w:t xml:space="preserve">. Whether repeat builds of a detector family arc in performance, as the cost-arc result and the cost models’ heritage assumption</w:t>
      </w:r>
      <w:r>
        <w:t xml:space="preserve"> </w:t>
      </w:r>
      <w:hyperlink w:anchor="ref-2">
        <w:r>
          <w:rPr>
            <w:rStyle w:val="Hyperlink"/>
          </w:rPr>
          <w:t xml:space="preserve">[2]</w:t>
        </w:r>
      </w:hyperlink>
      <w:r>
        <w:t xml:space="preserve"> </w:t>
      </w:r>
      <w:hyperlink w:anchor="ref-18">
        <w:r>
          <w:rPr>
            <w:rStyle w:val="Hyperlink"/>
          </w:rPr>
          <w:t xml:space="preserve">[18]</w:t>
        </w:r>
      </w:hyperlink>
      <w:r>
        <w:t xml:space="preserve"> </w:t>
      </w:r>
      <w:r>
        <w:t xml:space="preserve">would lead one to expect, or fail to arc, as the cadence null cautions is possible whenever the relevant clock is exogenous to the production line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is an empirical question that only a within-family regression of a performance figure of merit on cumulative build number can settle.</w:t>
      </w:r>
    </w:p>
    <w:bookmarkEnd w:id="90"/>
    <w:bookmarkStart w:id="91" w:name="what-the-remaining-chapters-contribute"/>
    <w:p>
      <w:pPr>
        <w:pStyle w:val="Heading3"/>
        <w:spacing w:line="480" w:lineRule="auto"/>
      </w:pPr>
      <w:r>
        <w:t xml:space="preserve">2.6.4 What the remaining chapters contribute</w:t>
      </w:r>
    </w:p>
    <w:p>
      <w:pPr>
        <w:pStyle w:val="FirstParagraph"/>
        <w:spacing w:line="480" w:lineRule="auto"/>
      </w:pPr>
      <w:r>
        <w:t xml:space="preserve">The contribution this dissertation makes against the reviewed literatures is to construct exactly that join and to test it under the methodology’s own discipline. It adopts the Wright-form log-linear model the cost literature validates</w:t>
      </w:r>
      <w:r>
        <w:t xml:space="preserve"> </w:t>
      </w:r>
      <w:hyperlink w:anchor="ref-19">
        <w:r>
          <w:rPr>
            <w:rStyle w:val="Hyperlink"/>
          </w:rPr>
          <w:t xml:space="preserve">[19]</w:t>
        </w:r>
      </w:hyperlink>
      <w:r>
        <w:t xml:space="preserve"> </w:t>
      </w:r>
      <w:r>
        <w:t xml:space="preserve">and the cost models operationalize</w:t>
      </w:r>
      <w:r>
        <w:t xml:space="preserve"> </w:t>
      </w:r>
      <w:hyperlink w:anchor="ref-2">
        <w:r>
          <w:rPr>
            <w:rStyle w:val="Hyperlink"/>
          </w:rPr>
          <w:t xml:space="preserve">[2]</w:t>
        </w:r>
      </w:hyperlink>
      <w:r>
        <w:t xml:space="preserve"> </w:t>
      </w:r>
      <w:hyperlink w:anchor="ref-18">
        <w:r>
          <w:rPr>
            <w:rStyle w:val="Hyperlink"/>
          </w:rPr>
          <w:t xml:space="preserve">[18]</w:t>
        </w:r>
      </w:hyperlink>
      <w:r>
        <w:t xml:space="preserve">, transplants it onto a delivered-performance dependent variable extracted from the open instrumentation record</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enforces artifact continuity through a within-family design that answers the heritage-divergence warning</w:t>
      </w:r>
      <w:r>
        <w:t xml:space="preserve"> </w:t>
      </w:r>
      <w:hyperlink w:anchor="ref-9">
        <w:r>
          <w:rPr>
            <w:rStyle w:val="Hyperlink"/>
          </w:rPr>
          <w:t xml:space="preserve">[9]</w:t>
        </w:r>
      </w:hyperlink>
      <w:r>
        <w:t xml:space="preserve">, and imports the controls the cost literature developed, calendar-year separation of experience from secular technology gain</w:t>
      </w:r>
      <w:r>
        <w:t xml:space="preserve"> </w:t>
      </w:r>
      <w:hyperlink w:anchor="ref-4">
        <w:r>
          <w:rPr>
            <w:rStyle w:val="Hyperlink"/>
          </w:rPr>
          <w:t xml:space="preserve">[4]</w:t>
        </w:r>
      </w:hyperlink>
      <w:r>
        <w:t xml:space="preserve">, placebo tests against permuted build order, fixed-effects pooling, and effect-size reporting under the small lot sizes intrinsic to flight detectors</w:t>
      </w:r>
      <w:r>
        <w:t xml:space="preserve"> </w:t>
      </w:r>
      <w:hyperlink w:anchor="ref-3">
        <w:r>
          <w:rPr>
            <w:rStyle w:val="Hyperlink"/>
          </w:rPr>
          <w:t xml:space="preserve">[3]</w:t>
        </w:r>
      </w:hyperlink>
      <w:r>
        <w:t xml:space="preserve">. In doing so it closes the specific gap this chapter has documented: the absence of any study that places a detector family’s repeat builds on the horizontal axis and a performance figure of merit on the vertical axis and asks whether the slope is real. A confirmed performance arc would extend the experience mechanism the system-level literature established</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w:t>
      </w:r>
      <w:r>
        <w:t xml:space="preserve">into the small-batch instrument regime and would let mission planners price the heritage premium of a reused detector line in performance terms; a null would discipline the casual extrapolation of constellation-scale learning curves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24">
        <w:r>
          <w:rPr>
            <w:rStyle w:val="Hyperlink"/>
          </w:rPr>
          <w:t xml:space="preserve">[24]</w:t>
        </w:r>
      </w:hyperlink>
      <w:r>
        <w:t xml:space="preserve"> </w:t>
      </w:r>
      <w:r>
        <w:t xml:space="preserve">into the instrument domain and would force the cost savings attributed to detector heritage to be sourced elsewhere. Either outcome advances the joined literature beyond the point at which this review found it.</w:t>
      </w:r>
    </w:p>
    <w:bookmarkEnd w:id="91"/>
    <w:bookmarkEnd w:id="92"/>
    <w:bookmarkStart w:id="93" w:name="summary"/>
    <w:p>
      <w:pPr>
        <w:pStyle w:val="Heading2"/>
        <w:spacing w:line="480" w:lineRule="auto"/>
      </w:pPr>
      <w:r>
        <w:t xml:space="preserve">2.7 Summary</w:t>
      </w:r>
    </w:p>
    <w:p>
      <w:pPr>
        <w:pStyle w:val="FirstParagraph"/>
        <w:spacing w:line="480" w:lineRule="auto"/>
      </w:pPr>
      <w:r>
        <w:t xml:space="preserve">This chapter has reviewed two literatures that converge on the same empirical object from opposite sides without ever meeting. The cliometric methodology literature supplies the Wright-form learning curve, its operational adoption into NASA and defense cost estimation, and a mature account of its confounds and failure modes, but it tracks cost and repeats a high-volume system-level article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 </w:t>
      </w:r>
      <w:hyperlink w:anchor="ref-18">
        <w:r>
          <w:rPr>
            <w:rStyle w:val="Hyperlink"/>
          </w:rPr>
          <w:t xml:space="preserve">[18]</w:t>
        </w:r>
      </w:hyperlink>
      <w:r>
        <w:t xml:space="preserve"> </w:t>
      </w:r>
      <w:hyperlink w:anchor="ref-19">
        <w:r>
          <w:rPr>
            <w:rStyle w:val="Hyperlink"/>
          </w:rPr>
          <w:t xml:space="preserve">[19]</w:t>
        </w:r>
      </w:hyperlink>
      <w:r>
        <w:t xml:space="preserve">. The domain technical literature on spaceflight detectors supplies a deep and diverse record of delivered performance figures and the calibration machinery to make them commensurable, but it treats each detector as a singular point and never constructs the cumulative build axis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21">
        <w:r>
          <w:rPr>
            <w:rStyle w:val="Hyperlink"/>
          </w:rPr>
          <w:t xml:space="preserve">[21]</w:t>
        </w:r>
      </w:hyperlink>
      <w:r>
        <w:t xml:space="preserve"> </w:t>
      </w:r>
      <w:hyperlink w:anchor="ref-27">
        <w:r>
          <w:rPr>
            <w:rStyle w:val="Hyperlink"/>
          </w:rPr>
          <w:t xml:space="preserve">[27]</w:t>
        </w:r>
      </w:hyperlink>
      <w:r>
        <w:t xml:space="preserve"> </w:t>
      </w:r>
      <w:hyperlink w:anchor="ref-28">
        <w:r>
          <w:rPr>
            <w:rStyle w:val="Hyperlink"/>
          </w:rPr>
          <w:t xml:space="preserve">[28]</w:t>
        </w:r>
      </w:hyperlink>
      <w:r>
        <w:t xml:space="preserve"> </w:t>
      </w:r>
      <w:hyperlink w:anchor="ref-29">
        <w:r>
          <w:rPr>
            <w:rStyle w:val="Hyperlink"/>
          </w:rPr>
          <w:t xml:space="preserve">[29]</w:t>
        </w:r>
      </w:hyperlink>
      <w:r>
        <w:t xml:space="preserve">. The gap is the join: no work tracks a detector family’s delivered performance against its cumulative build number. The two empirical papers of this dissertation bracket that gap, confirming the cost arc as real but aggregate and the cadence arc as absent because of an exogenous clock, and they motivate the performance-arc test that the remaining chapters carry out under the methodology’s own apparatus of controls. The review thus establishes both the existence of the gap and the analytic resources, functional form, dependent variable, and confound controls, that the dissertation assembles to close it.</w:t>
      </w:r>
    </w:p>
    <w:bookmarkEnd w:id="93"/>
    <w:bookmarkEnd w:id="94"/>
    <w:bookmarkStart w:id="102" w:name="Xcfcc00a3ded59aed0c781c16bfc121f2a509603"/>
    <w:p>
      <w:pPr>
        <w:pStyle w:val="Heading1"/>
        <w:spacing w:line="480" w:lineRule="auto"/>
      </w:pPr>
      <w:r>
        <w:t xml:space="preserve">Chapter 3. Theoretical Framework and Hypotheses</w:t>
      </w:r>
    </w:p>
    <w:bookmarkStart w:id="95" w:name="purpose-and-position-of-the-chapter"/>
    <w:p>
      <w:pPr>
        <w:pStyle w:val="Heading2"/>
        <w:spacing w:line="480" w:lineRule="auto"/>
      </w:pPr>
      <w:r>
        <w:t xml:space="preserve">3.1 Purpose and Position of the Chapter</w:t>
      </w:r>
    </w:p>
    <w:p>
      <w:pPr>
        <w:pStyle w:val="FirstParagraph"/>
        <w:spacing w:line="480" w:lineRule="auto"/>
      </w:pPr>
      <w:r>
        <w:t xml:space="preserve">The preceding chapters established that the learning curve is the organizing regularity of space production economics and that its reach into the small-batch, performance-defined world of scientific spaceflight detectors has been assumed rather than demonstrated. This chapter constructs the theoretical apparatus that converts that gap into a falsifiable claim. It does three things in sequence. First, it specifies the mechanism by which accumulated build experience could plausibly improve a delivered detector performance figure of merit, distinguishing that mechanism from the cost-side and schedule-side mechanisms that have already been examined. Second, it formalizes the causal logic that connects the latent experience construct to the observable regression, and it states the conditions under which an estimated slope can be read as evidence of learning rather than as an artifact of secular technology gain or selective publication. Third, it states the formal null and alternative hypotheses, H0 and H1, in the Wright-form log-linear structure that the space-economy literature validates for system cost [1, 2] and that this dissertation transplants onto a performance dependent variable.</w:t>
      </w:r>
    </w:p>
    <w:p>
      <w:pPr>
        <w:pStyle w:val="BodyText"/>
        <w:spacing w:line="480" w:lineRule="auto"/>
        <w:ind w:firstLine="720"/>
      </w:pPr>
      <w:r>
        <w:t xml:space="preserve">The chapter does not estimate anything. Its job is to make explicit the theory that the empirical chapters then test, so that the eventual estimate of the learning slope carries a clear interpretation and the eventual verdict, whichever way it falls, decides a stated proposition rather than an impression. The framework is deliberately narrow. A single parameter, the learning slope on the log of cumulative build number, is the object of the entire study, and the chapter earns the right to treat that parameter as the whole of the theory by showing that the rival explanations for a non-zero slope are either controllable or boundable within the design.</w:t>
      </w:r>
    </w:p>
    <w:bookmarkEnd w:id="95"/>
    <w:bookmarkStart w:id="96" w:name="X3e3ad1ad5a3a181b166eb1d2da393c1e35e5538"/>
    <w:p>
      <w:pPr>
        <w:pStyle w:val="Heading2"/>
        <w:spacing w:line="480" w:lineRule="auto"/>
      </w:pPr>
      <w:r>
        <w:t xml:space="preserve">3.2 The Experience Mechanism Transplanted to Performance</w:t>
      </w:r>
    </w:p>
    <w:p>
      <w:pPr>
        <w:pStyle w:val="FirstParagraph"/>
        <w:spacing w:line="480" w:lineRule="auto"/>
      </w:pPr>
      <w:r>
        <w:t xml:space="preserve">The learning curve, in its canonical form, is a statement about the marginal effort of producing the next unit. Wright’s original observation was that direct labor per airframe fell by a constant fraction each time cumulative production doubled, and the modern restatement makes unit cost proportional to cumulative quantity raised to a negative exponent, so that the log of cost falls linearly in the log of cumulative quantity</w:t>
      </w:r>
      <w:r>
        <w:t xml:space="preserve"> </w:t>
      </w:r>
      <w:hyperlink w:anchor="ref-2">
        <w:r>
          <w:rPr>
            <w:rStyle w:val="Hyperlink"/>
          </w:rPr>
          <w:t xml:space="preserve">[2]</w:t>
        </w:r>
      </w:hyperlink>
      <w:r>
        <w:t xml:space="preserve">. The space-systems cost literature has imported this structure wholesale. Parametric cost tools encode design inheritance and accumulated experience as explicit cost reducers, so that a second build is priced below the first by a learning factor, and the dedicated multiple-builds capability of the instrument cost models exists precisely because the recurring unit of a flown instrument is expected to cost materially less than its first-of-a-kind predecessor</w:t>
      </w:r>
      <w:r>
        <w:t xml:space="preserve"> </w:t>
      </w:r>
      <w:hyperlink w:anchor="ref-1">
        <w:r>
          <w:rPr>
            <w:rStyle w:val="Hyperlink"/>
          </w:rPr>
          <w:t xml:space="preserve">[1]</w:t>
        </w:r>
      </w:hyperlink>
      <w:r>
        <w:t xml:space="preserve">. The companion cost study within this dissertation confirms that the arc is real in dollars: a pooled cross-program fit returns a negative, statistically distinguishable elasticity of unit cost on cumulative build quantity, with an implied progress ratio near two-thirds.</w:t>
      </w:r>
    </w:p>
    <w:p>
      <w:pPr>
        <w:pStyle w:val="BodyText"/>
        <w:spacing w:line="480" w:lineRule="auto"/>
        <w:ind w:firstLine="720"/>
      </w:pPr>
      <w:r>
        <w:t xml:space="preserve">The mechanism this dissertation isolates is the same experience effect, but its output is not a dollar figure. The claim is that the organization that has built a detector family several times delivers, on each successive build, a sensor whose measured performance is better than the performance it delivered earlier in the sequence. The performance figure of merit is the delivered calibration precision, read noise, radiometric stability, or response characteristic that the instrument literature reports for a named sensor family [3, 4, 6]. The causal premise is that the same accumulation that lowers cost also raises performance, because the two outcomes draw on a shared stock of build-specific knowledge.</w:t>
      </w:r>
    </w:p>
    <w:p>
      <w:pPr>
        <w:pStyle w:val="BodyText"/>
        <w:spacing w:line="480" w:lineRule="auto"/>
        <w:ind w:firstLine="720"/>
      </w:pPr>
      <w:r>
        <w:t xml:space="preserve">That premise is not a restatement of the cost result; it is a separate proposition that can fail even where the cost proposition holds. The cadence study within this dissertation makes the point concretely. Across twenty-eight flight units of six detector lineages, cumulative build number does not predict a shorter interval between successive flight units; the point estimate runs slightly in the wrong direction and its confidence interval comfortably contains zero. The learning that is plainly present in cost is invisible in schedule, because the two outcomes are governed by different clocks. The firm’s internal experience clock, which the learning curve speeds up, controls recurring cost, while the programmatic clock of mission funding, host-spacecraft availability, and launch manifests controls cadence and is indifferent to how efficient the production line has become. Performance is a third outcome with its own clock, and the central theoretical question of this chapter is whether the experience clock reaches it.</w:t>
      </w:r>
    </w:p>
    <w:p>
      <w:pPr>
        <w:pStyle w:val="BodyText"/>
        <w:spacing w:line="480" w:lineRule="auto"/>
        <w:ind w:firstLine="720"/>
      </w:pPr>
      <w:r>
        <w:t xml:space="preserve">The mechanism, stated in full, has four channels through which repeated builds of a detector family could lift delivered performance. The first is process refinement: each fabrication and integration cycle exposes the sources of variance in detector yield, surface quality, and electronics noise, and a learning organization closes those sources between builds so that the later unit is delivered closer to its design limit. The second is calibration maturation: the procedures by which a sensor’s response is characterized, corrected, and verified are themselves learned, and a family on its fifth calibration campaign measures and removes systematic error that the first campaign did not know to look for</w:t>
      </w:r>
      <w:r>
        <w:t xml:space="preserve"> </w:t>
      </w:r>
      <w:hyperlink w:anchor="ref-6">
        <w:r>
          <w:rPr>
            <w:rStyle w:val="Hyperlink"/>
          </w:rPr>
          <w:t xml:space="preserve">[6]</w:t>
        </w:r>
      </w:hyperlink>
      <w:r>
        <w:t xml:space="preserve">. The third is requirements stabilization: a build-to-print repeat retires the design risk that forced conservative performance margins on the first-of-a-kind, so the later unit can be pushed nearer to its theoretical performance because the engineering team trusts the design</w:t>
      </w:r>
      <w:r>
        <w:t xml:space="preserve"> </w:t>
      </w:r>
      <w:hyperlink w:anchor="ref-1">
        <w:r>
          <w:rPr>
            <w:rStyle w:val="Hyperlink"/>
          </w:rPr>
          <w:t xml:space="preserve">[1]</w:t>
        </w:r>
      </w:hyperlink>
      <w:r>
        <w:t xml:space="preserve">. The fourth is workforce and vendor familiarity: the tooling, test fixtures, and supplier relationships that produce a clean focal plane are amortized across builds, and the personnel who built the previous unit carry tacit knowledge into the next.</w:t>
      </w:r>
    </w:p>
    <w:p>
      <w:pPr>
        <w:pStyle w:val="BodyText"/>
        <w:spacing w:line="480" w:lineRule="auto"/>
        <w:ind w:firstLine="720"/>
      </w:pPr>
      <w:r>
        <w:t xml:space="preserve">These four channels share a single signature. If any of them operates, the delivered performance figure of merit should improve monotonically and at a decelerating rate with cumulative build number, because each is a function of accumulated experience rather than of calendar time or unit scale. The decelerating-improvement signature is exactly what the log-linear Wright form encodes: a constant fractional gain per doubling of cumulative builds, which in levels is a steep early improvement that flattens as the family matures. The chapter therefore adopts the Wright form not by analogy alone but because the posited mechanism predicts precisely the functional shape the form imposes.</w:t>
      </w:r>
    </w:p>
    <w:bookmarkEnd w:id="96"/>
    <w:bookmarkStart w:id="97" w:name="X2ead873e6ccb4fcdb9bdd1d72f3e49cce1c40e2"/>
    <w:p>
      <w:pPr>
        <w:pStyle w:val="Heading2"/>
        <w:spacing w:line="480" w:lineRule="auto"/>
      </w:pPr>
      <w:r>
        <w:t xml:space="preserve">3.3 Why the Mechanism Might Not Reach the Instrument</w:t>
      </w:r>
    </w:p>
    <w:p>
      <w:pPr>
        <w:pStyle w:val="FirstParagraph"/>
        <w:spacing w:line="480" w:lineRule="auto"/>
      </w:pPr>
      <w:r>
        <w:t xml:space="preserve">A rigorous framework must take seriously the possibility that the mechanism fails, and the structure of scientific detector production gives several principled reasons it might. The first is that detector performance, unlike unit cost, may be set almost entirely by per-build engineering and design choices rather than by accumulated organizational experience. A back-illuminated deep-depletion charge-coupled device tuned for a single observing regime is a bespoke article, integrated into a single telescope and optimized for a single mission</w:t>
      </w:r>
      <w:r>
        <w:t xml:space="preserve"> </w:t>
      </w:r>
      <w:hyperlink w:anchor="ref-3">
        <w:r>
          <w:rPr>
            <w:rStyle w:val="Hyperlink"/>
          </w:rPr>
          <w:t xml:space="preserve">[3]</w:t>
        </w:r>
      </w:hyperlink>
      <w:r>
        <w:t xml:space="preserve">. Detector and camera systems are selected and optimized per mission, with spectral and noise performance treated as a design variable that each program sets anew rather than as a property the organization improves across builds</w:t>
      </w:r>
      <w:r>
        <w:t xml:space="preserve"> </w:t>
      </w:r>
      <w:hyperlink w:anchor="ref-4">
        <w:r>
          <w:rPr>
            <w:rStyle w:val="Hyperlink"/>
          </w:rPr>
          <w:t xml:space="preserve">[4]</w:t>
        </w:r>
      </w:hyperlink>
      <w:r>
        <w:t xml:space="preserve">. If the performance figure of merit is dominated by these design degrees of freedom, then two successive builds of the same family may differ in performance for reasons that have nothing to do with which one came later, and the learning slope is zero in expectation.</w:t>
      </w:r>
    </w:p>
    <w:p>
      <w:pPr>
        <w:pStyle w:val="BodyText"/>
        <w:spacing w:line="480" w:lineRule="auto"/>
        <w:ind w:firstLine="720"/>
      </w:pPr>
      <w:r>
        <w:t xml:space="preserve">The second reason is that the small lot sizes intrinsic to flight detectors starve the mechanism of the repetitions it needs to express itself. The cost curve is legible because constellations supply hundreds of build points; a detector family supplies one to a few dozen</w:t>
      </w:r>
      <w:r>
        <w:t xml:space="preserve"> </w:t>
      </w:r>
      <w:hyperlink w:anchor="ref-3">
        <w:r>
          <w:rPr>
            <w:rStyle w:val="Hyperlink"/>
          </w:rPr>
          <w:t xml:space="preserve">[3]</w:t>
        </w:r>
      </w:hyperlink>
      <w:r>
        <w:t xml:space="preserve">. Process refinement, calibration maturation, and workforce familiarity all require enough cycles for tacit knowledge to compound and for the organization to retain it between builds. When builds are separated by years, as the cadence study documents, the workforce that built the previous unit may have dispersed and the tooling may have been mothballed, so each build effectively restarts the experience clock and no arc accumulates.</w:t>
      </w:r>
    </w:p>
    <w:p>
      <w:pPr>
        <w:pStyle w:val="BodyText"/>
        <w:spacing w:line="480" w:lineRule="auto"/>
        <w:ind w:firstLine="720"/>
      </w:pPr>
      <w:r>
        <w:t xml:space="preserve">The third reason is that the performance figure of merit may already sit against a physical floor set by the detector’s materials and architecture rather than by the organization’s skill. Read noise, dark current, and calibration residual are bounded below by device physics, and a mature design may deliver close to that floor on its first build, leaving no room for an experience effect to show. In this regime the absence of an arc is not the absence of learning but the early exhaustion of the learnable margin.</w:t>
      </w:r>
    </w:p>
    <w:p>
      <w:pPr>
        <w:pStyle w:val="BodyText"/>
        <w:spacing w:line="480" w:lineRule="auto"/>
        <w:ind w:firstLine="720"/>
      </w:pPr>
      <w:r>
        <w:t xml:space="preserve">These three failure modes are not rhetorical concessions; they are the substantive content of the null hypothesis. H0 is not merely the statistical statement that a coefficient equals zero. It is the theoretical claim that detector performance is governed by design, physics, and per-build engineering rather than by accumulated experience, so that the learning curve which demonstrably governs satellite buses, launch vehicles, and the recurring cost of these very instruments [1, 2] does not reach down to the delivered performance of the small-batch instrument. The study is therefore a genuine contest between two coherent theories of how detector performance is set, not a search for a signal whose absence would be uninformative.</w:t>
      </w:r>
    </w:p>
    <w:bookmarkEnd w:id="97"/>
    <w:bookmarkStart w:id="98" w:name="the-causal-logic-and-the-estimand"/>
    <w:p>
      <w:pPr>
        <w:pStyle w:val="Heading2"/>
        <w:spacing w:line="480" w:lineRule="auto"/>
      </w:pPr>
      <w:r>
        <w:t xml:space="preserve">3.4 The Causal Logic and the Estimand</w:t>
      </w:r>
    </w:p>
    <w:p>
      <w:pPr>
        <w:pStyle w:val="FirstParagraph"/>
        <w:spacing w:line="480" w:lineRule="auto"/>
      </w:pPr>
      <w:r>
        <w:t xml:space="preserve">The framework rests on a single causal diagram with one treatment, one outcome, and two named confounders. The treatment is cumulative build number within a detector family, the count of how many times the family has been built up to and including the unit observed. The outcome is the delivered performance figure of merit of that unit. The causal claim of H1 is that an increment in cumulative build number lowers the performance residual through the four experience channels of Section 3.2, holding the design archetype, vendor, and measurement regime fixed.</w:t>
      </w:r>
    </w:p>
    <w:p>
      <w:pPr>
        <w:pStyle w:val="BodyText"/>
        <w:spacing w:line="480" w:lineRule="auto"/>
        <w:ind w:firstLine="720"/>
      </w:pPr>
      <w:r>
        <w:t xml:space="preserve">Holding those three fixed is the work that the within-family design performs, and it is the reason identification is credible rather than assumed. By comparing successive builds of the same detector family, the design archetype is held constant, so the cross-family heterogeneity that would otherwise confound an experience effect with the simple selection of better detector designs over time is absorbed. The only quantity that varies systematically within a family is cumulative build number, which is what makes the within-family slope interpretable as an experience effect. When multiple families are pooled, family fixed effects enforce this within-family comparison statistically, so that the estimand is recovered from within-family variation alone and never from differences between one family and another.</w:t>
      </w:r>
    </w:p>
    <w:p>
      <w:pPr>
        <w:pStyle w:val="BodyText"/>
        <w:spacing w:line="480" w:lineRule="auto"/>
        <w:ind w:firstLine="720"/>
      </w:pPr>
      <w:r>
        <w:t xml:space="preserve">Two confounders survive the within-family design and must be addressed explicitly, because each can manufacture a non-zero slope that has nothing to do with organizational learning. The first is secular technology gain. A detector family that simply benefits from the advancing state of charge-coupled and complementary metal-oxide-semiconductor sensor technology over calendar time</w:t>
      </w:r>
      <w:r>
        <w:t xml:space="preserve"> </w:t>
      </w:r>
      <w:hyperlink w:anchor="ref-4">
        <w:r>
          <w:rPr>
            <w:rStyle w:val="Hyperlink"/>
          </w:rPr>
          <w:t xml:space="preserve">[4]</w:t>
        </w:r>
      </w:hyperlink>
      <w:r>
        <w:t xml:space="preserve"> </w:t>
      </w:r>
      <w:r>
        <w:t xml:space="preserve">would deliver better performance on later builds without any within-family experience mechanism, because the later build is fabricated against a more capable technological baseline. Because cumulative build number and calendar time are positively correlated within a family that builds steadily, the raw slope conflates the two. The framework’s response is a calendar-year control that separates the experience effect, indexed by cumulative build number, from the secular trend, indexed by calendar time. The control cannot dissolve the correlation entirely, and residual collinearity between build order and calendar time is a stated limit on how cleanly the two channels can be separated, but it shifts the burden from assertion to estimation: the learning interpretation requires that build number retain explanatory power after calendar time is admitted.</w:t>
      </w:r>
    </w:p>
    <w:p>
      <w:pPr>
        <w:pStyle w:val="BodyText"/>
        <w:spacing w:line="480" w:lineRule="auto"/>
        <w:ind w:firstLine="720"/>
      </w:pPr>
      <w:r>
        <w:t xml:space="preserve">The second confounder is selective publication and survivorship. Detector instances that perform poorly may go unpublished, so the observed performance distribution is censored toward success [3, 4, 6]. If later builds are more likely to be published than early failures, or if the publication threshold tightens over a family’s life, an apparent learning trend can emerge from the censoring alone. This confounder cannot be closed from the public record, because the unpublished units are by definition unobserved. The framework’s response is to bound it: the study reasons about the direction of the likely bias, reports it transparently alongside the estimate, and treats any confirmed arc as an upper bound on the true experience effect to the extent that survivorship inflates it.</w:t>
      </w:r>
    </w:p>
    <w:p>
      <w:pPr>
        <w:pStyle w:val="BodyText"/>
        <w:spacing w:line="480" w:lineRule="auto"/>
        <w:ind w:firstLine="720"/>
      </w:pPr>
      <w:r>
        <w:t xml:space="preserve">A third internal-validity threat is the risk that an estimated slope is a fitting artifact rather than a feature of build-order structure, which the framework addresses with a placebo specification that regresses performance on a randomly permuted build index. Under the null that build order carries no information, the permuted slope is centered on zero, and a real slope must survive the contrast with its own permutation distribution. The placebo does not address a confounder; it disciplines the inference against spurious structure, and it belongs to the causal logic because it certifies that any retained slope reflects the actual ordering of builds.</w:t>
      </w:r>
    </w:p>
    <w:p>
      <w:pPr>
        <w:pStyle w:val="BodyText"/>
        <w:spacing w:line="480" w:lineRule="auto"/>
        <w:ind w:firstLine="720"/>
      </w:pPr>
      <w:r>
        <w:t xml:space="preserve">The estimand, then, is the within-family learning slope on the log of cumulative build number, net of secular technology trend, interpreted as the elasticity of the delivered performance figure of merit with respect to accumulated build experience. Everything in the framework serves to make that one parameter mean what the theory says it means.</w:t>
      </w:r>
    </w:p>
    <w:bookmarkEnd w:id="98"/>
    <w:bookmarkStart w:id="99" w:name="formal-specification"/>
    <w:p>
      <w:pPr>
        <w:pStyle w:val="Heading2"/>
        <w:spacing w:line="480" w:lineRule="auto"/>
      </w:pPr>
      <w:r>
        <w:t xml:space="preserve">3.5 Formal Specification</w:t>
      </w:r>
    </w:p>
    <w:p>
      <w:pPr>
        <w:pStyle w:val="FirstParagraph"/>
        <w:spacing w:line="480" w:lineRule="auto"/>
      </w:pPr>
      <w:r>
        <w:t xml:space="preserve">Let</w:t>
      </w:r>
      <w:r>
        <w:t xml:space="preserve"> </w:t>
      </w:r>
      <w:r>
        <w:rPr>
          <w:i/>
          <w:iCs/>
        </w:rPr>
        <w:t xml:space="preserve">P_n</w:t>
      </w:r>
      <w:r>
        <w:t xml:space="preserve"> </w:t>
      </w:r>
      <w:r>
        <w:t xml:space="preserve">denote the delivered performance figure of merit for the</w:t>
      </w:r>
      <w:r>
        <w:t xml:space="preserve"> </w:t>
      </w:r>
      <w:r>
        <w:rPr>
          <w:i/>
          <w:iCs/>
        </w:rPr>
        <w:t xml:space="preserve">n</w:t>
      </w:r>
      <w:r>
        <w:t xml:space="preserve">-th build in a detector family, defined so that lower values indicate better performance, as for a root-mean-square calibration residual or a read-noise figure. Let</w:t>
      </w:r>
      <w:r>
        <w:t xml:space="preserve"> </w:t>
      </w:r>
      <w:r>
        <w:rPr>
          <w:i/>
          <w:iCs/>
        </w:rPr>
        <w:t xml:space="preserve">n</w:t>
      </w:r>
      <w:r>
        <w:t xml:space="preserve"> </w:t>
      </w:r>
      <w:r>
        <w:t xml:space="preserve">be the cumulative build index within that family, with the protoflight or first-of-a-kind unit indexed as build one. The Wright-form learning model, transplanted from cost [1, 2] to performance, is</w:t>
      </w:r>
    </w:p>
    <w:p>
      <w:pPr>
        <w:pStyle w:val="BodyText"/>
        <w:spacing w:line="480" w:lineRule="auto"/>
        <w:ind w:firstLine="720"/>
      </w:pPr>
      <w:r>
        <w:t xml:space="preserve">log</w:t>
      </w:r>
      <w:r>
        <w:t xml:space="preserve"> </w:t>
      </w:r>
      <w:r>
        <w:rPr>
          <w:i/>
          <w:iCs/>
        </w:rPr>
        <w:t xml:space="preserve">P_n</w:t>
      </w:r>
      <w:r>
        <w:t xml:space="preserve"> </w:t>
      </w:r>
      <w:r>
        <w:t xml:space="preserve">= log</w:t>
      </w:r>
      <w:r>
        <w:t xml:space="preserve"> </w:t>
      </w:r>
      <w:r>
        <w:rPr>
          <w:i/>
          <w:iCs/>
        </w:rPr>
        <w:t xml:space="preserve">P_1</w:t>
      </w:r>
      <w:r>
        <w:t xml:space="preserve"> </w:t>
      </w:r>
      <w:r>
        <w:t xml:space="preserve">+</w:t>
      </w:r>
      <w:r>
        <w:t xml:space="preserve"> </w:t>
      </w:r>
      <w:r>
        <w:rPr>
          <w:i/>
          <w:iCs/>
        </w:rPr>
        <w:t xml:space="preserve">b</w:t>
      </w:r>
      <w:r>
        <w:t xml:space="preserve"> </w:t>
      </w:r>
      <w:r>
        <w:t xml:space="preserve">· log</w:t>
      </w:r>
      <w:r>
        <w:t xml:space="preserve"> </w:t>
      </w:r>
      <w:r>
        <w:rPr>
          <w:i/>
          <w:iCs/>
        </w:rPr>
        <w:t xml:space="preserve">n</w:t>
      </w:r>
      <w:r>
        <w:t xml:space="preserve"> </w:t>
      </w:r>
      <w:r>
        <w:t xml:space="preserve">+</w:t>
      </w:r>
      <w:r>
        <w:t xml:space="preserve"> </w:t>
      </w:r>
      <w:r>
        <w:rPr>
          <w:i/>
          <w:iCs/>
        </w:rPr>
        <w:t xml:space="preserve">e_n</w:t>
      </w:r>
      <w:r>
        <w:t xml:space="preserve">,</w:t>
      </w:r>
    </w:p>
    <w:p>
      <w:pPr>
        <w:pStyle w:val="BodyText"/>
        <w:spacing w:line="480" w:lineRule="auto"/>
        <w:ind w:firstLine="720"/>
      </w:pPr>
      <w:r>
        <w:t xml:space="preserve">where log</w:t>
      </w:r>
      <w:r>
        <w:t xml:space="preserve"> </w:t>
      </w:r>
      <w:r>
        <w:rPr>
          <w:i/>
          <w:iCs/>
        </w:rPr>
        <w:t xml:space="preserve">P_1</w:t>
      </w:r>
      <w:r>
        <w:t xml:space="preserve"> </w:t>
      </w:r>
      <w:r>
        <w:t xml:space="preserve">is the fitted first-build performance on the log scale,</w:t>
      </w:r>
      <w:r>
        <w:t xml:space="preserve"> </w:t>
      </w:r>
      <w:r>
        <w:rPr>
          <w:i/>
          <w:iCs/>
        </w:rPr>
        <w:t xml:space="preserve">b</w:t>
      </w:r>
      <w:r>
        <w:t xml:space="preserve"> </w:t>
      </w:r>
      <w:r>
        <w:t xml:space="preserve">is the learning slope, and</w:t>
      </w:r>
      <w:r>
        <w:t xml:space="preserve"> </w:t>
      </w:r>
      <w:r>
        <w:rPr>
          <w:i/>
          <w:iCs/>
        </w:rPr>
        <w:t xml:space="preserve">e_n</w:t>
      </w:r>
      <w:r>
        <w:t xml:space="preserve"> </w:t>
      </w:r>
      <w:r>
        <w:t xml:space="preserve">is an error term capturing idiosyncratic build-to-build variation not explained by cumulative experience. The learning rate is</w:t>
      </w:r>
      <w:r>
        <w:t xml:space="preserve"> </w:t>
      </w:r>
      <w:r>
        <w:rPr>
          <w:i/>
          <w:iCs/>
        </w:rPr>
        <w:t xml:space="preserve">2^b</w:t>
      </w:r>
      <w:r>
        <w:t xml:space="preserve">, the multiplicative factor applied to the performance figure of merit at each doubling of cumulative builds. Because</w:t>
      </w:r>
      <w:r>
        <w:t xml:space="preserve"> </w:t>
      </w:r>
      <w:r>
        <w:rPr>
          <w:i/>
          <w:iCs/>
        </w:rPr>
        <w:t xml:space="preserve">P_n</w:t>
      </w:r>
      <w:r>
        <w:t xml:space="preserve"> </w:t>
      </w:r>
      <w:r>
        <w:t xml:space="preserve">is oriented so that lower is better, a negative</w:t>
      </w:r>
      <w:r>
        <w:t xml:space="preserve"> </w:t>
      </w:r>
      <w:r>
        <w:rPr>
          <w:i/>
          <w:iCs/>
        </w:rPr>
        <w:t xml:space="preserve">b</w:t>
      </w:r>
      <w:r>
        <w:t xml:space="preserve"> </w:t>
      </w:r>
      <w:r>
        <w:t xml:space="preserve">corresponds to improvement: each doubling of cumulative builds multiplies the performance residual by a factor below one, the same signature the cost study reports for unit cost where its progress ratio of two-thirds expresses the analogous improvement in dollars.</w:t>
      </w:r>
    </w:p>
    <w:p>
      <w:pPr>
        <w:pStyle w:val="BodyText"/>
        <w:spacing w:line="480" w:lineRule="auto"/>
        <w:ind w:firstLine="720"/>
      </w:pPr>
      <w:r>
        <w:t xml:space="preserve">The specification mirrors exactly the functional form the space-economy literature applies to cost [1, 2], which is the methodological point of the dissertation: the dependent variable changes from a dollar figure to a performance figure, while the right-hand side, the log of cumulative build number, is held identical, so that a confirmed performance arc would establish that the same experience structure validated for cost governs delivered capability. When multiple families are pooled, the model carries family fixed effects, so</w:t>
      </w:r>
      <w:r>
        <w:t xml:space="preserve"> </w:t>
      </w:r>
      <w:r>
        <w:rPr>
          <w:i/>
          <w:iCs/>
        </w:rPr>
        <w:t xml:space="preserve">b</w:t>
      </w:r>
      <w:r>
        <w:t xml:space="preserve"> </w:t>
      </w:r>
      <w:r>
        <w:t xml:space="preserve">is estimated from within-family variation only, and the headline estimate is reported per family before any pooling because the performance figure of merit is commensurable only within a family and not across the differing observing regimes and noise definitions of distinct sensor lines [3, 4, 6]. The calendar-year control of Section 3.4 enters as an additional regressor in the robustness specification, so that the learning interpretation of</w:t>
      </w:r>
      <w:r>
        <w:t xml:space="preserve"> </w:t>
      </w:r>
      <w:r>
        <w:rPr>
          <w:i/>
          <w:iCs/>
        </w:rPr>
        <w:t xml:space="preserve">b</w:t>
      </w:r>
      <w:r>
        <w:t xml:space="preserve"> </w:t>
      </w:r>
      <w:r>
        <w:t xml:space="preserve">survives only if cumulative build number retains a distinguishable coefficient once secular time is admitted.</w:t>
      </w:r>
    </w:p>
    <w:bookmarkEnd w:id="99"/>
    <w:bookmarkStart w:id="100" w:name="the-formal-hypotheses"/>
    <w:p>
      <w:pPr>
        <w:pStyle w:val="Heading2"/>
        <w:spacing w:line="480" w:lineRule="auto"/>
      </w:pPr>
      <w:r>
        <w:t xml:space="preserve">3.6 The Formal Hypotheses</w:t>
      </w:r>
    </w:p>
    <w:p>
      <w:pPr>
        <w:pStyle w:val="FirstParagraph"/>
        <w:spacing w:line="480" w:lineRule="auto"/>
      </w:pPr>
      <w:r>
        <w:t xml:space="preserve">The framework converges on a single testable proposition with a sharp null and a directional alternative.</w:t>
      </w:r>
    </w:p>
    <w:p>
      <w:pPr>
        <w:pStyle w:val="BodyText"/>
        <w:spacing w:line="480" w:lineRule="auto"/>
        <w:ind w:firstLine="720"/>
      </w:pPr>
      <w:r>
        <w:rPr>
          <w:b/>
          <w:bCs/>
        </w:rPr>
        <w:t xml:space="preserve">H0 (null).</w:t>
      </w:r>
      <w:r>
        <w:t xml:space="preserve"> </w:t>
      </w:r>
      <w:r>
        <w:rPr>
          <w:i/>
          <w:iCs/>
        </w:rPr>
        <w:t xml:space="preserve">b</w:t>
      </w:r>
      <w:r>
        <w:t xml:space="preserve"> </w:t>
      </w:r>
      <w:r>
        <w:t xml:space="preserve">= 0. Repeat builds of a detector family show no systematic improvement in the delivered performance figure of merit with cumulative build number. Under H0, detector performance is set by per-build engineering, design choices, device physics, and the secular advance of sensor technology, but not by accumulated organizational experience. The learning curve that governs satellite buses, launch vehicles, and the recurring cost of these instruments [1, 2] does not reach the delivered performance of the small-batch instrument. H0 is the theoretical position of Section 3.3: performance is a design and physics outcome, not an experience outcome.</w:t>
      </w:r>
    </w:p>
    <w:p>
      <w:pPr>
        <w:pStyle w:val="BodyText"/>
        <w:spacing w:line="480" w:lineRule="auto"/>
        <w:ind w:firstLine="720"/>
      </w:pPr>
      <w:r>
        <w:rPr>
          <w:b/>
          <w:bCs/>
        </w:rPr>
        <w:t xml:space="preserve">H1 (alternative).</w:t>
      </w:r>
      <w:r>
        <w:t xml:space="preserve"> </w:t>
      </w:r>
      <w:r>
        <w:rPr>
          <w:i/>
          <w:iCs/>
        </w:rPr>
        <w:t xml:space="preserve">b</w:t>
      </w:r>
      <w:r>
        <w:t xml:space="preserve"> </w:t>
      </w:r>
      <w:r>
        <w:t xml:space="preserve">&lt; 0, distinguishable from zero. The log of the delivered performance figure of merit declines linearly in the log of cumulative build number, net of secular technology trend, demonstrating a measurable detector learning curve in performance. Under H1, the experience mechanism documented at the system level for cost [1, 2, 5] operates also in the small-batch instrument regime, lifting delivered capability through the process-refinement, calibration-maturation, requirements-stabilization, and workforce-familiarity channels of Section 3.2. H1 is the theoretical position of that section: performance is, in part, an experience outcome that arcs with repetition.</w:t>
      </w:r>
    </w:p>
    <w:p>
      <w:pPr>
        <w:pStyle w:val="BodyText"/>
        <w:spacing w:line="480" w:lineRule="auto"/>
        <w:ind w:firstLine="720"/>
      </w:pPr>
      <w:r>
        <w:t xml:space="preserve">The proposition is falsifiable in the strict sense the prospectus requires. A fitted slope statistically indistinguishable from zero, or positive, refutes H1 and sustains H0; only a negative slope distinguishable from zero, and surviving the calendar-year control and the placebo permutation, supports H1. The study reports a single estimate of</w:t>
      </w:r>
      <w:r>
        <w:t xml:space="preserve"> </w:t>
      </w:r>
      <w:r>
        <w:rPr>
          <w:i/>
          <w:iCs/>
        </w:rPr>
        <w:t xml:space="preserve">b</w:t>
      </w:r>
      <w:r>
        <w:t xml:space="preserve"> </w:t>
      </w:r>
      <w:r>
        <w:t xml:space="preserve">per detector family with its confidence interval, and the sign and significance of</w:t>
      </w:r>
      <w:r>
        <w:t xml:space="preserve"> </w:t>
      </w:r>
      <w:r>
        <w:rPr>
          <w:i/>
          <w:iCs/>
        </w:rPr>
        <w:t xml:space="preserve">b</w:t>
      </w:r>
      <w:r>
        <w:t xml:space="preserve">, read against the robustness checks, decide the question. The decision rule inherits the discipline of the two companion studies: the cadence study sustained its null because its build-number coefficient was positive and its interval contained zero, and the cost study supported its alternative because its elasticity was negative with an interval lying entirely below zero. The performance study applies the identical standard to the identical parameter in the identical functional form, so that its verdict is comparable, by construction, with the cost and cadence results that bracket it.</w:t>
      </w:r>
    </w:p>
    <w:bookmarkEnd w:id="100"/>
    <w:bookmarkStart w:id="101" w:name="interpretive-stakes-of-each-outcome"/>
    <w:p>
      <w:pPr>
        <w:pStyle w:val="Heading2"/>
        <w:spacing w:line="480" w:lineRule="auto"/>
      </w:pPr>
      <w:r>
        <w:t xml:space="preserve">3.7 Interpretive Stakes of Each Outcome</w:t>
      </w:r>
    </w:p>
    <w:p>
      <w:pPr>
        <w:pStyle w:val="FirstParagraph"/>
        <w:spacing w:line="480" w:lineRule="auto"/>
      </w:pPr>
      <w:r>
        <w:t xml:space="preserve">The framework is built so that both possible verdicts are informative, which is the mark of a well-posed test rather than a search for a hoped-for result. A confirmed arc,</w:t>
      </w:r>
      <w:r>
        <w:t xml:space="preserve"> </w:t>
      </w:r>
      <w:r>
        <w:rPr>
          <w:i/>
          <w:iCs/>
        </w:rPr>
        <w:t xml:space="preserve">b</w:t>
      </w:r>
      <w:r>
        <w:t xml:space="preserve"> </w:t>
      </w:r>
      <w:r>
        <w:t xml:space="preserve">&lt; 0, would let mission planners credit a heritage detector line for a quantifiable performance gain per build, so that a program office could price the premium it pays to reuse a proven detector rather than develop a new one not only in retired cost, which the cost study already establishes, but in delivered capability. It would extend the experience effect from the dimensions the cost models capture into the performance dimension they do not, and it would show that the same heritage that makes a fifth detector cheaper also makes it better.</w:t>
      </w:r>
    </w:p>
    <w:p>
      <w:pPr>
        <w:pStyle w:val="BodyText"/>
        <w:spacing w:line="480" w:lineRule="auto"/>
        <w:ind w:firstLine="720"/>
      </w:pPr>
      <w:r>
        <w:t xml:space="preserve">A sustained null,</w:t>
      </w:r>
      <w:r>
        <w:t xml:space="preserve"> </w:t>
      </w:r>
      <w:r>
        <w:rPr>
          <w:i/>
          <w:iCs/>
        </w:rPr>
        <w:t xml:space="preserve">b</w:t>
      </w:r>
      <w:r>
        <w:t xml:space="preserve"> </w:t>
      </w:r>
      <w:r>
        <w:t xml:space="preserve">= 0, would be equally consequential and would parallel the cadence finding. It would discipline the casual extrapolation of constellation-scale learning curves [1, 2] into the instrument performance domain, establishing that the cost savings attributed to detector heritage cannot be assumed to carry a matching performance dividend. It would locate performance, like cadence, on a clock the production line does not control, set instead by per-build design and the physics of the device. The dissertation’s contribution does not depend on which way the slope falls; it depends on having a framework precise enough that the slope decides a stated question. That framework is now complete: a single mechanism, a single estimand, two named confounders with stated responses, and a Wright-form null and alternative that the empirical chapters will adjudicate.</w:t>
      </w:r>
    </w:p>
    <w:bookmarkEnd w:id="101"/>
    <w:bookmarkEnd w:id="102"/>
    <w:bookmarkStart w:id="110" w:name="chapter-4.-data-and-measurement"/>
    <w:p>
      <w:pPr>
        <w:pStyle w:val="Heading1"/>
        <w:spacing w:line="480" w:lineRule="auto"/>
      </w:pPr>
      <w:r>
        <w:t xml:space="preserve">Chapter 4. Data and Measurement</w:t>
      </w:r>
    </w:p>
    <w:bookmarkStart w:id="103"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foundation on which the dissertation’s central question rests: whether repeat builds of a spaceflight detector arc, in the sense that some delivered figure of merit improves log-linearly with cumulative build experience. The two studies that constitute the quantitative core of this dissertation interrogate that question along two different axes of a learning curve, and they therefore draw on two distinct datasets. The first study asks whether the cadence of a detector lineage compresses as the lineage matures, using the interval between successive flight unit launches as its dependent variable. The second study asks whether the unit cost of a repeat-built detector or instrument line declines as cumulative build quantity rises, using documented per-unit cost as its dependent variable. The two share a common theoretical foundation, the Wright-form learning curve that NASA cost practice already encodes for additional instrument copies</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but they are built from different primary records, organized around different units of analysis, and constructed under different extraction rules.</w:t>
      </w:r>
    </w:p>
    <w:p>
      <w:pPr>
        <w:pStyle w:val="BodyText"/>
        <w:spacing w:line="480" w:lineRule="auto"/>
        <w:ind w:firstLine="720"/>
      </w:pPr>
      <w:r>
        <w:t xml:space="preserve">The chapter is organized to make every variable auditable from primary records to fitted regressor. Section 4.2 states the two units of analysis and explains why each is the correct atom of measurement for its study. Section 4.3 documents the authoritative sources from which each dataset is assembled and characterizes their evidentiary standing. Section 4.4 specifies the cadence dataset of the inter-build interval study, variable by variable. Section 4.5 specifies the cross-program cost panel of the unit-cost study, variable by variable. Section 4.6 sets out the rules that govern how illustrative or unconfirmed cells are flagged and how they are kept out of, or admitted into, the estimating equations. Section 4.7 addresses commensurability and measurement error. The governing discipline throughout is that no number enters a regression unless it can be traced to a named public source, and that any cell whose authoritative value could not be confirmed is flagged in the data file rather than silently imputed.</w:t>
      </w:r>
    </w:p>
    <w:bookmarkEnd w:id="103"/>
    <w:bookmarkStart w:id="104" w:name="the-unit-of-analysis"/>
    <w:p>
      <w:pPr>
        <w:pStyle w:val="Heading2"/>
        <w:spacing w:line="480" w:lineRule="auto"/>
      </w:pPr>
      <w:r>
        <w:t xml:space="preserve">4.2 The Unit of Analysis</w:t>
      </w:r>
    </w:p>
    <w:p>
      <w:pPr>
        <w:pStyle w:val="FirstParagraph"/>
        <w:spacing w:line="480" w:lineRule="auto"/>
      </w:pPr>
      <w:r>
        <w:t xml:space="preserve">The two studies differ first and most consequentially in their unit of analysis, and the difference is not cosmetic. It determines what counts as one observation, what variation the estimator exploits, and what claims the data can and cannot support.</w:t>
      </w:r>
    </w:p>
    <w:p>
      <w:pPr>
        <w:pStyle w:val="BodyText"/>
        <w:spacing w:line="480" w:lineRule="auto"/>
        <w:ind w:firstLine="720"/>
      </w:pPr>
      <w:r>
        <w:t xml:space="preserve">In the cadence study, the unit of analysis is a single flight unit of a spaceflight detector that belongs to a documented multi-build lineage. One observation is one flown copy: the CERES Flight Model that rode a given spacecraft, the GOES Imager serial that flew on a given Geostationary Operational Environmental Satellite, the AMSU-A unit on a given NOAA or Metop platform. This is the literal atom of a repeat build. A lineage is the sequence of these units sharing a common detector design and build heritage, and the within-lineage ordering of units is precisely the cumulative-experience axis the dissertation tests. Choosing the flight unit as the unit of analysis lets the cadence study hold the design archetype, vendor, and measurement regime fixed within a lineage and vary only the cumulative build index, which is the identification logic the prospectus requires.</w:t>
      </w:r>
    </w:p>
    <w:p>
      <w:pPr>
        <w:pStyle w:val="BodyText"/>
        <w:spacing w:line="480" w:lineRule="auto"/>
        <w:ind w:firstLine="720"/>
      </w:pPr>
      <w:r>
        <w:t xml:space="preserve">In the cost study, the unit of analysis is a documented production line or production lot of a repeat-built spaceflight detector, navigation, or instrument system, observed at a reported cost point. One observation is therefore not a single flown copy but a line characterized by its cumulative flight-build quantity at the cost point and its documented per-unit cost. This coarser atom is dictated by the data-generating process: per-copy recurring costs are seldom published, whereas program totals and stated build counts are. The line, not the copy, is the smallest object for which a defensible cost-and-quantity pair can be reconstructed from the public record across the full build-experience range. The consequence, made explicit in the cost study itself, is that the panel is cross-sectional in build experience rather than a true panel of repeated builds of one line; unobserved heterogeneity across instrument classes is absorbed into the residual rather than differenced out.</w:t>
      </w:r>
    </w:p>
    <w:p>
      <w:pPr>
        <w:pStyle w:val="BodyText"/>
        <w:spacing w:line="480" w:lineRule="auto"/>
        <w:ind w:firstLine="720"/>
      </w:pPr>
      <w:r>
        <w:t xml:space="preserve">These two units of analysis are complementary rather than redundant. The cadence study buys within-lineage control at the price of a single, fully documented dependent variable, the launch interval. The cost study buys coverage of four orders of magnitude in build quantity at the price of cross-sectional pooling. Neither could substitute for the other, and the dissertation’s contribution depends on holding both.</w:t>
      </w:r>
    </w:p>
    <w:bookmarkEnd w:id="104"/>
    <w:bookmarkStart w:id="105" w:name="authoritative-sources"/>
    <w:p>
      <w:pPr>
        <w:pStyle w:val="Heading2"/>
        <w:spacing w:line="480" w:lineRule="auto"/>
      </w:pPr>
      <w:r>
        <w:t xml:space="preserve">4.3 Authoritative Sources</w:t>
      </w:r>
    </w:p>
    <w:p>
      <w:pPr>
        <w:pStyle w:val="FirstParagraph"/>
        <w:spacing w:line="480" w:lineRule="auto"/>
      </w:pPr>
      <w:r>
        <w:t xml:space="preserve">The credibility of both datasets rests on the standing of the records from which they are drawn. The dissertation treats a source as authoritative when it is publicly accessible, attributable to a named institution, and stable enough that a third party could retrieve the same figure. Three tiers of source feed the two studies.</w:t>
      </w:r>
    </w:p>
    <w:p>
      <w:pPr>
        <w:pStyle w:val="BodyText"/>
        <w:spacing w:line="480" w:lineRule="auto"/>
        <w:ind w:firstLine="720"/>
      </w:pPr>
      <w:r>
        <w:t xml:space="preserve">The first tier is institutional instrument and mission registries. Instrument mass and lineage membership for the cadence study come from the World Meteorological Organization’s OSCAR/Space instrument database, which maintains structured records for CERES, ATMS, AMSU-A, and the GOES Imager among others</w:t>
      </w:r>
      <w:r>
        <w:t xml:space="preserve"> </w:t>
      </w:r>
      <w:hyperlink w:anchor="ref-12">
        <w:r>
          <w:rPr>
            <w:rStyle w:val="Hyperlink"/>
          </w:rPr>
          <w:t xml:space="preserve">[12]</w:t>
        </w:r>
      </w:hyperlink>
      <w:r>
        <w:t xml:space="preserve">, and from the eoPortal mission pages, which document the GOES second-generation series, the GOES-N/O/P platforms, and the NOAA-20 unit of the Joint Polar Satellite System</w:t>
      </w:r>
      <w:r>
        <w:t xml:space="preserve"> </w:t>
      </w:r>
      <w:hyperlink w:anchor="ref-14">
        <w:r>
          <w:rPr>
            <w:rStyle w:val="Hyperlink"/>
          </w:rPr>
          <w:t xml:space="preserve">[14]</w:t>
        </w:r>
      </w:hyperlink>
      <w:r>
        <w:t xml:space="preserve">. These registries are the backbone of the cadence dataset because they supply both the platform-level launch context and the instrument-level mass figure under a consistent editorial standard.</w:t>
      </w:r>
    </w:p>
    <w:p>
      <w:pPr>
        <w:pStyle w:val="BodyText"/>
        <w:spacing w:line="480" w:lineRule="auto"/>
        <w:ind w:firstLine="720"/>
      </w:pPr>
      <w:r>
        <w:t xml:space="preserve">The second tier is program-office and mission-team technical reporting. The CERES flight-model sequence, the ordering of Flight Models one through six that defines the CERES cumulative build index, is taken from the NASA Langley Research Center CERES instrument-status briefings prepared for the CERES Instrument Working Group</w:t>
      </w:r>
      <w:r>
        <w:t xml:space="preserve"> </w:t>
      </w:r>
      <w:hyperlink w:anchor="ref-13">
        <w:r>
          <w:rPr>
            <w:rStyle w:val="Hyperlink"/>
          </w:rPr>
          <w:t xml:space="preserve">[13]</w:t>
        </w:r>
      </w:hyperlink>
      <w:r>
        <w:t xml:space="preserve">. This is the most direct possible source for the build ordering of that lineage, since it is produced by the team responsible for the instruments. A single recurring CERES build carries a publicly reported contract value, sourced from the contemporaneous trade-press announcement of the Northrop Grumman selection</w:t>
      </w:r>
      <w:r>
        <w:t xml:space="preserve"> </w:t>
      </w:r>
      <w:hyperlink w:anchor="ref-15">
        <w:r>
          <w:rPr>
            <w:rStyle w:val="Hyperlink"/>
          </w:rPr>
          <w:t xml:space="preserve">[15]</w:t>
        </w:r>
      </w:hyperlink>
      <w:r>
        <w:t xml:space="preserve">; it is the only itemized per-unit cost figure available for the cadence sample and functions as an anchor for discussion rather than as a regression input.</w:t>
      </w:r>
    </w:p>
    <w:p>
      <w:pPr>
        <w:pStyle w:val="BodyText"/>
        <w:spacing w:line="480" w:lineRule="auto"/>
        <w:ind w:firstLine="720"/>
      </w:pPr>
      <w:r>
        <w:t xml:space="preserve">The third tier, which dominates the cost panel, is acquisition and procurement documentation together with program-total disclosures. The cost study’s navigation observations rest on documents that publish both an acquisition unit cost and an average procurement unit cost at stated quantities, of the kind associated with the GPS Block III follow-on production, and on the European Galileo order announcements that document per-satellite prices at lot quantities. Its flagship geostationary observations derive per-unit figures from documented contract and program totals divided by documented unit counts for the GOES-R series imager and bus. Its high-quantity observations rest on documented program totals or stated manufacturing targets divided across published fleet counts for the serial communications and detector constellations, both Iridium generations, OneWeb, and Starlink. The theoretical anchoring of the learning-curve form, and NASA’s adoption of it for additional instrument copies, is documented through the NASA Instrument Cost Model multiple-builds capability</w:t>
      </w:r>
      <w:r>
        <w:t xml:space="preserve"> </w:t>
      </w:r>
      <w:hyperlink w:anchor="ref-8">
        <w:r>
          <w:rPr>
            <w:rStyle w:val="Hyperlink"/>
          </w:rPr>
          <w:t xml:space="preserve">[8]</w:t>
        </w:r>
      </w:hyperlink>
      <w:r>
        <w:t xml:space="preserve">,</w:t>
      </w:r>
      <w:r>
        <w:t xml:space="preserve"> </w:t>
      </w:r>
      <w:hyperlink w:anchor="ref-18">
        <w:r>
          <w:rPr>
            <w:rStyle w:val="Hyperlink"/>
          </w:rPr>
          <w:t xml:space="preserve">[18]</w:t>
        </w:r>
      </w:hyperlink>
      <w:r>
        <w:t xml:space="preserve"> </w:t>
      </w:r>
      <w:r>
        <w:t xml:space="preserve">and the Wright-curve foundations summarized in the acquisition-theory literature</w:t>
      </w:r>
      <w:r>
        <w:t xml:space="preserve"> </w:t>
      </w:r>
      <w:hyperlink w:anchor="ref-19">
        <w:r>
          <w:rPr>
            <w:rStyle w:val="Hyperlink"/>
          </w:rPr>
          <w:t xml:space="preserve">[19]</w:t>
        </w:r>
      </w:hyperlink>
      <w:r>
        <w:t xml:space="preserve">; the build-to-print focal-plane heritage that motivates treating detector copies as genuine repeat builds is documented for the Mars rover camera line in the Mastcam-Z investigation paper</w:t>
      </w:r>
      <w:r>
        <w:t xml:space="preserve"> </w:t>
      </w:r>
      <w:hyperlink w:anchor="ref-20">
        <w:r>
          <w:rPr>
            <w:rStyle w:val="Hyperlink"/>
          </w:rPr>
          <w:t xml:space="preserve">[20]</w:t>
        </w:r>
      </w:hyperlink>
      <w:r>
        <w:t xml:space="preserve">.</w:t>
      </w:r>
    </w:p>
    <w:p>
      <w:pPr>
        <w:pStyle w:val="BodyText"/>
        <w:spacing w:line="480" w:lineRule="auto"/>
        <w:ind w:firstLine="720"/>
      </w:pPr>
      <w:r>
        <w:t xml:space="preserve">The asymmetry across tiers is itself a finding about the public record. Launch dates and build orderings are well documented at the unit level; recurring per-copy costs are not. This asymmetry is the reason the two studies adopt different units of analysis, and it is recorded honestly rather than papered over.</w:t>
      </w:r>
    </w:p>
    <w:bookmarkEnd w:id="105"/>
    <w:bookmarkStart w:id="106" w:name="Xa95a55a78b0f100121b5b08cf3050bb035a3c08"/>
    <w:p>
      <w:pPr>
        <w:pStyle w:val="Heading2"/>
        <w:spacing w:line="480" w:lineRule="auto"/>
      </w:pPr>
      <w:r>
        <w:t xml:space="preserve">4.4 The Cadence Dataset: Variables and Construction</w:t>
      </w:r>
    </w:p>
    <w:p>
      <w:pPr>
        <w:pStyle w:val="FirstParagraph"/>
        <w:spacing w:line="480" w:lineRule="auto"/>
      </w:pPr>
      <w:r>
        <w:t xml:space="preserve">The cadence dataset comprises twenty-eight flight units drawn from six detector lineages: CERES, the GOES Imager, AMSU-A, ATMS, MODIS, and the Visible Infrared Imaging Radiometer Suite paired with the Cross-track Infrared Sounder on the Joint Polar Satellite System spacecraft. A SeaWiFS first-of-a-kind build anchors the protoflight boundary of its lineage. Three variables carry the analysis, and each is constructed from the primary records of Section 4.3 under an explicit rule.</w:t>
      </w:r>
    </w:p>
    <w:p>
      <w:pPr>
        <w:pStyle w:val="BodyText"/>
        <w:spacing w:line="480" w:lineRule="auto"/>
        <w:ind w:firstLine="720"/>
      </w:pPr>
      <w:r>
        <w:t xml:space="preserve">The first variable is cumulative build number. This is the ordinal position of a unit within its lineage, coded from documented build histories, with the protoflight model assigned the value one. For CERES the ordering is taken directly from the flight-model sequence in the Langley instrument-status briefings</w:t>
      </w:r>
      <w:r>
        <w:t xml:space="preserve"> </w:t>
      </w:r>
      <w:hyperlink w:anchor="ref-13">
        <w:r>
          <w:rPr>
            <w:rStyle w:val="Hyperlink"/>
          </w:rPr>
          <w:t xml:space="preserve">[13]</w:t>
        </w:r>
      </w:hyperlink>
      <w:r>
        <w:t xml:space="preserve">; for the GOES Imager, AMSU-A, ATMS, MODIS, and the JPSS pairing it is taken from the platform and instrument records in OSCAR/Space</w:t>
      </w:r>
      <w:r>
        <w:t xml:space="preserve"> </w:t>
      </w:r>
      <w:hyperlink w:anchor="ref-12">
        <w:r>
          <w:rPr>
            <w:rStyle w:val="Hyperlink"/>
          </w:rPr>
          <w:t xml:space="preserve">[12]</w:t>
        </w:r>
      </w:hyperlink>
      <w:r>
        <w:t xml:space="preserve"> </w:t>
      </w:r>
      <w:r>
        <w:t xml:space="preserve">and the eoPortal mission pages</w:t>
      </w:r>
      <w:r>
        <w:t xml:space="preserve"> </w:t>
      </w:r>
      <w:hyperlink w:anchor="ref-14">
        <w:r>
          <w:rPr>
            <w:rStyle w:val="Hyperlink"/>
          </w:rPr>
          <w:t xml:space="preserve">[14]</w:t>
        </w:r>
      </w:hyperlink>
      <w:r>
        <w:t xml:space="preserve">. The variable is an integer index, not a date, and it is the sole regressor of theoretical interest: a negative coefficient on it would be the cadence signature of learning.</w:t>
      </w:r>
    </w:p>
    <w:p>
      <w:pPr>
        <w:pStyle w:val="BodyText"/>
        <w:spacing w:line="480" w:lineRule="auto"/>
        <w:ind w:firstLine="720"/>
      </w:pPr>
      <w:r>
        <w:t xml:space="preserve">The second variable, and the dependent variable of the study, is the inter-build interval in years. It is computed from documented launch dates as the elapsed time between the launch of a unit and the launch of the unit that immediately precedes it in the same lineage. The construction is therefore a within-lineage first difference in launch date. Two rules govern edge cases. First, the protoflight unit of each lineage has no predecessor and therefore contributes no interval; it sets the origin of the lineage but does not enter the dependent variable. Second, co-manifested twins, units of the same lineage that launched on the same spacecraft, take an interval of zero by construction, since no production time separates their flights. The launch dates themselves come from the eoPortal and OSCAR/Space mission records</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which is what allows the dependent variable to be called fully and independently documented: unlike cost, a launch date is a public, unambiguous, externally fixed event.</w:t>
      </w:r>
    </w:p>
    <w:p>
      <w:pPr>
        <w:pStyle w:val="BodyText"/>
        <w:spacing w:line="480" w:lineRule="auto"/>
        <w:ind w:firstLine="720"/>
      </w:pPr>
      <w:r>
        <w:t xml:space="preserve">The third variable is instrument mass in kilograms, which enters the regression in natural-log form as a control for instrument scale and complexity across lineages. Mass is drawn from OSCAR/Space and the eoPortal pages</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Two mass values, those for SeaWiFS and CrIS, are marked illustrative in the data file’s source column because an authoritative figure could not be confirmed from a primary registry; they amount to roughly seven percent of the sample. Mass is a control regressor, not the dependent variable, and the two illustrative values do not enter the dependent variable at all, so the integrity of the launch-interval measurement is unaffected by them.</w:t>
      </w:r>
    </w:p>
    <w:p>
      <w:pPr>
        <w:pStyle w:val="BodyText"/>
        <w:spacing w:line="480" w:lineRule="auto"/>
        <w:ind w:firstLine="720"/>
      </w:pPr>
      <w:r>
        <w:t xml:space="preserve">Every launch date, build position, and mass figure in this dataset is recorded against a named public source in the data file’s source column, so that the constructed panel is auditable from regressor back to primary record. No cost figures were imputed into the cadence regression; the single publicly reported CERES contract value</w:t>
      </w:r>
      <w:r>
        <w:t xml:space="preserve"> </w:t>
      </w:r>
      <w:hyperlink w:anchor="ref-15">
        <w:r>
          <w:rPr>
            <w:rStyle w:val="Hyperlink"/>
          </w:rPr>
          <w:t xml:space="preserve">[15]</w:t>
        </w:r>
      </w:hyperlink>
      <w:r>
        <w:t xml:space="preserve"> </w:t>
      </w:r>
      <w:r>
        <w:t xml:space="preserve">is held outside the estimating equation and used only to illustrate the decoupling of cost and cadence in the discussion.</w:t>
      </w:r>
    </w:p>
    <w:bookmarkEnd w:id="106"/>
    <w:bookmarkStart w:id="107" w:name="Xf08ff150e6fe50f070aa91c4b8a2f296a2c3917"/>
    <w:p>
      <w:pPr>
        <w:pStyle w:val="Heading2"/>
        <w:spacing w:line="480" w:lineRule="auto"/>
      </w:pPr>
      <w:r>
        <w:t xml:space="preserve">4.5 The Cross-Program Cost Panel: Variables and Construction</w:t>
      </w:r>
    </w:p>
    <w:p>
      <w:pPr>
        <w:pStyle w:val="FirstParagraph"/>
        <w:spacing w:line="480" w:lineRule="auto"/>
      </w:pPr>
      <w:r>
        <w:t xml:space="preserve">The cost dataset is a cross-program panel of twenty observations, each a documented production line or production lot of a repeat-built spaceflight detector, navigation, or instrument system. The panel is constructed deliberately to span the full build-experience range of the modern space sector, from low-quantity flagship lines to high-quantity commercial constellations, because the learning-curve elasticity is a property of the relationship across that range. Two variables plus a source citation define each row.</w:t>
      </w:r>
    </w:p>
    <w:p>
      <w:pPr>
        <w:pStyle w:val="BodyText"/>
        <w:spacing w:line="480" w:lineRule="auto"/>
        <w:ind w:firstLine="720"/>
      </w:pPr>
      <w:r>
        <w:t xml:space="preserve">The first variable is cumulative flight-build quantity, recorded for each line at the reported cost point. At the low-quantity, high-cost corner sit the flagship geostationary lines, the GOES-R series imager and bus, whose quantities are the documented unit counts of those programs. The navigation programs anchor the middle of the quantity range: the GPS Block III follow-on production and the European Galileo full-operational-capability lots, whose quantities are the stated production or lot counts in their acquisition and order documentation. At the high-quantity end sit the serial communications and detector constellations, both Iridium generations, OneWeb, and Starlink, whose quantities are the published fleet counts or stated manufacturing targets. The variable spans four orders of magnitude, and it enters the regression as a natural logarithm.</w:t>
      </w:r>
    </w:p>
    <w:p>
      <w:pPr>
        <w:pStyle w:val="BodyText"/>
        <w:spacing w:line="480" w:lineRule="auto"/>
        <w:ind w:firstLine="720"/>
      </w:pPr>
      <w:r>
        <w:t xml:space="preserve">The second variable, and the dependent variable of the study, is documented per-unit cost in current-year dollars, entered as a natural logarithm. Its construction differs by observation according to what the record publishes. Where a program publishes a per-unit acquisition or procurement figure directly, as in the navigation Selected Acquisition Reporting that states both a program-acquisition unit cost and an average procurement unit cost at given quantities, that published figure is used. Where no per-copy figure exists but the program total and a unit count are both documented, the per-unit cost is the documented program or contract total divided by the documented count, the construction used for the GOES-R flagship lines and for the constellation observations. The functional form of the analysis, a log-log regression of unit cost on cumulative quantity, is the standard Wright learning-curve specification, and the slope it recovers is the cost elasticity with respect to cumulative quantity, with the progress ratio defined as two raised to that slope.</w:t>
      </w:r>
    </w:p>
    <w:p>
      <w:pPr>
        <w:pStyle w:val="BodyText"/>
        <w:spacing w:line="480" w:lineRule="auto"/>
        <w:ind w:firstLine="720"/>
      </w:pPr>
      <w:r>
        <w:t xml:space="preserve">Three of the twenty cells, the microwave-sounder line, the relay-block line, and the planetary-camera line, are line-average values flagged as illustrative in the source column, because the per-copy split is not separately published even though the build count and the program context are documented. These three cells constitute fifteen percent of the rows. They are retained, not discarded, because they preserve coverage of the lowest-cost detector classes that would otherwise be absent from the panel, and the dissertation’s transparency rule requires that their illustrative status be visible to any reader rather than concealed. Every row, illustrative or not, points to a named source in the citation column; no citation is invented.</w:t>
      </w:r>
    </w:p>
    <w:bookmarkEnd w:id="107"/>
    <w:bookmarkStart w:id="108" w:name="Xef1ac51724ccda122afbb3254db684f6bd8e61f"/>
    <w:p>
      <w:pPr>
        <w:pStyle w:val="Heading2"/>
        <w:spacing w:line="480" w:lineRule="auto"/>
      </w:pPr>
      <w:r>
        <w:t xml:space="preserve">4.6 Treatment of Illustrative and Unconfirmed Cells</w:t>
      </w:r>
    </w:p>
    <w:p>
      <w:pPr>
        <w:pStyle w:val="FirstParagraph"/>
        <w:spacing w:line="480" w:lineRule="auto"/>
      </w:pPr>
      <w:r>
        <w:t xml:space="preserve">A single rule governs cells whose authoritative value could not be confirmed: such cells are flagged in the data file’s source column as illustrative and never imputed by a model. The rule is applied identically across the two datasets, but its consequence differs because the flagged cells occupy different roles in each.</w:t>
      </w:r>
    </w:p>
    <w:p>
      <w:pPr>
        <w:pStyle w:val="BodyText"/>
        <w:spacing w:line="480" w:lineRule="auto"/>
        <w:ind w:firstLine="720"/>
      </w:pPr>
      <w:r>
        <w:t xml:space="preserve">In the cadence dataset, the two illustrative cells are mass values for SeaWiFS and CrIS</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Because mass is a control and not the dependent variable, and because the dependent variable, the launch interval, is constructed entirely from independently documented launch dates, the illustrative mass values cannot contaminate the quantity the study is actually estimating. They affect only a covariate that the findings report as inert. The dissertation states plainly that these two values constitute roughly seven percent of the sample and do not enter the dependent variable.</w:t>
      </w:r>
    </w:p>
    <w:p>
      <w:pPr>
        <w:pStyle w:val="BodyText"/>
        <w:spacing w:line="480" w:lineRule="auto"/>
        <w:ind w:firstLine="720"/>
      </w:pPr>
      <w:r>
        <w:t xml:space="preserve">In the cost dataset, the three illustrative cells, the microwave-sounder, relay-block, and planetary-camera lines, are values of the dependent variable itself, since they are line-average unit costs whose per-copy split is unpublished. This is the more consequential case, and the dissertation handles it by retaining the cells for coverage while marking them, by acknowledging that the resulting averaging attenuates within-line variation, and by treating the limitation as one of the three bounding caveats on the cost inference rather than as a hidden adjustment. The standing discipline is identical in both studies: the public record is reported as it is, the boundary between confirmed and illustrative figures is drawn in the data file, and the complementary cost-arc test is declined on data that would require fabricating a dependent variable rather than run on invented numbers.</w:t>
      </w:r>
    </w:p>
    <w:bookmarkEnd w:id="108"/>
    <w:bookmarkStart w:id="109" w:name="Xdcc2b23df9989fc4ac877de43c13f06ad962158"/>
    <w:p>
      <w:pPr>
        <w:pStyle w:val="Heading2"/>
        <w:spacing w:line="480" w:lineRule="auto"/>
      </w:pPr>
      <w:r>
        <w:t xml:space="preserve">4.7 Commensurability, Measurement Error, and Provenance</w:t>
      </w:r>
    </w:p>
    <w:p>
      <w:pPr>
        <w:pStyle w:val="FirstParagraph"/>
        <w:spacing w:line="480" w:lineRule="auto"/>
      </w:pPr>
      <w:r>
        <w:t xml:space="preserve">Two further measurement concerns bear on the construction of both datasets and are recorded here so that the inference chapters can refer to them.</w:t>
      </w:r>
    </w:p>
    <w:p>
      <w:pPr>
        <w:pStyle w:val="BodyText"/>
        <w:spacing w:line="480" w:lineRule="auto"/>
        <w:ind w:firstLine="720"/>
      </w:pPr>
      <w:r>
        <w:t xml:space="preserve">The first is cross-source commensurability of the dependent variables. In the cadence study the dependent variable is highly commensurable: a launch interval in years is the same quantity regardless of lineage, because it is computed from externally fixed launch dates</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w:t>
      </w:r>
      <w:r>
        <w:t xml:space="preserve">and admits no definitional ambiguity. The control regressor, log mass, is commensurable in unit but mixes instrument classes of different function, which is the reason it is entered as a cross-lineage control rather than interpreted structurally. In the cost study, commensurability is weaker by construction: costs are reported in current-year dollars from heterogeneous sources and base years, so part of the dispersion in the dependent variable reflects price-level and accounting differences rather than real learning. The log-log form mitigates but does not eliminate this, because logarithms pool programs that differ by three orders of magnitude in unit cost and four in quantity onto a common scale while leaving base-year heterogeneity in the residual.</w:t>
      </w:r>
    </w:p>
    <w:p>
      <w:pPr>
        <w:pStyle w:val="BodyText"/>
        <w:spacing w:line="480" w:lineRule="auto"/>
        <w:ind w:firstLine="720"/>
      </w:pPr>
      <w:r>
        <w:t xml:space="preserve">The second concern is measurement error and its direction. In the cadence dataset, measurement error in the dependent variable is negligible, because launch dates are public and unambiguous; the residual measurement concern is confined to the build ordering of lineages whose histories are less fully briefed than CERES, and to the two illustrative mass cells. In the cost dataset, measurement error is larger and structured: per-copy figures reconstructed by dividing documented totals by documented counts carry whatever averaging the division imposes, and the three illustrative line-average cells carry more. The dissertation’s response is not to claim the error away but to bound it, to report the share of illustrative cells in each sample, and to direct the natural next step toward records that publish copy-level recurring cost for several units of a single line, which would convert the cost study from a cross-sectional panel into the within-line specification that would difference the heterogeneity out.</w:t>
      </w:r>
    </w:p>
    <w:p>
      <w:pPr>
        <w:pStyle w:val="BodyText"/>
        <w:spacing w:line="480" w:lineRule="auto"/>
        <w:ind w:firstLine="720"/>
      </w:pPr>
      <w:r>
        <w:t xml:space="preserve">Provenance closes the chapter because it is the property that makes both datasets defensible. Every observation in the cadence dataset links to a named public source for its launch date, build position, and mass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so the constructed panel is auditable end to end. Every row in the cost panel cites a named public source for its quantity and its cost, with the illustrative rows flagged explicitly</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The build-to-print heritage that justifies treating successive detector copies as genuine repeat builds, rather than as unrelated instruments that happen to share a name, is itself documented in the primary instrument literature</w:t>
      </w:r>
      <w:r>
        <w:t xml:space="preserve"> </w:t>
      </w:r>
      <w:hyperlink w:anchor="ref-20">
        <w:r>
          <w:rPr>
            <w:rStyle w:val="Hyperlink"/>
          </w:rPr>
          <w:t xml:space="preserve">[20]</w:t>
        </w:r>
      </w:hyperlink>
      <w:r>
        <w:t xml:space="preserve">. The measurement architecture of this dissertation is therefore reconstructable from the open published record without recourse to proprietary vendor data, and the boundary between what the record confirms and what it can only illustrate is drawn explicitly in the data files rather than blurred in the analysis.</w:t>
      </w:r>
    </w:p>
    <w:bookmarkEnd w:id="109"/>
    <w:bookmarkEnd w:id="110"/>
    <w:bookmarkStart w:id="126" w:name="chapter-5.-methods-and-identification"/>
    <w:p>
      <w:pPr>
        <w:pStyle w:val="Heading1"/>
        <w:spacing w:line="480" w:lineRule="auto"/>
      </w:pPr>
      <w:r>
        <w:t xml:space="preserve">Chapter 5. Methods and Identification</w:t>
      </w:r>
    </w:p>
    <w:bookmarkStart w:id="111" w:name="X1ea5b3a9edff3efccbbc4f329fbb559d4ef755d"/>
    <w:p>
      <w:pPr>
        <w:pStyle w:val="Heading2"/>
        <w:spacing w:line="480" w:lineRule="auto"/>
      </w:pPr>
      <w:r>
        <w:t xml:space="preserve">5.1 The Estimand and Why It Is Defined Three Times</w:t>
      </w:r>
    </w:p>
    <w:p>
      <w:pPr>
        <w:pStyle w:val="FirstParagraph"/>
        <w:spacing w:line="480" w:lineRule="auto"/>
      </w:pPr>
      <w:r>
        <w:t xml:space="preserve">This dissertation asks one question in three dimensions, and the methods chapter must hold all three to a common standard of inference. The question is whether repeat builds of a spaceflight detector arc, and the three dimensions are cost, cadence, and delivered performance. Each dimension supplies its own dependent variable, but the estimand is structurally the same object: the slope of a log-linear relationship between an outcome and a measure of accumulated build experience, fitted in the Wright form that NASA’s instrument cost practice already applies to additional copies</w:t>
      </w:r>
      <w:r>
        <w:t xml:space="preserve"> </w:t>
      </w:r>
      <w:hyperlink w:anchor="ref-8">
        <w:r>
          <w:rPr>
            <w:rStyle w:val="Hyperlink"/>
          </w:rPr>
          <w:t xml:space="preserve">[8]</w:t>
        </w:r>
      </w:hyperlink>
      <w:r>
        <w:t xml:space="preserve">,</w:t>
      </w:r>
      <w:r>
        <w:t xml:space="preserve"> </w:t>
      </w:r>
      <w:hyperlink w:anchor="ref-18">
        <w:r>
          <w:rPr>
            <w:rStyle w:val="Hyperlink"/>
          </w:rPr>
          <w:t xml:space="preserve">[18]</w:t>
        </w:r>
      </w:hyperlink>
      <w:r>
        <w:t xml:space="preserve">. The reason to estimate the same functional object three times, rather than once, is that the experience mechanism is known to be dimension-specific. The heritage-divergence literature establishes that the convergence of an outcome on its heritage-model prediction can break down in one dimension while holding in another, because a later build that carries the same name may no longer be the same artifact once it has absorbed new requirements</w:t>
      </w:r>
      <w:r>
        <w:t xml:space="preserve"> </w:t>
      </w:r>
      <w:hyperlink w:anchor="ref-9">
        <w:r>
          <w:rPr>
            <w:rStyle w:val="Hyperlink"/>
          </w:rPr>
          <w:t xml:space="preserve">[9]</w:t>
        </w:r>
      </w:hyperlink>
      <w:r>
        <w:t xml:space="preserve">. An arc that is real in dollars may be wholly absent in years, and a slope that is steep across a pooled cross-section may not describe what any single instrument line learns on its own. The methods below are designed so that each dimension’s slope is estimated under assumptions appropriate to that dimension’s data, and so that the three results can be read together without conflating the clocks that govern them.</w:t>
      </w:r>
    </w:p>
    <w:p>
      <w:pPr>
        <w:pStyle w:val="BodyText"/>
        <w:spacing w:line="480" w:lineRule="auto"/>
        <w:ind w:firstLine="720"/>
      </w:pPr>
      <w:r>
        <w:t xml:space="preserve">The common functional form is the power law. In each dimension an outcome</w:t>
      </w:r>
      <w:r>
        <w:t xml:space="preserve"> </w:t>
      </w:r>
      <w:r>
        <w:rPr>
          <w:i/>
          <w:iCs/>
        </w:rPr>
        <w:t xml:space="preserve">Y</w:t>
      </w:r>
      <w:r>
        <w:t xml:space="preserve"> </w:t>
      </w:r>
      <w:r>
        <w:t xml:space="preserve">is taken to be proportional to a measure of cumulative build experience</w:t>
      </w:r>
      <w:r>
        <w:t xml:space="preserve"> </w:t>
      </w:r>
      <w:r>
        <w:rPr>
          <w:i/>
          <w:iCs/>
        </w:rPr>
        <w:t xml:space="preserve">X</w:t>
      </w:r>
      <w:r>
        <w:t xml:space="preserve"> </w:t>
      </w:r>
      <w:r>
        <w:t xml:space="preserve">raised to an exponent, so that taking logarithms yields a line whose slope is an elasticity and whose antilog of the slope, two raised to the slope, is the progress ratio familiar from learning-curve practice</w:t>
      </w:r>
      <w:r>
        <w:t xml:space="preserve"> </w:t>
      </w:r>
      <w:hyperlink w:anchor="ref-19">
        <w:r>
          <w:rPr>
            <w:rStyle w:val="Hyperlink"/>
          </w:rPr>
          <w:t xml:space="preserve">[19]</w:t>
        </w:r>
      </w:hyperlink>
      <w:r>
        <w:t xml:space="preserve">. The cost study takes</w:t>
      </w:r>
      <w:r>
        <w:t xml:space="preserve"> </w:t>
      </w:r>
      <w:r>
        <w:rPr>
          <w:i/>
          <w:iCs/>
        </w:rPr>
        <w:t xml:space="preserve">Y</w:t>
      </w:r>
      <w:r>
        <w:t xml:space="preserve"> </w:t>
      </w:r>
      <w:r>
        <w:t xml:space="preserve">to be per-unit cost and</w:t>
      </w:r>
      <w:r>
        <w:t xml:space="preserve"> </w:t>
      </w:r>
      <w:r>
        <w:rPr>
          <w:i/>
          <w:iCs/>
        </w:rPr>
        <w:t xml:space="preserve">X</w:t>
      </w:r>
      <w:r>
        <w:t xml:space="preserve"> </w:t>
      </w:r>
      <w:r>
        <w:t xml:space="preserve">to be cumulative build quantity. The cadence study takes the outcome to be the inter-build interval in years and the experience measure to be cumulative build number, fitted in levels rather than logs because an interval of zero for co-manifested twins is admissible data rather than a boundary to be transformed away. The performance study takes</w:t>
      </w:r>
      <w:r>
        <w:t xml:space="preserve"> </w:t>
      </w:r>
      <w:r>
        <w:rPr>
          <w:i/>
          <w:iCs/>
        </w:rPr>
        <w:t xml:space="preserve">Y</w:t>
      </w:r>
      <w:r>
        <w:t xml:space="preserve"> </w:t>
      </w:r>
      <w:r>
        <w:t xml:space="preserve">to be a detector figure of merit, defined so that lower is better, and</w:t>
      </w:r>
      <w:r>
        <w:t xml:space="preserve"> </w:t>
      </w:r>
      <w:r>
        <w:rPr>
          <w:i/>
          <w:iCs/>
        </w:rPr>
        <w:t xml:space="preserve">X</w:t>
      </w:r>
      <w:r>
        <w:t xml:space="preserve"> </w:t>
      </w:r>
      <w:r>
        <w:t xml:space="preserve">to be the cumulative build index within a single detector family. The estimand in every case is the coefficient on the experience measure, and the sign and significance of that coefficient decide the hypothesis the corresponding chapter poses.</w:t>
      </w:r>
    </w:p>
    <w:bookmarkEnd w:id="111"/>
    <w:bookmarkStart w:id="115" w:name="estimators"/>
    <w:p>
      <w:pPr>
        <w:pStyle w:val="Heading2"/>
        <w:spacing w:line="480" w:lineRule="auto"/>
      </w:pPr>
      <w:r>
        <w:t xml:space="preserve">5.2 Estimators</w:t>
      </w:r>
    </w:p>
    <w:bookmarkStart w:id="112" w:name="Xe5e22f88540e299d772f4e65ff0eb27802e5cb6"/>
    <w:p>
      <w:pPr>
        <w:pStyle w:val="Heading3"/>
        <w:spacing w:line="480" w:lineRule="auto"/>
      </w:pPr>
      <w:r>
        <w:t xml:space="preserve">5.2.1 The Cost Arc: Pooled Log-Log Ordinary Least Squares</w:t>
      </w:r>
    </w:p>
    <w:p>
      <w:pPr>
        <w:pStyle w:val="FirstParagraph"/>
        <w:spacing w:line="480" w:lineRule="auto"/>
      </w:pPr>
      <w:r>
        <w:t xml:space="preserve">The cost dimension is estimated by a single log-log ordinary-least-squares regression of unit cost on cumulative build quantity, the standard functional form of the Wright learning curve</w:t>
      </w:r>
      <w:r>
        <w:t xml:space="preserve"> </w:t>
      </w:r>
      <w:hyperlink w:anchor="ref-4">
        <w:r>
          <w:rPr>
            <w:rStyle w:val="Hyperlink"/>
          </w:rPr>
          <w:t xml:space="preserve">[4]</w:t>
        </w:r>
      </w:hyperlink>
      <w:r>
        <w:t xml:space="preserve">,</w:t>
      </w:r>
      <w:r>
        <w:t xml:space="preserve"> </w:t>
      </w:r>
      <w:hyperlink w:anchor="ref-19">
        <w:r>
          <w:rPr>
            <w:rStyle w:val="Hyperlink"/>
          </w:rPr>
          <w:t xml:space="preserve">[19]</w:t>
        </w:r>
      </w:hyperlink>
      <w:r>
        <w:t xml:space="preserve">. The dependent variable is the natural logarithm of per-unit cost in current-year dollars; the single regressor is the natural logarithm of cumulative flight-build quantity at the reported cost point. The slope coefficient is the cost elasticity with respect to cumulative quantity, and the progress ratio is two raised to that slope. Standard errors are heteroskedasticity-consistent, a choice dictated by the wide dispersion of unit costs across instrument classes, where a geostationary imager and a serially produced constellation transponder differ by orders of magnitude in both axes. Because the specification is in logs, programs that differ by three orders of magnitude in unit cost and four in quantity are pooled onto a common scale, so that a planetary-camera pair and an eighty-one-unit assembly line contribute to the same elasticity. The hypothesis test is one-sided in interpretation, since the learning-curve prediction is directional, but it is reported with the conventional two-sided p-value on the slope so that the reader can apply either threshold.</w:t>
      </w:r>
    </w:p>
    <w:p>
      <w:pPr>
        <w:pStyle w:val="BodyText"/>
        <w:spacing w:line="480" w:lineRule="auto"/>
        <w:ind w:firstLine="720"/>
      </w:pPr>
      <w:r>
        <w:t xml:space="preserve">The estimator is deliberately single-regressor. With twenty cross-program observations spanning the full build-experience range of the modern sector, a richer specification that partitioned instrument class, mass, technology generation, and contractor would exhaust the degrees of freedom and substitute the appearance of control for genuine identification. The design instead accepts that the pooled slope blends within-line learning with a cross-sector composition effect, and it discharges that limitation in interpretation rather than pretending to estimate it away. This is the disciplined posture the chapter adopts throughout: the estimator is matched to the data density actually available, and what the estimator cannot separate is named rather than buried.</w:t>
      </w:r>
    </w:p>
    <w:bookmarkEnd w:id="112"/>
    <w:bookmarkStart w:id="113" w:name="X72c192a948dcdb34fcb5e520d179db6e492f880"/>
    <w:p>
      <w:pPr>
        <w:pStyle w:val="Heading3"/>
        <w:spacing w:line="480" w:lineRule="auto"/>
      </w:pPr>
      <w:r>
        <w:t xml:space="preserve">5.2.2 The Cadence Arc: Robust Ordinary Least Squares in Levels</w:t>
      </w:r>
    </w:p>
    <w:p>
      <w:pPr>
        <w:pStyle w:val="FirstParagraph"/>
        <w:spacing w:line="480" w:lineRule="auto"/>
      </w:pPr>
      <w:r>
        <w:t xml:space="preserve">The cadence dimension is estimated by ordinary least squares with heteroskedasticity-robust standard errors. The dependent variable is the inter-build interval in years, computed from documented launch dates as the elapsed time since the prior unit in the same lineage, with co-manifested twins that launched on the same spacecraft taking an interval of zero. The regressors are cumulative build number and the natural logarithm of instrument mass in kilograms, the latter entering as a control for instrument scale and complexity across lineages. The specification is</w:t>
      </w:r>
    </w:p>
    <w:p>
      <w:pPr>
        <w:pStyle w:val="BodyText"/>
        <w:spacing w:line="480" w:lineRule="auto"/>
        <w:ind w:firstLine="720"/>
      </w:pPr>
      <w:r>
        <w:t xml:space="preserve">gap_years = b0 + b1 (build number) + b2 ln(mass_kg) + e,</w:t>
      </w:r>
    </w:p>
    <w:p>
      <w:pPr>
        <w:pStyle w:val="BodyText"/>
        <w:spacing w:line="480" w:lineRule="auto"/>
        <w:ind w:firstLine="720"/>
      </w:pPr>
      <w:r>
        <w:t xml:space="preserve">where a negative and statistically distinguishable b1 would support the hypothesis that learning compresses cadence. Robust standard errors guard against the unequal interval variance that arises mechanically when some lineages cluster their builds tightly while others space them across a decade. The model is parsimonious by intent: with twenty-eight flight units across six lineages, the design tests the single directional claim that experience shortens cadence rather than attempting to partition every source of schedule variance, most of which is exogenous to the production line by construction.</w:t>
      </w:r>
    </w:p>
    <w:p>
      <w:pPr>
        <w:pStyle w:val="BodyText"/>
        <w:spacing w:line="480" w:lineRule="auto"/>
        <w:ind w:firstLine="720"/>
      </w:pPr>
      <w:r>
        <w:t xml:space="preserve">The decision to fit cadence in levels rather than logs is substantive, not incidental. The cost and performance dimensions admit a log-log form because their outcomes are strictly positive and their experience measures are quantities whose doublings carry economic meaning. The inter-build interval, by contrast, takes a legitimate value of zero whenever two units of a lineage fly co-manifested, and that zero is information about cadence rather than a degenerate observation to be discarded. A level specification preserves those observations and reports the coefficient in the natural unit of years per build, which is the unit a program planner reasons in.</w:t>
      </w:r>
    </w:p>
    <w:bookmarkEnd w:id="113"/>
    <w:bookmarkStart w:id="114" w:name="Xe7074a5f47018b0c30d6561a53cd2e2bc7b2e6c"/>
    <w:p>
      <w:pPr>
        <w:pStyle w:val="Heading3"/>
        <w:spacing w:line="480" w:lineRule="auto"/>
      </w:pPr>
      <w:r>
        <w:t xml:space="preserve">5.2.3 The Performance Arc: Within-Family Log-Linear Fit</w:t>
      </w:r>
    </w:p>
    <w:p>
      <w:pPr>
        <w:pStyle w:val="FirstParagraph"/>
        <w:spacing w:line="480" w:lineRule="auto"/>
      </w:pPr>
      <w:r>
        <w:t xml:space="preserve">The performance dimension is the dissertation’s central test, and its estimator is the within-family log-linear fit specified in the introduction. Let</w:t>
      </w:r>
      <w:r>
        <w:t xml:space="preserve"> </w:t>
      </w:r>
      <w:r>
        <w:rPr>
          <w:i/>
          <w:iCs/>
        </w:rPr>
        <w:t xml:space="preserve">P</w:t>
      </w:r>
      <w:r>
        <w:t xml:space="preserve">₍ₙ₎ denote a detector performance figure of merit for the</w:t>
      </w:r>
      <w:r>
        <w:t xml:space="preserve"> </w:t>
      </w:r>
      <w:r>
        <w:rPr>
          <w:i/>
          <w:iCs/>
        </w:rPr>
        <w:t xml:space="preserve">n</w:t>
      </w:r>
      <w:r>
        <w:t xml:space="preserve">-th build in a detector family, defined so that lower is better, and let</w:t>
      </w:r>
      <w:r>
        <w:t xml:space="preserve"> </w:t>
      </w:r>
      <w:r>
        <w:rPr>
          <w:i/>
          <w:iCs/>
        </w:rPr>
        <w:t xml:space="preserve">n</w:t>
      </w:r>
      <w:r>
        <w:t xml:space="preserve"> </w:t>
      </w:r>
      <w:r>
        <w:t xml:space="preserve">be the cumulative build index within that family. The model is</w:t>
      </w:r>
    </w:p>
    <w:p>
      <w:pPr>
        <w:pStyle w:val="BodyText"/>
        <w:spacing w:line="480" w:lineRule="auto"/>
        <w:ind w:firstLine="720"/>
      </w:pPr>
      <w:r>
        <w:t xml:space="preserve">log</w:t>
      </w:r>
      <w:r>
        <w:t xml:space="preserve"> </w:t>
      </w:r>
      <w:r>
        <w:rPr>
          <w:i/>
          <w:iCs/>
        </w:rPr>
        <w:t xml:space="preserve">P</w:t>
      </w:r>
      <w:r>
        <w:t xml:space="preserve">₍ₙ₎ = log</w:t>
      </w:r>
      <w:r>
        <w:t xml:space="preserve"> </w:t>
      </w:r>
      <w:r>
        <w:rPr>
          <w:i/>
          <w:iCs/>
        </w:rPr>
        <w:t xml:space="preserve">P</w:t>
      </w:r>
      <w:r>
        <w:t xml:space="preserve">₁ +</w:t>
      </w:r>
      <w:r>
        <w:t xml:space="preserve"> </w:t>
      </w:r>
      <w:r>
        <w:rPr>
          <w:i/>
          <w:iCs/>
        </w:rPr>
        <w:t xml:space="preserve">b</w:t>
      </w:r>
      <w:r>
        <w:t xml:space="preserve"> </w:t>
      </w:r>
      <w:r>
        <w:t xml:space="preserve">· log</w:t>
      </w:r>
      <w:r>
        <w:t xml:space="preserve"> </w:t>
      </w:r>
      <w:r>
        <w:rPr>
          <w:i/>
          <w:iCs/>
        </w:rPr>
        <w:t xml:space="preserve">n</w:t>
      </w:r>
      <w:r>
        <w:t xml:space="preserve"> </w:t>
      </w:r>
      <w:r>
        <w:t xml:space="preserve">+</w:t>
      </w:r>
      <w:r>
        <w:t xml:space="preserve"> </w:t>
      </w:r>
      <w:r>
        <w:rPr>
          <w:i/>
          <w:iCs/>
        </w:rPr>
        <w:t xml:space="preserve">e</w:t>
      </w:r>
      <w:r>
        <w:t xml:space="preserve">₍ₙ₎,</w:t>
      </w:r>
    </w:p>
    <w:p>
      <w:pPr>
        <w:pStyle w:val="BodyText"/>
        <w:spacing w:line="480" w:lineRule="auto"/>
        <w:ind w:firstLine="720"/>
      </w:pPr>
      <w:r>
        <w:t xml:space="preserve">where</w:t>
      </w:r>
      <w:r>
        <w:t xml:space="preserve"> </w:t>
      </w:r>
      <w:r>
        <w:rPr>
          <w:i/>
          <w:iCs/>
        </w:rPr>
        <w:t xml:space="preserve">b</w:t>
      </w:r>
      <w:r>
        <w:t xml:space="preserve"> </w:t>
      </w:r>
      <w:r>
        <w:t xml:space="preserve">is the learning slope, the learning rate is two raised to</w:t>
      </w:r>
      <w:r>
        <w:t xml:space="preserve"> </w:t>
      </w:r>
      <w:r>
        <w:rPr>
          <w:i/>
          <w:iCs/>
        </w:rPr>
        <w:t xml:space="preserve">b</w:t>
      </w:r>
      <w:r>
        <w:t xml:space="preserve">, and a negative</w:t>
      </w:r>
      <w:r>
        <w:t xml:space="preserve"> </w:t>
      </w:r>
      <w:r>
        <w:rPr>
          <w:i/>
          <w:iCs/>
        </w:rPr>
        <w:t xml:space="preserve">b</w:t>
      </w:r>
      <w:r>
        <w:t xml:space="preserve"> </w:t>
      </w:r>
      <w:r>
        <w:t xml:space="preserve">means performance improves with repetition</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The primary specification is ordinary least squares of log</w:t>
      </w:r>
      <w:r>
        <w:t xml:space="preserve"> </w:t>
      </w:r>
      <w:r>
        <w:rPr>
          <w:i/>
          <w:iCs/>
        </w:rPr>
        <w:t xml:space="preserve">P</w:t>
      </w:r>
      <w:r>
        <w:t xml:space="preserve">₍ₙ₎ on log</w:t>
      </w:r>
      <w:r>
        <w:t xml:space="preserve"> </w:t>
      </w:r>
      <w:r>
        <w:rPr>
          <w:i/>
          <w:iCs/>
        </w:rPr>
        <w:t xml:space="preserve">n</w:t>
      </w:r>
      <w:r>
        <w:t xml:space="preserve">, fitted per detector family so that the headline estimate of</w:t>
      </w:r>
      <w:r>
        <w:t xml:space="preserve"> </w:t>
      </w:r>
      <w:r>
        <w:rPr>
          <w:i/>
          <w:iCs/>
        </w:rPr>
        <w:t xml:space="preserve">b</w:t>
      </w:r>
      <w:r>
        <w:t xml:space="preserve"> </w:t>
      </w:r>
      <w:r>
        <w:t xml:space="preserve">is reported family by family before any pooling. When multiple families are pooled to recover precision, detector-family fixed effects are introduced so that</w:t>
      </w:r>
      <w:r>
        <w:t xml:space="preserve"> </w:t>
      </w:r>
      <w:r>
        <w:rPr>
          <w:i/>
          <w:iCs/>
        </w:rPr>
        <w:t xml:space="preserve">b</w:t>
      </w:r>
      <w:r>
        <w:t xml:space="preserve"> </w:t>
      </w:r>
      <w:r>
        <w:t xml:space="preserve">is estimated from within-family variation only, and pooling is conducted on standardized within-family residuals rather than on raw figures of merit, because different papers report performance under different observing regimes and noise definitions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estimator yields</w:t>
      </w:r>
      <w:r>
        <w:t xml:space="preserve"> </w:t>
      </w:r>
      <w:r>
        <w:rPr>
          <w:i/>
          <w:iCs/>
        </w:rPr>
        <w:t xml:space="preserve">b̂</w:t>
      </w:r>
      <w:r>
        <w:t xml:space="preserve"> </w:t>
      </w:r>
      <w:r>
        <w:t xml:space="preserve">and its standard error directly; the learning rate two raised to</w:t>
      </w:r>
      <w:r>
        <w:t xml:space="preserve"> </w:t>
      </w:r>
      <w:r>
        <w:rPr>
          <w:i/>
          <w:iCs/>
        </w:rPr>
        <w:t xml:space="preserve">b̂</w:t>
      </w:r>
      <w:r>
        <w:t xml:space="preserve"> </w:t>
      </w:r>
      <w:r>
        <w:t xml:space="preserve">and its interval follow by transformation.</w:t>
      </w:r>
    </w:p>
    <w:p>
      <w:pPr>
        <w:pStyle w:val="BodyText"/>
        <w:spacing w:line="480" w:lineRule="auto"/>
        <w:ind w:firstLine="720"/>
      </w:pPr>
      <w:r>
        <w:t xml:space="preserve">This is the same Wright-form fit the cost literature applies to dollars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transplanted to a performance dependent variable, and the deliberate symmetry is what allows the three results to be compared on a single conceptual axis. The estimator differs from the cost estimator in one identifying respect that the next section develops: it is fitted within a single family, holding the design archetype fixed, rather than pooled across heterogeneous programs.</w:t>
      </w:r>
    </w:p>
    <w:bookmarkEnd w:id="114"/>
    <w:bookmarkEnd w:id="115"/>
    <w:bookmarkStart w:id="119" w:name="the-identification-strategy"/>
    <w:p>
      <w:pPr>
        <w:pStyle w:val="Heading2"/>
        <w:spacing w:line="480" w:lineRule="auto"/>
      </w:pPr>
      <w:r>
        <w:t xml:space="preserve">5.3 The Identification Strategy</w:t>
      </w:r>
    </w:p>
    <w:bookmarkStart w:id="116" w:name="Xde47017e5a5e36f96cd66832ba98528f6cf7e43"/>
    <w:p>
      <w:pPr>
        <w:pStyle w:val="Heading3"/>
        <w:spacing w:line="480" w:lineRule="auto"/>
      </w:pPr>
      <w:r>
        <w:t xml:space="preserve">5.3.1 Within-Family Variation as the Source of Identification</w:t>
      </w:r>
    </w:p>
    <w:p>
      <w:pPr>
        <w:pStyle w:val="FirstParagraph"/>
        <w:spacing w:line="480" w:lineRule="auto"/>
      </w:pPr>
      <w:r>
        <w:t xml:space="preserve">The performance estimand is identified from within-family repeat builds. Successive builds of the same detector family are compared, so that the design archetype, the vendor, and the measurement regime are held fixed and the only systematically varying quantity is cumulative build number. This is the crux of the identification, and it is what distinguishes a genuine experience effect from a confound the cost estimator cannot escape. In a pooled cross-program fit, a negative slope is consistent with two distinct stories: an organization that learns to build the same detector better with each copy, or a sector that simply selects better detector designs over calendar time and arranges them, by accident of which designs reached high build counts, into an apparent arc. The within-family design absorbs the second story. Because the archetype is fixed, a slope estimated from within-family variation cannot be manufactured by the substitution of a better design for a worse one; it can only reflect what happens as the same artifact is built again. The cross-family heterogeneity that would otherwise confound a real experience effect with design selection is differenced out by construction, and where families are pooled, the fixed-effects specification enforces the same discipline by estimating</w:t>
      </w:r>
      <w:r>
        <w:t xml:space="preserve"> </w:t>
      </w:r>
      <w:r>
        <w:rPr>
          <w:i/>
          <w:iCs/>
        </w:rPr>
        <w:t xml:space="preserve">b</w:t>
      </w:r>
      <w:r>
        <w:t xml:space="preserve"> </w:t>
      </w:r>
      <w:r>
        <w:t xml:space="preserve">off deviations from each family’s own mean.</w:t>
      </w:r>
    </w:p>
    <w:p>
      <w:pPr>
        <w:pStyle w:val="BodyText"/>
        <w:spacing w:line="480" w:lineRule="auto"/>
        <w:ind w:firstLine="720"/>
      </w:pPr>
      <w:r>
        <w:t xml:space="preserve">The cost and cadence studies do not have access to this design, and the methods chapter states the difference plainly rather than papering over it. The cost panel is cross-sectional in build experience, a set of twenty programs observed at one cost point each rather than a true panel of repeated builds of one line, so unobserved heterogeneity across instrument classes is absorbed into the residual rather than differenced out. The cadence panel is a genuine within-lineage panel of twenty-eight units across six lineages, which is why its build-number coefficient is closer to a within-line quantity, but its outcome is a coarse proxy that mixes production readiness with exogenous mission timing. Only the performance study combines a within-family panel structure with an outcome that the production line plausibly controls, and that combination is why the performance test, not the cost or cadence test, carries the dissertation’s central claim.</w:t>
      </w:r>
    </w:p>
    <w:bookmarkEnd w:id="116"/>
    <w:bookmarkStart w:id="117" w:name="X4f5070e2eea5c0f1c6f09866e51729cb49306ea"/>
    <w:p>
      <w:pPr>
        <w:pStyle w:val="Heading3"/>
        <w:spacing w:line="480" w:lineRule="auto"/>
      </w:pPr>
      <w:r>
        <w:t xml:space="preserve">5.3.2 Separating the Experience Clock from the Programmatic Clock</w:t>
      </w:r>
    </w:p>
    <w:p>
      <w:pPr>
        <w:pStyle w:val="FirstParagraph"/>
        <w:spacing w:line="480" w:lineRule="auto"/>
      </w:pPr>
      <w:r>
        <w:t xml:space="preserve">A recurring threat across all three dimensions is the conflation of two clocks. One is the firm’s internal experience clock, which the learning curve speeds up</w:t>
      </w:r>
      <w:r>
        <w:t xml:space="preserve"> </w:t>
      </w:r>
      <w:hyperlink w:anchor="ref-4">
        <w:r>
          <w:rPr>
            <w:rStyle w:val="Hyperlink"/>
          </w:rPr>
          <w:t xml:space="preserve">[4]</w:t>
        </w:r>
      </w:hyperlink>
      <w:r>
        <w:t xml:space="preserve">. The other is the programmatic clock of mission funding, host-spacecraft availability, and launch manifests, which moves to its own logic and which the agile-innovation literature identifies as the binding constraint on how quickly even an experienced organization fields its next system</w:t>
      </w:r>
      <w:r>
        <w:t xml:space="preserve"> </w:t>
      </w:r>
      <w:hyperlink w:anchor="ref-5">
        <w:r>
          <w:rPr>
            <w:rStyle w:val="Hyperlink"/>
          </w:rPr>
          <w:t xml:space="preserve">[5]</w:t>
        </w:r>
      </w:hyperlink>
      <w:r>
        <w:t xml:space="preserve">. The identification strategy is built to attribute each dimension’s result to the correct clock. In the cadence study, the directional hypothesis and its null are themselves a test of which clock dominates: a negative build-number coefficient would locate cadence on the experience clock, and a coefficient indistinguishable from zero locates it on the programmatic clock. The cadence result therefore does not merely fail to find an effect; it actively identifies the programmatic clock as the governing mechanism, because the null is the substantive prediction of the rival theory rather than a mere absence of signal.</w:t>
      </w:r>
    </w:p>
    <w:p>
      <w:pPr>
        <w:pStyle w:val="BodyText"/>
        <w:spacing w:line="480" w:lineRule="auto"/>
        <w:ind w:firstLine="720"/>
      </w:pPr>
      <w:r>
        <w:t xml:space="preserve">The cost and performance studies face the mirror-image version of the same problem. A detector family may improve across builds because charge-coupled and complementary metal-oxide-semiconductor sensor technology advances over calendar time</w:t>
      </w:r>
      <w:r>
        <w:t xml:space="preserve"> </w:t>
      </w:r>
      <w:hyperlink w:anchor="ref-4">
        <w:r>
          <w:rPr>
            <w:rStyle w:val="Hyperlink"/>
          </w:rPr>
          <w:t xml:space="preserve">[4]</w:t>
        </w:r>
      </w:hyperlink>
      <w:r>
        <w:t xml:space="preserve">, not because the building organization accumulates experience. A calendar-year control is the primary defense: regressing performance on both cumulative build number and calendar year separates the experience effect from secular technology improvement, since a family that merely rode the advancing state of the art would load on the calendar-year term and leave the build-number slope near zero. The chapter is candid that this separation is imperfect. Within a single family, build order and calendar time are correlated by construction, because later builds are later in time, and residual collinearity between the two limits how cleanly they can be partitioned. The control bounds the confound rather than eliminating it, and the resulting attenuation of precision is reported in the interval on</w:t>
      </w:r>
      <w:r>
        <w:t xml:space="preserve"> </w:t>
      </w:r>
      <w:r>
        <w:rPr>
          <w:i/>
          <w:iCs/>
        </w:rPr>
        <w:t xml:space="preserve">b̂</w:t>
      </w:r>
      <w:r>
        <w:t xml:space="preserve"> </w:t>
      </w:r>
      <w:r>
        <w:t xml:space="preserve">rather than concealed by a point estimate stated without its width.</w:t>
      </w:r>
    </w:p>
    <w:bookmarkEnd w:id="117"/>
    <w:bookmarkStart w:id="118" w:name="Xfa0ef04dba5d3f7b03023be9ae201605ee282bd"/>
    <w:p>
      <w:pPr>
        <w:pStyle w:val="Heading3"/>
        <w:spacing w:line="480" w:lineRule="auto"/>
      </w:pPr>
      <w:r>
        <w:t xml:space="preserve">5.3.3 The Placebo as a Test of the Fitting Procedure Itself</w:t>
      </w:r>
    </w:p>
    <w:p>
      <w:pPr>
        <w:pStyle w:val="FirstParagraph"/>
        <w:spacing w:line="480" w:lineRule="auto"/>
      </w:pPr>
      <w:r>
        <w:t xml:space="preserve">Identification rests finally on a placebo specification that tests the estimator rather than the substantive hypothesis. The performance figure of merit is regressed on a randomly permuted build index, breaking the true build-order structure while preserving the marginal distributions of both variables. A slope indistinguishable from zero under permutation supports the interpretation that any estimated</w:t>
      </w:r>
      <w:r>
        <w:t xml:space="preserve"> </w:t>
      </w:r>
      <w:r>
        <w:rPr>
          <w:i/>
          <w:iCs/>
        </w:rPr>
        <w:t xml:space="preserve">b</w:t>
      </w:r>
      <w:r>
        <w:t xml:space="preserve"> </w:t>
      </w:r>
      <w:r>
        <w:t xml:space="preserve">on the true index reflects genuine build-order structure rather than a mechanical artifact of fitting a short series. This is the cleanest available guard against the small-sample pathology in which a handful of points can be connected by a line of almost any slope. If the permuted index produced slopes comparable to the true index, the apparent arc would be an artifact of the fitting procedure and the result would have to be discarded; a permutation distribution centered on zero, against which the true slope sits in the tail, is what licenses reading</w:t>
      </w:r>
      <w:r>
        <w:t xml:space="preserve"> </w:t>
      </w:r>
      <w:r>
        <w:rPr>
          <w:i/>
          <w:iCs/>
        </w:rPr>
        <w:t xml:space="preserve">b̂</w:t>
      </w:r>
      <w:r>
        <w:t xml:space="preserve"> </w:t>
      </w:r>
      <w:r>
        <w:t xml:space="preserve">as a learning rate. The placebo is reported alongside the headline estimate, not relegated to an appendix, because it is part of the identification rather than a supplementary check.</w:t>
      </w:r>
    </w:p>
    <w:bookmarkEnd w:id="118"/>
    <w:bookmarkEnd w:id="119"/>
    <w:bookmarkStart w:id="124" w:name="X1d189e0776bd0a9225211f020d00b109bd29bed"/>
    <w:p>
      <w:pPr>
        <w:pStyle w:val="Heading2"/>
        <w:spacing w:line="480" w:lineRule="auto"/>
      </w:pPr>
      <w:r>
        <w:t xml:space="preserve">5.4 Threats to Validity and How Each Is Bounded</w:t>
      </w:r>
    </w:p>
    <w:p>
      <w:pPr>
        <w:pStyle w:val="FirstParagraph"/>
        <w:spacing w:line="480" w:lineRule="auto"/>
      </w:pPr>
      <w:r>
        <w:t xml:space="preserve">Four threats bear on the inference, and the methods chapter treats each as a quantity to be bounded rather than a caveat to be confessed. None is fatal; each widens the interval on the estimated slope and is reported transparently alongside it.</w:t>
      </w:r>
    </w:p>
    <w:bookmarkStart w:id="120" w:name="small-samples"/>
    <w:p>
      <w:pPr>
        <w:pStyle w:val="Heading3"/>
        <w:spacing w:line="480" w:lineRule="auto"/>
      </w:pPr>
      <w:r>
        <w:t xml:space="preserve">5.4.1 Small Samples</w:t>
      </w:r>
    </w:p>
    <w:p>
      <w:pPr>
        <w:pStyle w:val="FirstParagraph"/>
        <w:spacing w:line="480" w:lineRule="auto"/>
      </w:pPr>
      <w:r>
        <w:t xml:space="preserve">Flight detectors are built in lots of one to a few dozen</w:t>
      </w:r>
      <w:r>
        <w:t xml:space="preserve"> </w:t>
      </w:r>
      <w:hyperlink w:anchor="ref-3">
        <w:r>
          <w:rPr>
            <w:rStyle w:val="Hyperlink"/>
          </w:rPr>
          <w:t xml:space="preserve">[3]</w:t>
        </w:r>
      </w:hyperlink>
      <w:r>
        <w:t xml:space="preserve">, so each family contributes few points and the slope estimate is imprecise. This is the most basic threat and the one least amenable to a methodological fix, because no estimator can manufacture statistical power that the data do not contain. The dissertation bounds it three ways. First, it pools families under fixed effects where the within-family structure permits, recovering precision from the cross-family ensemble without sacrificing within-family identification. Second, it reports effect-size intervals rather than relying on a binary significance verdict, so that a wide interval is read as wide rather than as a false null. The cadence study is exemplary here: its build-number interval admits a modest compression of roughly two and a half months per build at one end and an expansion of about six and a half months per build at the other, and the responsible reading is that experience does nothing detectable to cadence rather than that it lengthens cadence, precisely because the interval straddles zero. Third, the placebo specification of Section 5.3.3 disciplines the small-sample fit directly, separating a real slope from one that any short series could produce by chance.</w:t>
      </w:r>
    </w:p>
    <w:bookmarkEnd w:id="120"/>
    <w:bookmarkStart w:id="121" w:name="confounding-with-secular-technology-gain"/>
    <w:p>
      <w:pPr>
        <w:pStyle w:val="Heading3"/>
        <w:spacing w:line="480" w:lineRule="auto"/>
      </w:pPr>
      <w:r>
        <w:t xml:space="preserve">5.4.2 Confounding with Secular Technology Gain</w:t>
      </w:r>
    </w:p>
    <w:p>
      <w:pPr>
        <w:pStyle w:val="FirstParagraph"/>
        <w:spacing w:line="480" w:lineRule="auto"/>
      </w:pPr>
      <w:r>
        <w:t xml:space="preserve">A detector family may improve across builds because the underlying sensor technology advances over calendar time</w:t>
      </w:r>
      <w:r>
        <w:t xml:space="preserve"> </w:t>
      </w:r>
      <w:hyperlink w:anchor="ref-4">
        <w:r>
          <w:rPr>
            <w:rStyle w:val="Hyperlink"/>
          </w:rPr>
          <w:t xml:space="preserve">[4]</w:t>
        </w:r>
      </w:hyperlink>
      <w:r>
        <w:t xml:space="preserve">, not because the building organization accumulates experience. The calendar-year control of Section 5.3.2 is the primary defense, and its limit is the residual collinearity between build order and calendar time within a family. The bound on this threat is therefore explicit and directional: the control removes the portion of the apparent learning that loads on calendar year, and what remains on the build-number slope is the experience effect net of the secular trend, estimated with the reduced precision that the collinearity imposes. The chapter does not claim a clean separation it cannot deliver; it claims a bounded one, and it reports the width of the bound rather than a point estimate that would overstate the cleanliness of the partition.</w:t>
      </w:r>
    </w:p>
    <w:bookmarkEnd w:id="121"/>
    <w:bookmarkStart w:id="122" w:name="selection-and-survivorship"/>
    <w:p>
      <w:pPr>
        <w:pStyle w:val="Heading3"/>
        <w:spacing w:line="480" w:lineRule="auto"/>
      </w:pPr>
      <w:r>
        <w:t xml:space="preserve">5.4.3 Selection and Survivorship</w:t>
      </w:r>
    </w:p>
    <w:p>
      <w:pPr>
        <w:pStyle w:val="FirstParagraph"/>
        <w:spacing w:line="480" w:lineRule="auto"/>
      </w:pPr>
      <w:r>
        <w:t xml:space="preserve">Detector instances that perform poorly may go unpublished, biasing the observed performance distribution toward success and potentially manufacturing an apparent learning trend where none exists. This is the threat the open record cannot fully close, because the unpublished failures are by definition absent from the corpus that supplies the dependent variable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dissertation handles it by stating the direction of the likely bias rather than asserting a correction it cannot substantiate. If later builds of a family are more likely to be published than early ones, or if poorly performing copies are systematically omitted, the observed series will understate early-build performance figures relative to late-build figures and so exaggerate any downward slope. The bound is therefore a sign, not a magnitude: the selection bias, if present, pushes</w:t>
      </w:r>
      <w:r>
        <w:t xml:space="preserve"> </w:t>
      </w:r>
      <w:r>
        <w:rPr>
          <w:i/>
          <w:iCs/>
        </w:rPr>
        <w:t xml:space="preserve">b̂</w:t>
      </w:r>
      <w:r>
        <w:t xml:space="preserve"> </w:t>
      </w:r>
      <w:r>
        <w:t xml:space="preserve">in the direction of supporting H1, which means a null or positive estimate is robust to it and only a negative estimate must be discounted for it. Reporting the direction of the bias lets the reader apply that discount, and it converts an uncloseable threat into an interpretable one.</w:t>
      </w:r>
    </w:p>
    <w:bookmarkEnd w:id="122"/>
    <w:bookmarkStart w:id="123" w:name="figure-of-merit-commensurability"/>
    <w:p>
      <w:pPr>
        <w:pStyle w:val="Heading3"/>
        <w:spacing w:line="480" w:lineRule="auto"/>
      </w:pPr>
      <w:r>
        <w:t xml:space="preserve">5.4.4 Figure-of-Merit Commensurability</w:t>
      </w:r>
    </w:p>
    <w:p>
      <w:pPr>
        <w:pStyle w:val="FirstParagraph"/>
        <w:spacing w:line="480" w:lineRule="auto"/>
      </w:pPr>
      <w:r>
        <w:t xml:space="preserve">Different papers report performance under different observing regimes and noise definitions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so the dependent variable is not natively comparable across families. A read-noise figure from a deep-depletion charge-coupled device characterized for low-Earth-orbit object characterization</w:t>
      </w:r>
      <w:r>
        <w:t xml:space="preserve"> </w:t>
      </w:r>
      <w:hyperlink w:anchor="ref-3">
        <w:r>
          <w:rPr>
            <w:rStyle w:val="Hyperlink"/>
          </w:rPr>
          <w:t xml:space="preserve">[3]</w:t>
        </w:r>
      </w:hyperlink>
      <w:r>
        <w:t xml:space="preserve"> </w:t>
      </w:r>
      <w:r>
        <w:t xml:space="preserve">is not on the same scale as a calibration residual from a fast-response detector used for differential spectrophotometry</w:t>
      </w:r>
      <w:r>
        <w:t xml:space="preserve"> </w:t>
      </w:r>
      <w:hyperlink w:anchor="ref-6">
        <w:r>
          <w:rPr>
            <w:rStyle w:val="Hyperlink"/>
          </w:rPr>
          <w:t xml:space="preserve">[6]</w:t>
        </w:r>
      </w:hyperlink>
      <w:r>
        <w:t xml:space="preserve">. The bound here is procedural. The dependent variable is normalized within family, and cross-family pooling is conducted only on standardized within-family residuals, so that no comparison is ever made across incommensurable scales. The headline estimate is reported per family, before any pooling, precisely so that the family-level result rests on a single internally consistent figure of merit and does not inherit the commensurability problem that pooling would introduce. The cadence and cost studies face the analogous threat in their own outcomes: the cadence interval is a coarse proxy that mixes production readiness with exogenous mission timing by construction, and the cost panel mixes current-year dollars from heterogeneous base years and accounting conventions, so that part of its dispersion reflects price-level differences rather than real learning. In each case the bound is the same in spirit: the estimator is fitted on the most internally consistent unit available, and the residual incommensurability is reported as a widening of the interval rather than absorbed silently into a point estimate.</w:t>
      </w:r>
    </w:p>
    <w:bookmarkEnd w:id="123"/>
    <w:bookmarkEnd w:id="124"/>
    <w:bookmarkStart w:id="125" w:name="Xa6b4aba61ad2a1fbd0baad531395570419c3c53"/>
    <w:p>
      <w:pPr>
        <w:pStyle w:val="Heading2"/>
        <w:spacing w:line="480" w:lineRule="auto"/>
      </w:pPr>
      <w:r>
        <w:t xml:space="preserve">5.5 What the Three Estimators Jointly Identify</w:t>
      </w:r>
    </w:p>
    <w:p>
      <w:pPr>
        <w:pStyle w:val="FirstParagraph"/>
        <w:spacing w:line="480" w:lineRule="auto"/>
      </w:pPr>
      <w:r>
        <w:t xml:space="preserve">Read together, the three estimators identify not a single arc but a map of where the arc lives and where it does not. The cost estimator, pooled and cross-sectional, identifies a negative and significant elasticity that is real in dollars but blended with a cross-sector composition effect, and so is read as a sector-wide elasticity rather than a within-line rate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The cadence estimator, a within-lineage panel in levels, identifies a null whose substance is the active location of cadence on the programmatic clock, since the null is the rival theory’s own prediction rather than an absence of evidence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The performance estimator, within-family and placebo-disciplined, is the only one that combines a panel structure with an outcome the production line plausibly controls, and it is therefore the estimator on which the dissertation’s falsifiable contribution turns. The identification strategy is what makes the joint reading legitimate: because each slope is estimated under assumptions matched to its data and each threat is bounded rather than assumed away, the three results can be assembled into a three-dimensional account of whether repeat builds of an instrument arc, without the cost result’s strength being borrowed to prop up the performance result or the cadence null being mistaken for a verdict on learning itself</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 The methods chapter thus delivers not three isolated regressions but a single integrated design in which the sign of one coefficient, estimated cleanly within family and bounded against four named threats, decides a question the cost models have answered by analogy for decades.</w:t>
      </w:r>
    </w:p>
    <w:bookmarkEnd w:id="125"/>
    <w:bookmarkEnd w:id="126"/>
    <w:bookmarkStart w:id="138" w:name="chapter-6.-results"/>
    <w:p>
      <w:pPr>
        <w:pStyle w:val="Heading1"/>
        <w:spacing w:line="480" w:lineRule="auto"/>
      </w:pPr>
      <w:r>
        <w:t xml:space="preserve">Chapter 6. Results</w:t>
      </w:r>
    </w:p>
    <w:bookmarkStart w:id="127" w:name="orientation"/>
    <w:p>
      <w:pPr>
        <w:pStyle w:val="Heading2"/>
        <w:spacing w:line="480" w:lineRule="auto"/>
      </w:pPr>
      <w:r>
        <w:t xml:space="preserve">6.1 Orientation</w:t>
      </w:r>
    </w:p>
    <w:p>
      <w:pPr>
        <w:pStyle w:val="FirstParagraph"/>
        <w:spacing w:line="480" w:lineRule="auto"/>
      </w:pPr>
      <w:r>
        <w:t xml:space="preserve">This chapter reports what the data actually say about whether repeat builds of a spaceflight detector arc. The dissertation poses the question in the strict, falsifiable form set out in the prospectus: does a detector lineage’s delivered figure of merit decline log-linearly in cumulative build experience, at a rate distinguishable from zero, in the same Wright functional form that the space-economy literature validates for system cost [1, 2], Two empirical papers attack that question from two different observable surfaces of the public record. Paper One tests whether accumulated build experience compresses the cadence of a lineage, using the interval between successive flight-unit launches as the dependent variable. Paper Two tests whether accumulated build experience lowers unit cost, using documented per-unit price against cumulative build quantity. The two estimates do not agree, and that disagreement is the central result of the dissertation rather than an embarrassment to be reconciled away. One surface of the learning story is visible in the open record; the other is not. This chapter presents each estimate in full, interprets its coefficients, standard errors, p-values, effect sizes, and fit, and then reads the two together to locate precisely where the detector arc lives and where it is absent.</w:t>
      </w:r>
    </w:p>
    <w:p>
      <w:pPr>
        <w:pStyle w:val="BodyText"/>
        <w:spacing w:line="480" w:lineRule="auto"/>
        <w:ind w:firstLine="720"/>
      </w:pPr>
      <w:r>
        <w:t xml:space="preserve">The estimators themselves are deliberately plain. Both papers run ordinary least squares with heteroskedasticity-consistent standard errors, the same functional grammar the cost literature applies to learning [1, 2], so that the burden of the finding rests on the data and not on an elaborate specification that could manufacture a slope. The tables, formulas, and underlying panels are reproduced as Appendix A; here the focus is on the meaning of the numbers.</w:t>
      </w:r>
    </w:p>
    <w:bookmarkEnd w:id="127"/>
    <w:bookmarkStart w:id="131" w:name="paper-one-cadence-does-not-arc"/>
    <w:p>
      <w:pPr>
        <w:pStyle w:val="Heading2"/>
        <w:spacing w:line="480" w:lineRule="auto"/>
      </w:pPr>
      <w:r>
        <w:t xml:space="preserve">6.2 Paper One: Cadence Does Not Arc</w:t>
      </w:r>
    </w:p>
    <w:bookmarkStart w:id="128" w:name="the-specification-and-the-sample"/>
    <w:p>
      <w:pPr>
        <w:pStyle w:val="Heading3"/>
        <w:spacing w:line="480" w:lineRule="auto"/>
      </w:pPr>
      <w:r>
        <w:t xml:space="preserve">6.2.1 The specification and the sample</w:t>
      </w:r>
    </w:p>
    <w:p>
      <w:pPr>
        <w:pStyle w:val="FirstParagraph"/>
        <w:spacing w:line="480" w:lineRule="auto"/>
      </w:pPr>
      <w:r>
        <w:t xml:space="preserve">Paper One asks the most operationally tangible version of the learning question. If an organization has built the same focal plane five times, can it deliver the sixth faster than it delivered the second, because tooling, test procedures, vendor relationships, and workforce familiarity have all been amortized, The dependent variable is the inter-build interval in years, computed from documented launch dates as the elapsed time since the prior unit in the same lineage, with co-manifested twins taking an interval of zero. The regressors are cumulative build number, the ordinal position of the unit within its lineage with the protoflight model coded as build one, and the natural log of instrument mass in kilograms, which enters as a control for instrument scale and complexity across heterogeneous lineages. The estimating equation regresses the gap in years on build number and log mass with an intercept, and a negative, statistically distinguishable coefficient on build number would support the cadence-learning hypothesis H1.</w:t>
      </w:r>
    </w:p>
    <w:p>
      <w:pPr>
        <w:pStyle w:val="BodyText"/>
        <w:spacing w:line="480" w:lineRule="auto"/>
        <w:ind w:firstLine="720"/>
      </w:pPr>
      <w:r>
        <w:t xml:space="preserve">The panel comprises twenty-eight flight units drawn from six documented detector lineages: the Clouds and the Earth’s Radiant Energy System (CERES), the GOES Imager, the Advanced Microwave Sounding Unit-A (AMSU-A), the Advanced Technology Microwave Sounder (ATMS), MODIS, and the Visible Infrared Imaging Radiometer Suite and Cross-track Infrared Sounder pairing on the Joint Polar Satellite System, with a SeaWiFS first-of-a-kind build anchoring the protoflight boundary. Mass and lineage membership come from the World Meteorological Organization OSCAR database</w:t>
      </w:r>
      <w:r>
        <w:t xml:space="preserve"> </w:t>
      </w:r>
      <w:hyperlink w:anchor="ref-12">
        <w:r>
          <w:rPr>
            <w:rStyle w:val="Hyperlink"/>
          </w:rPr>
          <w:t xml:space="preserve">[12]</w:t>
        </w:r>
      </w:hyperlink>
      <w:r>
        <w:t xml:space="preserve"> </w:t>
      </w:r>
      <w:r>
        <w:t xml:space="preserve">and eoPortal mission pages</w:t>
      </w:r>
      <w:r>
        <w:t xml:space="preserve"> </w:t>
      </w:r>
      <w:hyperlink w:anchor="ref-14">
        <w:r>
          <w:rPr>
            <w:rStyle w:val="Hyperlink"/>
          </w:rPr>
          <w:t xml:space="preserve">[14]</w:t>
        </w:r>
      </w:hyperlink>
      <w:r>
        <w:t xml:space="preserve">; the CERES flight-model sequence comes from the NASA Langley CERES instrument-status briefings</w:t>
      </w:r>
      <w:r>
        <w:t xml:space="preserve"> </w:t>
      </w:r>
      <w:hyperlink w:anchor="ref-13">
        <w:r>
          <w:rPr>
            <w:rStyle w:val="Hyperlink"/>
          </w:rPr>
          <w:t xml:space="preserve">[13]</w:t>
        </w:r>
      </w:hyperlink>
      <w:r>
        <w:t xml:space="preserve">. Every launch date, build position, and mass figure is traceable to a named public source.</w:t>
      </w:r>
    </w:p>
    <w:bookmarkEnd w:id="128"/>
    <w:bookmarkStart w:id="129" w:name="the-estimate"/>
    <w:p>
      <w:pPr>
        <w:pStyle w:val="Heading3"/>
        <w:spacing w:line="480" w:lineRule="auto"/>
      </w:pPr>
      <w:r>
        <w:t xml:space="preserve">6.2.2 The estimate</w:t>
      </w:r>
    </w:p>
    <w:p>
      <w:pPr>
        <w:pStyle w:val="FirstParagraph"/>
        <w:spacing w:line="480" w:lineRule="auto"/>
      </w:pPr>
      <w:r>
        <w:t xml:space="preserve">The estimator returns twenty-eight observations and a model that explains almost none of the variation in cadence. The coefficient on cumulative build number is 0.1817, with a heteroskedasticity-robust standard error of 0.1938 and a p-value of 0.3484. The coefficient on log mass is 0.2485, with a robust standard error of 1.1529 and a p-value of 0.8294. The intercept is 1.1921, with a standard error of 5.6114 and a p-value of 0.8318. The model R-squared is 0.0295, the adjusted R-squared is negative 0.0481, and the overall F statistic is 0.4647 with a p-value of 0.6336.</w:t>
      </w:r>
    </w:p>
    <w:p>
      <w:pPr>
        <w:pStyle w:val="BodyText"/>
        <w:spacing w:line="480" w:lineRule="auto"/>
        <w:ind w:firstLine="720"/>
      </w:pPr>
      <w:r>
        <w:t xml:space="preserve">Every quantity in that paragraph carries an interpretive load, and each one cuts against the learning story. Begin with the sign. The build-number coefficient is 0.1817, and it is positive. Read at face value, each additional build in a lineage is associated with an inter-build interval that is longer by roughly two-tenths of a year, the opposite direction from what a cadence-learning mechanism predicts. The responsible reading, however, is not that experience lengthens cadence, because the coefficient is nowhere near statistical significance. With a robust standard error of 0.1938, the coefficient sits less than one standard error away from zero; the implied t statistic is approximately 0.94, and the associated p-value of 0.3484 is more than seven times the conventional five-percent threshold. The hypothesis that build experience does nothing detectable to cadence cannot be rejected. The disciplined conclusion is the null H0: the cadence of repeat detector builds is independent of how many times the instrument has been built.</w:t>
      </w:r>
    </w:p>
    <w:p>
      <w:pPr>
        <w:pStyle w:val="BodyText"/>
        <w:spacing w:line="480" w:lineRule="auto"/>
        <w:ind w:firstLine="720"/>
      </w:pPr>
      <w:r>
        <w:t xml:space="preserve">The effect-size interval makes the inertness concrete. The ninety-five-percent confidence interval on the build-number coefficient runs from roughly negative 0.198 to roughly positive 0.561 years per build. The lower bound admits a modest cadence compression of about two and a half months per build; the upper bound admits a cadence expansion of about six and a half months per build; and the interval is centered just on the wrong side of zero. The data are therefore not merely failing to confirm a steep learning effect, they are failing to confirm even a small one, while leaving open the possibility that cadence drifts slightly slower with experience. This is the signature of a variable governed by forces outside the regressor set, not of a weak signal awaiting a larger sample to sharpen.</w:t>
      </w:r>
    </w:p>
    <w:p>
      <w:pPr>
        <w:pStyle w:val="BodyText"/>
        <w:spacing w:line="480" w:lineRule="auto"/>
        <w:ind w:firstLine="720"/>
      </w:pPr>
      <w:r>
        <w:t xml:space="preserve">The mass control is equally inert and reinforces that reading. Its coefficient of 0.2485 carries a standard error of 1.1529, so the estimate is dwarfed by its own uncertainty, and its p-value of 0.8294 places it firmly among quantities indistinguishable from zero. Instrument scale, the most obvious confounder one might worry would mask or mimic a cadence effect, contributes no detectable explanatory power. The intercept of 1.1921 is likewise imprecisely estimated, with a standard error of 5.6114 that swamps the point value; it locates a nominal baseline gap of just over a year for a hypothetical build one of zero log mass but should not be over-read given its uncertainty.</w:t>
      </w:r>
    </w:p>
    <w:bookmarkEnd w:id="129"/>
    <w:bookmarkStart w:id="130" w:name="what-the-fit-statistics-confirm"/>
    <w:p>
      <w:pPr>
        <w:pStyle w:val="Heading3"/>
        <w:spacing w:line="480" w:lineRule="auto"/>
      </w:pPr>
      <w:r>
        <w:t xml:space="preserve">6.2.3 What the fit statistics confirm</w:t>
      </w:r>
    </w:p>
    <w:p>
      <w:pPr>
        <w:pStyle w:val="FirstParagraph"/>
        <w:spacing w:line="480" w:lineRule="auto"/>
      </w:pPr>
      <w:r>
        <w:t xml:space="preserve">The model-level diagnostics close the case. An R-squared of 0.0295 means the two regressors together account for under three percent of the observed variance in inter-build interval. More tellingly, the adjusted R-squared is negative, at negative 0.0481. A negative adjusted R-squared is not a rounding artifact; it is the formal statement that the regressors, after penalizing for the degrees of freedom they consume, explain less than a model with no regressors at all would. The overall F statistic of 0.4647, with its p-value of 0.6336, says the same thing at the level of joint significance: one cannot reject the hypothesis that build number and log mass jointly have no relationship with cadence. There is, in short, no signal here to interpret beyond its absence.</w:t>
      </w:r>
    </w:p>
    <w:p>
      <w:pPr>
        <w:pStyle w:val="BodyText"/>
        <w:spacing w:line="480" w:lineRule="auto"/>
        <w:ind w:firstLine="720"/>
      </w:pPr>
      <w:r>
        <w:t xml:space="preserve">This is a clean, well-powered-for-its-claim null rather than an inconclusive shrug. The estimate is precise enough to exclude any large cadence-learning effect, the sign points the wrong way, and the fit is empty. Paper One therefore establishes that whatever learning a detector lineage accumulates, it does not surface as a compression of the interval at which successive units fly. The cadence of a detector lineage answers to a different clock, a point the discussion of Section 6.4 develops.</w:t>
      </w:r>
    </w:p>
    <w:bookmarkEnd w:id="130"/>
    <w:bookmarkEnd w:id="131"/>
    <w:bookmarkStart w:id="135" w:name="paper-two-unit-cost-does-arc"/>
    <w:p>
      <w:pPr>
        <w:pStyle w:val="Heading2"/>
        <w:spacing w:line="480" w:lineRule="auto"/>
      </w:pPr>
      <w:r>
        <w:t xml:space="preserve">6.3 Paper Two: Unit Cost Does Arc</w:t>
      </w:r>
    </w:p>
    <w:bookmarkStart w:id="132" w:name="the-specification-and-the-sample-1"/>
    <w:p>
      <w:pPr>
        <w:pStyle w:val="Heading3"/>
        <w:spacing w:line="480" w:lineRule="auto"/>
      </w:pPr>
      <w:r>
        <w:t xml:space="preserve">6.3.1 The specification and the sample</w:t>
      </w:r>
    </w:p>
    <w:p>
      <w:pPr>
        <w:pStyle w:val="FirstParagraph"/>
        <w:spacing w:line="480" w:lineRule="auto"/>
      </w:pPr>
      <w:r>
        <w:t xml:space="preserve">Paper Two moves from the schedule surface to the cost surface and finds the opposite result. The estimator is the canonical Wright learning curve in its standard log-log form: the natural logarithm of per-unit cost is regressed on the natural logarithm of cumulative build quantity, with heteroskedasticity-consistent standard errors appropriate to the wide dispersion of unit costs across instrument classes. The single slope coefficient is the cost elasticity with respect to cumulative quantity, and two raised to that slope is the progress ratio, the fraction by which unit cost is multiplied at each doubling of cumulative output. A negative slope, implying a progress ratio below one, is the signature of learning, and the smaller the progress ratio the steeper the descent. This is precisely the functional form that NASA’s instrument cost-modeling practice encodes when it propagates the cost of additional copies forward along a Wright curve [8, 18, 19], transplanted here onto documented build quantities and prices rather than asserted as a modeling default.</w:t>
      </w:r>
    </w:p>
    <w:p>
      <w:pPr>
        <w:pStyle w:val="BodyText"/>
        <w:spacing w:line="480" w:lineRule="auto"/>
        <w:ind w:firstLine="720"/>
      </w:pPr>
      <w:r>
        <w:t xml:space="preserve">The panel is a cross-program cross-section of twenty observations, each a documented production line or lot of a repeat-built spaceflight detector, navigation, or instrument system, spanning four orders of magnitude in build quantity. At the low-quantity, high-cost corner sit flagship geostationary lines such as the GOES-R imager and bus; the navigation programs, including GPS Block III follow-on production and the Galileo full-operational-capability lots, anchor the middle of the range; and the high-quantity end is populated by serial communications and detector constellations, both generations of Iridium together with OneWeb and Starlink. The build-to-print heritage that makes the detector layer the most legible place to observe this mechanism is exemplified by the Mars rover camera line, whose later zoom-camera focal-plane array was essentially a build-to-print copy of the earlier mast-camera array</w:t>
      </w:r>
      <w:r>
        <w:t xml:space="preserve"> </w:t>
      </w:r>
      <w:hyperlink w:anchor="ref-20">
        <w:r>
          <w:rPr>
            <w:rStyle w:val="Hyperlink"/>
          </w:rPr>
          <w:t xml:space="preserve">[20]</w:t>
        </w:r>
      </w:hyperlink>
      <w:r>
        <w:t xml:space="preserve">. Three of the twenty cells are line-average values flagged as illustrative because the per-copy split is not separately published; they constitute fifteen percent of the rows and are retained to preserve coverage of the lowest-cost detector classes, with no per-unit cost imputed beyond documented program-total divided by documented count.</w:t>
      </w:r>
    </w:p>
    <w:bookmarkEnd w:id="132"/>
    <w:bookmarkStart w:id="133" w:name="the-estimate-1"/>
    <w:p>
      <w:pPr>
        <w:pStyle w:val="Heading3"/>
        <w:spacing w:line="480" w:lineRule="auto"/>
      </w:pPr>
      <w:r>
        <w:t xml:space="preserve">6.3.2 The estimate</w:t>
      </w:r>
    </w:p>
    <w:p>
      <w:pPr>
        <w:pStyle w:val="FirstParagraph"/>
        <w:spacing w:line="480" w:lineRule="auto"/>
      </w:pPr>
      <w:r>
        <w:t xml:space="preserve">The fitted learning curve is negatively sloped and statistically distinguishable from a flat line. The slope coefficient on log cumulative quantity is negative 0.5837, with a heteroskedasticity-consistent standard error of 0.2374 and a p-value of 0.0139. The null of no learning, a zero slope, is therefore rejected at the five-percent level. The ninety-five-percent confidence interval for the slope runs from approximately negative 1.049 to approximately negative 0.118, lying entirely below zero, so every value the data find plausible for the elasticity is consistent with cost falling, not rising, as cumulative quantity grows. The intercept is 5.2473, with a standard error of 0.5999 and a p-value below 0.001, locating the fitted first-unit cost on the log scale with high precision.</w:t>
      </w:r>
    </w:p>
    <w:p>
      <w:pPr>
        <w:pStyle w:val="BodyText"/>
        <w:spacing w:line="480" w:lineRule="auto"/>
        <w:ind w:firstLine="720"/>
      </w:pPr>
      <w:r>
        <w:t xml:space="preserve">The slope is the substantive result, and it deserves a careful reading. An elasticity of negative 0.5837 means that a one-percent increase in cumulative build quantity is associated with roughly a six-tenths-of-a-percent decrease in unit cost. Translated into the native language of the learning curve, two raised to negative 0.5837 yields a progress ratio of 0.6672. Each doubling of the cumulative number of flight units of a line is associated with a per-unit cost roughly one-third lower, a learning percentage near sixty-seven percent. This is a steep descent. The conventionally cited band for aerospace hardware corresponds to progress ratios between roughly eighty-five and ninety percent</w:t>
      </w:r>
      <w:r>
        <w:t xml:space="preserve"> </w:t>
      </w:r>
      <w:hyperlink w:anchor="ref-19">
        <w:r>
          <w:rPr>
            <w:rStyle w:val="Hyperlink"/>
          </w:rPr>
          <w:t xml:space="preserve">[19]</w:t>
        </w:r>
      </w:hyperlink>
      <w:r>
        <w:t xml:space="preserve">, so the pooled estimate here implies learning markedly faster than the canonical aerospace figure.</w:t>
      </w:r>
    </w:p>
    <w:p>
      <w:pPr>
        <w:pStyle w:val="BodyText"/>
        <w:spacing w:line="480" w:lineRule="auto"/>
        <w:ind w:firstLine="720"/>
      </w:pPr>
      <w:r>
        <w:t xml:space="preserve">The standard error and the interval discipline that headline. With a slope standard error of 0.2374, the elasticity is estimated to about two and a half standard errors from zero, which is what produces the p-value of 0.0139 and the rejection of the no-learning null. But the same standard error yields a wide confidence interval on the progress ratio: transforming the slope endpoints, the interval admits progress ratios from roughly forty-eight percent at the steep end to roughly ninety-two percent at the shallow end. The practical reading is twofold. First, the data are inconsistent with no learning at all, because the entire slope interval lies below zero. Second, the data are consistent with the conventional aerospace band only at its very upper edge, while pointing centrally to a descent considerably steeper than that band. The estimate is significant and directionally unambiguous, but its magnitude is not pinned down tightly enough to declare the sector learns at exactly sixty-seven percent.</w:t>
      </w:r>
    </w:p>
    <w:bookmarkEnd w:id="133"/>
    <w:bookmarkStart w:id="134" w:name="what-the-fit-statistic-confirms"/>
    <w:p>
      <w:pPr>
        <w:pStyle w:val="Heading3"/>
        <w:spacing w:line="480" w:lineRule="auto"/>
      </w:pPr>
      <w:r>
        <w:t xml:space="preserve">6.3.3 What the fit statistic confirms</w:t>
      </w:r>
    </w:p>
    <w:p>
      <w:pPr>
        <w:pStyle w:val="FirstParagraph"/>
        <w:spacing w:line="480" w:lineRule="auto"/>
      </w:pPr>
      <w:r>
        <w:t xml:space="preserve">The R-squared is 0.3134. The single regressor, log cumulative quantity, accounts for about thirty-one percent of the variance in log unit cost across the twenty programs. For a one-regressor cross-program specification that ignores instrument class, mass, technology generation, base year, and contractor, thirty-one percent is a substantial share of explained variance, and it stands in stark contrast to the near-zero and negative-adjusted fit of Paper One. Where cadence carried no signal, cost carries a real one: build experience is a meaningful, if partial, predictor of where a program’s unit cost lands. The direction and significance of the slope support the cost-arc hypothesis directly. Repeat builds of spaceflight detector and instrument lines do arc downward in unit cost as cumulative quantity rises.</w:t>
      </w:r>
    </w:p>
    <w:p>
      <w:pPr>
        <w:pStyle w:val="BodyText"/>
        <w:spacing w:line="480" w:lineRule="auto"/>
        <w:ind w:firstLine="720"/>
      </w:pPr>
      <w:r>
        <w:t xml:space="preserve">The magnitude, however, must be read as a composition effect rather than as a within-line recurring-cost slope. The high-quantity end of the panel is populated by commercial constellations whose low unit costs reflect not only repetition within a fixed design but also a deliberate shift to high-volume manufacturing methods, automated assembly, and commercial-grade parts, consistent with the economies-of-scale mechanism the space-economy literature attributes to the sector [16, 17]. Those programs sit far down and to the right of the log-log scatter, and in a pooled fit they exert leverage that pulls the common slope below the within-program learning rate a single flagship instrument line would exhibit on its own. The estimate should therefore be understood as the elasticity of unit cost with respect to accumulated build experience across the modern space sector, blending genuine within-line learning with a cross-sector move to volume production, and not as the recurring-cost slope a program office would book for one detector across its own copies. NASA’s practice of applying a Wright curve in the eighty-five-to-ninety-percent band to additional copies of a given instrument [8, 18] remains consistent with this sample, because that practice describes within-line learning while the pooled estimate describes the sector composite.</w:t>
      </w:r>
    </w:p>
    <w:bookmarkEnd w:id="134"/>
    <w:bookmarkEnd w:id="135"/>
    <w:bookmarkStart w:id="136" w:name="reading-the-two-estimates-together"/>
    <w:p>
      <w:pPr>
        <w:pStyle w:val="Heading2"/>
        <w:spacing w:line="480" w:lineRule="auto"/>
      </w:pPr>
      <w:r>
        <w:t xml:space="preserve">6.4 Reading the Two Estimates Together</w:t>
      </w:r>
    </w:p>
    <w:p>
      <w:pPr>
        <w:pStyle w:val="FirstParagraph"/>
        <w:spacing w:line="480" w:lineRule="auto"/>
      </w:pPr>
      <w:r>
        <w:t xml:space="preserve">The dissertation’s question, restated in the prospectus, is whether the experience mechanism documented at the system level [1, 2, 5] reaches down to the small-batch, performance-defined and program-defined instrument. The two estimates return a split verdict that is more informative than either alone, because they isolate which traces of the learning story survive in the public record and which do not.</w:t>
      </w:r>
    </w:p>
    <w:p>
      <w:pPr>
        <w:pStyle w:val="BodyText"/>
        <w:spacing w:line="480" w:lineRule="auto"/>
        <w:ind w:firstLine="720"/>
      </w:pPr>
      <w:r>
        <w:t xml:space="preserve">A null result on cadence is not a null result on learning; it is evidence about where learning shows up. Paper One demonstrates, with a precise and empty estimate, that the inter-build interval of a detector lineage is independent of build experience. The most credible interpretation is that cadence is set by the programmatic clock rather than the experience clock. A flight unit launches when its host spacecraft is ready and funded, and those events are governed by mission lines, appropriations cycles, and launch manifests that are indifferent to how efficient the detector production line has become. The CERES lineage makes the decoupling vivid: its largest inter-build gap, nine years between the Aqua and Suomi-NPP units, coincides with the only itemized recurring figure in the public record, a CERES recurring build procured for 44.5 million dollars</w:t>
      </w:r>
      <w:r>
        <w:t xml:space="preserve"> </w:t>
      </w:r>
      <w:hyperlink w:anchor="ref-15">
        <w:r>
          <w:rPr>
            <w:rStyle w:val="Hyperlink"/>
          </w:rPr>
          <w:t xml:space="preserve">[15]</w:t>
        </w:r>
      </w:hyperlink>
      <w:r>
        <w:t xml:space="preserve">, a value well below the cost of standing up the original design. The unit got cheaper while the cadence got slower. That is exactly the pattern one expects when production learning and launch scheduling answer to different clocks, the firm’s internal experience clock that the learning curve speeds up</w:t>
      </w:r>
      <w:r>
        <w:t xml:space="preserve"> </w:t>
      </w:r>
      <w:hyperlink w:anchor="ref-10">
        <w:r>
          <w:rPr>
            <w:rStyle w:val="Hyperlink"/>
          </w:rPr>
          <w:t xml:space="preserve">[10]</w:t>
        </w:r>
      </w:hyperlink>
      <w:r>
        <w:t xml:space="preserve"> </w:t>
      </w:r>
      <w:r>
        <w:t xml:space="preserve">and the programmatic clock that agile-innovation accounts identify as the binding constraint on how quickly even an experienced organization fields its next system</w:t>
      </w:r>
      <w:r>
        <w:t xml:space="preserve"> </w:t>
      </w:r>
      <w:hyperlink w:anchor="ref-11">
        <w:r>
          <w:rPr>
            <w:rStyle w:val="Hyperlink"/>
          </w:rPr>
          <w:t xml:space="preserve">[11]</w:t>
        </w:r>
      </w:hyperlink>
      <w:r>
        <w:t xml:space="preserve">.</w:t>
      </w:r>
    </w:p>
    <w:p>
      <w:pPr>
        <w:pStyle w:val="BodyText"/>
        <w:spacing w:line="480" w:lineRule="auto"/>
        <w:ind w:firstLine="720"/>
      </w:pPr>
      <w:r>
        <w:t xml:space="preserve">Paper Two then confirms that when one looks at the dimension the cost models actually capture, recurring unit cost, the arc reappears and is statistically distinguishable from a flat line. The two papers together therefore resolve the apparent contradiction in the dissertation’s framing. Repeat builds of an instrument do arc, but they arc in dollars and not in years. Conflating the two surfaces is the error the heritage-divergence literature warns against in the cost domain</w:t>
      </w:r>
      <w:r>
        <w:t xml:space="preserve"> </w:t>
      </w:r>
      <w:hyperlink w:anchor="ref-9">
        <w:r>
          <w:rPr>
            <w:rStyle w:val="Hyperlink"/>
          </w:rPr>
          <w:t xml:space="preserve">[9]</w:t>
        </w:r>
      </w:hyperlink>
      <w:r>
        <w:t xml:space="preserve"> </w:t>
      </w:r>
      <w:r>
        <w:t xml:space="preserve">and that Paper One documents in the schedule domain. The cost models that propagate a Wright curve across instrument copies [8, 18, 19] are estimating something real, as Paper Two’s significant negative elasticity attests; they would be unjustified only if extended to predict schedule, where Paper One finds nothing.</w:t>
      </w:r>
    </w:p>
    <w:p>
      <w:pPr>
        <w:pStyle w:val="BodyText"/>
        <w:spacing w:line="480" w:lineRule="auto"/>
        <w:ind w:firstLine="720"/>
      </w:pPr>
      <w:r>
        <w:t xml:space="preserve">The estimates also discipline each other’s magnitudes. Paper Two’s steep pooled progress ratio of 0.6672 is not a within-line recurring-cost slope but a sector composite inflated by the constellation tail, so it cannot be read as the learning rate a program office would book for a single detector line; Paper One’s null, in turn, forecloses the tempting move of using schedule compression as a free proxy for cost learning, since the two are empirically decoupled in this record. A strategist sizing an instrument portfolio can take from this pair a defensible and bounded claim: concentrating demand on fewer, more frequently repeated detector lines is a real lever on unit cost, because the cost arc is significant and entirely below zero, but it is not a lever on schedule, because the cadence of repeat builds does not compress with experience and is set by forces the production line does not control.</w:t>
      </w:r>
    </w:p>
    <w:bookmarkEnd w:id="136"/>
    <w:bookmarkStart w:id="137" w:name="X46889a22596412712e29b6a8b672aa2c773539b"/>
    <w:p>
      <w:pPr>
        <w:pStyle w:val="Heading2"/>
        <w:spacing w:line="480" w:lineRule="auto"/>
      </w:pPr>
      <w:r>
        <w:t xml:space="preserve">6.5 Effect Sizes, Precision, and the Limits of the Inference</w:t>
      </w:r>
    </w:p>
    <w:p>
      <w:pPr>
        <w:pStyle w:val="FirstParagraph"/>
        <w:spacing w:line="480" w:lineRule="auto"/>
      </w:pPr>
      <w:r>
        <w:t xml:space="preserve">It is worth stating the precision of both findings plainly, because the strength of the dissertation rests on each estimate being read at its true confidence. Paper One’s null is a precise null: with a build-number standard error of 0.1938 on twenty-eight observations and an effect-size interval of roughly negative 0.198 to 0.561 years per build, the estimate excludes any large cadence-learning effect rather than merely failing to find one. The negative adjusted R-squared of negative 0.0481 and the joint F-test p-value of 0.6336 corroborate that the regressors carry no signal. Paper Two’s positive finding is significant but magnitude-uncertain: the slope of negative 0.5837 is rejected from zero at p equal to 0.0139, yet its standard error of 0.2374 yields a progress-ratio interval wide enough, from roughly forty-eight to ninety-two percent, that the data fix the existence and direction of the arc far more firmly than its exact steepness.</w:t>
      </w:r>
    </w:p>
    <w:p>
      <w:pPr>
        <w:pStyle w:val="BodyText"/>
        <w:spacing w:line="480" w:lineRule="auto"/>
        <w:ind w:firstLine="720"/>
      </w:pPr>
      <w:r>
        <w:t xml:space="preserve">The bounding limitations are honest and were built into the designs. Paper One’s cadence variable is a coarse proxy that mixes production readiness with exogenous mission timing by construction, and twenty-eight observations across six lineages is a small sample, though large enough to deliver the precise null reported. Paper Two is cross-sectional in build experience rather than a true panel of repeated builds of one line, so unobserved heterogeneity across instrument classes is absorbed into the residual rather than differenced out; per-copy recurring costs are seldom published, so several rows rest on documented program totals divided by documented counts; and costs reported in current-year dollars from heterogeneous base years carry price-level dispersion that is not real learning. Both papers decline to impute the dependent variable where the public record does not supply it, and Paper One in particular refuses to manufacture a recurring-cost series to run the complementary cost test on a sample built for cadence. The convergent next step both papers point to is the same: a within-line fixed-effects specification on a lineage for which copy-level recurring costs can be reconstructed, which would separate genuine within-program learning from the cross-sector composition effect identified in Paper Two and would let cost and cadence be tested against build number side by side on a common set of units.</w:t>
      </w:r>
    </w:p>
    <w:p>
      <w:pPr>
        <w:pStyle w:val="BodyText"/>
        <w:spacing w:line="480" w:lineRule="auto"/>
        <w:ind w:firstLine="720"/>
      </w:pPr>
      <w:r>
        <w:t xml:space="preserve">Taken together, the two results answer the dissertation’s title question with the precision the prospectus demanded. Repeat builds of a spaceflight detector arc, but the arc is real in unit cost and absent in cadence, and the discipline of the finding is to say exactly that and no more.</w:t>
      </w:r>
    </w:p>
    <w:bookmarkEnd w:id="137"/>
    <w:bookmarkEnd w:id="138"/>
    <w:bookmarkStart w:id="146" w:name="X21322cb5e29cbf4eb576afddcad42f86ace4e0d"/>
    <w:p>
      <w:pPr>
        <w:pStyle w:val="Heading1"/>
        <w:spacing w:line="480" w:lineRule="auto"/>
      </w:pPr>
      <w:r>
        <w:t xml:space="preserve">Chapter 7. Discussion and Governance Implications</w:t>
      </w:r>
    </w:p>
    <w:bookmarkStart w:id="139" w:name="orientation-1"/>
    <w:p>
      <w:pPr>
        <w:pStyle w:val="Heading2"/>
        <w:spacing w:line="480" w:lineRule="auto"/>
      </w:pPr>
      <w:r>
        <w:t xml:space="preserve">7.1 Orientation</w:t>
      </w:r>
    </w:p>
    <w:p>
      <w:pPr>
        <w:pStyle w:val="FirstParagraph"/>
        <w:spacing w:line="480" w:lineRule="auto"/>
      </w:pPr>
      <w:r>
        <w:t xml:space="preserve">The two estimates reported in Chapter 6 do not point in the same direction, and the central task of this chapter is to convert that disagreement into guidance rather than to dissolve it. Paper One returns a disciplined null: across twenty-eight flight units drawn from six detector lineages, cumulative build number does not predict a shorter interval between successive launches, and the point estimate drifts faintly in the wrong direction. Paper Two returns a confirmed arc: across twenty documented production points spanning four orders of magnitude in build quantity, the log of per-unit cost declines significantly in the log of cumulative quantity, with an implied progress ratio near two-thirds. The dissertation’s question, whether repeat builds of a spaceflight detector arc, therefore has two answers depending on which surface of the public record one interrogates. The arc is real in dollars and absent in years. This chapter reads that split as a finding about the structure of detector production rather than as an inconsistency to be reconciled, and it draws out what the structure means for the offices that plan, fund, and price scientific instruments at NASA and at the Jet Propulsion Laboratory.</w:t>
      </w:r>
    </w:p>
    <w:p>
      <w:pPr>
        <w:pStyle w:val="BodyText"/>
        <w:spacing w:line="480" w:lineRule="auto"/>
        <w:ind w:firstLine="720"/>
      </w:pPr>
      <w:r>
        <w:t xml:space="preserve">The argument proceeds in four movements. Section 7.2 states the two-clock interpretation that organizes the entire discussion: the experience clock that the learning curve speeds up, and the programmatic clock of funding, host-spacecraft availability, and launch manifests that the experience mechanism does not touch. Section 7.3 carries that interpretation into NASA program management, where the practical question is what a program office may legitimately credit to heritage and what it may not. Section 7.4 narrows to JPL decision-making, where the unit of choice is the instrument line and the lever is the concentration of demand. Section 7.5 states the limitations honestly and bounds the inference. Section 7.6 sets the research agenda that the findings imply, and Section 7.7 closes. Throughout, the discipline of the prospectus holds: the estimates decide the claims, and where the public record cannot support a claim, the chapter says so rather than supplying the missing number.</w:t>
      </w:r>
    </w:p>
    <w:bookmarkEnd w:id="139"/>
    <w:bookmarkStart w:id="140" w:name="the-two-clock-interpretation"/>
    <w:p>
      <w:pPr>
        <w:pStyle w:val="Heading2"/>
        <w:spacing w:line="480" w:lineRule="auto"/>
      </w:pPr>
      <w:r>
        <w:t xml:space="preserve">7.2 The Two-Clock Interpretation</w:t>
      </w:r>
    </w:p>
    <w:p>
      <w:pPr>
        <w:pStyle w:val="FirstParagraph"/>
        <w:spacing w:line="480" w:lineRule="auto"/>
      </w:pPr>
      <w:r>
        <w:t xml:space="preserve">The cleanest way to hold the two findings together is to recognize that a detector lineage runs on two clocks, and that the learning curve governs only one of them. The first clock is the firm’s internal experience clock. Each repeat build amortizes tooling, stabilizes test procedures, matures vendor relationships, and deepens workforce familiarity, and the cost literature that NASA has imported encodes exactly this mechanism: a second build is priced below the first by a learning factor, and the instrument cost model now carries a dedicated multiple-builds capability because the recurring unit of a flown instrument is expected to cost materially less than its first-of-a-kind predecessor [8, 18]. Paper Two’s negative and significant slope is the empirical shadow of this clock. When the cost surface is observable, the experience mechanism is visible in it.</w:t>
      </w:r>
    </w:p>
    <w:p>
      <w:pPr>
        <w:pStyle w:val="BodyText"/>
        <w:spacing w:line="480" w:lineRule="auto"/>
        <w:ind w:firstLine="720"/>
      </w:pPr>
      <w:r>
        <w:t xml:space="preserve">The second clock is the programmatic clock. A flight unit launches when its host spacecraft is funded, integrated, and manifested, and those events answer to mission lines, appropriations cycles, and launch availability that are indifferent to how efficient the detector production line has become [4, 5]. Paper One’s null is the empirical shadow of this clock. The cadence variable, the interval between successive launches, is set almost entirely by when the host program is ready to fly, not by how many times the focal plane has been built. The CERES lineage states the point in a single contrast: its largest inter-build gap, the nine years separating the Aqua and Suomi-NPP units, spans a period in which the recurring build was procured for a publicly reported 44.5 million dollars, a figure well below the cost of standing up the original design [13, 15]. The unit got cheaper while the cadence got slower. That is precisely the pattern one expects when production learning and launch scheduling are decoupled, and it is the empirical heart of the two-clock reading.</w:t>
      </w:r>
    </w:p>
    <w:p>
      <w:pPr>
        <w:pStyle w:val="BodyText"/>
        <w:spacing w:line="480" w:lineRule="auto"/>
        <w:ind w:firstLine="720"/>
      </w:pPr>
      <w:r>
        <w:t xml:space="preserve">The two clocks are not merely separable in principle; they are separated by the data. A null on cadence is not a null on learning, and a confirmed arc on cost is not a claim that the arc reaches every observable dimension of a build. The error the dissertation is built to avoid is the conflation of the two, the casual move that credits a mature production line with a schedule benefit it has not earned, or that prices a heritage detector as if its cadence advantage were as bankable as its cost advantage. The heritage-divergence literature warns against the analogous error in the cost domain, where a model that assumes a build-to-print repeat underpredicts the cost of a unit that quietly absorbed new processing, wider conversion, or new arrays</w:t>
      </w:r>
      <w:r>
        <w:t xml:space="preserve"> </w:t>
      </w:r>
      <w:hyperlink w:anchor="ref-9">
        <w:r>
          <w:rPr>
            <w:rStyle w:val="Hyperlink"/>
          </w:rPr>
          <w:t xml:space="preserve">[9]</w:t>
        </w:r>
      </w:hyperlink>
      <w:r>
        <w:t xml:space="preserve">. Paper One documents the schedule-domain version of the same caution: the next copy of a detector does not arrive faster merely because the organization has built earlier copies, unless the host program is itself structured to draw on that readiness. The two-clock frame is therefore not a rhetorical device but the load-bearing inference of the dissertation, and the governance implications that follow are corollaries of it.</w:t>
      </w:r>
    </w:p>
    <w:p>
      <w:pPr>
        <w:pStyle w:val="BodyText"/>
        <w:spacing w:line="480" w:lineRule="auto"/>
        <w:ind w:firstLine="720"/>
      </w:pPr>
      <w:r>
        <w:t xml:space="preserve">One refinement sharpens the frame before it is applied. The cost arc that Paper Two recovers is a pooled, cross-sector elasticity, not a within-line recurring-cost slope, and the distinction matters for how confidently the experience clock can be invoked. The high-quantity end of the cost panel is populated by commercial constellations whose unit costs reflect not only repetition within a fixed design but also a deliberate shift to high-volume manufacturing methods, automated assembly, and commercial-grade parts [1, 16, 17]. Those programs sit far down and to the right of the fitted line, and in a pooled log-log regression they exert leverage that pulls the common slope below the within-program learning rate a flagship instrument line would exhibit on its own. The progress ratio of two-thirds should therefore be read as the elasticity of unit cost with respect to accumulated build experience across the sector, blending genuine within-line learning with the cross-sector migration to volume production. NASA’s practice of applying a Wright curve in the conventional eighty-five-to-ninety-percent band to additional copies of a given instrument [8, 18, 19] remains consistent with this sample, because that practice describes within-line learning while the pooled estimate describes something broader. The experience clock is real, but the dissertation’s cost estimate measures it together with a composition effect, and the governance discussion is calibrated to that fact.</w:t>
      </w:r>
    </w:p>
    <w:bookmarkEnd w:id="140"/>
    <w:bookmarkStart w:id="141" w:name="implications-for-nasa-program-management"/>
    <w:p>
      <w:pPr>
        <w:pStyle w:val="Heading2"/>
        <w:spacing w:line="480" w:lineRule="auto"/>
      </w:pPr>
      <w:r>
        <w:t xml:space="preserve">7.3 Implications for NASA Program Management</w:t>
      </w:r>
    </w:p>
    <w:p>
      <w:pPr>
        <w:pStyle w:val="FirstParagraph"/>
        <w:spacing w:line="480" w:lineRule="auto"/>
      </w:pPr>
      <w:r>
        <w:t xml:space="preserve">For a NASA program office, the two-clock finding translates into a single disciplining rule: credit heritage where the record supports it and nowhere else. The record supports a cost credit. A program that commits to an additional copy of a documented instrument line may legitimately expect a recurring unit below the first-of-a-kind cost, and the instrument cost model’s multiple-builds capability is the right instrument for booking that expectation [8, 18]. The dissertation’s contribution here is not to overturn that practice but to bound it. The pooled progress ratio of two-thirds is steeper than a single flagship instrument line should be expected to achieve on its own, because it is inflated by the commercial-constellation observations; a program office sizing a recurring detector should anchor to the conventional within-line band rather than to the pooled headline, and should treat the steeper pooled figure as a description of the sector, not a forecast for its own copy [8, 19]. Booking the pooled slope as a within-line saving would over-credit heritage and under-fund the build.</w:t>
      </w:r>
    </w:p>
    <w:p>
      <w:pPr>
        <w:pStyle w:val="BodyText"/>
        <w:spacing w:line="480" w:lineRule="auto"/>
        <w:ind w:firstLine="720"/>
      </w:pPr>
      <w:r>
        <w:t xml:space="preserve">The record does not support a schedule credit, and this is where the dissertation asks program management to change a habit. The intuition that a mature production line delivers its next unit faster is precisely the intuition Paper One refutes: build number is uncorrelated with inter-build interval, and the confidence interval is centered just on the wrong side of zero. A program plan that assumes a heritage detector will compress the integration-to-launch timeline because the contractor has built the focal plane before is planning against a mechanism the data do not detect. The binding constraint on when the next unit flies is the host spacecraft and the manifest, not the production line [4, 5]. The operational consequence is concrete. Schedule reserve for a heritage build should be sized against host-program risk, appropriations timing, and launch availability, not discounted on the theory that experience buys speed. The 44.5 million dollar CERES recurring build that nonetheless waited nine years for its host is the cautionary case in the data [13, 15]: cheap did not mean soon.</w:t>
      </w:r>
    </w:p>
    <w:p>
      <w:pPr>
        <w:pStyle w:val="BodyText"/>
        <w:spacing w:line="480" w:lineRule="auto"/>
        <w:ind w:firstLine="720"/>
      </w:pPr>
      <w:r>
        <w:t xml:space="preserve">A second implication concerns the unit of measurement that program offices treat as the signature of learning. Because the cost arc is observable only where per-copy prices are published, and because such prices are seldom published for flight detectors, the temptation is to substitute the variable that is documented, cadence, as a proxy for the maturity of a line. Paper One shows that this substitution fails. Cadence is not a noisy version of the cost signal; it is governed by a different clock entirely, and its near-zero, negative adjusted fit confirms that it carries no learning information at all. A program review that reads a lineage’s launch tempo as evidence of production maturity is reading the wrong gauge. The defensible evidence of maturity is recurring cost, and where recurring cost is not itemized, the honest position is that the maturity of the line cannot be quantified from the public record, not that its cadence can stand in for it.</w:t>
      </w:r>
    </w:p>
    <w:p>
      <w:pPr>
        <w:pStyle w:val="BodyText"/>
        <w:spacing w:line="480" w:lineRule="auto"/>
        <w:ind w:firstLine="720"/>
      </w:pPr>
      <w:r>
        <w:t xml:space="preserve">There is a corollary for cost-model governance itself. The convergence-of-development-costs literature establishes that heritage cost models break down when instrument complexity grows by orders of magnitude between builds, because the later unit is no longer the same artifact even when it carries the same name</w:t>
      </w:r>
      <w:r>
        <w:t xml:space="preserve"> </w:t>
      </w:r>
      <w:hyperlink w:anchor="ref-9">
        <w:r>
          <w:rPr>
            <w:rStyle w:val="Hyperlink"/>
          </w:rPr>
          <w:t xml:space="preserve">[9]</w:t>
        </w:r>
      </w:hyperlink>
      <w:r>
        <w:t xml:space="preserve">. The dissertation’s cost panel is cross-sectional in build experience rather than a true panel of one line’s copies, which means part of its dispersion reflects exactly this heterogeneity: different instrument classes, technology generations, and contractors absorbed into the residual rather than differenced out. A program office applying a learning curve to its own instrument should therefore verify that the additional copy is genuinely build-to-print before claiming the curve, and should treat any quiet growth in processing, conversion, or array count as a reason to re-anchor the first-unit cost rather than to slide down the heritage curve. The learning credit is conditional on identity of the artifact, and the cost models are only as trustworthy as that condition is true</w:t>
      </w:r>
      <w:r>
        <w:t xml:space="preserve"> </w:t>
      </w:r>
      <w:hyperlink w:anchor="ref-9">
        <w:r>
          <w:rPr>
            <w:rStyle w:val="Hyperlink"/>
          </w:rPr>
          <w:t xml:space="preserve">[9]</w:t>
        </w:r>
      </w:hyperlink>
      <w:r>
        <w:t xml:space="preserve">.</w:t>
      </w:r>
    </w:p>
    <w:bookmarkEnd w:id="141"/>
    <w:bookmarkStart w:id="142" w:name="implications-for-jpl-decision-making"/>
    <w:p>
      <w:pPr>
        <w:pStyle w:val="Heading2"/>
        <w:spacing w:line="480" w:lineRule="auto"/>
      </w:pPr>
      <w:r>
        <w:t xml:space="preserve">7.4 Implications for JPL Decision-Making</w:t>
      </w:r>
    </w:p>
    <w:p>
      <w:pPr>
        <w:pStyle w:val="FirstParagraph"/>
        <w:spacing w:line="480" w:lineRule="auto"/>
      </w:pPr>
      <w:r>
        <w:t xml:space="preserve">For the Jet Propulsion Laboratory, the unit of decision is the instrument line, and the lever the findings illuminate is the concentration of demand. Paper Two’s headline survives its caveats in a form that is directly actionable at the portfolio level: the cost arc is real, it is statistically distinguishable from a flat line, and it is steep enough that concentrating instrument demand on fewer, more frequently repeated lines is a defensible lever on unit cost rather than a matter of faith. A strategist sizing an instrument portfolio can read this as license to favor serial commitment to a proven detector line over the perpetual development of first-of-a-kind articles, because the documented build quantities and prices, not a modeling assumption, sustain the downward slope. The Mars rover camera line is the institution’s own illustration of the mechanism the panel measures: the later zoom-camera focal-plane array was essentially a build-to-print copy of the earlier mast-camera array, with only obsolescent parts replaced</w:t>
      </w:r>
      <w:r>
        <w:t xml:space="preserve"> </w:t>
      </w:r>
      <w:hyperlink w:anchor="ref-20">
        <w:r>
          <w:rPr>
            <w:rStyle w:val="Hyperlink"/>
          </w:rPr>
          <w:t xml:space="preserve">[20]</w:t>
        </w:r>
      </w:hyperlink>
      <w:r>
        <w:t xml:space="preserve">. Where that build-to-print discipline holds, the cost dividend is bankable.</w:t>
      </w:r>
    </w:p>
    <w:p>
      <w:pPr>
        <w:pStyle w:val="BodyText"/>
        <w:spacing w:line="480" w:lineRule="auto"/>
        <w:ind w:firstLine="720"/>
      </w:pPr>
      <w:r>
        <w:t xml:space="preserve">The discipline of the two-clock frame, however, constrains the form of the commitment. The cost dividend is available only to the extent the later build is genuinely a copy; the moment a JPL instrument line absorbs new requirements between copies, it migrates from the learning curve toward the first-of-a-kind cost the heritage-divergence literature describes</w:t>
      </w:r>
      <w:r>
        <w:t xml:space="preserve"> </w:t>
      </w:r>
      <w:hyperlink w:anchor="ref-9">
        <w:r>
          <w:rPr>
            <w:rStyle w:val="Hyperlink"/>
          </w:rPr>
          <w:t xml:space="preserve">[9]</w:t>
        </w:r>
      </w:hyperlink>
      <w:r>
        <w:t xml:space="preserve">. The decision rule that follows is to protect the build-to-print boundary deliberately: to resist the requirements creep that converts a heritage copy into a new development, and to price any accepted change against the learning credit it forfeits. Concentrating demand on fewer lines is the lever, but the lever works only while the lines stay identical across copies. This is a governance choice JPL controls directly, unlike the host-spacecraft scheduling that governs cadence, and it is therefore the place where the findings most cleanly inform an institutional decision.</w:t>
      </w:r>
    </w:p>
    <w:p>
      <w:pPr>
        <w:pStyle w:val="BodyText"/>
        <w:spacing w:line="480" w:lineRule="auto"/>
        <w:ind w:firstLine="720"/>
      </w:pPr>
      <w:r>
        <w:t xml:space="preserve">The cadence null reshapes the schedule case for serial commitment at JPL. The effect clarifies rather than discourages. A laboratory might be tempted to justify a block buy or an early commitment to a detector line on the grounds that a mature line will deliver follow-on copies faster. Paper One removes that justification: the schedule benefit of a mature production line cannot be assumed, because a fifth copy of a detector does not arrive faster simply because four were built before it [4, 5]. The honest case for serial commitment therefore rests on unit economics and on retired technical risk, not on speed. This is not a weaker case; it is a more accurate one, and it protects the laboratory from planning a mission timeline around a cadence compression the data will not deliver. Where JPL needs a detector sooner, the intervention must be on the programmatic clock, by structuring the host program to draw on production readiness, rather than on the experience clock, which does not move cadence on its own.</w:t>
      </w:r>
    </w:p>
    <w:p>
      <w:pPr>
        <w:pStyle w:val="BodyText"/>
        <w:spacing w:line="480" w:lineRule="auto"/>
        <w:ind w:firstLine="720"/>
      </w:pPr>
      <w:r>
        <w:t xml:space="preserve">Finally, the findings inform how JPL should price the heritage premium it pays or charges when a detector line is reused. The prospectus framed the practical payoff of a confirmed arc as the ability to price the heritage premium of a reused detector line, and the dissertation delivers a partial, disciplined version of that payoff. The cost arc lets a heritage line be credited with a quantifiable unit-cost reduction per doubling of cumulative builds, anchored to documented prices and to the conventional within-line band rather than to the inflated pooled slope [8, 18, 19]. The cadence null forbids crediting the same line with a schedule premium, because no such premium is detectable. A heritage detector is worth paying for because it is cheaper and lower-risk per copy, not because it is faster to field. Pricing the premium on the cost dimension alone, and explicitly declining to price it on the schedule dimension, is the defensible position the two findings jointly support.</w:t>
      </w:r>
    </w:p>
    <w:bookmarkEnd w:id="142"/>
    <w:bookmarkStart w:id="143" w:name="limitations"/>
    <w:p>
      <w:pPr>
        <w:pStyle w:val="Heading2"/>
        <w:spacing w:line="480" w:lineRule="auto"/>
      </w:pPr>
      <w:r>
        <w:t xml:space="preserve">7.5 Limitations</w:t>
      </w:r>
    </w:p>
    <w:p>
      <w:pPr>
        <w:pStyle w:val="FirstParagraph"/>
        <w:spacing w:line="480" w:lineRule="auto"/>
      </w:pPr>
      <w:r>
        <w:t xml:space="preserve">The inference is bounded, and the bounds are reported here rather than buried. The first limitation is sample size and the coarseness of the cadence proxy. Twenty-eight observations across six lineages is a small panel, and the inter-build interval is a blunt instrument that mixes production readiness with exogenous mission timing by construction</w:t>
      </w:r>
      <w:r>
        <w:t xml:space="preserve"> </w:t>
      </w:r>
      <w:hyperlink w:anchor="ref-4">
        <w:r>
          <w:rPr>
            <w:rStyle w:val="Hyperlink"/>
          </w:rPr>
          <w:t xml:space="preserve">[4]</w:t>
        </w:r>
      </w:hyperlink>
      <w:r>
        <w:t xml:space="preserve">. The null is well powered for the claim it makes, in that the confidence interval excludes any large cadence-learning effect, but the variable cannot separate the modest possibility of slow cadence drift from true independence, and a larger panel of lineages would sharpen rather than overturn the reading. The cadence finding should be understood as evidence that production learning does not dominate cadence, not as a precise measurement of a small residual effect that the data are too coarse to resolve.</w:t>
      </w:r>
    </w:p>
    <w:p>
      <w:pPr>
        <w:pStyle w:val="BodyText"/>
        <w:spacing w:line="480" w:lineRule="auto"/>
        <w:ind w:firstLine="720"/>
      </w:pPr>
      <w:r>
        <w:t xml:space="preserve">The second limitation is the absence of itemized recurring cost for most flight detectors, which prevents the cleanest test the framing literature implies. Paper One could not run the complementary within-lineage cost-arc test because per-copy recurring costs are not published for the cadence sample, and fabricating that dependent variable was a line the work declined to cross; the single CERES contract figure is the only itemized per-unit cost in that panel [13, 15]. Paper Two assembles a cost panel only by pooling across programs, several of whose observations rest on documented program totals divided by documented counts rather than on copy-level figures, and three of its twenty cells are line-average values explicitly flagged as illustrative because the per-copy split is not separately published. This averaging attenuates within-line variation and means the cost arc is estimated across the sector rather than within any single line. The dissertation’s recurring methodological constraint is therefore the opacity of the public cost record, and every cost claim in this chapter is calibrated to data that are documented but coarse.</w:t>
      </w:r>
    </w:p>
    <w:p>
      <w:pPr>
        <w:pStyle w:val="BodyText"/>
        <w:spacing w:line="480" w:lineRule="auto"/>
        <w:ind w:firstLine="720"/>
      </w:pPr>
      <w:r>
        <w:t xml:space="preserve">The third limitation is confounding and composition. The cost panel is cross-sectional in build experience rather than a true panel of repeated builds of one line, so unobserved heterogeneity across instrument classes, technology generations, base years, and contractors is absorbed into the residual rather than differenced out, and costs reported in current-year dollars from heterogeneous sources carry price-level and accounting differences that masquerade as real learning. The steeper-than-conventional pooled slope is most plausibly an artifact of the sample’s span, driven by the high-volume commercial constellations at the long-quantity end, rather than evidence that any single instrument line learns at two-thirds [1, 16, 17]. On the cadence side, the symmetric threats are secular technology gain that could mimic a learning trend, and the survivorship bias by which poorly performing detector instances may go unpublished and bias the observed distribution toward success. None of these threats is fatal, but each widens the interval on the estimate, and the responsible reading credits the direction and significance of the cost arc while declining to over-read its magnitude as a within-line rate.</w:t>
      </w:r>
    </w:p>
    <w:p>
      <w:pPr>
        <w:pStyle w:val="BodyText"/>
        <w:spacing w:line="480" w:lineRule="auto"/>
        <w:ind w:firstLine="720"/>
      </w:pPr>
      <w:r>
        <w:t xml:space="preserve">A fourth limitation is the commensurability of figures of merit across the public characterization record, which constrains how far the dissertation could pursue the prospectus’s original performance-arc framing. Different instrument papers report performance under different observing regimes and noise definitions [3, 4, 6], so a performance figure of merit cannot be pooled across families without within-family normalization, and the small lot sizes intrinsic to flight detectors leave each family with few points</w:t>
      </w:r>
      <w:r>
        <w:t xml:space="preserve"> </w:t>
      </w:r>
      <w:hyperlink w:anchor="ref-3">
        <w:r>
          <w:rPr>
            <w:rStyle w:val="Hyperlink"/>
          </w:rPr>
          <w:t xml:space="preserve">[3]</w:t>
        </w:r>
      </w:hyperlink>
      <w:r>
        <w:t xml:space="preserve">. The dissertation therefore tested the learning question on the two surfaces where the public record is dense enough to support a regression, cadence and cost, rather than on the performance surface the prospectus initially proposed, where the data are sparser and less commensurable. This is a scoping limitation rather than a failure of the design, but it means the dissertation answers the learning question on the dimensions the open record can sustain, and leaves the performance dimension to the agenda below.</w:t>
      </w:r>
    </w:p>
    <w:bookmarkEnd w:id="143"/>
    <w:bookmarkStart w:id="144" w:name="future-research"/>
    <w:p>
      <w:pPr>
        <w:pStyle w:val="Heading2"/>
        <w:spacing w:line="480" w:lineRule="auto"/>
      </w:pPr>
      <w:r>
        <w:t xml:space="preserve">7.6 Future Research</w:t>
      </w:r>
    </w:p>
    <w:p>
      <w:pPr>
        <w:pStyle w:val="FirstParagraph"/>
        <w:spacing w:line="480" w:lineRule="auto"/>
      </w:pPr>
      <w:r>
        <w:t xml:space="preserve">The findings point to a single, well-defined next study and a small family of extensions around it. The next step both empirical papers converge on is a within-line fixed-effects specification estimated on a program for which copy-level recurring costs are publicly itemized across several units of one detector lineage. Such a build would let cost and cadence be tested against cumulative build number side by side, on the same units, and would show directly whether the arc lives in dollars even when it is invisible in years. It would also separate genuine within-line learning from the cross-sector composition effect this dissertation identified, because differencing within a single line removes the heterogeneity across instrument classes that inflates the pooled slope</w:t>
      </w:r>
      <w:r>
        <w:t xml:space="preserve"> </w:t>
      </w:r>
      <w:hyperlink w:anchor="ref-9">
        <w:r>
          <w:rPr>
            <w:rStyle w:val="Hyperlink"/>
          </w:rPr>
          <w:t xml:space="preserve">[9]</w:t>
        </w:r>
      </w:hyperlink>
      <w:r>
        <w:t xml:space="preserve">. The data obstacle is the publication of copy-level recurring cost, which is the binding constraint the whole dissertation has run against; the research priority is therefore as much about securing access to itemized cost as about the econometrics.</w:t>
      </w:r>
    </w:p>
    <w:p>
      <w:pPr>
        <w:pStyle w:val="BodyText"/>
        <w:spacing w:line="480" w:lineRule="auto"/>
        <w:ind w:firstLine="720"/>
      </w:pPr>
      <w:r>
        <w:t xml:space="preserve">A second extension addresses the cadence clock directly. Because Paper One establishes that cadence answers to host-spacecraft and programmatic timing rather than to production learning, a productive study would model the programmatic clock explicitly, treating launch availability, appropriations timing, and host-spacecraft readiness as the regressors that the present specification absorbs into the residual [4, 5]. Such a model would not rehabilitate the learning story for cadence; it would instead characterize the clock that actually governs it, and would give program offices a defensible basis for sizing schedule reserve against the constraints that genuinely bind. This is the constructive complement to the cadence null: having shown which clock does not set cadence, the agenda is to model the one that does.</w:t>
      </w:r>
    </w:p>
    <w:p>
      <w:pPr>
        <w:pStyle w:val="BodyText"/>
        <w:spacing w:line="480" w:lineRule="auto"/>
        <w:ind w:firstLine="720"/>
      </w:pPr>
      <w:r>
        <w:t xml:space="preserve">A third extension returns to the performance dimension the prospectus opened. With the figure-of-merit commensurability problem stated plainly, a focused study could assemble a single detector family with enough repeat builds and a consistently reported performance figure, read noise, calibration residual, or radiometric stability, and test the original log-linear performance arc within that family under a calendar-year control and a permutation placebo [3, 4, 6]. The small lot sizes of flight detectors mean such a study would report effect-size intervals rather than a binary verdict, and would need to confront the survivorship bias of an unpublished-failure record directly, but it would close the loop on the dissertation’s founding question on the surface where it was first posed. The public characterization archive that anchors the prospectus is the natural starting corpus, because every observation there links to a named paper, a year, and a stable source, so the constructed panel would be auditable end to end.</w:t>
      </w:r>
    </w:p>
    <w:p>
      <w:pPr>
        <w:pStyle w:val="BodyText"/>
        <w:spacing w:line="480" w:lineRule="auto"/>
        <w:ind w:firstLine="720"/>
      </w:pPr>
      <w:r>
        <w:t xml:space="preserve">A final line of work concerns the governance instruments themselves. The dissertation has shown that the cost-model practice of applying a Wright curve to additional copies is consistent with the documented record at the within-line band, while the pooled sector elasticity is steeper and should not be booked as a within-line saving [8, 18, 19]. A study that audited a sample of actual NASA instrument cost-model applications against realized recurring costs, where both are available, would test whether the models’ heritage credits are calibrated or optimistic in practice, and whether the build-to-print condition the credit depends on actually held across the copies to which it was applied</w:t>
      </w:r>
      <w:r>
        <w:t xml:space="preserve"> </w:t>
      </w:r>
      <w:hyperlink w:anchor="ref-9">
        <w:r>
          <w:rPr>
            <w:rStyle w:val="Hyperlink"/>
          </w:rPr>
          <w:t xml:space="preserve">[9]</w:t>
        </w:r>
      </w:hyperlink>
      <w:r>
        <w:t xml:space="preserve">. That is the study that would convert the dissertation’s bounding cautions into a measured assessment of how well the governance instruments are tracking the mechanism they encode.</w:t>
      </w:r>
    </w:p>
    <w:bookmarkEnd w:id="144"/>
    <w:bookmarkStart w:id="145" w:name="conclusion-of-the-discussion"/>
    <w:p>
      <w:pPr>
        <w:pStyle w:val="Heading2"/>
        <w:spacing w:line="480" w:lineRule="auto"/>
      </w:pPr>
      <w:r>
        <w:t xml:space="preserve">7.7 Conclusion of the Discussion</w:t>
      </w:r>
    </w:p>
    <w:p>
      <w:pPr>
        <w:pStyle w:val="FirstParagraph"/>
        <w:spacing w:line="480" w:lineRule="auto"/>
      </w:pPr>
      <w:r>
        <w:t xml:space="preserve">The dissertation set out to test whether repeat builds of a spaceflight detector arc, and it returns an answer with the texture the question deserves rather than a single slogan. The arc is real in unit cost and absent in cadence, because the two dimensions run on different clocks, and the experience mechanism that the cost literature encodes reaches the cost clock but not the schedule clock [4, 5, 8]. For NASA program management, the rule that follows is to credit heritage in dollars at the conventional within-line band, to refuse to credit it in schedule, and to keep cadence reserve sized against the programmatic constraints that actually bind. For JPL decision-making, the rule is to concentrate demand on fewer build-to-print lines as a defensible lever on unit cost, to protect the build-to-print boundary against the requirements creep that forfeits the learning credit, and to price the heritage premium on cost and risk rather than on a speed the data do not deliver. The limitations are real and reported: small samples, an opaque cost record, cross-program composition, and incommensurable performance figures each widen the intervals and bound the claims. The future work the findings imply is specific and tractable, and it centers on the one study that would settle the matter, a within-line fixed-effects test on a lineage whose copy-level recurring costs are public. Until that study is possible, the disciplined conclusion stands: detector heritage buys a quantifiable cost advantage and retires technical risk, but it does not buy speed, and the offices that plan and price instruments should book only the advantage the record supports.</w:t>
      </w:r>
    </w:p>
    <w:bookmarkEnd w:id="145"/>
    <w:bookmarkEnd w:id="146"/>
    <w:bookmarkStart w:id="203" w:name="chapter-8.-conclusion"/>
    <w:p>
      <w:pPr>
        <w:pStyle w:val="Heading1"/>
        <w:spacing w:line="480" w:lineRule="auto"/>
      </w:pPr>
      <w:r>
        <w:t xml:space="preserve">Chapter 8. Conclusion</w:t>
      </w:r>
    </w:p>
    <w:bookmarkStart w:id="147" w:name="the-argument-restated"/>
    <w:p>
      <w:pPr>
        <w:pStyle w:val="Heading2"/>
        <w:spacing w:line="480" w:lineRule="auto"/>
      </w:pPr>
      <w:r>
        <w:t xml:space="preserve">8.1 The Argument Restated</w:t>
      </w:r>
    </w:p>
    <w:p>
      <w:pPr>
        <w:pStyle w:val="FirstParagraph"/>
        <w:spacing w:line="480" w:lineRule="auto"/>
      </w:pPr>
      <w:r>
        <w:t xml:space="preserve">This dissertation set out to answer a question that the space-economy literature has repeatedly assumed but never isolated: whether repeat builds of a spaceflight detector arc. The cost narrative that governs modern space economics holds that recurring articles become cheaper, and by extension better and faster, as an organization repeats their production, an experience effect that has reshaped the economics of launch vehicles, satellite buses, and large constellations [1, 2, 16]. That narrative is built on units of repetition that are effectively fungible, produced in lots of hundreds, and priced against cumulative volume [2, 17]. Scientific and operational spaceflight detectors violate every one of those premises. They are bespoke, flight-qualified instruments produced in lots of one to a few dozen, each tuned for calibration precision and radiation tolerance, integrated into a single telescope or spacecraft, and characterized one sensor at a time in the published record [3, 4, 6]. The animating problem of this work was therefore not whether learning curves exist in space, which the cited record settles at the system level [1, 2, 5], but whether the experience mechanism reaches down into the small-batch, performance-defined instrument.</w:t>
      </w:r>
    </w:p>
    <w:p>
      <w:pPr>
        <w:pStyle w:val="BodyText"/>
        <w:spacing w:line="480" w:lineRule="auto"/>
        <w:ind w:firstLine="720"/>
      </w:pPr>
      <w:r>
        <w:t xml:space="preserve">The prospectus framed that problem as a single falsifiable proposition in the Wright form: that a detector line’s delivered quantity, whether performance, cost, or cadence, declines log-linearly in cumulative build number, at a rate distinguishable from zero [18, 19]. The chapters that followed did not treat that proposition as a monolith. They decomposed the word</w:t>
      </w:r>
      <w:r>
        <w:t xml:space="preserve"> </w:t>
      </w:r>
      <w:r>
        <w:t xml:space="preserve">“arc”</w:t>
      </w:r>
      <w:r>
        <w:t xml:space="preserve"> </w:t>
      </w:r>
      <w:r>
        <w:t xml:space="preserve">into the three dimensions in which a repeat build could plausibly improve, and they tested each against the specific, real, and auditable public record rather than against a stylized account of it. The result is not a single yes or no. It is a disaggregated answer that locates precisely where the experience mechanism lives in detector lineages and where the invocation of a learning curve is unwarranted.</w:t>
      </w:r>
    </w:p>
    <w:p>
      <w:pPr>
        <w:pStyle w:val="BodyText"/>
        <w:spacing w:line="480" w:lineRule="auto"/>
        <w:ind w:firstLine="720"/>
      </w:pPr>
      <w:r>
        <w:t xml:space="preserve">The first empirical investigation asked whether repeat builds arc in unit cost. Estimating a single log-log learning curve across twenty documented detector, navigation, and instrument production points spanning four orders of magnitude in build quantity, it returned a slope of negative 0.584, statistically distinguishable from zero at the five-percent level, with an implied progress ratio near two-thirds. Repeat builds of detector and instrument lines do arc downward in unit cost as cumulative quantity rises, and the descent is, in the pooled estimate, steeper than the conventional aerospace band of eighty-five to ninety percent</w:t>
      </w:r>
      <w:r>
        <w:t xml:space="preserve"> </w:t>
      </w:r>
      <w:hyperlink w:anchor="ref-19">
        <w:r>
          <w:rPr>
            <w:rStyle w:val="Hyperlink"/>
          </w:rPr>
          <w:t xml:space="preserve">[19]</w:t>
        </w:r>
      </w:hyperlink>
      <w:r>
        <w:t xml:space="preserve">. The finding is consistent with the learning-curve assumption that NASA’s instrument cost practice already encodes for additional copies [8, 18], while disciplining the interpretation: the steep pooled slope is most plausibly a composition effect, driven by the high-volume commercial constellations at the long-quantity end of the sample [1, 2], rather than the within-line recurring-cost slope a single flagship instrument would exhibit on its own.</w:t>
      </w:r>
    </w:p>
    <w:p>
      <w:pPr>
        <w:pStyle w:val="BodyText"/>
        <w:spacing w:line="480" w:lineRule="auto"/>
        <w:ind w:firstLine="720"/>
      </w:pPr>
      <w:r>
        <w:t xml:space="preserve">The second empirical investigation asked whether repeat builds arc in cadence, that is, whether a maturing lineage delivers successive flight units at shortening intervals. Across twenty-eight flight units drawn from six documented detector lineages, CERES, the GOES Imager, AMSU-A, ATMS, MODIS, and the JPSS imaging-and-sounding pairing, cumulative build number did not predict a shorter inter-build interval [12, 13, 14]. The point estimate ran slightly in the wrong direction, positive rather than negative, and its confidence interval comfortably contained zero. This is a disciplined null. The cadence of repeat detector builds is independent of how many times the instrument has been built, governed not by the firm’s internal experience clock but by the programmatic clock of mission funding, host-spacecraft availability, and launch manifests, which moves to its own logic</w:t>
      </w:r>
      <w:r>
        <w:t xml:space="preserve"> </w:t>
      </w:r>
      <w:hyperlink w:anchor="ref-11">
        <w:r>
          <w:rPr>
            <w:rStyle w:val="Hyperlink"/>
          </w:rPr>
          <w:t xml:space="preserve">[11]</w:t>
        </w:r>
      </w:hyperlink>
      <w:r>
        <w:t xml:space="preserve">.</w:t>
      </w:r>
    </w:p>
    <w:p>
      <w:pPr>
        <w:pStyle w:val="BodyText"/>
        <w:spacing w:line="480" w:lineRule="auto"/>
        <w:ind w:firstLine="720"/>
      </w:pPr>
      <w:r>
        <w:t xml:space="preserve">Taken together, the two findings resolve the dissertation’s central question with a precision that a single composite test could not have achieved. Repeat builds of a spaceflight detector arc, but they arc in dollars, not in years. The CERES lineage embodies the dissociation: its recurring build was procured for a publicly reported 44.5 million dollars, well below the cost of standing up the original design [13, 15], during a span in which the largest inter-build interval stretched to nine years. The unit got cheaper while the cadence got slower. Cost and cadence answer to different clocks, and conflating them is exactly the error that the heritage-divergence literature warns against in the cost domain and that this work documents directly in the schedule domain</w:t>
      </w:r>
      <w:r>
        <w:t xml:space="preserve"> </w:t>
      </w:r>
      <w:hyperlink w:anchor="ref-9">
        <w:r>
          <w:rPr>
            <w:rStyle w:val="Hyperlink"/>
          </w:rPr>
          <w:t xml:space="preserve">[9]</w:t>
        </w:r>
      </w:hyperlink>
      <w:r>
        <w:t xml:space="preserve">.</w:t>
      </w:r>
    </w:p>
    <w:bookmarkEnd w:id="147"/>
    <w:bookmarkStart w:id="148" w:name="synthesis-across-the-three-dimensions"/>
    <w:p>
      <w:pPr>
        <w:pStyle w:val="Heading2"/>
        <w:spacing w:line="480" w:lineRule="auto"/>
      </w:pPr>
      <w:r>
        <w:t xml:space="preserve">8.2 Synthesis Across the Three Dimensions</w:t>
      </w:r>
    </w:p>
    <w:p>
      <w:pPr>
        <w:pStyle w:val="FirstParagraph"/>
        <w:spacing w:line="480" w:lineRule="auto"/>
      </w:pPr>
      <w:r>
        <w:t xml:space="preserve">The value of separating the cost dimension from the cadence dimension is that it converts a vague intuition, that heritage helps, into a structured account of where heritage helps and where it does not. The experience mechanism the space-economy literature theorizes, in which heritage retires technical risk, stabilizes requirements, amortizes tooling and test procedures, and lets an organization reuse rather than reinvent [2, 5, 17], is a claim about the production line. Its natural observable is recurring unit cost, and there the evidence in this dissertation is affirmative and statistically robust. The build-to-print copying of focal-plane arrays and detector electronics, the elements most often reused without redesign</w:t>
      </w:r>
      <w:r>
        <w:t xml:space="preserve"> </w:t>
      </w:r>
      <w:hyperlink w:anchor="ref-20">
        <w:r>
          <w:rPr>
            <w:rStyle w:val="Hyperlink"/>
          </w:rPr>
          <w:t xml:space="preserve">[20]</w:t>
        </w:r>
      </w:hyperlink>
      <w:r>
        <w:t xml:space="preserve">, is precisely the channel through which accumulated experience should and does lower the marginal cost of the next copy.</w:t>
      </w:r>
    </w:p>
    <w:p>
      <w:pPr>
        <w:pStyle w:val="BodyText"/>
        <w:spacing w:line="480" w:lineRule="auto"/>
        <w:ind w:firstLine="720"/>
      </w:pPr>
      <w:r>
        <w:t xml:space="preserve">Cadence is a different observable because it is not set on the production line. An inter-build interval mixes production readiness with exogenous mission timing by construction, and the latter dominates. A flight unit launches when its host spacecraft is funded, integrated, and manifested, and those events are scheduled by appropriations cycles and launch availability that are indifferent to how efficient the detector line has become</w:t>
      </w:r>
      <w:r>
        <w:t xml:space="preserve"> </w:t>
      </w:r>
      <w:hyperlink w:anchor="ref-11">
        <w:r>
          <w:rPr>
            <w:rStyle w:val="Hyperlink"/>
          </w:rPr>
          <w:t xml:space="preserve">[11]</w:t>
        </w:r>
      </w:hyperlink>
      <w:r>
        <w:t xml:space="preserve">. The null on cadence is therefore not a null on learning. It is positive evidence about the boundary of the experience mechanism: learning compresses the effort the building organization controls, and leaves untouched the schedule it does not. A fifth copy of a detector does not arrive faster simply because the organization has built four before it, unless the host program is structured to draw on that readiness.</w:t>
      </w:r>
    </w:p>
    <w:p>
      <w:pPr>
        <w:pStyle w:val="BodyText"/>
        <w:spacing w:line="480" w:lineRule="auto"/>
        <w:ind w:firstLine="720"/>
      </w:pPr>
      <w:r>
        <w:t xml:space="preserve">The performance dimension, which the prospectus posed as the most novel and the hardest to populate, frames the limiting case of this synthesis. The prospectus proposed extracting a delivered performance figure of merit, read noise, calibration residual, or radiometric stability, from the open detector-characterization record and regressing its logarithm on cumulative build number within a family [3, 4, 6]. The instrumentation corpus is rich in single-sensor depth, from deep-depletion charge-coupled devices characterized for resident-space-object work</w:t>
      </w:r>
      <w:r>
        <w:t xml:space="preserve"> </w:t>
      </w:r>
      <w:hyperlink w:anchor="ref-3">
        <w:r>
          <w:rPr>
            <w:rStyle w:val="Hyperlink"/>
          </w:rPr>
          <w:t xml:space="preserve">[3]</w:t>
        </w:r>
      </w:hyperlink>
      <w:r>
        <w:t xml:space="preserve"> </w:t>
      </w:r>
      <w:r>
        <w:t xml:space="preserve">to fast-response detectors reported for differential spectrophotometry</w:t>
      </w:r>
      <w:r>
        <w:t xml:space="preserve"> </w:t>
      </w:r>
      <w:hyperlink w:anchor="ref-6">
        <w:r>
          <w:rPr>
            <w:rStyle w:val="Hyperlink"/>
          </w:rPr>
          <w:t xml:space="preserve">[6]</w:t>
        </w:r>
      </w:hyperlink>
      <w:r>
        <w:t xml:space="preserve"> </w:t>
      </w:r>
      <w:r>
        <w:t xml:space="preserve">to single-photon-counting imaging sensors with sub-nanosecond timing [21, 27], but it treats each detector as a point rather than as one observation in an ordered sequence of repeat builds. That structural feature of the literature, which the gap analysis identified at the outset, is itself a finding: the public characterization record is not natively organized as detector panels, and the small lot sizes intrinsic to flight detectors bound the power of any within-family performance fit</w:t>
      </w:r>
      <w:r>
        <w:t xml:space="preserve"> </w:t>
      </w:r>
      <w:hyperlink w:anchor="ref-3">
        <w:r>
          <w:rPr>
            <w:rStyle w:val="Hyperlink"/>
          </w:rPr>
          <w:t xml:space="preserve">[3]</w:t>
        </w:r>
      </w:hyperlink>
      <w:r>
        <w:t xml:space="preserve">. The cost and cadence dimensions, where launch dates, build positions, masses, and itemized contract figures are independently and fully documented [12, 13, 14, 15], were the dimensions in which the falsifiable proposition could be tested without fabricating a dependent variable, and the dissertation tested them there rather than manufacturing performance numbers the record does not supply.</w:t>
      </w:r>
    </w:p>
    <w:p>
      <w:pPr>
        <w:pStyle w:val="BodyText"/>
        <w:spacing w:line="480" w:lineRule="auto"/>
        <w:ind w:firstLine="720"/>
      </w:pPr>
      <w:r>
        <w:t xml:space="preserve">This is the synthesis. The arc of a repeat-built detector is real in unit cost, absent in cadence, and structurally underdetermined in delivered performance given the present public record. The three dimensions are governed by three different mechanisms, and the single most consequential conceptual contribution of the dissertation is the demonstration that the casual phrase</w:t>
      </w:r>
      <w:r>
        <w:t xml:space="preserve"> </w:t>
      </w:r>
      <w:r>
        <w:t xml:space="preserve">“instruments get better with repetition”</w:t>
      </w:r>
      <w:r>
        <w:t xml:space="preserve"> </w:t>
      </w:r>
      <w:r>
        <w:t xml:space="preserve">decomposes into claims that must be tested separately because they are true to different degrees.</w:t>
      </w:r>
    </w:p>
    <w:bookmarkEnd w:id="148"/>
    <w:bookmarkStart w:id="149"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the join between two literatures that had remained disconnected. The space-economy corpus established the learning curve at the level of the launch vehicle, the satellite bus, and the constellation, with aggregate cost as the dependent variable, and it did not descend to the instrument [1, 2, 5]. The instrumentation corpus characterized individual detectors in exquisite depth and did not treat any of them as one observation in a sequence of repeat builds [3, 4, 6, 21, 27]. Neither corpus connected cumulative build number to a detector-level outcome. This work occupies exactly that join. It is, to the best of the retrieved record, the first study to place a detector line’s repeat builds on the horizontal axis and to test, against documented public data, whether a detector-level quantity arcs in the Wright form [18, 19].</w:t>
      </w:r>
    </w:p>
    <w:p>
      <w:pPr>
        <w:pStyle w:val="BodyText"/>
        <w:spacing w:line="480" w:lineRule="auto"/>
        <w:ind w:firstLine="720"/>
      </w:pPr>
      <w:r>
        <w:t xml:space="preserve">The first specific contribution is the cross-program cost estimate. By assembling twenty documented production points spanning four orders of magnitude in build quantity, from flagship geostationary imagers and buses through GPS Block III and Galileo navigation lots to the serial communications and detector constellations, and fitting a single log-log curve, the dissertation supplies a sector-wide elasticity of unit cost with respect to accumulated build experience [1, 2]. The estimate, a progress ratio near two-thirds with a confidence interval admitting the conventional band at its upper edge, validates the Wright assumption embedded in NASA instrument cost practice [8, 18] while making explicit a distinction that practice leaves implicit: the pooled cross-sector slope blends within-line learning with the cross-sector move to volume manufacturing, and only the former is the recurring-cost slope a program office should book for a specific detector across its own copies. This is a usable correction for any analyst tempted to read a steep pooled curve as a within-line promise.</w:t>
      </w:r>
    </w:p>
    <w:p>
      <w:pPr>
        <w:pStyle w:val="BodyText"/>
        <w:spacing w:line="480" w:lineRule="auto"/>
        <w:ind w:firstLine="720"/>
      </w:pPr>
      <w:r>
        <w:t xml:space="preserve">The second specific contribution is the cadence null, which is a contribution precisely because it is disciplined and bounded. A null result is knowledge when it is estimated cleanly, reported honestly, and interpreted as evidence about a mechanism rather than as a failure to find one. The cadence finding establishes that the schedule benefit of a mature detector production line cannot be assumed, and it identifies the binding constraint, the programmatic clock, that a strategist must address directly rather than expect production maturity to relieve</w:t>
      </w:r>
      <w:r>
        <w:t xml:space="preserve"> </w:t>
      </w:r>
      <w:hyperlink w:anchor="ref-11">
        <w:r>
          <w:rPr>
            <w:rStyle w:val="Hyperlink"/>
          </w:rPr>
          <w:t xml:space="preserve">[11]</w:t>
        </w:r>
      </w:hyperlink>
      <w:r>
        <w:t xml:space="preserve">. It documents in the schedule domain the same decoupling that the heritage-divergence literature identified in the cost domain</w:t>
      </w:r>
      <w:r>
        <w:t xml:space="preserve"> </w:t>
      </w:r>
      <w:hyperlink w:anchor="ref-9">
        <w:r>
          <w:rPr>
            <w:rStyle w:val="Hyperlink"/>
          </w:rPr>
          <w:t xml:space="preserve">[9]</w:t>
        </w:r>
      </w:hyperlink>
      <w:r>
        <w:t xml:space="preserve">, extending that warning to a new observable.</w:t>
      </w:r>
    </w:p>
    <w:p>
      <w:pPr>
        <w:pStyle w:val="BodyText"/>
        <w:spacing w:line="480" w:lineRule="auto"/>
        <w:ind w:firstLine="720"/>
      </w:pPr>
      <w:r>
        <w:t xml:space="preserve">The third contribution is methodological and evidentiary. The dissertation insisted throughout on a specific, real, and obtainable public record, with every observation linked to a named source: AMOS technical papers with stable URLs for detector characterization [3, 4, 6], the WMO OSCAR instrument database and eoPortal mission pages for masses and lineage membership [12, 14], NASA Langley CERES status briefings for the flight-model sequence</w:t>
      </w:r>
      <w:r>
        <w:t xml:space="preserve"> </w:t>
      </w:r>
      <w:hyperlink w:anchor="ref-13">
        <w:r>
          <w:rPr>
            <w:rStyle w:val="Hyperlink"/>
          </w:rPr>
          <w:t xml:space="preserve">[13]</w:t>
        </w:r>
      </w:hyperlink>
      <w:r>
        <w:t xml:space="preserve">, and Selected Acquisition Reports and order announcements for navigation-program unit costs. Where an authoritative figure could not be confirmed, the observation was flagged as illustrative and excluded from the dependent variable; no cost figure was imputed into a regression, and no citation was invented. This provenance discipline is itself a contribution to a subfield in which heritage cost claims are frequently asserted with more confidence than their underlying data support</w:t>
      </w:r>
      <w:r>
        <w:t xml:space="preserve"> </w:t>
      </w:r>
      <w:hyperlink w:anchor="ref-9">
        <w:r>
          <w:rPr>
            <w:rStyle w:val="Hyperlink"/>
          </w:rPr>
          <w:t xml:space="preserve">[9]</w:t>
        </w:r>
      </w:hyperlink>
      <w:r>
        <w:t xml:space="preserve">. The decision not to run the performance regression on fabricated numbers, and instead to report the structural reason the public record does not yet support it, is part of the same evidentiary stance.</w:t>
      </w:r>
    </w:p>
    <w:p>
      <w:pPr>
        <w:pStyle w:val="BodyText"/>
        <w:spacing w:line="480" w:lineRule="auto"/>
        <w:ind w:firstLine="720"/>
      </w:pPr>
      <w:r>
        <w:t xml:space="preserve">For the practitioner sizing an instrument portfolio, the combined contribution is a defensible decision rule. Concentrating instrument demand on fewer, more frequently repeated detector lines is a sound lever on unit cost, supported by a statistically distinguishable arc rather than by faith. It is not, however, a lever on schedule, and any program that needs its next detector sooner must secure that outcome through host-spacecraft and funding alignment, because the production line will not deliver it through learning alone.</w:t>
      </w:r>
    </w:p>
    <w:bookmarkEnd w:id="149"/>
    <w:bookmarkStart w:id="150" w:name="limitations-and-future-work"/>
    <w:p>
      <w:pPr>
        <w:pStyle w:val="Heading2"/>
        <w:spacing w:line="480" w:lineRule="auto"/>
      </w:pPr>
      <w:r>
        <w:t xml:space="preserve">8.4 Limitations and Future Work</w:t>
      </w:r>
    </w:p>
    <w:p>
      <w:pPr>
        <w:pStyle w:val="FirstParagraph"/>
        <w:spacing w:line="480" w:lineRule="auto"/>
      </w:pPr>
      <w:r>
        <w:t xml:space="preserve">The boundaries of these claims are explicit. The cost panel is cross-sectional in build experience rather than a true panel of repeated builds of one line, so unobserved heterogeneity across instrument classes is absorbed into the residual rather than differenced out, and costs reported in current-year dollars from heterogeneous base years carry price-level dispersion that is not real learning. The cadence sample, twenty-eight units across six lineages, is small, and the inter-build interval is a coarse proxy that mixes production readiness with mission timing. The performance dimension remains structurally underpopulated by the present public record. None of these limitations is fatal, and each was reported transparently alongside its estimate rather than buried.</w:t>
      </w:r>
    </w:p>
    <w:p>
      <w:pPr>
        <w:pStyle w:val="BodyText"/>
        <w:spacing w:line="480" w:lineRule="auto"/>
        <w:ind w:firstLine="720"/>
      </w:pPr>
      <w:r>
        <w:t xml:space="preserve">The single most valuable next step follows directly from the dissociation this work documented. A within-line fixed-effects specification, on a detector lineage for which copy-level recurring costs are publicly itemized for several successive units, would separate genuine within-line learning from the cross-sector composition effect, and would let cost and cadence be tested against build number side by side for one family</w:t>
      </w:r>
      <w:r>
        <w:t xml:space="preserve"> </w:t>
      </w:r>
      <w:hyperlink w:anchor="ref-8">
        <w:r>
          <w:rPr>
            <w:rStyle w:val="Hyperlink"/>
          </w:rPr>
          <w:t xml:space="preserve">[8]</w:t>
        </w:r>
      </w:hyperlink>
      <w:r>
        <w:t xml:space="preserve">. That design would show directly whether the arc lives in dollars even where it is invisible in years, and it would convert the sector-wide elasticity reported here into the program-bookable recurring-cost slope that practice actually needs. On the performance side, the path forward is the patient assembly of detector panels from the characterization record, ordering successive instances of a named sensor family by serial or flight number and extracting a commensurable figure of merit within family [3, 4, 6, 21, 27], a labor-intensive but auditable construction that would finally place delivered performance on the same Wright axis as cost and cadence.</w:t>
      </w:r>
    </w:p>
    <w:bookmarkEnd w:id="150"/>
    <w:bookmarkStart w:id="151" w:name="closing-statement"/>
    <w:p>
      <w:pPr>
        <w:pStyle w:val="Heading2"/>
        <w:spacing w:line="480" w:lineRule="auto"/>
      </w:pPr>
      <w:r>
        <w:t xml:space="preserve">8.5 Closing Statement</w:t>
      </w:r>
    </w:p>
    <w:p>
      <w:pPr>
        <w:pStyle w:val="FirstParagraph"/>
        <w:spacing w:line="480" w:lineRule="auto"/>
      </w:pPr>
      <w:r>
        <w:t xml:space="preserve">The question that titled this dissertation, do repeat builds of an instrument arc, admits no single-word answer, and the central achievement of the work is to have shown why. The arc is real in the dimension the production line controls, unit cost, where the experience mechanism that governs the broader space economy reaches down convincingly into the small-batch detector [1, 2, 8]. The arc is absent in the dimension the production line does not control, cadence, where the programmatic clock of funding and manifests overrides any compression that learning might supply</w:t>
      </w:r>
      <w:r>
        <w:t xml:space="preserve"> </w:t>
      </w:r>
      <w:hyperlink w:anchor="ref-11">
        <w:r>
          <w:rPr>
            <w:rStyle w:val="Hyperlink"/>
          </w:rPr>
          <w:t xml:space="preserve">[11]</w:t>
        </w:r>
      </w:hyperlink>
      <w:r>
        <w:t xml:space="preserve">. And the arc remains, for now, untested in delivered performance, not because the proposition is uninteresting but because the public record is not yet organized to support an honest fit, a constraint this work names rather than evades [3, 6]. By decomposing one ambiguous claim into three testable ones, by confirming the cost arc against documented data, by reporting the cadence null with the discipline a null demands, and by holding every observation to a traceable public source, this dissertation replaces a casual assumption with a structured, falsifiable, and partly verified account of how repeat builds of a spaceflight detector behave. The heritage premium that program offices pay to reuse a proven detector line is, this work concludes, a sound investment in cost and a poor predictor of schedule, and that distinction is the knowledge the field did not previously possess.</w:t>
      </w:r>
    </w:p>
    <w:bookmarkEnd w:id="151"/>
    <w:bookmarkStart w:id="202" w:name="references"/>
    <w:p>
      <w:pPr>
        <w:pStyle w:val="Heading2"/>
        <w:spacing w:line="480" w:lineRule="auto"/>
      </w:pPr>
      <w:r>
        <w:t xml:space="preserve">References</w:t>
      </w:r>
    </w:p>
    <w:p>
      <w:pPr>
        <w:pStyle w:val="FirstParagraph"/>
        <w:spacing w:line="480" w:lineRule="auto"/>
      </w:pPr>
      <w:bookmarkStart w:id="152" w:name="ref-1"/>
      <w:bookmarkEnd w:id="152"/>
      <w:r>
        <w:t xml:space="preserve">1. OCEA,</w:t>
      </w:r>
      <w:r>
        <w:t xml:space="preserve"> </w:t>
      </w:r>
      <w:r>
        <w:rPr>
          <w:i/>
          <w:iCs/>
        </w:rPr>
        <w:t xml:space="preserve">Forecasting the Space Economy</w:t>
      </w:r>
      <w:r>
        <w:t xml:space="preserve">, Space Economy Papers corpus (SD08).</w:t>
      </w:r>
    </w:p>
    <w:p>
      <w:pPr>
        <w:pStyle w:val="BodyText"/>
        <w:spacing w:line="480" w:lineRule="auto"/>
        <w:ind w:firstLine="720"/>
      </w:pPr>
      <w:bookmarkStart w:id="153" w:name="ref-2"/>
      <w:bookmarkEnd w:id="153"/>
      <w:r>
        <w:t xml:space="preserve">2.</w:t>
      </w:r>
      <w:r>
        <w:t xml:space="preserve"> </w:t>
      </w:r>
      <w:r>
        <w:rPr>
          <w:i/>
          <w:iCs/>
        </w:rPr>
        <w:t xml:space="preserve">The Role of Space in Driving Sustainability, Security, and Development</w:t>
      </w:r>
      <w:r>
        <w:t xml:space="preserve">, Space Economy Papers corpus (SD13).</w:t>
      </w:r>
    </w:p>
    <w:p>
      <w:pPr>
        <w:pStyle w:val="BodyText"/>
        <w:spacing w:line="480" w:lineRule="auto"/>
        <w:ind w:firstLine="720"/>
      </w:pPr>
      <w:bookmarkStart w:id="154" w:name="ref-3"/>
      <w:bookmarkEnd w:id="154"/>
      <w:r>
        <w:t xml:space="preserve">3. T. Campbell, V. Reddy, R. Furfaro, and S. Tucker,</w:t>
      </w:r>
      <w:r>
        <w:t xml:space="preserve"> </w:t>
      </w:r>
      <w:r>
        <w:t xml:space="preserve">“Characterizing LEO Objects using Simultaneous Multi-Color Optical Array,”</w:t>
      </w:r>
      <w:r>
        <w:t xml:space="preserve"> </w:t>
      </w:r>
      <w:r>
        <w:t xml:space="preserve">Proc. Advanced Maui Optical and Space Surveillance Technologies (AMOS) Conference, 2019. https://amostech.com/TechnicalPapers/2019/Non-Resolved-Object-Characterization/Campbell.pdf</w:t>
      </w:r>
    </w:p>
    <w:p>
      <w:pPr>
        <w:pStyle w:val="BodyText"/>
        <w:spacing w:line="480" w:lineRule="auto"/>
        <w:ind w:firstLine="720"/>
      </w:pPr>
      <w:bookmarkStart w:id="155" w:name="ref-4"/>
      <w:bookmarkEnd w:id="155"/>
      <w:r>
        <w:t xml:space="preserve">4. G. Badura, C. Valenta, B. Gunter, L. Renegar, and D. Wu,</w:t>
      </w:r>
      <w:r>
        <w:t xml:space="preserve"> </w:t>
      </w:r>
      <w:r>
        <w:t xml:space="preserve">“Spectral Performance Optimization of Small Telescopes for Space Object Detection,”</w:t>
      </w:r>
      <w:r>
        <w:t xml:space="preserve"> </w:t>
      </w:r>
      <w:r>
        <w:t xml:space="preserve">Proc. Advanced Maui Optical and Space Surveillance Technologies (AMOS) Conference, 2019. https://amostech.com/TechnicalPapers/2019/Optical-Systems-&amp;-Instrumentation/Badura.pdf</w:t>
      </w:r>
    </w:p>
    <w:p>
      <w:pPr>
        <w:pStyle w:val="BodyText"/>
        <w:spacing w:line="480" w:lineRule="auto"/>
        <w:ind w:firstLine="720"/>
      </w:pPr>
      <w:bookmarkStart w:id="156" w:name="ref-5"/>
      <w:bookmarkEnd w:id="156"/>
      <w:r>
        <w:t xml:space="preserve">5.</w:t>
      </w:r>
      <w:r>
        <w:t xml:space="preserve"> </w:t>
      </w:r>
      <w:r>
        <w:rPr>
          <w:i/>
          <w:iCs/>
        </w:rPr>
        <w:t xml:space="preserve">Architectural Socio-Technological Transformative Change of Space-Use Norms</w:t>
      </w:r>
      <w:r>
        <w:t xml:space="preserve">, Space Economy Papers corpus (SD03).</w:t>
      </w:r>
    </w:p>
    <w:p>
      <w:pPr>
        <w:pStyle w:val="BodyText"/>
        <w:spacing w:line="480" w:lineRule="auto"/>
        <w:ind w:firstLine="720"/>
      </w:pPr>
      <w:bookmarkStart w:id="157" w:name="ref-6"/>
      <w:bookmarkEnd w:id="157"/>
      <w:r>
        <w:t xml:space="preserve">6. J. Kielkopf, F. O. Clark, and W. Pereira,</w:t>
      </w:r>
      <w:r>
        <w:t xml:space="preserve"> </w:t>
      </w:r>
      <w:r>
        <w:t xml:space="preserve">“Remote Sensing of Satellite Activity through Optical and Infrared Temporal Differential Spectrophotometry Informed by Analysis of Noise,”</w:t>
      </w:r>
      <w:r>
        <w:t xml:space="preserve"> </w:t>
      </w:r>
      <w:r>
        <w:t xml:space="preserve">Proc. Advanced Maui Optical and Space Surveillance Technologies (AMOS) Conference, 2022. https://amostech.com/TechnicalPapers/2022/Non-Resolved-Object-Characterization/Kielkopf.pdf</w:t>
      </w:r>
    </w:p>
    <w:p>
      <w:pPr>
        <w:pStyle w:val="BodyText"/>
        <w:spacing w:line="480" w:lineRule="auto"/>
        <w:ind w:firstLine="720"/>
      </w:pPr>
      <w:bookmarkStart w:id="158" w:name="ref-7"/>
      <w:bookmarkEnd w:id="158"/>
      <w:r>
        <w:t xml:space="preserve">7. P. D. Friz, S. Hosder, B. B. Leser, and B. C. Hardin,</w:t>
      </w:r>
      <w:r>
        <w:t xml:space="preserve"> </w:t>
      </w:r>
      <w:r>
        <w:t xml:space="preserve">“Blind validation study of parametric cost estimation tool SEER-H for NASA space missions,”</w:t>
      </w:r>
      <w:r>
        <w:t xml:space="preserve"> </w:t>
      </w:r>
      <w:r>
        <w:t xml:space="preserve">Acta Astronautica, vol. 165, 2019. doi:</w:t>
      </w:r>
      <w:r>
        <w:t xml:space="preserve"> </w:t>
      </w:r>
      <w:hyperlink r:id="rId159">
        <w:r>
          <w:rPr>
            <w:rStyle w:val="Hyperlink"/>
          </w:rPr>
          <w:t xml:space="preserve">10.1016/j.actaastro.2019.09.030</w:t>
        </w:r>
      </w:hyperlink>
    </w:p>
    <w:p>
      <w:pPr>
        <w:pStyle w:val="BodyText"/>
        <w:spacing w:line="480" w:lineRule="auto"/>
        <w:ind w:firstLine="720"/>
      </w:pPr>
      <w:bookmarkStart w:id="160" w:name="ref-8"/>
      <w:bookmarkEnd w:id="160"/>
      <w:r>
        <w:t xml:space="preserve">8. J. Mrozinski and H. Habib-Agahi,</w:t>
      </w:r>
      <w:r>
        <w:t xml:space="preserve"> </w:t>
      </w:r>
      <w:r>
        <w:t xml:space="preserve">“NASA Instrument Cost Model: Mission Class’s Impact, Imputation, Multiple Builds and More,”</w:t>
      </w:r>
      <w:r>
        <w:t xml:space="preserve"> </w:t>
      </w:r>
      <w:r>
        <w:t xml:space="preserve">NASA Technical Reports Server, 20220008354, 2021; NASA Office of the Chief Financial Officer, NASA Instrument Cost Model (NICM).</w:t>
      </w:r>
    </w:p>
    <w:p>
      <w:pPr>
        <w:pStyle w:val="BodyText"/>
        <w:spacing w:line="480" w:lineRule="auto"/>
        <w:ind w:firstLine="720"/>
      </w:pPr>
      <w:bookmarkStart w:id="161" w:name="ref-9"/>
      <w:bookmarkEnd w:id="161"/>
      <w:r>
        <w:t xml:space="preserve">9. S. Kizhner, U. D. Patel, R. L. Kasa, P. Hestnes, T. Brown, and M. Vootukuru,</w:t>
      </w:r>
      <w:r>
        <w:t xml:space="preserve"> </w:t>
      </w:r>
      <w:r>
        <w:t xml:space="preserve">“On Convergence of Development Costs and Cost Models for Complex Spaceflight Instrument Electronics,”</w:t>
      </w:r>
      <w:r>
        <w:t xml:space="preserve"> </w:t>
      </w:r>
      <w:r>
        <w:t xml:space="preserve">NASA Goddard Space Flight Center, NASA Technical Reports Server, 20080030195, 2008.</w:t>
      </w:r>
    </w:p>
    <w:p>
      <w:pPr>
        <w:pStyle w:val="BodyText"/>
        <w:spacing w:line="480" w:lineRule="auto"/>
        <w:ind w:firstLine="720"/>
      </w:pPr>
      <w:bookmarkStart w:id="162" w:name="ref-10"/>
      <w:bookmarkEnd w:id="162"/>
      <w:r>
        <w:t xml:space="preserve">10. J. H. Park, H. Jung, C. H. Lim, and T. Chang,</w:t>
      </w:r>
      <w:r>
        <w:t xml:space="preserve"> </w:t>
      </w:r>
      <w:r>
        <w:t xml:space="preserve">“The economic impact analysis of satellite development and its application in Korea,”</w:t>
      </w:r>
      <w:r>
        <w:t xml:space="preserve"> </w:t>
      </w:r>
      <w:r>
        <w:t xml:space="preserve">Acta Astronautica, vol. 177, 2020. doi:</w:t>
      </w:r>
      <w:r>
        <w:t xml:space="preserve"> </w:t>
      </w:r>
      <w:hyperlink r:id="rId163">
        <w:r>
          <w:rPr>
            <w:rStyle w:val="Hyperlink"/>
          </w:rPr>
          <w:t xml:space="preserve">10.1016/j.actaastro.2020.06.031</w:t>
        </w:r>
      </w:hyperlink>
    </w:p>
    <w:p>
      <w:pPr>
        <w:pStyle w:val="BodyText"/>
        <w:spacing w:line="480" w:lineRule="auto"/>
        <w:ind w:firstLine="720"/>
      </w:pPr>
      <w:bookmarkStart w:id="164" w:name="ref-11"/>
      <w:bookmarkEnd w:id="164"/>
      <w:r>
        <w:t xml:space="preserve">11.</w:t>
      </w:r>
      <w:r>
        <w:t xml:space="preserve"> </w:t>
      </w:r>
      <w:r>
        <w:t xml:space="preserve">“New Space and Agile Innovation: Understanding transition to open innovation by examining innovation networks and moments,”</w:t>
      </w:r>
      <w:r>
        <w:t xml:space="preserve"> </w:t>
      </w:r>
      <w:r>
        <w:t xml:space="preserve">Acta Astronautica, vol. 165, 2019. doi:</w:t>
      </w:r>
      <w:r>
        <w:t xml:space="preserve"> </w:t>
      </w:r>
      <w:hyperlink r:id="rId165">
        <w:r>
          <w:rPr>
            <w:rStyle w:val="Hyperlink"/>
          </w:rPr>
          <w:t xml:space="preserve">10.1016/j.actaastro.2019.09.029</w:t>
        </w:r>
      </w:hyperlink>
    </w:p>
    <w:p>
      <w:pPr>
        <w:pStyle w:val="BodyText"/>
        <w:spacing w:line="480" w:lineRule="auto"/>
        <w:ind w:firstLine="720"/>
      </w:pPr>
      <w:bookmarkStart w:id="166" w:name="ref-12"/>
      <w:bookmarkEnd w:id="166"/>
      <w:r>
        <w:t xml:space="preserve">12. World Meteorological Organization, OSCAR/Space instrument records for CERES, ATMS, AMSU-A, and the GOES Imager, space.oscar.wmo.int.</w:t>
      </w:r>
    </w:p>
    <w:p>
      <w:pPr>
        <w:pStyle w:val="BodyText"/>
        <w:spacing w:line="480" w:lineRule="auto"/>
        <w:ind w:firstLine="720"/>
      </w:pPr>
      <w:bookmarkStart w:id="167" w:name="ref-13"/>
      <w:bookmarkEnd w:id="167"/>
      <w:r>
        <w:t xml:space="preserve">13. S. Thomas,</w:t>
      </w:r>
      <w:r>
        <w:t xml:space="preserve"> </w:t>
      </w:r>
      <w:r>
        <w:t xml:space="preserve">“CERES Instrument Status, Flight Models 1-6 (FM1-FM6),”</w:t>
      </w:r>
      <w:r>
        <w:t xml:space="preserve"> </w:t>
      </w:r>
      <w:r>
        <w:t xml:space="preserve">NASA Langley Research Center, CERES Instrument Working Group status briefing, 2017, ceres.larc.nasa.gov.</w:t>
      </w:r>
    </w:p>
    <w:p>
      <w:pPr>
        <w:pStyle w:val="BodyText"/>
        <w:spacing w:line="480" w:lineRule="auto"/>
        <w:ind w:firstLine="720"/>
      </w:pPr>
      <w:bookmarkStart w:id="168" w:name="ref-14"/>
      <w:bookmarkEnd w:id="168"/>
      <w:r>
        <w:t xml:space="preserve">14. eoPortal, GOES 2nd Generation, GOES-N/O/P, and NOAA-20 (JPSS) mission pages, eoportal.org.</w:t>
      </w:r>
    </w:p>
    <w:p>
      <w:pPr>
        <w:pStyle w:val="BodyText"/>
        <w:spacing w:line="480" w:lineRule="auto"/>
        <w:ind w:firstLine="720"/>
      </w:pPr>
      <w:bookmarkStart w:id="169" w:name="ref-15"/>
      <w:bookmarkEnd w:id="169"/>
      <w:r>
        <w:t xml:space="preserve">15.</w:t>
      </w:r>
      <w:r>
        <w:t xml:space="preserve"> </w:t>
      </w:r>
      <w:r>
        <w:t xml:space="preserve">“NASA Selects Northrop Grumman To Build CERES Instrument,”</w:t>
      </w:r>
      <w:r>
        <w:t xml:space="preserve"> </w:t>
      </w:r>
      <w:r>
        <w:t xml:space="preserve">Via Satellite, May 2009, satellitetoday.com.</w:t>
      </w:r>
    </w:p>
    <w:p>
      <w:pPr>
        <w:pStyle w:val="BodyText"/>
        <w:spacing w:line="480" w:lineRule="auto"/>
        <w:ind w:firstLine="720"/>
      </w:pPr>
      <w:bookmarkStart w:id="170" w:name="ref-16"/>
      <w:bookmarkEnd w:id="170"/>
      <w:r>
        <w:t xml:space="preserve">16. Roadmap: Australia Economic-Technological Renaissance in Space; The Role of Space in Driving Sustainability, Security, and Development. Space Economy Papers corpus (source SD13/SD16), economies of scale in satellite production and launch.</w:t>
      </w:r>
    </w:p>
    <w:p>
      <w:pPr>
        <w:pStyle w:val="BodyText"/>
        <w:spacing w:line="480" w:lineRule="auto"/>
        <w:ind w:firstLine="720"/>
      </w:pPr>
      <w:bookmarkStart w:id="171" w:name="ref-17"/>
      <w:bookmarkEnd w:id="171"/>
      <w:r>
        <w:t xml:space="preserve">17. M. Weinzierl,</w:t>
      </w:r>
      <w:r>
        <w:t xml:space="preserve"> </w:t>
      </w:r>
      <w:r>
        <w:t xml:space="preserve">“Space, the Final Economic Frontier,”</w:t>
      </w:r>
      <w:r>
        <w:t xml:space="preserve"> </w:t>
      </w:r>
      <w:r>
        <w:t xml:space="preserve">2018. Space Economy Papers corpus (source SD18), economies of scale and scope in commercial space.</w:t>
      </w:r>
    </w:p>
    <w:p>
      <w:pPr>
        <w:pStyle w:val="BodyText"/>
        <w:spacing w:line="480" w:lineRule="auto"/>
        <w:ind w:firstLine="720"/>
      </w:pPr>
      <w:bookmarkStart w:id="172" w:name="ref-18"/>
      <w:bookmarkEnd w:id="172"/>
      <w:r>
        <w:t xml:space="preserve">18. J. Mrozinski,</w:t>
      </w:r>
      <w:r>
        <w:t xml:space="preserve"> </w:t>
      </w:r>
      <w:r>
        <w:t xml:space="preserve">“NASA Instrument Cost Model: Mission Class’s Impact, Imputation, Multiple Builds and More,”</w:t>
      </w:r>
      <w:r>
        <w:t xml:space="preserve"> </w:t>
      </w:r>
      <w:r>
        <w:t xml:space="preserve">NASA Technical Reports Server, citation 20220008354, 2021; NASA Space Systems Engineering Cost Estimating Module (SSRI Knowledge Base), Wright learning curve applied to additional instrument copies.</w:t>
      </w:r>
    </w:p>
    <w:p>
      <w:pPr>
        <w:pStyle w:val="BodyText"/>
        <w:spacing w:line="480" w:lineRule="auto"/>
        <w:ind w:firstLine="720"/>
      </w:pPr>
      <w:bookmarkStart w:id="173" w:name="ref-19"/>
      <w:bookmarkEnd w:id="173"/>
      <w:r>
        <w:t xml:space="preserve">19. T. P. Wright, learning-curve foundations as summarized in Defense Acquisition University,</w:t>
      </w:r>
      <w:r>
        <w:t xml:space="preserve"> </w:t>
      </w:r>
      <w:r>
        <w:t xml:space="preserve">“Application of Learning Curve Theory to Systems Acquisition,”</w:t>
      </w:r>
      <w:r>
        <w:t xml:space="preserve"> </w:t>
      </w:r>
      <w:r>
        <w:t xml:space="preserve">and New Space Economy,</w:t>
      </w:r>
      <w:r>
        <w:t xml:space="preserve"> </w:t>
      </w:r>
      <w:r>
        <w:t xml:space="preserve">“Moore’s Law, Wright’s Law, and their Relevance to the Space Economy,”</w:t>
      </w:r>
      <w:r>
        <w:t xml:space="preserve"> </w:t>
      </w:r>
      <w:r>
        <w:t xml:space="preserve">2023; conventional aerospace progress ratios of eighty-five to ninety percent.</w:t>
      </w:r>
    </w:p>
    <w:p>
      <w:pPr>
        <w:pStyle w:val="BodyText"/>
        <w:spacing w:line="480" w:lineRule="auto"/>
        <w:ind w:firstLine="720"/>
      </w:pPr>
      <w:bookmarkStart w:id="174" w:name="ref-20"/>
      <w:bookmarkEnd w:id="174"/>
      <w:r>
        <w:t xml:space="preserve">20. J. F. Bell III et al.,</w:t>
      </w:r>
      <w:r>
        <w:t xml:space="preserve"> </w:t>
      </w:r>
      <w:r>
        <w:t xml:space="preserve">“The Mars 2020 Perseverance Rover Mast Camera Zoom (Mastcam-Z) Multispectral, Stereoscopic Imaging Investigation,”</w:t>
      </w:r>
      <w:r>
        <w:t xml:space="preserve"> </w:t>
      </w:r>
      <w:r>
        <w:t xml:space="preserve">Space Science Reviews, vol. 217, art. 24, 2021, doi:</w:t>
      </w:r>
      <w:r>
        <w:t xml:space="preserve"> </w:t>
      </w:r>
      <w:hyperlink r:id="rId175">
        <w:r>
          <w:rPr>
            <w:rStyle w:val="Hyperlink"/>
          </w:rPr>
          <w:t xml:space="preserve">10.1007/s11214-020-00755-x</w:t>
        </w:r>
      </w:hyperlink>
      <w:r>
        <w:t xml:space="preserve"> </w:t>
      </w:r>
      <w:r>
        <w:t xml:space="preserve">build-to-print focal-plane-array heritage from MSL Mastcam.</w:t>
      </w:r>
    </w:p>
    <w:p>
      <w:pPr>
        <w:pStyle w:val="BodyText"/>
        <w:spacing w:line="480" w:lineRule="auto"/>
        <w:ind w:firstLine="720"/>
      </w:pPr>
      <w:bookmarkStart w:id="176" w:name="ref-21"/>
      <w:bookmarkEnd w:id="176"/>
      <w:r>
        <w:t xml:space="preserve">21. Oswald Siegmund (Space Sciences Laboratory, U.C. Berkeley), John Vallerga, Barry Welsh (Space Sciences Laboratory, U.C. Berkeley), Jason McPhate (Space Sciences Laboratory, U.C. Berkeley), Mike Rabin (Los Alamos National Laboratory), Jeffrey Bloch, (Los Alamos National Laboratory). Advanced Photon Counting Imaging Detectors with 100ps Timing for Astronomical and Space Sensing Applications (2006).</w:t>
      </w:r>
    </w:p>
    <w:p>
      <w:pPr>
        <w:pStyle w:val="BodyText"/>
        <w:spacing w:line="480" w:lineRule="auto"/>
        <w:ind w:firstLine="720"/>
      </w:pPr>
      <w:bookmarkStart w:id="177" w:name="ref-22"/>
      <w:bookmarkEnd w:id="177"/>
      <w:r>
        <w:t xml:space="preserve">22. Navraj Singh, Numerica Corporation; Holly Borowski, Numerica Corporation; Jacob Brannum, Numerica Coorporation; Alex Ferris, Numerica Corporation; Joshua Horwood, Numerica Corporation; Jeff Aristoff, Numerica Corporation. An Automated Indications and Warning System for Enhanced Space Domain Awareness (2020).</w:t>
      </w:r>
    </w:p>
    <w:p>
      <w:pPr>
        <w:pStyle w:val="BodyText"/>
        <w:spacing w:line="480" w:lineRule="auto"/>
        <w:ind w:firstLine="720"/>
      </w:pPr>
      <w:bookmarkStart w:id="178" w:name="ref-23"/>
      <w:bookmarkEnd w:id="178"/>
      <w:r>
        <w:t xml:space="preserve">23. Jiri Silha, Comenius University, Faculty of Mathematics, Physics and Informatics; Stanislav Kraj?ovi?, Comenius University; Matej Zigo, Comenius University in Bratislava; Danica Zilkova, Comenius University in Bratislava; Pavol Zigo, Comenius University in Bratislava; Jaroslav Simon, Comenius University in Bratislava; Juraj Toth, Comenius University in Bratislava; Leonard Kornos, Comenius University in Bratislava; Srinivas Setty, ESA/ESOC, GMV Insyen AG; Tim Flohrer, ESA/ESOC Space Debris Office; Beatriz Jilete, Space Surveillance and Tracking Segment, Space Situational Awareness Programme. Development of the Slovak 70-cm Optical Passive System Dedicated to Space Debris Tracking on LEO to GEO orbits (2019).</w:t>
      </w:r>
    </w:p>
    <w:p>
      <w:pPr>
        <w:pStyle w:val="BodyText"/>
        <w:spacing w:line="480" w:lineRule="auto"/>
        <w:ind w:firstLine="720"/>
      </w:pPr>
      <w:bookmarkStart w:id="179" w:name="ref-24"/>
      <w:bookmarkEnd w:id="179"/>
      <w:r>
        <w:t xml:space="preserve">24. Christian Ramos, 18th Space Defense Squadron/Omitron Inc; Diana McKissock, USSF, 18th Space Defense Squadron; Joshua Parris, NASA. Lessons Learned on Mega-Constellation Deployments and Impact to Space Domain Awareness (2023). doi:</w:t>
      </w:r>
      <w:r>
        <w:t xml:space="preserve"> </w:t>
      </w:r>
      <w:hyperlink r:id="rId180">
        <w:r>
          <w:rPr>
            <w:rStyle w:val="Hyperlink"/>
          </w:rPr>
          <w:t xml:space="preserve">10.64861/UKLE4659</w:t>
        </w:r>
      </w:hyperlink>
    </w:p>
    <w:p>
      <w:pPr>
        <w:pStyle w:val="BodyText"/>
        <w:spacing w:line="480" w:lineRule="auto"/>
        <w:ind w:firstLine="720"/>
      </w:pPr>
      <w:bookmarkStart w:id="181" w:name="ref-25"/>
      <w:bookmarkEnd w:id="181"/>
      <w:r>
        <w:t xml:space="preserve">25. Jeffrey Bloch (Los Alamos National Laboratory), Richard Rast (Air Force Research Laboratory/DETE). Space Surveillance One Photon at a Time (2007).</w:t>
      </w:r>
    </w:p>
    <w:p>
      <w:pPr>
        <w:pStyle w:val="BodyText"/>
        <w:spacing w:line="480" w:lineRule="auto"/>
        <w:ind w:firstLine="720"/>
      </w:pPr>
      <w:bookmarkStart w:id="182" w:name="ref-26"/>
      <w:bookmarkEnd w:id="182"/>
      <w:r>
        <w:t xml:space="preserve">26. Martin Mlynczak, Space Environment Technologies; W. Kent Tobiska, Space Environment Technologies; Shaylah Mutschler, Space Environment Technologies; Teresa Jensen, Space Dynamics Laboratory; Ryan Martineau, Space Dynamics Laboratory; Thomas Berger, University of Colorado Boulder; Nick Pedatella, National Center for Atmospheric Research; Eric Sutton, University of Colorado Boulder. NICECube – Nitric Oxide Infrared Cooling Emissions Cubesat. A Cubesat Solution to Enable Accurate Thermospheric Density Forecasts for Improved Space Situational Awareness (2025). doi:</w:t>
      </w:r>
      <w:r>
        <w:t xml:space="preserve"> </w:t>
      </w:r>
      <w:hyperlink r:id="rId183">
        <w:r>
          <w:rPr>
            <w:rStyle w:val="Hyperlink"/>
          </w:rPr>
          <w:t xml:space="preserve">10.64861/VUMF3172</w:t>
        </w:r>
      </w:hyperlink>
    </w:p>
    <w:p>
      <w:pPr>
        <w:pStyle w:val="BodyText"/>
        <w:spacing w:line="480" w:lineRule="auto"/>
        <w:ind w:firstLine="720"/>
      </w:pPr>
      <w:bookmarkStart w:id="184" w:name="ref-27"/>
      <w:bookmarkEnd w:id="184"/>
      <w:r>
        <w:t xml:space="preserve">27. Oswald H. W. Siegmund, Space Sciences Laboratory – U.C. Berkeley, Camden Ertley, Space Sciences Laboratory – U.C. Berkeley, John V. Vallerga, Space Sciences Laboratory – U.C. Berkeley, Till Cremer, Incom Inc., Chris A. Craven, Incom Inc., Alexey Lyashenko, Incom Inc., Michael J. Minot. Single Photon Counting Large Format Imaging Sensors with High Spatial and Temporal Resolution (2017).</w:t>
      </w:r>
    </w:p>
    <w:p>
      <w:pPr>
        <w:pStyle w:val="BodyText"/>
        <w:spacing w:line="480" w:lineRule="auto"/>
        <w:ind w:firstLine="720"/>
      </w:pPr>
      <w:bookmarkStart w:id="185" w:name="ref-28"/>
      <w:bookmarkEnd w:id="185"/>
      <w:r>
        <w:t xml:space="preserve">28. Philip Castro, Applied Optimization Inc., Tamara E. Payne, Applied Optimization Inc., Adam M. Battle, Applied Optimization Inc., Zachery W. Cole, Applied Optimization Inc., Joseph W. Moody, Brigham Young University, Stephen A. Gregory, Applied Optimization Inc., Phan D. Dao, AFRL/RVBY. Standardized Photometric Calibrations for Panchromatic SSA Sensors (2016).</w:t>
      </w:r>
    </w:p>
    <w:p>
      <w:pPr>
        <w:pStyle w:val="BodyText"/>
        <w:spacing w:line="480" w:lineRule="auto"/>
        <w:ind w:firstLine="720"/>
      </w:pPr>
      <w:bookmarkStart w:id="186" w:name="ref-29"/>
      <w:bookmarkEnd w:id="186"/>
      <w:r>
        <w:t xml:space="preserve">29. Michael Herman; Olivia J. Pinon Fischer; Dimitri N. Mavris. Predictive calibration for digital sun sensors using sparse submanifold convolutional neural networks (2026). doi:</w:t>
      </w:r>
      <w:r>
        <w:t xml:space="preserve"> </w:t>
      </w:r>
      <w:hyperlink r:id="rId187">
        <w:r>
          <w:rPr>
            <w:rStyle w:val="Hyperlink"/>
          </w:rPr>
          <w:t xml:space="preserve">10.1016/j.actaastro.2026.05.010</w:t>
        </w:r>
      </w:hyperlink>
    </w:p>
    <w:p>
      <w:pPr>
        <w:pStyle w:val="BodyText"/>
        <w:spacing w:line="480" w:lineRule="auto"/>
        <w:ind w:firstLine="720"/>
      </w:pPr>
      <w:bookmarkStart w:id="188" w:name="ref-30"/>
      <w:bookmarkEnd w:id="188"/>
      <w:r>
        <w:t xml:space="preserve">30. Marius Anger; Aksel Søren Beltoft; F. Biassoni; Johanna Noria Brecher; Antoine Corne; J. A. Egger; S. Filomeno; Margarida Graça; Viktoria Keusch; Guillem Khairy; Jakub Kowalczyk; Riccardo Lasagni Manghi; Dominik Loidolt; Maja Marminge; Alex McDougall-Page; Lukas Tamulevicius; Elena Tonucci; Elise Wright Knutsen. Aetheras: Characterising exoplanetary atmospheric escape with NIR and UV spectroscopy (2025). doi:</w:t>
      </w:r>
      <w:r>
        <w:t xml:space="preserve"> </w:t>
      </w:r>
      <w:hyperlink r:id="rId189">
        <w:r>
          <w:rPr>
            <w:rStyle w:val="Hyperlink"/>
          </w:rPr>
          <w:t xml:space="preserve">10.1016/j.actaastro.2025.08.042</w:t>
        </w:r>
      </w:hyperlink>
    </w:p>
    <w:p>
      <w:pPr>
        <w:pStyle w:val="BodyText"/>
        <w:spacing w:line="480" w:lineRule="auto"/>
        <w:ind w:firstLine="720"/>
      </w:pPr>
      <w:bookmarkStart w:id="190" w:name="ref-31"/>
      <w:bookmarkEnd w:id="190"/>
      <w:r>
        <w:t xml:space="preserve">31. Noriyasu Omata; Daiwa Satoh; Seiji Tsutsumi; Kaname Kawatsu; Masaharu Abe. Model-based supervised sensor placement optimization to detect propellant leak in a liquid rocket engine (2022). doi:</w:t>
      </w:r>
      <w:r>
        <w:t xml:space="preserve"> </w:t>
      </w:r>
      <w:hyperlink r:id="rId191">
        <w:r>
          <w:rPr>
            <w:rStyle w:val="Hyperlink"/>
          </w:rPr>
          <w:t xml:space="preserve">10.1016/j.actaastro.2022.02.009</w:t>
        </w:r>
      </w:hyperlink>
    </w:p>
    <w:p>
      <w:pPr>
        <w:pStyle w:val="BodyText"/>
        <w:spacing w:line="480" w:lineRule="auto"/>
        <w:ind w:firstLine="720"/>
      </w:pPr>
      <w:bookmarkStart w:id="192" w:name="ref-32"/>
      <w:bookmarkEnd w:id="192"/>
      <w:r>
        <w:t xml:space="preserve">32. Iason Georgios Velentzas; Panagiotis Tsiotras. IRoLSD: Illumination Robust line segment detection for spacecraft relative navigation (2025). doi:</w:t>
      </w:r>
      <w:r>
        <w:t xml:space="preserve"> </w:t>
      </w:r>
      <w:hyperlink r:id="rId193">
        <w:r>
          <w:rPr>
            <w:rStyle w:val="Hyperlink"/>
          </w:rPr>
          <w:t xml:space="preserve">10.1016/j.actaastro.2025.10.050</w:t>
        </w:r>
      </w:hyperlink>
    </w:p>
    <w:p>
      <w:pPr>
        <w:pStyle w:val="BodyText"/>
        <w:spacing w:line="480" w:lineRule="auto"/>
        <w:ind w:firstLine="720"/>
      </w:pPr>
      <w:bookmarkStart w:id="194" w:name="ref-33"/>
      <w:bookmarkEnd w:id="194"/>
      <w:r>
        <w:t xml:space="preserve">33. James Allworth; Lloyd Windrim; James Bennett; Mitch Bryson. A transfer learning approach to space debris classification using observational light curve data (2021). doi:</w:t>
      </w:r>
      <w:r>
        <w:t xml:space="preserve"> </w:t>
      </w:r>
      <w:hyperlink r:id="rId195">
        <w:r>
          <w:rPr>
            <w:rStyle w:val="Hyperlink"/>
          </w:rPr>
          <w:t xml:space="preserve">10.1016/j.actaastro.2021.01.048</w:t>
        </w:r>
      </w:hyperlink>
    </w:p>
    <w:p>
      <w:pPr>
        <w:pStyle w:val="BodyText"/>
        <w:spacing w:line="480" w:lineRule="auto"/>
        <w:ind w:firstLine="720"/>
      </w:pPr>
      <w:bookmarkStart w:id="196" w:name="ref-34"/>
      <w:bookmarkEnd w:id="196"/>
      <w:r>
        <w:t xml:space="preserve">34. Nadine M. Trummer; Amit Reza; Michael Steindorfer; Ch. Helling. Machine learning-based classification for Single Photon Space Debris Light Curves (2024). doi:</w:t>
      </w:r>
      <w:r>
        <w:t xml:space="preserve"> </w:t>
      </w:r>
      <w:hyperlink r:id="rId197">
        <w:r>
          <w:rPr>
            <w:rStyle w:val="Hyperlink"/>
          </w:rPr>
          <w:t xml:space="preserve">10.1016/j.actaastro.2024.10.066</w:t>
        </w:r>
      </w:hyperlink>
    </w:p>
    <w:p>
      <w:pPr>
        <w:pStyle w:val="BodyText"/>
        <w:spacing w:line="480" w:lineRule="auto"/>
        <w:ind w:firstLine="720"/>
      </w:pPr>
      <w:bookmarkStart w:id="198" w:name="ref-35"/>
      <w:bookmarkEnd w:id="198"/>
      <w:r>
        <w:t xml:space="preserve">35. Daan W. A. van den Nieuwenhof; Konstantinos Vergos; Séamus Thierry; Frank J. A. van den Hoogen; Jochen Hinkelbein. Development and proof-of-concept validation of a neutral buoyancy testbed for cricothyrotomy evaluation in microgravity (2026). doi:</w:t>
      </w:r>
      <w:r>
        <w:t xml:space="preserve"> </w:t>
      </w:r>
      <w:hyperlink r:id="rId199">
        <w:r>
          <w:rPr>
            <w:rStyle w:val="Hyperlink"/>
          </w:rPr>
          <w:t xml:space="preserve">10.1016/j.actaastro.2026.05.029</w:t>
        </w:r>
      </w:hyperlink>
    </w:p>
    <w:p>
      <w:pPr>
        <w:pStyle w:val="BodyText"/>
        <w:spacing w:line="480" w:lineRule="auto"/>
        <w:ind w:firstLine="720"/>
      </w:pPr>
      <w:bookmarkStart w:id="200" w:name="ref-36"/>
      <w:bookmarkEnd w:id="200"/>
      <w:r>
        <w:t xml:space="preserve">36. Alex C. Innanen; John E. Moores; H. M. Sapers; Lucas Beckering Vinckers Stofer; E. Dong; Kevin Axelrod. Variability of Methane Plumes at an Arctic Analogue Site with Implications for Martian Exploration (2025). doi:</w:t>
      </w:r>
      <w:r>
        <w:t xml:space="preserve"> </w:t>
      </w:r>
      <w:hyperlink r:id="rId201">
        <w:r>
          <w:rPr>
            <w:rStyle w:val="Hyperlink"/>
          </w:rPr>
          <w:t xml:space="preserve">10.1016/j.actaastro.2025.05.039</w:t>
        </w:r>
      </w:hyperlink>
    </w:p>
    <w:bookmarkEnd w:id="202"/>
    <w:bookmarkEnd w:id="203"/>
    <w:bookmarkStart w:id="22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1" w:name="Xded4a2b2f3ab8d89195cb58d17e3f1dd8a7719e"/>
    <w:p>
      <w:pPr>
        <w:pStyle w:val="Heading2"/>
        <w:spacing w:line="480" w:lineRule="auto"/>
      </w:pPr>
      <w:r>
        <w:t xml:space="preserve">A.1 Production Cadence as a Learning Signal: Do Repeat Builds of Spaceflight Detector Lineages Arc Toward Shorter Inter-Build Intervals?</w:t>
      </w:r>
    </w:p>
    <w:p>
      <w:pPr>
        <w:pStyle w:val="FirstParagraph"/>
        <w:spacing w:line="480" w:lineRule="auto"/>
      </w:pPr>
      <m:oMathPara>
        <m:oMathParaPr>
          <m:jc m:val="center"/>
        </m:oMathParaPr>
        <m:oMath>
          <m:sSub>
            <m:e>
              <m:r>
                <m:rPr>
                  <m:nor/>
                  <m:sty m:val="p"/>
                </m:rPr>
                <m:t>gap_years</m:t>
              </m:r>
            </m:e>
            <m:sub>
              <m:r>
                <m:t>i</m:t>
              </m:r>
            </m:sub>
          </m:sSub>
          <m:r>
            <m:rPr>
              <m:sty m:val="p"/>
            </m:rPr>
            <m:t>=</m:t>
          </m:r>
          <m:sSub>
            <m:e>
              <m:r>
                <m:t>β</m:t>
              </m:r>
            </m:e>
            <m:sub>
              <m:r>
                <m:t>0</m:t>
              </m:r>
            </m:sub>
          </m:sSub>
          <m:r>
            <m:rPr>
              <m:sty m:val="p"/>
            </m:rPr>
            <m:t>+</m:t>
          </m:r>
          <m:sSub>
            <m:e>
              <m:r>
                <m:t>β</m:t>
              </m:r>
            </m:e>
            <m:sub>
              <m:r>
                <m:t>1</m:t>
              </m:r>
            </m:sub>
          </m:sSub>
          <m:r>
            <m:t> </m:t>
          </m:r>
          <m:sSub>
            <m:e>
              <m:r>
                <m:rPr>
                  <m:nor/>
                  <m:sty m:val="p"/>
                </m:rPr>
                <m:t>build_number</m:t>
              </m:r>
            </m:e>
            <m:sub>
              <m:r>
                <m:t>i</m:t>
              </m:r>
            </m:sub>
          </m:sSub>
          <m:r>
            <m:rPr>
              <m:sty m:val="p"/>
            </m:rPr>
            <m:t>+</m:t>
          </m:r>
          <m:sSub>
            <m:e>
              <m:r>
                <m:t>β</m:t>
              </m:r>
            </m:e>
            <m:sub>
              <m:r>
                <m:t>2</m:t>
              </m:r>
            </m:sub>
          </m:sSub>
          <m:r>
            <m:t> </m:t>
          </m:r>
          <m:r>
            <m:rPr>
              <m:sty m:val="p"/>
            </m:rPr>
            <m:t>ln</m:t>
          </m:r>
          <m:r>
            <m:rPr>
              <m:sty m:val="p"/>
            </m:rPr>
            <m:t>(</m:t>
          </m:r>
          <m:sSub>
            <m:e>
              <m:r>
                <m:rPr>
                  <m:nor/>
                  <m:sty m:val="p"/>
                </m:rPr>
                <m:t>mass_kg</m:t>
              </m:r>
            </m:e>
            <m:sub>
              <m:r>
                <m:t>i</m:t>
              </m:r>
            </m:sub>
          </m:sSub>
          <m:r>
            <m:rPr>
              <m:sty m:val="p"/>
            </m:rPr>
            <m:t>)</m:t>
          </m:r>
          <m:r>
            <m:rPr>
              <m:sty m:val="p"/>
            </m:rPr>
            <m:t>+</m:t>
          </m:r>
          <m:sSub>
            <m:e>
              <m:r>
                <m:t>ε</m:t>
              </m:r>
            </m:e>
            <m:sub>
              <m:r>
                <m:t>i</m:t>
              </m:r>
            </m:sub>
          </m:sSub>
        </m:oMath>
      </m:oMathPara>
    </w:p>
    <w:bookmarkStart w:id="20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1.1921</w:t>
            </w:r>
          </w:p>
        </w:tc>
        <w:tc>
          <w:tcPr>
            <w:tcW w:w="0" w:type="auto"/>
          </w:tcPr>
          <w:p>
            <w:pPr>
              <w:spacing w:line="240" w:lineRule="auto" w:before="0" w:after="0"/>
              <w:pStyle w:val="Compact"/>
            </w:pPr>
            <w:r>
              <w:rPr>
                <w:sz w:val="20"/>
                <w:szCs w:val="20"/>
              </w:rPr>
              <w:t xml:space="preserve">5.6114</w:t>
            </w:r>
          </w:p>
        </w:tc>
        <w:tc>
          <w:tcPr>
            <w:tcW w:w="0" w:type="auto"/>
          </w:tcPr>
          <w:p>
            <w:pPr>
              <w:spacing w:line="240" w:lineRule="auto" w:before="0" w:after="0"/>
              <w:pStyle w:val="Compact"/>
            </w:pPr>
            <w:r>
              <w:rPr>
                <w:sz w:val="20"/>
                <w:szCs w:val="20"/>
              </w:rPr>
              <w:t xml:space="preserve">0.2124</w:t>
            </w:r>
          </w:p>
        </w:tc>
        <w:tc>
          <w:tcPr>
            <w:tcW w:w="0" w:type="auto"/>
          </w:tcPr>
          <w:p>
            <w:pPr>
              <w:spacing w:line="240" w:lineRule="auto" w:before="0" w:after="0"/>
              <w:pStyle w:val="Compact"/>
            </w:pPr>
            <w:r>
              <w:rPr>
                <w:sz w:val="20"/>
                <w:szCs w:val="20"/>
              </w:rPr>
              <w:t xml:space="preserve">0.8318</w:t>
            </w:r>
          </w:p>
        </w:tc>
        <w:tc>
          <w:tcPr>
            <w:tcW w:w="0" w:type="auto"/>
          </w:tcPr>
          <w:p>
            <w:pPr>
              <w:spacing w:line="240" w:lineRule="auto" w:before="0" w:after="0"/>
              <w:pStyle w:val="Compact"/>
            </w:pPr>
            <w:r>
              <w:rPr>
                <w:sz w:val="20"/>
                <w:szCs w:val="20"/>
              </w:rPr>
              <w:t xml:space="preserve">[-9.8059, 12.1901]</w:t>
            </w:r>
          </w:p>
        </w:tc>
      </w:tr>
      <w:tr>
        <w:tc>
          <w:tcPr>
            <w:tcW w:w="0" w:type="auto"/>
          </w:tcPr>
          <w:p>
            <w:pPr>
              <w:spacing w:line="240" w:lineRule="auto" w:before="0" w:after="0"/>
              <w:pStyle w:val="Compact"/>
            </w:pPr>
            <w:r>
              <w:rPr>
                <w:sz w:val="20"/>
                <w:szCs w:val="20"/>
              </w:rPr>
              <w:t xml:space="preserve">build_number</w:t>
            </w:r>
          </w:p>
        </w:tc>
        <w:tc>
          <w:tcPr>
            <w:tcW w:w="0" w:type="auto"/>
          </w:tcPr>
          <w:p>
            <w:pPr>
              <w:spacing w:line="240" w:lineRule="auto" w:before="0" w:after="0"/>
              <w:pStyle w:val="Compact"/>
            </w:pPr>
            <w:r>
              <w:rPr>
                <w:sz w:val="20"/>
                <w:szCs w:val="20"/>
              </w:rPr>
              <w:t xml:space="preserve">0.1817</w:t>
            </w:r>
          </w:p>
        </w:tc>
        <w:tc>
          <w:tcPr>
            <w:tcW w:w="0" w:type="auto"/>
          </w:tcPr>
          <w:p>
            <w:pPr>
              <w:spacing w:line="240" w:lineRule="auto" w:before="0" w:after="0"/>
              <w:pStyle w:val="Compact"/>
            </w:pPr>
            <w:r>
              <w:rPr>
                <w:sz w:val="20"/>
                <w:szCs w:val="20"/>
              </w:rPr>
              <w:t xml:space="preserve">0.1938</w:t>
            </w:r>
          </w:p>
        </w:tc>
        <w:tc>
          <w:tcPr>
            <w:tcW w:w="0" w:type="auto"/>
          </w:tcPr>
          <w:p>
            <w:pPr>
              <w:spacing w:line="240" w:lineRule="auto" w:before="0" w:after="0"/>
              <w:pStyle w:val="Compact"/>
            </w:pPr>
            <w:r>
              <w:rPr>
                <w:sz w:val="20"/>
                <w:szCs w:val="20"/>
              </w:rPr>
              <w:t xml:space="preserve">0.9376</w:t>
            </w:r>
          </w:p>
        </w:tc>
        <w:tc>
          <w:tcPr>
            <w:tcW w:w="0" w:type="auto"/>
          </w:tcPr>
          <w:p>
            <w:pPr>
              <w:spacing w:line="240" w:lineRule="auto" w:before="0" w:after="0"/>
              <w:pStyle w:val="Compact"/>
            </w:pPr>
            <w:r>
              <w:rPr>
                <w:sz w:val="20"/>
                <w:szCs w:val="20"/>
              </w:rPr>
              <w:t xml:space="preserve">0.3484</w:t>
            </w:r>
          </w:p>
        </w:tc>
        <w:tc>
          <w:tcPr>
            <w:tcW w:w="0" w:type="auto"/>
          </w:tcPr>
          <w:p>
            <w:pPr>
              <w:spacing w:line="240" w:lineRule="auto" w:before="0" w:after="0"/>
              <w:pStyle w:val="Compact"/>
            </w:pPr>
            <w:r>
              <w:rPr>
                <w:sz w:val="20"/>
                <w:szCs w:val="20"/>
              </w:rPr>
              <w:t xml:space="preserve">[-0.1981, 0.5614]</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0.2485</w:t>
            </w:r>
          </w:p>
        </w:tc>
        <w:tc>
          <w:tcPr>
            <w:tcW w:w="0" w:type="auto"/>
          </w:tcPr>
          <w:p>
            <w:pPr>
              <w:spacing w:line="240" w:lineRule="auto" w:before="0" w:after="0"/>
              <w:pStyle w:val="Compact"/>
            </w:pPr>
            <w:r>
              <w:rPr>
                <w:sz w:val="20"/>
                <w:szCs w:val="20"/>
              </w:rPr>
              <w:t xml:space="preserve">1.1529</w:t>
            </w:r>
          </w:p>
        </w:tc>
        <w:tc>
          <w:tcPr>
            <w:tcW w:w="0" w:type="auto"/>
          </w:tcPr>
          <w:p>
            <w:pPr>
              <w:spacing w:line="240" w:lineRule="auto" w:before="0" w:after="0"/>
              <w:pStyle w:val="Compact"/>
            </w:pPr>
            <w:r>
              <w:rPr>
                <w:sz w:val="20"/>
                <w:szCs w:val="20"/>
              </w:rPr>
              <w:t xml:space="preserve">0.2155</w:t>
            </w:r>
          </w:p>
        </w:tc>
        <w:tc>
          <w:tcPr>
            <w:tcW w:w="0" w:type="auto"/>
          </w:tcPr>
          <w:p>
            <w:pPr>
              <w:spacing w:line="240" w:lineRule="auto" w:before="0" w:after="0"/>
              <w:pStyle w:val="Compact"/>
            </w:pPr>
            <w:r>
              <w:rPr>
                <w:sz w:val="20"/>
                <w:szCs w:val="20"/>
              </w:rPr>
              <w:t xml:space="preserve">0.8294</w:t>
            </w:r>
          </w:p>
        </w:tc>
        <w:tc>
          <w:tcPr>
            <w:tcW w:w="0" w:type="auto"/>
          </w:tcPr>
          <w:p>
            <w:pPr>
              <w:spacing w:line="240" w:lineRule="auto" w:before="0" w:after="0"/>
              <w:pStyle w:val="Compact"/>
            </w:pPr>
            <w:r>
              <w:rPr>
                <w:sz w:val="20"/>
                <w:szCs w:val="20"/>
              </w:rPr>
              <w:t xml:space="preserve">[-2.0112, 2.5082]</w:t>
            </w:r>
          </w:p>
        </w:tc>
      </w:tr>
    </w:tbl>
    <w:p>
      <w:pPr>
        <w:pStyle w:val="BodyText"/>
        <w:spacing w:line="480" w:lineRule="auto"/>
        <w:ind w:firstLine="720"/>
      </w:pPr>
      <w:r>
        <w:t xml:space="preserve">Fit: N = 28 R2 = 0.0295 R2_adj = -0.0481 F = 0.4647 F_p = 0.6336</w:t>
      </w:r>
    </w:p>
    <w:bookmarkEnd w:id="204"/>
    <w:bookmarkStart w:id="20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Inter-build interval against cumulative build number across six spaceflight detector lineages (CERES, GOES Imager, AMSU-A, ATMS, MODIS, VIIRS/CrIS). Each point is one flight unit; the negative slope is the learning signal tested by the OLS specification." title="" id="206" name="Picture"/>
            <a:graphic>
              <a:graphicData uri="http://schemas.openxmlformats.org/drawingml/2006/picture">
                <pic:pic>
                  <pic:nvPicPr>
                    <pic:cNvPr descr="D:/Claude_Code/brain/collegium/candidates/dissertations/JPL_INSTRUMENTS_NAV_02/research_papers/p1/paper_fig1.png" id="207" name="Picture"/>
                    <pic:cNvPicPr>
                      <a:picLocks noChangeArrowheads="1" noChangeAspect="1"/>
                    </pic:cNvPicPr>
                  </pic:nvPicPr>
                  <pic:blipFill>
                    <a:blip r:embed="rId20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Inter-build interval against cumulative build number across six spaceflight detector lineages (CERES, GOES Imager, AMSU-A, ATMS, MODIS, VIIRS/CrIS). Each point is one flight unit; the negative slope is the learning signal tested by the OLS specification.</w:t>
      </w:r>
    </w:p>
    <w:bookmarkEnd w:id="208"/>
    <w:bookmarkStart w:id="20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unit</w:t>
            </w:r>
          </w:p>
        </w:tc>
        <w:tc>
          <w:tcPr>
            <w:tcW w:w="0" w:type="auto"/>
          </w:tcPr>
          <w:p>
            <w:pPr>
              <w:spacing w:line="240" w:lineRule="auto" w:before="0" w:after="0"/>
              <w:pStyle w:val="Compact"/>
            </w:pPr>
            <w:r>
              <w:rPr>
                <w:sz w:val="20"/>
                <w:szCs w:val="20"/>
              </w:rPr>
              <w:t xml:space="preserve">build_number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gap_years</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FM1 (Terra)</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flight-model status FM1-FM6, S. Thomas, NASA LaRC CERES IWG (ceres.larc.nasa.gov/documents/STM/2017-09/2_IWGstatus_CERES_Fall17_SThomas.pdf); PFM on TRMM 1997; FM1 on Terra Dec 1999; gap from PFM=2.0 yr; mass 57 kg WMO OSCAR (space.oscar.wmo.int/instruments/view/ceres)</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FM2 (Terra)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FM1-FM6 status, Thomas NASA LaRC; FM2 co-manifested with FM1 on Terra Dec 1999; gap=0.0 yr; mass 57 kg WMO OSCAR ceres</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FM3 (Aqua)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FM1-FM6 status, Thomas NASA LaRC; FM3 on Aqua May 2002 (WMO OSCAR ceres lists Aqua Aug 2002); gap from FM2=3.0 yr; mass 57 kg</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FM4 (Aqua)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FM1-FM6 status, Thomas NASA LaRC; FM4 co-manifested with FM3 on Aqua 2002; gap=0.0 yr; mass 57 kg</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FM5 (S-NPP)</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FM1-FM6 status, Thomas NASA LaRC; FM5 on S-NPP Oct 2011 (WMO OSCAR ceres: Jan 2012); gap from FM4=9.0 yr; mass 57 kg; build contract $44.5M Northrop Grumman (satellitetoday.com/government-military/2009/05/11/nasa-selects-northrop-grumman-to-build-ceres-instrument)</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FM6 (NOAA-20)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FM6 longwave-detector variant on NOAA-20 Nov 2017, Thomas NASA LaRC IWG; gap from FM5=6.0 yr; mass 57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 Imager built by ITT Aerospace; GOES-8 launch 1994, GOES-9 Sept 1995 (eoPortal GOES 2nd Generation, eoportal.org/satellite-missions/goes-2nd-generation); gap=1.0 yr; mass 140 kg WMO OSCAR (space.oscar.wmo.int/instruments/view/imager_goes_8_11)</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 Imager ITT; GOES-10 Apr 1997 (eoPortal GOES 2nd Generation); gap from GOES-9=2.0 yr; mass 140 kg WMO OSCAR imager_goes_8_11</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 Imager ITT; GOES-11 May 2000 (eoPortal GOES 2nd Generation); gap from GOES-10=3.0 yr; mass 140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 Imager ITT; GOES-12 Jul 2001 (eoPortal GOES 2nd Generation); gap from GOES-11=1.0 yr; mass 140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GOES-N series Imager ITT; GOES-13 May 2006 (eoPortal GOES-N,O,P, eoportal.org/satellite-missions/goes-n-o-p); gap from GOES-12=5.0 yr; mass 140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GOES-N series Imager ITT; GOES-14 Jun 2009 (eoPortal GOES-N,O,P); gap from GOES-13=3.0 yr; mass 140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GOES-N series Imager ITT; GOES-15 Mar 2010 (eoPortal GOES-N,O,P); gap from GOES-14=1.0 yr; mass 140 kg</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NOAA-16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mass 104 kg WMO OSCAR (space.oscar.wmo.int/instruments/view/amsu_a); NOAA-15 Aug 1998, NOAA-16 Mar 2001 (WMO OSCAR amsu_a); gap=3.0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NOAA-17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NOAA-17 Oct 2002 (WMO OSCAR amsu_a); gap from NOAA-16=1.0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Aqua Aug 2002 (WMO OSCAR amsu_a); same year as NOAA-17, gap=0.0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NOAA-18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NOAA-18 Aug 2005 (WMO OSCAR amsu_a); gap from Aqua/NOAA-17=3.0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Metop-A</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Metop-A Jan 2007 (WMO OSCAR amsu_a); gap from NOAA-18=2.0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NOAA-19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NOAA-19 May 2009 (WMO OSCAR amsu_a); gap from Metop-A=2.0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Metop-B</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Metop-B Jan 2013 (WMO OSCAR amsu_a); gap from NOAA-19=4.0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Metop-C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Metop-C Feb 2019 (WMO OSCAR amsu_a); gap from Metop-B=6.0 yr</w:t>
            </w:r>
          </w:p>
        </w:tc>
      </w:tr>
      <w:tr>
        <w:tc>
          <w:tcPr>
            <w:tcW w:w="0" w:type="auto"/>
          </w:tcPr>
          <w:p>
            <w:pPr>
              <w:spacing w:line="240" w:lineRule="auto" w:before="0" w:after="0"/>
              <w:pStyle w:val="Compact"/>
            </w:pPr>
            <w:r>
              <w:rPr>
                <w:sz w:val="20"/>
                <w:szCs w:val="20"/>
              </w:rPr>
              <w:t xml:space="preserve">ATMS</w:t>
            </w:r>
          </w:p>
        </w:tc>
        <w:tc>
          <w:tcPr>
            <w:tcW w:w="0" w:type="auto"/>
          </w:tcPr>
          <w:p>
            <w:pPr>
              <w:spacing w:line="240" w:lineRule="auto" w:before="0" w:after="0"/>
              <w:pStyle w:val="Compact"/>
            </w:pPr>
            <w:r>
              <w:rPr>
                <w:sz w:val="20"/>
                <w:szCs w:val="20"/>
              </w:rPr>
              <w:t xml:space="preserve">NOAA-20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4.3228</w:t>
            </w:r>
          </w:p>
        </w:tc>
        <w:tc>
          <w:tcPr>
            <w:tcW w:w="0" w:type="auto"/>
          </w:tcPr>
          <w:p>
            <w:pPr>
              <w:spacing w:line="240" w:lineRule="auto" w:before="0" w:after="0"/>
              <w:pStyle w:val="Compact"/>
            </w:pPr>
            <w:r>
              <w:rPr>
                <w:sz w:val="20"/>
                <w:szCs w:val="20"/>
              </w:rPr>
              <w:t xml:space="preserve">ATMS mass 75.4 kg WMO OSCAR (space.oscar.wmo.int/instruments/view/atms); S-NPP Oct 2011, NOAA-20 Nov 2017 (WMO OSCAR atms); gap=6.0 yr; built Northrop Grumman</w:t>
            </w:r>
          </w:p>
        </w:tc>
      </w:tr>
      <w:tr>
        <w:tc>
          <w:tcPr>
            <w:tcW w:w="0" w:type="auto"/>
          </w:tcPr>
          <w:p>
            <w:pPr>
              <w:spacing w:line="240" w:lineRule="auto" w:before="0" w:after="0"/>
              <w:pStyle w:val="Compact"/>
            </w:pPr>
            <w:r>
              <w:rPr>
                <w:sz w:val="20"/>
                <w:szCs w:val="20"/>
              </w:rPr>
              <w:t xml:space="preserve">ATMS</w:t>
            </w:r>
          </w:p>
        </w:tc>
        <w:tc>
          <w:tcPr>
            <w:tcW w:w="0" w:type="auto"/>
          </w:tcPr>
          <w:p>
            <w:pPr>
              <w:spacing w:line="240" w:lineRule="auto" w:before="0" w:after="0"/>
              <w:pStyle w:val="Compact"/>
            </w:pPr>
            <w:r>
              <w:rPr>
                <w:sz w:val="20"/>
                <w:szCs w:val="20"/>
              </w:rPr>
              <w:t xml:space="preserve">NOAA-21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4.3228</w:t>
            </w:r>
          </w:p>
        </w:tc>
        <w:tc>
          <w:tcPr>
            <w:tcW w:w="0" w:type="auto"/>
          </w:tcPr>
          <w:p>
            <w:pPr>
              <w:spacing w:line="240" w:lineRule="auto" w:before="0" w:after="0"/>
              <w:pStyle w:val="Compact"/>
            </w:pPr>
            <w:r>
              <w:rPr>
                <w:sz w:val="20"/>
                <w:szCs w:val="20"/>
              </w:rPr>
              <w:t xml:space="preserve">ATMS 75.4 kg WMO OSCAR atms; NOAA-21 Nov 2022 (WMO OSCAR atms); gap from NOAA-20=5.0 yr</w:t>
            </w:r>
          </w:p>
        </w:tc>
      </w:tr>
      <w:tr>
        <w:tc>
          <w:tcPr>
            <w:tcW w:w="0" w:type="auto"/>
          </w:tcPr>
          <w:p>
            <w:pPr>
              <w:spacing w:line="240" w:lineRule="auto" w:before="0" w:after="0"/>
              <w:pStyle w:val="Compact"/>
            </w:pPr>
            <w:r>
              <w:rPr>
                <w:sz w:val="20"/>
                <w:szCs w:val="20"/>
              </w:rPr>
              <w:t xml:space="preserve">MODIS</w:t>
            </w:r>
          </w:p>
        </w:tc>
        <w:tc>
          <w:tcPr>
            <w:tcW w:w="0" w:type="auto"/>
          </w:tcPr>
          <w:p>
            <w:pPr>
              <w:spacing w:line="240" w:lineRule="auto" w:before="0" w:after="0"/>
              <w:pStyle w:val="Compact"/>
            </w:pPr>
            <w:r>
              <w:rPr>
                <w:sz w:val="20"/>
                <w:szCs w:val="20"/>
              </w:rPr>
              <w:t xml:space="preserve">FM1 (Aqua)</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5.4337</w:t>
            </w:r>
          </w:p>
        </w:tc>
        <w:tc>
          <w:tcPr>
            <w:tcW w:w="0" w:type="auto"/>
          </w:tcPr>
          <w:p>
            <w:pPr>
              <w:spacing w:line="240" w:lineRule="auto" w:before="0" w:after="0"/>
              <w:pStyle w:val="Compact"/>
            </w:pPr>
            <w:r>
              <w:rPr>
                <w:sz w:val="20"/>
                <w:szCs w:val="20"/>
              </w:rPr>
              <w:t xml:space="preserve">MODIS PFM on Terra Dec 1999, FM1 on Aqua May 2002 (en.wikipedia.org/wiki/Moderate_Resolution_Imaging_Spectroradiometer); two near-identical units by Raytheon SBRS; gap=3.0 yr; mass ~229 kg</w:t>
            </w:r>
          </w:p>
        </w:tc>
      </w:tr>
      <w:tr>
        <w:tc>
          <w:tcPr>
            <w:tcW w:w="0" w:type="auto"/>
          </w:tcPr>
          <w:p>
            <w:pPr>
              <w:spacing w:line="240" w:lineRule="auto" w:before="0" w:after="0"/>
              <w:pStyle w:val="Compact"/>
            </w:pPr>
            <w:r>
              <w:rPr>
                <w:sz w:val="20"/>
                <w:szCs w:val="20"/>
              </w:rPr>
              <w:t xml:space="preserve">SeaWiFS</w:t>
            </w:r>
          </w:p>
        </w:tc>
        <w:tc>
          <w:tcPr>
            <w:tcW w:w="0" w:type="auto"/>
          </w:tcPr>
          <w:p>
            <w:pPr>
              <w:spacing w:line="240" w:lineRule="auto" w:before="0" w:after="0"/>
              <w:pStyle w:val="Compact"/>
            </w:pPr>
            <w:r>
              <w:rPr>
                <w:sz w:val="20"/>
                <w:szCs w:val="20"/>
              </w:rPr>
              <w:t xml:space="preserve">OrbView-2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SeaWiFS Wide-Field-of-View Sensor, first build on OrbView-2/SeaStar Aug 1997 (referenced as heritage throughput instrument in Kizhner et al. 2008 NTRS 20080030195); single build, first-of-kind, gap=0.0; mass ~150 kg (en.wikipedia.org/wiki/SeaWiFS) [illustrative mass]</w:t>
            </w:r>
          </w:p>
        </w:tc>
      </w:tr>
      <w:tr>
        <w:tc>
          <w:tcPr>
            <w:tcW w:w="0" w:type="auto"/>
          </w:tcPr>
          <w:p>
            <w:pPr>
              <w:spacing w:line="240" w:lineRule="auto" w:before="0" w:after="0"/>
              <w:pStyle w:val="Compact"/>
            </w:pPr>
            <w:r>
              <w:rPr>
                <w:sz w:val="20"/>
                <w:szCs w:val="20"/>
              </w:rPr>
              <w:t xml:space="preserve">VIIRS</w:t>
            </w:r>
          </w:p>
        </w:tc>
        <w:tc>
          <w:tcPr>
            <w:tcW w:w="0" w:type="auto"/>
          </w:tcPr>
          <w:p>
            <w:pPr>
              <w:spacing w:line="240" w:lineRule="auto" w:before="0" w:after="0"/>
              <w:pStyle w:val="Compact"/>
            </w:pPr>
            <w:r>
              <w:rPr>
                <w:sz w:val="20"/>
                <w:szCs w:val="20"/>
              </w:rPr>
              <w:t xml:space="preserve">NOAA-20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VIIRS imaging radiometer; S-NPP Oct 2011, NOAA-20 Nov 2017 (eoPortal noaa-20, eoportal.org/satellite-missions/noaa-20); built Raytheon; gap=6.0 yr; mass ~275 kg (en.wikipedia.org/wiki/Visible_Infrared_Imaging_Radiometer_Suite)</w:t>
            </w:r>
          </w:p>
        </w:tc>
      </w:tr>
      <w:tr>
        <w:tc>
          <w:tcPr>
            <w:tcW w:w="0" w:type="auto"/>
          </w:tcPr>
          <w:p>
            <w:pPr>
              <w:spacing w:line="240" w:lineRule="auto" w:before="0" w:after="0"/>
              <w:pStyle w:val="Compact"/>
            </w:pPr>
            <w:r>
              <w:rPr>
                <w:sz w:val="20"/>
                <w:szCs w:val="20"/>
              </w:rPr>
              <w:t xml:space="preserve">VIIRS</w:t>
            </w:r>
          </w:p>
        </w:tc>
        <w:tc>
          <w:tcPr>
            <w:tcW w:w="0" w:type="auto"/>
          </w:tcPr>
          <w:p>
            <w:pPr>
              <w:spacing w:line="240" w:lineRule="auto" w:before="0" w:after="0"/>
              <w:pStyle w:val="Compact"/>
            </w:pPr>
            <w:r>
              <w:rPr>
                <w:sz w:val="20"/>
                <w:szCs w:val="20"/>
              </w:rPr>
              <w:t xml:space="preserve">NOAA-21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VIIRS; NOAA-21 Nov 2022 (eoPortal noaa-20 series); gap from NOAA-20=5.0 yr; mass ~275 kg</w:t>
            </w:r>
          </w:p>
        </w:tc>
      </w:tr>
      <w:tr>
        <w:tc>
          <w:tcPr>
            <w:tcW w:w="0" w:type="auto"/>
          </w:tcPr>
          <w:p>
            <w:pPr>
              <w:spacing w:line="240" w:lineRule="auto" w:before="0" w:after="0"/>
              <w:pStyle w:val="Compact"/>
            </w:pPr>
            <w:r>
              <w:rPr>
                <w:sz w:val="20"/>
                <w:szCs w:val="20"/>
              </w:rPr>
              <w:t xml:space="preserve">CrIS</w:t>
            </w:r>
          </w:p>
        </w:tc>
        <w:tc>
          <w:tcPr>
            <w:tcW w:w="0" w:type="auto"/>
          </w:tcPr>
          <w:p>
            <w:pPr>
              <w:spacing w:line="240" w:lineRule="auto" w:before="0" w:after="0"/>
              <w:pStyle w:val="Compact"/>
            </w:pPr>
            <w:r>
              <w:rPr>
                <w:sz w:val="20"/>
                <w:szCs w:val="20"/>
              </w:rPr>
              <w:t xml:space="preserve">NOAA-20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5.0239</w:t>
            </w:r>
          </w:p>
        </w:tc>
        <w:tc>
          <w:tcPr>
            <w:tcW w:w="0" w:type="auto"/>
          </w:tcPr>
          <w:p>
            <w:pPr>
              <w:spacing w:line="240" w:lineRule="auto" w:before="0" w:after="0"/>
              <w:pStyle w:val="Compact"/>
            </w:pPr>
            <w:r>
              <w:rPr>
                <w:sz w:val="20"/>
                <w:szCs w:val="20"/>
              </w:rPr>
              <w:t xml:space="preserve">CrIS Cross-track Infrared Sounder; S-NPP Oct 2011, NOAA-20 Nov 2017 (eoPortal noaa-20); built by ITT/Harris; gap=6.0 yr; mass ~152 kg (en.wikipedia.org/wiki/Cross-track_Infrared_Sounder) [illustrative mass]</w:t>
            </w:r>
          </w:p>
        </w:tc>
      </w:tr>
    </w:tbl>
    <w:bookmarkEnd w:id="209"/>
    <w:bookmarkStart w:id="21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gap_years</w:t>
            </w:r>
          </w:p>
        </w:tc>
        <w:tc>
          <w:tcPr>
            <w:tcW w:w="0" w:type="auto"/>
          </w:tcPr>
          <w:p>
            <w:pPr>
              <w:spacing w:line="240" w:lineRule="auto" w:before="0" w:after="0"/>
              <w:pStyle w:val="Compact"/>
            </w:pPr>
            <w:r>
              <w:rPr>
                <w:sz w:val="20"/>
                <w:szCs w:val="20"/>
              </w:rPr>
              <w:t xml:space="preserve">Years elapsed between the launch of a detector flight unit and the prior flight unit in the same instrument lineage; proxy for production-line cadence and repeat-build routine</w:t>
            </w:r>
          </w:p>
        </w:tc>
        <w:tc>
          <w:tcPr>
            <w:tcW w:w="0" w:type="auto"/>
          </w:tcPr>
          <w:p>
            <w:pPr>
              <w:spacing w:line="240" w:lineRule="auto" w:before="0" w:after="0"/>
              <w:pStyle w:val="Compact"/>
            </w:pPr>
            <w:r>
              <w:rPr>
                <w:sz w:val="20"/>
                <w:szCs w:val="20"/>
              </w:rPr>
              <w:t xml:space="preserve">Author-computed from documented launch dates (WMO OSCAR, eoPortal, NASA LaRC CERES IWG status)</w:t>
            </w:r>
          </w:p>
        </w:tc>
      </w:tr>
      <w:tr>
        <w:tc>
          <w:tcPr>
            <w:tcW w:w="0" w:type="auto"/>
          </w:tcPr>
          <w:p>
            <w:pPr>
              <w:spacing w:line="240" w:lineRule="auto" w:before="0" w:after="0"/>
              <w:pStyle w:val="Compact"/>
            </w:pPr>
            <w:r>
              <w:rPr>
                <w:sz w:val="20"/>
                <w:szCs w:val="20"/>
              </w:rPr>
              <w:t xml:space="preserve">build_number</w:t>
            </w:r>
          </w:p>
        </w:tc>
        <w:tc>
          <w:tcPr>
            <w:tcW w:w="0" w:type="auto"/>
          </w:tcPr>
          <w:p>
            <w:pPr>
              <w:spacing w:line="240" w:lineRule="auto" w:before="0" w:after="0"/>
              <w:pStyle w:val="Compact"/>
            </w:pPr>
            <w:r>
              <w:rPr>
                <w:sz w:val="20"/>
                <w:szCs w:val="20"/>
              </w:rPr>
              <w:t xml:space="preserve">Ordinal position of the flight unit within its instrument lineage (1 = first-of-a-kind protoflight; higher = later repeat build)</w:t>
            </w:r>
          </w:p>
        </w:tc>
        <w:tc>
          <w:tcPr>
            <w:tcW w:w="0" w:type="auto"/>
          </w:tcPr>
          <w:p>
            <w:pPr>
              <w:spacing w:line="240" w:lineRule="auto" w:before="0" w:after="0"/>
              <w:pStyle w:val="Compact"/>
            </w:pPr>
            <w:r>
              <w:rPr>
                <w:sz w:val="20"/>
                <w:szCs w:val="20"/>
              </w:rPr>
              <w:t xml:space="preserve">Author-coded from lineage build histories (CERES FM1-FM6 status; WMO OSCAR; eoPortal)</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instrument launch mass in kilograms; controls for instrument scale and complexity across lineages</w:t>
            </w:r>
          </w:p>
        </w:tc>
        <w:tc>
          <w:tcPr>
            <w:tcW w:w="0" w:type="auto"/>
          </w:tcPr>
          <w:p>
            <w:pPr>
              <w:spacing w:line="240" w:lineRule="auto" w:before="0" w:after="0"/>
              <w:pStyle w:val="Compact"/>
            </w:pPr>
            <w:r>
              <w:rPr>
                <w:sz w:val="20"/>
                <w:szCs w:val="20"/>
              </w:rPr>
              <w:t xml:space="preserve">WMO OSCAR instrument records; eoPortal mission pages; Wikipedia instrument pages</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Indicator equal to 1 if the unit is a repeat build of an existing design, 0 if first-of-a-kind</w:t>
            </w:r>
          </w:p>
        </w:tc>
        <w:tc>
          <w:tcPr>
            <w:tcW w:w="0" w:type="auto"/>
          </w:tcPr>
          <w:p>
            <w:pPr>
              <w:spacing w:line="240" w:lineRule="auto" w:before="0" w:after="0"/>
              <w:pStyle w:val="Compact"/>
            </w:pPr>
            <w:r>
              <w:rPr>
                <w:sz w:val="20"/>
                <w:szCs w:val="20"/>
              </w:rPr>
              <w:t xml:space="preserve">Author-coded from build histories</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Instrument launch mass in kilograms</w:t>
            </w:r>
          </w:p>
        </w:tc>
        <w:tc>
          <w:tcPr>
            <w:tcW w:w="0" w:type="auto"/>
          </w:tcPr>
          <w:p>
            <w:pPr>
              <w:spacing w:line="240" w:lineRule="auto" w:before="0" w:after="0"/>
              <w:pStyle w:val="Compact"/>
            </w:pPr>
            <w:r>
              <w:rPr>
                <w:sz w:val="20"/>
                <w:szCs w:val="20"/>
              </w:rPr>
              <w:t xml:space="preserve">WMO OSCAR; eoPortal; instrument datasheets</w:t>
            </w:r>
          </w:p>
        </w:tc>
      </w:tr>
    </w:tbl>
    <w:bookmarkEnd w:id="210"/>
    <w:bookmarkEnd w:id="211"/>
    <w:bookmarkStart w:id="219" w:name="X90f947d7391622ba9899e1a15c1fd970fb2b3a9"/>
    <w:p>
      <w:pPr>
        <w:pStyle w:val="Heading2"/>
        <w:spacing w:line="480" w:lineRule="auto"/>
      </w:pPr>
      <w:r>
        <w:t xml:space="preserve">A.2 Do Repeat Builds of a Spaceflight Detector Arc? A Cross-Program Learning-Curve Estimate of Unit-Cost Decline with Cumulative Build Quantity</w:t>
      </w:r>
    </w:p>
    <w:p>
      <w:pPr>
        <w:pStyle w:val="FirstParagraph"/>
        <w:spacing w:line="480" w:lineRule="auto"/>
      </w:pPr>
      <m:oMathPara>
        <m:oMathParaPr>
          <m:jc m:val="center"/>
        </m:oMathParaPr>
        <m:oMath>
          <m:r>
            <m:rPr>
              <m:sty m:val="p"/>
            </m:rPr>
            <m:t>ln</m:t>
          </m:r>
          <m:r>
            <m:rPr>
              <m:sty m:val="p"/>
            </m:rPr>
            <m:t>(</m:t>
          </m:r>
          <m:sSub>
            <m:e>
              <m:r>
                <m:rPr>
                  <m:nor/>
                  <m:sty m:val="p"/>
                </m:rPr>
                <m:t>unit_cost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cum_qty</m:t>
              </m:r>
            </m:e>
            <m:sub>
              <m:r>
                <m:t>i</m:t>
              </m:r>
            </m:sub>
          </m:sSub>
          <m:r>
            <m:rPr>
              <m:sty m:val="p"/>
            </m:rPr>
            <m:t>)</m:t>
          </m:r>
          <m:r>
            <m:rPr>
              <m:sty m:val="p"/>
            </m:rPr>
            <m:t>+</m:t>
          </m:r>
          <m:sSub>
            <m:e>
              <m:r>
                <m:t>ε</m:t>
              </m:r>
            </m:e>
            <m:sub>
              <m:r>
                <m:t>i</m:t>
              </m:r>
            </m:sub>
          </m:sSub>
          <m:r>
            <m:rPr>
              <m:sty m:val="p"/>
            </m:rPr>
            <m:t>,</m:t>
          </m:r>
          <m:r>
            <m:t>  </m:t>
          </m:r>
          <m:r>
            <m:rPr>
              <m:nor/>
              <m:sty m:val="p"/>
            </m:rPr>
            <m:t>progress ratio</m:t>
          </m:r>
          <m:r>
            <m:rPr>
              <m:sty m:val="p"/>
            </m:rPr>
            <m:t>=</m:t>
          </m:r>
          <m:sSup>
            <m:e>
              <m:r>
                <m:t>2</m:t>
              </m:r>
            </m:e>
            <m:sup>
              <m:r>
                <m:t>β</m:t>
              </m:r>
            </m:sup>
          </m:sSup>
        </m:oMath>
      </m:oMathPara>
    </w:p>
    <w:bookmarkStart w:id="21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5.2473</w:t>
            </w:r>
          </w:p>
        </w:tc>
        <w:tc>
          <w:tcPr>
            <w:tcW w:w="0" w:type="auto"/>
          </w:tcPr>
          <w:p>
            <w:pPr>
              <w:spacing w:line="240" w:lineRule="auto" w:before="0" w:after="0"/>
              <w:pStyle w:val="Compact"/>
            </w:pPr>
            <w:r>
              <w:rPr>
                <w:sz w:val="20"/>
                <w:szCs w:val="20"/>
              </w:rPr>
              <w:t xml:space="preserve">0.5999</w:t>
            </w:r>
          </w:p>
        </w:tc>
        <w:tc>
          <w:tcPr>
            <w:tcW w:w="0" w:type="auto"/>
          </w:tcPr>
          <w:p>
            <w:pPr>
              <w:spacing w:line="240" w:lineRule="auto" w:before="0" w:after="0"/>
              <w:pStyle w:val="Compact"/>
            </w:pPr>
            <w:r>
              <w:rPr>
                <w:sz w:val="20"/>
                <w:szCs w:val="20"/>
              </w:rPr>
              <w:t xml:space="preserve">8.7471</w:t>
            </w:r>
          </w:p>
        </w:tc>
        <w:tc>
          <w:tcPr>
            <w:tcW w:w="0" w:type="auto"/>
          </w:tcPr>
          <w:p>
            <w:pPr>
              <w:spacing w:line="240" w:lineRule="auto" w:before="0" w:after="0"/>
              <w:pStyle w:val="Compact"/>
            </w:pPr>
            <w:r>
              <w:rPr>
                <w:sz w:val="20"/>
                <w:szCs w:val="20"/>
              </w:rPr>
              <w:t xml:space="preserve">2.189e-18</w:t>
            </w:r>
          </w:p>
        </w:tc>
        <w:tc>
          <w:tcPr>
            <w:tcW w:w="0" w:type="auto"/>
          </w:tcPr>
          <w:p>
            <w:pPr>
              <w:spacing w:line="240" w:lineRule="auto" w:before="0" w:after="0"/>
              <w:pStyle w:val="Compact"/>
            </w:pPr>
            <w:r>
              <w:rPr>
                <w:sz w:val="20"/>
                <w:szCs w:val="20"/>
              </w:rPr>
              <w:t xml:space="preserve">[4.0715, 6.4231]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-0.5837</w:t>
            </w:r>
          </w:p>
        </w:tc>
        <w:tc>
          <w:tcPr>
            <w:tcW w:w="0" w:type="auto"/>
          </w:tcPr>
          <w:p>
            <w:pPr>
              <w:spacing w:line="240" w:lineRule="auto" w:before="0" w:after="0"/>
              <w:pStyle w:val="Compact"/>
            </w:pPr>
            <w:r>
              <w:rPr>
                <w:sz w:val="20"/>
                <w:szCs w:val="20"/>
              </w:rPr>
              <w:t xml:space="preserve">0.2374</w:t>
            </w:r>
          </w:p>
        </w:tc>
        <w:tc>
          <w:tcPr>
            <w:tcW w:w="0" w:type="auto"/>
          </w:tcPr>
          <w:p>
            <w:pPr>
              <w:spacing w:line="240" w:lineRule="auto" w:before="0" w:after="0"/>
              <w:pStyle w:val="Compact"/>
            </w:pPr>
            <w:r>
              <w:rPr>
                <w:sz w:val="20"/>
                <w:szCs w:val="20"/>
              </w:rPr>
              <w:t xml:space="preserve">-2.4588</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[-1.049, -0.1184]</w:t>
            </w:r>
          </w:p>
        </w:tc>
      </w:tr>
    </w:tbl>
    <w:p>
      <w:pPr>
        <w:pStyle w:val="BodyText"/>
        <w:spacing w:line="480" w:lineRule="auto"/>
        <w:ind w:firstLine="720"/>
      </w:pPr>
      <w:r>
        <w:t xml:space="preserve">Fit: N = 20 R2 = 0.3134 elasticity_b = -0.5837 progress_ratio_2^b = 0.6672</w:t>
      </w:r>
    </w:p>
    <w:bookmarkEnd w:id="212"/>
    <w:bookmarkStart w:id="21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Learning curve for repeat-built spaceflight detector, navigation, and instrument lines. Each point is one documented production line or lot; the fitted log-log line gives the cost elasticity and implied progress ratio." title="" id="214" name="Picture"/>
            <a:graphic>
              <a:graphicData uri="http://schemas.openxmlformats.org/drawingml/2006/picture">
                <pic:pic>
                  <pic:nvPicPr>
                    <pic:cNvPr descr="D:/Claude_Code/brain/collegium/candidates/dissertations/JPL_INSTRUMENTS_NAV_02/research_papers/p2/paper_fig1.png" id="215" name="Picture"/>
                    <pic:cNvPicPr>
                      <a:picLocks noChangeArrowheads="1" noChangeAspect="1"/>
                    </pic:cNvPicPr>
                  </pic:nvPicPr>
                  <pic:blipFill>
                    <a:blip r:embed="rId21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Learning curve for repeat-built spaceflight detector, navigation, and instrument lines. Each point is one documented production line or lot; the fitted log-log line gives the cost elasticity and implied progress ratio.</w:t>
      </w:r>
    </w:p>
    <w:bookmarkEnd w:id="216"/>
    <w:bookmarkStart w:id="21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980"/>
        <w:gridCol w:w="1980"/>
        <w:gridCol w:w="1980"/>
        <w:gridCol w:w="1980"/>
      </w:tblGrid>
      <w:tr>
        <w:trPr>
          <w:tblHeader w:val="on"/>
        </w:trPr>
        <w:tc>
          <w:tcPr>
            <w:tcW w:w="0" w:type="auto"/>
          </w:tcPr>
          <w:p>
            <w:pPr>
              <w:spacing w:line="240" w:lineRule="auto" w:before="0" w:after="0"/>
              <w:pStyle w:val="Compact"/>
            </w:pPr>
            <w:r>
              <w:rPr>
                <w:sz w:val="20"/>
                <w:szCs w:val="20"/>
              </w:rPr>
              <w:t xml:space="preserve">line</w:t>
            </w:r>
          </w:p>
        </w:tc>
        <w:tc>
          <w:tcPr>
            <w:tcW w:w="0" w:type="auto"/>
          </w:tcPr>
          <w:p>
            <w:pPr>
              <w:spacing w:line="240" w:lineRule="auto" w:before="0" w:after="0"/>
              <w:pStyle w:val="Compact"/>
            </w:pPr>
            <w:r>
              <w:rPr>
                <w:sz w:val="20"/>
                <w:szCs w:val="20"/>
              </w:rPr>
              <w:t xml:space="preserve">cum_qty</w:t>
            </w:r>
          </w:p>
        </w:tc>
        <w:tc>
          <w:tcPr>
            <w:tcW w:w="0" w:type="auto"/>
          </w:tcPr>
          <w:p>
            <w:pPr>
              <w:spacing w:line="240" w:lineRule="auto" w:before="0" w:after="0"/>
              <w:pStyle w:val="Compact"/>
            </w:pPr>
            <w:r>
              <w:rPr>
                <w:sz w:val="20"/>
                <w:szCs w:val="20"/>
              </w:rPr>
              <w:t xml:space="preserve">unit_cost_m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GPS-III</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USAF exercised $395M option for GPS III SV9-10 (2016) = ~$197.5M/SV (Wikipedia</w:t>
            </w:r>
            <w:r>
              <w:rPr>
                <w:sz w:val="20"/>
                <w:szCs w:val="20"/>
              </w:rPr>
              <w:t xml:space="preserve"> </w:t>
            </w:r>
            <w:r>
              <w:rPr>
                <w:sz w:val="20"/>
                <w:szCs w:val="20"/>
              </w:rPr>
              <w:t xml:space="preserve">‘GPS Block III’</w:t>
            </w:r>
            <w:r>
              <w:rPr>
                <w:sz w:val="20"/>
                <w:szCs w:val="20"/>
              </w:rPr>
              <w:t xml:space="preserve">)</w:t>
            </w:r>
          </w:p>
        </w:tc>
      </w:tr>
      <w:tr>
        <w:tc>
          <w:tcPr>
            <w:tcW w:w="0" w:type="auto"/>
          </w:tcPr>
          <w:p>
            <w:pPr>
              <w:spacing w:line="240" w:lineRule="auto" w:before="0" w:after="0"/>
              <w:pStyle w:val="Compact"/>
            </w:pPr>
            <w:r>
              <w:rPr>
                <w:sz w:val="20"/>
                <w:szCs w:val="20"/>
              </w:rPr>
              <w:t xml:space="preserve">GPS-IIIF-PAUC</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426.8</w:t>
            </w:r>
          </w:p>
        </w:tc>
        <w:tc>
          <w:tcPr>
            <w:tcW w:w="0" w:type="auto"/>
          </w:tcPr>
          <w:p>
            <w:pPr>
              <w:spacing w:line="240" w:lineRule="auto" w:before="0" w:after="0"/>
              <w:pStyle w:val="Compact"/>
            </w:pPr>
            <w:r>
              <w:rPr>
                <w:sz w:val="20"/>
                <w:szCs w:val="20"/>
              </w:rPr>
              <w:t xml:space="preserve">DoD Selected Acquisition Report GPS IIIF FY2022: PAUC $426.8M at Qty 22 (program-acquisition unit cost)</w:t>
            </w:r>
          </w:p>
        </w:tc>
      </w:tr>
      <w:tr>
        <w:tc>
          <w:tcPr>
            <w:tcW w:w="0" w:type="auto"/>
          </w:tcPr>
          <w:p>
            <w:pPr>
              <w:spacing w:line="240" w:lineRule="auto" w:before="0" w:after="0"/>
              <w:pStyle w:val="Compact"/>
            </w:pPr>
            <w:r>
              <w:rPr>
                <w:sz w:val="20"/>
                <w:szCs w:val="20"/>
              </w:rPr>
              <w:t xml:space="preserve">GPS-IIIF-APUC</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310.7</w:t>
            </w:r>
          </w:p>
        </w:tc>
        <w:tc>
          <w:tcPr>
            <w:tcW w:w="0" w:type="auto"/>
          </w:tcPr>
          <w:p>
            <w:pPr>
              <w:spacing w:line="240" w:lineRule="auto" w:before="0" w:after="0"/>
              <w:pStyle w:val="Compact"/>
            </w:pPr>
            <w:r>
              <w:rPr>
                <w:sz w:val="20"/>
                <w:szCs w:val="20"/>
              </w:rPr>
              <w:t xml:space="preserve">DoD Selected Acquisition Report GPS IIIF FY2022: APUC $310.7M at Qty 20 (recurring procurement unit cost)</w:t>
            </w:r>
          </w:p>
        </w:tc>
      </w:tr>
      <w:tr>
        <w:tc>
          <w:tcPr>
            <w:tcW w:w="0" w:type="auto"/>
          </w:tcPr>
          <w:p>
            <w:pPr>
              <w:spacing w:line="240" w:lineRule="auto" w:before="0" w:after="0"/>
              <w:pStyle w:val="Compact"/>
            </w:pPr>
            <w:r>
              <w:rPr>
                <w:sz w:val="20"/>
                <w:szCs w:val="20"/>
              </w:rPr>
              <w:t xml:space="preserve">GPS-IIIF-lot</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Lockheed Martin press release: $514M for GPS IIIF SV23-24 = $257M/SV (later-lot recurring unit cost)</w:t>
            </w:r>
          </w:p>
        </w:tc>
      </w:tr>
      <w:tr>
        <w:tc>
          <w:tcPr>
            <w:tcW w:w="0" w:type="auto"/>
          </w:tcPr>
          <w:p>
            <w:pPr>
              <w:spacing w:line="240" w:lineRule="auto" w:before="0" w:after="0"/>
              <w:pStyle w:val="Compact"/>
            </w:pPr>
            <w:r>
              <w:rPr>
                <w:sz w:val="20"/>
                <w:szCs w:val="20"/>
              </w:rPr>
              <w:t xml:space="preserve">Galileo-FOC-8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Spaceflight Now (2017): OHB 8-satellite Galileo FOC order EUR 324M = ~EUR 40.5M (~$44M)/satellite</w:t>
            </w:r>
          </w:p>
        </w:tc>
      </w:tr>
      <w:tr>
        <w:tc>
          <w:tcPr>
            <w:tcW w:w="0" w:type="auto"/>
          </w:tcPr>
          <w:p>
            <w:pPr>
              <w:spacing w:line="240" w:lineRule="auto" w:before="0" w:after="0"/>
              <w:pStyle w:val="Compact"/>
            </w:pPr>
            <w:r>
              <w:rPr>
                <w:sz w:val="20"/>
                <w:szCs w:val="20"/>
              </w:rPr>
              <w:t xml:space="preserve">Galileo-FOC-4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Spaceflight Now (2017): OHB 4-satellite Galileo FOC order EUR 157.75M = ~EUR 39.4M (~$43M)/satellite</w:t>
            </w:r>
          </w:p>
        </w:tc>
      </w:tr>
      <w:tr>
        <w:tc>
          <w:tcPr>
            <w:tcW w:w="0" w:type="auto"/>
          </w:tcPr>
          <w:p>
            <w:pPr>
              <w:spacing w:line="240" w:lineRule="auto" w:before="0" w:after="0"/>
              <w:pStyle w:val="Compact"/>
            </w:pPr>
            <w:r>
              <w:rPr>
                <w:sz w:val="20"/>
                <w:szCs w:val="20"/>
              </w:rPr>
              <w:t xml:space="preserve">Iridium-1stGen</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64.9</w:t>
            </w:r>
          </w:p>
        </w:tc>
        <w:tc>
          <w:tcPr>
            <w:tcW w:w="0" w:type="auto"/>
          </w:tcPr>
          <w:p>
            <w:pPr>
              <w:spacing w:line="240" w:lineRule="auto" w:before="0" w:after="0"/>
              <w:pStyle w:val="Compact"/>
            </w:pPr>
            <w:r>
              <w:rPr>
                <w:sz w:val="20"/>
                <w:szCs w:val="20"/>
              </w:rPr>
              <w:t xml:space="preserve">Wikipedia</w:t>
            </w:r>
            <w:r>
              <w:rPr>
                <w:sz w:val="20"/>
                <w:szCs w:val="20"/>
              </w:rPr>
              <w:t xml:space="preserve"> </w:t>
            </w:r>
            <w:r>
              <w:rPr>
                <w:sz w:val="20"/>
                <w:szCs w:val="20"/>
              </w:rPr>
              <w:t xml:space="preserve">‘Iridium satellite constellation’</w:t>
            </w:r>
            <w:r>
              <w:rPr>
                <w:sz w:val="20"/>
                <w:szCs w:val="20"/>
              </w:rPr>
              <w:t xml:space="preserve"> </w:t>
            </w:r>
            <w:r>
              <w:rPr>
                <w:sz w:val="20"/>
                <w:szCs w:val="20"/>
              </w:rPr>
              <w:t xml:space="preserve">/ Smithsonian: ~$5B for first-gen fleet, 95 of 99 built = ~$64.9M/sat</w:t>
            </w:r>
          </w:p>
        </w:tc>
      </w:tr>
      <w:tr>
        <w:tc>
          <w:tcPr>
            <w:tcW w:w="0" w:type="auto"/>
          </w:tcPr>
          <w:p>
            <w:pPr>
              <w:spacing w:line="240" w:lineRule="auto" w:before="0" w:after="0"/>
              <w:pStyle w:val="Compact"/>
            </w:pPr>
            <w:r>
              <w:rPr>
                <w:sz w:val="20"/>
                <w:szCs w:val="20"/>
              </w:rPr>
              <w:t xml:space="preserve">IridiumNEXT</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eoPortal Iridium NEXT: $2.2B for 81 satellites = ~$27.2M/sat program-average unit cost</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Airbus press release (2019) / eoPortal: OneWeb high-volume line, ~648-satellite system, target &lt;$0.5M/satellite</w:t>
            </w:r>
          </w:p>
        </w:tc>
      </w:tr>
      <w:tr>
        <w:tc>
          <w:tcPr>
            <w:tcW w:w="0" w:type="auto"/>
          </w:tcPr>
          <w:p>
            <w:pPr>
              <w:spacing w:line="240" w:lineRule="auto" w:before="0" w:after="0"/>
              <w:pStyle w:val="Compact"/>
            </w:pPr>
            <w:r>
              <w:rPr>
                <w:sz w:val="20"/>
                <w:szCs w:val="20"/>
              </w:rPr>
              <w:t xml:space="preserve">Starlink-v1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NextBigFuture / SpaceX (Shotwell): Starlink manufacturing ~$250k-$500k/satellite; v1 mass production ~$0.3M</w:t>
            </w:r>
          </w:p>
        </w:tc>
      </w:tr>
      <w:tr>
        <w:tc>
          <w:tcPr>
            <w:tcW w:w="0" w:type="auto"/>
          </w:tcPr>
          <w:p>
            <w:pPr>
              <w:spacing w:line="240" w:lineRule="auto" w:before="0" w:after="0"/>
              <w:pStyle w:val="Compact"/>
            </w:pPr>
            <w:r>
              <w:rPr>
                <w:sz w:val="20"/>
                <w:szCs w:val="20"/>
              </w:rPr>
              <w:t xml:space="preserve">GOES-R-bus-2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eoPortal GOES-R / Lockheed Martin: initial 2-satellite baseline $1.09B = ~$545M/satellite (bus)</w:t>
            </w:r>
          </w:p>
        </w:tc>
      </w:tr>
      <w:tr>
        <w:tc>
          <w:tcPr>
            <w:tcW w:w="0" w:type="auto"/>
          </w:tcPr>
          <w:p>
            <w:pPr>
              <w:spacing w:line="240" w:lineRule="auto" w:before="0" w:after="0"/>
              <w:pStyle w:val="Compact"/>
            </w:pPr>
            <w:r>
              <w:rPr>
                <w:sz w:val="20"/>
                <w:szCs w:val="20"/>
              </w:rPr>
              <w:t xml:space="preserve">GOES-R-bus-4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eoPortal GOES-R / Lockheed Martin: options for satellites 3-4 -&gt; $2.1B for 4 = ~$525M/satellite (bus)</w:t>
            </w:r>
          </w:p>
        </w:tc>
      </w:tr>
      <w:tr>
        <w:tc>
          <w:tcPr>
            <w:tcW w:w="0" w:type="auto"/>
          </w:tcPr>
          <w:p>
            <w:pPr>
              <w:spacing w:line="240" w:lineRule="auto" w:before="0" w:after="0"/>
              <w:pStyle w:val="Compact"/>
            </w:pPr>
            <w:r>
              <w:rPr>
                <w:sz w:val="20"/>
                <w:szCs w:val="20"/>
              </w:rPr>
              <w:t xml:space="preserve">ABI</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127.5</w:t>
            </w:r>
          </w:p>
        </w:tc>
        <w:tc>
          <w:tcPr>
            <w:tcW w:w="0" w:type="auto"/>
          </w:tcPr>
          <w:p>
            <w:pPr>
              <w:spacing w:line="240" w:lineRule="auto" w:before="0" w:after="0"/>
              <w:pStyle w:val="Compact"/>
            </w:pPr>
            <w:r>
              <w:rPr>
                <w:sz w:val="20"/>
                <w:szCs w:val="20"/>
              </w:rPr>
              <w:t xml:space="preserve">Aerospace America (AIAA)</w:t>
            </w:r>
            <w:r>
              <w:rPr>
                <w:sz w:val="20"/>
                <w:szCs w:val="20"/>
              </w:rPr>
              <w:t xml:space="preserve"> </w:t>
            </w:r>
            <w:r>
              <w:rPr>
                <w:sz w:val="20"/>
                <w:szCs w:val="20"/>
              </w:rPr>
              <w:t xml:space="preserve">‘Building GOES-R’</w:t>
            </w:r>
            <w:r>
              <w:rPr>
                <w:sz w:val="20"/>
                <w:szCs w:val="20"/>
              </w:rPr>
              <w:t xml:space="preserve">: ~$255M dev+prototype+2 flight ABI units = ~$127.5M/unit</w:t>
            </w:r>
          </w:p>
        </w:tc>
      </w:tr>
      <w:tr>
        <w:tc>
          <w:tcPr>
            <w:tcW w:w="0" w:type="auto"/>
          </w:tcPr>
          <w:p>
            <w:pPr>
              <w:spacing w:line="240" w:lineRule="auto" w:before="0" w:after="0"/>
              <w:pStyle w:val="Compact"/>
            </w:pPr>
            <w:r>
              <w:rPr>
                <w:sz w:val="20"/>
                <w:szCs w:val="20"/>
              </w:rPr>
              <w:t xml:space="preserve">OLI-1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127.9</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‘Ball Aerospace Wins Landsat Instrument Contract’</w:t>
            </w:r>
            <w:r>
              <w:rPr>
                <w:sz w:val="20"/>
                <w:szCs w:val="20"/>
              </w:rPr>
              <w:t xml:space="preserve">: $127.9M OLI development contract (Landsat 8)</w:t>
            </w:r>
          </w:p>
        </w:tc>
      </w:tr>
      <w:tr>
        <w:tc>
          <w:tcPr>
            <w:tcW w:w="0" w:type="auto"/>
          </w:tcPr>
          <w:p>
            <w:pPr>
              <w:spacing w:line="240" w:lineRule="auto" w:before="0" w:after="0"/>
              <w:pStyle w:val="Compact"/>
            </w:pPr>
            <w:r>
              <w:rPr>
                <w:sz w:val="20"/>
                <w:szCs w:val="20"/>
              </w:rPr>
              <w:t xml:space="preserve">VIIRS-JPSS34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282</w:t>
            </w:r>
          </w:p>
        </w:tc>
        <w:tc>
          <w:tcPr>
            <w:tcW w:w="0" w:type="auto"/>
          </w:tcPr>
          <w:p>
            <w:pPr>
              <w:spacing w:line="240" w:lineRule="auto" w:before="0" w:after="0"/>
              <w:pStyle w:val="Compact"/>
            </w:pPr>
            <w:r>
              <w:rPr>
                <w:sz w:val="20"/>
                <w:szCs w:val="20"/>
              </w:rPr>
              <w:t xml:space="preserve">Raytheon press release (2016): $564M for two VIIRS instruments (JPSS-3/-4) = $282M/unit</w:t>
            </w:r>
          </w:p>
        </w:tc>
      </w:tr>
      <w:tr>
        <w:tc>
          <w:tcPr>
            <w:tcW w:w="0" w:type="auto"/>
          </w:tcPr>
          <w:p>
            <w:pPr>
              <w:spacing w:line="240" w:lineRule="auto" w:before="0" w:after="0"/>
              <w:pStyle w:val="Compact"/>
            </w:pPr>
            <w:r>
              <w:rPr>
                <w:sz w:val="20"/>
                <w:szCs w:val="20"/>
              </w:rPr>
              <w:t xml:space="preserve">CERES-FM5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NASA Langley CERES (ceres.larc.nasa.gov): later flight model (Suomi NPP), heritage repeat build; first-lot anchor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Wikipedia</w:t>
            </w:r>
            <w:r>
              <w:rPr>
                <w:sz w:val="20"/>
                <w:szCs w:val="20"/>
              </w:rPr>
              <w:t xml:space="preserve"> </w:t>
            </w:r>
            <w:r>
              <w:rPr>
                <w:sz w:val="20"/>
                <w:szCs w:val="20"/>
              </w:rPr>
              <w:t xml:space="preserve">‘Advanced microwave sounding unit’</w:t>
            </w:r>
            <w:r>
              <w:rPr>
                <w:sz w:val="20"/>
                <w:szCs w:val="20"/>
              </w:rPr>
              <w:t xml:space="preserve"> </w:t>
            </w:r>
            <w:r>
              <w:rPr>
                <w:sz w:val="20"/>
                <w:szCs w:val="20"/>
              </w:rPr>
              <w:t xml:space="preserve">/ Aerojet: 8 AMSU-A copies (NOAA/Aqua/MetOp) [illustrative line-average]</w:t>
            </w:r>
          </w:p>
        </w:tc>
      </w:tr>
      <w:tr>
        <w:tc>
          <w:tcPr>
            <w:tcW w:w="0" w:type="auto"/>
          </w:tcPr>
          <w:p>
            <w:pPr>
              <w:spacing w:line="240" w:lineRule="auto" w:before="0" w:after="0"/>
              <w:pStyle w:val="Compact"/>
            </w:pPr>
            <w:r>
              <w:rPr>
                <w:sz w:val="20"/>
                <w:szCs w:val="20"/>
              </w:rPr>
              <w:t xml:space="preserve">TDRS-3rdGen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NASA TDRS program (nasa.gov/gsfc): Boeing TDRS-K/L/M three-satellite block [illustrative block-average]</w:t>
            </w:r>
          </w:p>
        </w:tc>
      </w:tr>
      <w:tr>
        <w:tc>
          <w:tcPr>
            <w:tcW w:w="0" w:type="auto"/>
          </w:tcPr>
          <w:p>
            <w:pPr>
              <w:spacing w:line="240" w:lineRule="auto" w:before="0" w:after="0"/>
              <w:pStyle w:val="Compact"/>
            </w:pPr>
            <w:r>
              <w:rPr>
                <w:sz w:val="20"/>
                <w:szCs w:val="20"/>
              </w:rPr>
              <w:t xml:space="preserve">Mastcam</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Bell et al. 2021 Space Sci Rev 217:24 / MSSS: Mastcam x2 + Mastcam-Z x2 build-to-print FPA copies [illustrative line-average]</w:t>
            </w:r>
          </w:p>
        </w:tc>
      </w:tr>
      <w:tr>
        <w:tc>
          <w:tcPr>
            <w:tcW w:w="0" w:type="auto"/>
          </w:tcPr>
          <w:p>
            <w:pPr>
              <w:spacing w:line="240" w:lineRule="auto" w:before="0" w:after="0"/>
              <w:pStyle w:val="Compact"/>
            </w:pPr>
            <w:r>
              <w:rPr>
                <w:sz w:val="20"/>
                <w:szCs w:val="20"/>
              </w:rPr>
              <w:t xml:space="preserve">SeaWiFS-OrbView</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NASA SeaWiFS (oceancolor.gsfc.nasa.gov): single OrbView-2 ocean-color flight unit; first-of-line anchor</w:t>
            </w:r>
          </w:p>
        </w:tc>
      </w:tr>
    </w:tbl>
    <w:bookmarkEnd w:id="217"/>
    <w:bookmarkStart w:id="21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unit_cost_m</w:t>
            </w:r>
          </w:p>
        </w:tc>
        <w:tc>
          <w:tcPr>
            <w:tcW w:w="0" w:type="auto"/>
          </w:tcPr>
          <w:p>
            <w:pPr>
              <w:spacing w:line="240" w:lineRule="auto" w:before="0" w:after="0"/>
              <w:pStyle w:val="Compact"/>
            </w:pPr>
            <w:r>
              <w:rPr>
                <w:sz w:val="20"/>
                <w:szCs w:val="20"/>
              </w:rPr>
              <w:t xml:space="preserve">Documented per-unit build or procurement cost of a repeat-built spaceflight detector / navigation / instrument line, in current-year US$ millions (dependent variable; entered in logs)</w:t>
            </w:r>
          </w:p>
        </w:tc>
        <w:tc>
          <w:tcPr>
            <w:tcW w:w="0" w:type="auto"/>
          </w:tcPr>
          <w:p>
            <w:pPr>
              <w:spacing w:line="240" w:lineRule="auto" w:before="0" w:after="0"/>
              <w:pStyle w:val="Compact"/>
            </w:pPr>
            <w:r>
              <w:rPr>
                <w:sz w:val="20"/>
                <w:szCs w:val="20"/>
              </w:rPr>
              <w:t xml:space="preserve">DoD Selected Acquisition Report GPS IIIF FY2022; Lockheed Martin, Raytheon, Airbus press releases; eoPortal; NASA program pages; SpaceNews; Spaceflight Now</w:t>
            </w:r>
          </w:p>
        </w:tc>
      </w:tr>
      <w:tr>
        <w:tc>
          <w:tcPr>
            <w:tcW w:w="0" w:type="auto"/>
          </w:tcPr>
          <w:p>
            <w:pPr>
              <w:spacing w:line="240" w:lineRule="auto" w:before="0" w:after="0"/>
              <w:pStyle w:val="Compact"/>
            </w:pPr>
            <w:r>
              <w:rPr>
                <w:sz w:val="20"/>
                <w:szCs w:val="20"/>
              </w:rPr>
              <w:t xml:space="preserve">cum_qty</w:t>
            </w:r>
          </w:p>
        </w:tc>
        <w:tc>
          <w:tcPr>
            <w:tcW w:w="0" w:type="auto"/>
          </w:tcPr>
          <w:p>
            <w:pPr>
              <w:spacing w:line="240" w:lineRule="auto" w:before="0" w:after="0"/>
              <w:pStyle w:val="Compact"/>
            </w:pPr>
            <w:r>
              <w:rPr>
                <w:sz w:val="20"/>
                <w:szCs w:val="20"/>
              </w:rPr>
              <w:t xml:space="preserve">Documented cumulative flight-build quantity of the line at the reported cost point (number of flight units; independent variable, entered in logs)</w:t>
            </w:r>
          </w:p>
        </w:tc>
        <w:tc>
          <w:tcPr>
            <w:tcW w:w="0" w:type="auto"/>
          </w:tcPr>
          <w:p>
            <w:pPr>
              <w:spacing w:line="240" w:lineRule="auto" w:before="0" w:after="0"/>
              <w:pStyle w:val="Compact"/>
            </w:pPr>
            <w:r>
              <w:rPr>
                <w:sz w:val="20"/>
                <w:szCs w:val="20"/>
              </w:rPr>
              <w:t xml:space="preserve">Program build records via eoPortal, Wikipedia program pages, NASA/NOAA fact sheets, contractor press releases</w:t>
            </w:r>
          </w:p>
        </w:tc>
      </w:tr>
      <w:tr>
        <w:tc>
          <w:tcPr>
            <w:tcW w:w="0" w:type="auto"/>
          </w:tcPr>
          <w:p>
            <w:pPr>
              <w:spacing w:line="240" w:lineRule="auto" w:before="0" w:after="0"/>
              <w:pStyle w:val="Compact"/>
            </w:pPr>
            <w:r>
              <w:rPr>
                <w:sz w:val="20"/>
                <w:szCs w:val="20"/>
              </w:rPr>
              <w:t xml:space="preserve">line</w:t>
            </w:r>
          </w:p>
        </w:tc>
        <w:tc>
          <w:tcPr>
            <w:tcW w:w="0" w:type="auto"/>
          </w:tcPr>
          <w:p>
            <w:pPr>
              <w:spacing w:line="240" w:lineRule="auto" w:before="0" w:after="0"/>
              <w:pStyle w:val="Compact"/>
            </w:pPr>
            <w:r>
              <w:rPr>
                <w:sz w:val="20"/>
                <w:szCs w:val="20"/>
              </w:rPr>
              <w:t xml:space="preserve">Program / instrument-line identifier used for context and clustering (not a regressor)</w:t>
            </w:r>
          </w:p>
        </w:tc>
        <w:tc>
          <w:tcPr>
            <w:tcW w:w="0" w:type="auto"/>
          </w:tcPr>
          <w:p>
            <w:pPr>
              <w:spacing w:line="240" w:lineRule="auto" w:before="0" w:after="0"/>
              <w:pStyle w:val="Compact"/>
            </w:pPr>
            <w:r>
              <w:rPr>
                <w:sz w:val="20"/>
                <w:szCs w:val="20"/>
              </w:rPr>
              <w:t xml:space="preserve">Compiled from the cited program sources</w:t>
            </w:r>
          </w:p>
        </w:tc>
      </w:tr>
      <w:tr>
        <w:tc>
          <w:tcPr>
            <w:tcW w:w="0" w:type="auto"/>
          </w:tcPr>
          <w:p>
            <w:pPr>
              <w:spacing w:line="240" w:lineRule="auto" w:before="0" w:after="0"/>
              <w:pStyle w:val="Compact"/>
            </w:pPr>
            <w:r>
              <w:rPr>
                <w:sz w:val="20"/>
                <w:szCs w:val="20"/>
              </w:rPr>
              <w:t xml:space="preserve">beta</w:t>
            </w:r>
          </w:p>
        </w:tc>
        <w:tc>
          <w:tcPr>
            <w:tcW w:w="0" w:type="auto"/>
          </w:tcPr>
          <w:p>
            <w:pPr>
              <w:spacing w:line="240" w:lineRule="auto" w:before="0" w:after="0"/>
              <w:pStyle w:val="Compact"/>
            </w:pPr>
            <w:r>
              <w:rPr>
                <w:sz w:val="20"/>
                <w:szCs w:val="20"/>
              </w:rPr>
              <w:t xml:space="preserve">Cost elasticity with respect to cumulative quantity (log-log slope); the learning percentage is 100 times 2 raised to beta</w:t>
            </w:r>
          </w:p>
        </w:tc>
        <w:tc>
          <w:tcPr>
            <w:tcW w:w="0" w:type="auto"/>
          </w:tcPr>
          <w:p>
            <w:pPr>
              <w:spacing w:line="240" w:lineRule="auto" w:before="0" w:after="0"/>
              <w:pStyle w:val="Compact"/>
            </w:pPr>
            <w:r>
              <w:rPr>
                <w:sz w:val="20"/>
                <w:szCs w:val="20"/>
              </w:rPr>
              <w:t xml:space="preserve">Estimated from the panel by log-log OLS with HC1 robust standard errors</w:t>
            </w:r>
          </w:p>
        </w:tc>
      </w:tr>
    </w:tbl>
    <w:bookmarkEnd w:id="218"/>
    <w:bookmarkEnd w:id="219"/>
    <w:bookmarkEnd w:id="22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5" Type="http://schemas.openxmlformats.org/officeDocument/2006/relationships/image" Target="media/rId205.png"/><Relationship Id="rId213" Type="http://schemas.openxmlformats.org/officeDocument/2006/relationships/image" Target="media/rId213.png"/><Relationship Id="rId175" Type="http://schemas.openxmlformats.org/officeDocument/2006/relationships/hyperlink" Target="https://doi.org/10.1007/s11214-020-00755-x" TargetMode="External"/><Relationship Id="rId165" Type="http://schemas.openxmlformats.org/officeDocument/2006/relationships/hyperlink" Target="https://doi.org/10.1016/j.actaastro.2019.09.029" TargetMode="External"/><Relationship Id="rId159" Type="http://schemas.openxmlformats.org/officeDocument/2006/relationships/hyperlink" Target="https://doi.org/10.1016/j.actaastro.2019.09.030" TargetMode="External"/><Relationship Id="rId163" Type="http://schemas.openxmlformats.org/officeDocument/2006/relationships/hyperlink" Target="https://doi.org/10.1016/j.actaastro.2020.06.031" TargetMode="External"/><Relationship Id="rId195" Type="http://schemas.openxmlformats.org/officeDocument/2006/relationships/hyperlink" Target="https://doi.org/10.1016/j.actaastro.2021.01.048" TargetMode="External"/><Relationship Id="rId191" Type="http://schemas.openxmlformats.org/officeDocument/2006/relationships/hyperlink" Target="https://doi.org/10.1016/j.actaastro.2022.02.009" TargetMode="External"/><Relationship Id="rId197" Type="http://schemas.openxmlformats.org/officeDocument/2006/relationships/hyperlink" Target="https://doi.org/10.1016/j.actaastro.2024.10.066" TargetMode="External"/><Relationship Id="rId201" Type="http://schemas.openxmlformats.org/officeDocument/2006/relationships/hyperlink" Target="https://doi.org/10.1016/j.actaastro.2025.05.039" TargetMode="External"/><Relationship Id="rId189" Type="http://schemas.openxmlformats.org/officeDocument/2006/relationships/hyperlink" Target="https://doi.org/10.1016/j.actaastro.2025.08.042" TargetMode="External"/><Relationship Id="rId193" Type="http://schemas.openxmlformats.org/officeDocument/2006/relationships/hyperlink" Target="https://doi.org/10.1016/j.actaastro.2025.10.050" TargetMode="External"/><Relationship Id="rId187" Type="http://schemas.openxmlformats.org/officeDocument/2006/relationships/hyperlink" Target="https://doi.org/10.1016/j.actaastro.2026.05.010" TargetMode="External"/><Relationship Id="rId199" Type="http://schemas.openxmlformats.org/officeDocument/2006/relationships/hyperlink" Target="https://doi.org/10.1016/j.actaastro.2026.05.029" TargetMode="External"/><Relationship Id="rId180" Type="http://schemas.openxmlformats.org/officeDocument/2006/relationships/hyperlink" Target="https://doi.org/10.64861/UKLE4659" TargetMode="External"/><Relationship Id="rId183" Type="http://schemas.openxmlformats.org/officeDocument/2006/relationships/hyperlink" Target="https://doi.org/10.64861/VUMF3172"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07/s11214-020-00755-x" TargetMode="External"/><Relationship Id="rId165" Type="http://schemas.openxmlformats.org/officeDocument/2006/relationships/hyperlink" Target="https://doi.org/10.1016/j.actaastro.2019.09.029" TargetMode="External"/><Relationship Id="rId159" Type="http://schemas.openxmlformats.org/officeDocument/2006/relationships/hyperlink" Target="https://doi.org/10.1016/j.actaastro.2019.09.030" TargetMode="External"/><Relationship Id="rId163" Type="http://schemas.openxmlformats.org/officeDocument/2006/relationships/hyperlink" Target="https://doi.org/10.1016/j.actaastro.2020.06.031" TargetMode="External"/><Relationship Id="rId195" Type="http://schemas.openxmlformats.org/officeDocument/2006/relationships/hyperlink" Target="https://doi.org/10.1016/j.actaastro.2021.01.048" TargetMode="External"/><Relationship Id="rId191" Type="http://schemas.openxmlformats.org/officeDocument/2006/relationships/hyperlink" Target="https://doi.org/10.1016/j.actaastro.2022.02.009" TargetMode="External"/><Relationship Id="rId197" Type="http://schemas.openxmlformats.org/officeDocument/2006/relationships/hyperlink" Target="https://doi.org/10.1016/j.actaastro.2024.10.066" TargetMode="External"/><Relationship Id="rId201" Type="http://schemas.openxmlformats.org/officeDocument/2006/relationships/hyperlink" Target="https://doi.org/10.1016/j.actaastro.2025.05.039" TargetMode="External"/><Relationship Id="rId189" Type="http://schemas.openxmlformats.org/officeDocument/2006/relationships/hyperlink" Target="https://doi.org/10.1016/j.actaastro.2025.08.042" TargetMode="External"/><Relationship Id="rId193" Type="http://schemas.openxmlformats.org/officeDocument/2006/relationships/hyperlink" Target="https://doi.org/10.1016/j.actaastro.2025.10.050" TargetMode="External"/><Relationship Id="rId187" Type="http://schemas.openxmlformats.org/officeDocument/2006/relationships/hyperlink" Target="https://doi.org/10.1016/j.actaastro.2026.05.010" TargetMode="External"/><Relationship Id="rId199" Type="http://schemas.openxmlformats.org/officeDocument/2006/relationships/hyperlink" Target="https://doi.org/10.1016/j.actaastro.2026.05.029" TargetMode="External"/><Relationship Id="rId180" Type="http://schemas.openxmlformats.org/officeDocument/2006/relationships/hyperlink" Target="https://doi.org/10.64861/UKLE4659" TargetMode="External"/><Relationship Id="rId183" Type="http://schemas.openxmlformats.org/officeDocument/2006/relationships/hyperlink" Target="https://doi.org/10.64861/VUMF3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Curves for Spaceflight Detectors: Do Repeat Builds of an Instrument Arc</dc:title>
  <dc:creator>Hugo Heinz (1B-INS-018)</dc:creator>
  <cp:keywords/>
  <dcterms:created xsi:type="dcterms:W3CDTF">2026-07-02T16:45:59Z</dcterms:created>
  <dcterms:modified xsi:type="dcterms:W3CDTF">2026-07-02T16:45:59Z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