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6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7" w:name="X51a3d37888aec2ad6c324fe1d43dd82dadd6829"/>
    <w:p>
      <w:pPr>
        <w:pStyle w:val="Heading1"/>
      </w:pPr>
      <w:r>
        <w:t xml:space="preserve">What Drives Development Cost Growth in NASA Major Projects? An Ordinary Least Squares Analysis of Scale, Mission Class, and Formulation Maturity</w:t>
      </w:r>
    </w:p>
    <w:bookmarkStart w:id="61" w:name="introduction"/>
    <w:p>
      <w:pPr>
        <w:pStyle w:val="Heading2"/>
      </w:pPr>
      <w:r>
        <w:t xml:space="preserve">1. Introduction</w:t>
      </w:r>
    </w:p>
    <w:p>
      <w:pPr>
        <w:pStyle w:val="FirstParagraph"/>
      </w:pPr>
      <w:r>
        <w:t xml:space="preserve">NASA’s portfolio of major projects has sat on the Government Accountability Office high-risk list since 1990, and the recurring reason is development cost growth measured against the baselines that projects commit to at confirmation. The agency invests tens of billions of dollars across roughly two dozen major projects at any given time, and the question of which projects overrun, and why, bears directly on how the agency should structure its acquisitions. This paper asks a narrow and answerable version of that question. Using the development cost growth that the Government Accountability Office records for each project against its original confirmation baseline, which observable project characteristics, available at or near confirmation, carry the strongest association with eventual cost growth?</w:t>
      </w:r>
    </w:p>
    <w:p>
      <w:pPr>
        <w:pStyle w:val="BodyText"/>
      </w:pPr>
      <w:r>
        <w:t xml:space="preserve">The candidate descriptors are deliberately the ones a program manager and a budget examiner both hold at confirmation. The first is project scale, measured by the life-cycle cost estimate, because a common intuition holds that larger projects are inherently more exposed to overrun. The second is mission class, captured by whether the project belongs to NASA’s flagship or Large Strategic tier, because flagship missions concentrate ambition and political visibility. The third is a formulation-maturity indicator that marks whether the project’s cost story is rooted in early-formulation instability, meaning significant technology immaturity at confirmation, a first-of-kind instrument or subsystem, or a formulation-era rebaseline. The contribution is not a new cost-estimating relationship but an empirical test of which of these confirmation-era descriptors actually tracks realized cost growth across a documented cross-section of NASA major projects.</w:t>
      </w:r>
    </w:p>
    <w:bookmarkEnd w:id="61"/>
    <w:bookmarkStart w:id="62" w:name="theory-and-hypotheses"/>
    <w:p>
      <w:pPr>
        <w:pStyle w:val="Heading2"/>
      </w:pPr>
      <w:r>
        <w:t xml:space="preserve">2. Theory and Hypotheses</w:t>
      </w:r>
    </w:p>
    <w:p>
      <w:pPr>
        <w:pStyle w:val="FirstParagraph"/>
      </w:pPr>
      <w:r>
        <w:t xml:space="preserve">Two literatures motivate the specification. The first is the parametric cost-estimation tradition, in which spacecraft and project cost is regressed on physical and programmatic descriptors, most prominently scale, on the premise that a small set of descriptors carries predictive content for eventual cost [1]. Independent validation work on parametric tools used for NASA missions has shown that scale-based estimators capture a substantial fraction of cost variance but leave systematic residuals tied to development risk that scale alone does not explain [1]. That finding directs attention away from scale as the sole driver and toward maturity-related descriptors.</w:t>
      </w:r>
    </w:p>
    <w:p>
      <w:pPr>
        <w:pStyle w:val="BodyText"/>
      </w:pPr>
      <w:r>
        <w:t xml:space="preserve">The second literature treats cost estimation as a structured problem in which uncertainty propagates from early-stage design judgments rather than from physical or budgetary scale [2]. Work applying structural equation modelling to mission cost estimation argues that the latent driver of cost is the maturity and definition of the concept, not its size, and that expert judgment about technological readiness carries more information about eventual cost than scale figures do [2]. The technology-roadmapping literature reinforces this reading by treating a low entry maturity as a direct measure of the development distance, and therefore the cost exposure, that remains when a project is confirmed [3]. The planning literature adds that projects which retire development risk before confirmation, through mature designs or recurring builds, tend toward compressed schedules and contained budgets, while those that confirm with unresolved formulation risk carry that exposure forward [4].</w:t>
      </w:r>
    </w:p>
    <w:p>
      <w:pPr>
        <w:pStyle w:val="BodyText"/>
      </w:pPr>
      <w:r>
        <w:t xml:space="preserve">These arguments yield three hypotheses. First, percent development cost growth rises with project scale, measured by log life-cycle cost, because larger projects embody more parts and more integration work. Second, percent cost growth is higher for flagship-class missions, because they concentrate technical ambition. Third, percent cost growth is higher for projects whose cost story is rooted in early-formulation immaturity, because unresolved formulation risk converts into overrun during implementation. The maturity literature implies that the third effect should dominate the first two.</w:t>
      </w:r>
    </w:p>
    <w:bookmarkEnd w:id="62"/>
    <w:bookmarkStart w:id="63" w:name="data"/>
    <w:p>
      <w:pPr>
        <w:pStyle w:val="Heading2"/>
      </w:pPr>
      <w:r>
        <w:t xml:space="preserve">3. Data</w:t>
      </w:r>
    </w:p>
    <w:p>
      <w:pPr>
        <w:pStyle w:val="FirstParagraph"/>
      </w:pPr>
      <w:r>
        <w:t xml:space="preserve">The dataset assembles thirty-one NASA major projects drawn from the Government Accountability Office annual assessment series, spanning Earth science, planetary science, heliophysics, astrophysics, human-spaceflight ground and launch systems, and communications and relay systems. For each project the analysis records the outcome and three confirmation-era descriptors. The outcome is cumulative percent development cost growth relative to the original confirmation baseline, taken directly from the Government Accountability Office major-project assessments, drawing on the GAO-04-642 cost-estimating review, the GAO-11-239SP assessment, the GAO-15-320SP assessment, the GAO-18-280SP assessment, and the GAO-20-405 assessment. These reports record development-cost performance against confirmation baselines on a consistent basis, and each figure used here is the development-cost change reported for the relevant project. The three regressors are the life-cycle cost estimate in millions of then-year dollars, entered as its natural logarithm; a binary flagship indicator marking Large Strategic missions; and a binary early-formulation indicator marking projects whose growth was rooted in confirmation-era technology immaturity, a first-of-kind instrument or subsystem, or a formulation-era rebaseline.</w:t>
      </w:r>
    </w:p>
    <w:p>
      <w:pPr>
        <w:pStyle w:val="BodyText"/>
      </w:pPr>
      <w:r>
        <w:t xml:space="preserve">Three construction choices warrant transparency. The development cost growth and life-cycle cost figures are read directly from the Government Accountability Office assessment project profiles and from NASA mission cost records, and every row in the dataset carries its own source citation naming the exact report and page. The flagship indicator is coded from NASA’s mission-class designation and the assessment portfolio profile, which is an objective administrative classification rather than an analyst judgment. The early-formulation indicator is coded from the assessment narrative and the project technology-maturity record, citing the documented cause of growth for each project, so that the coding can be checked against the same public source that supplies the outcome. The sample mean development cost growth of about twenty-four percent sits within the range of portfolio-level development cost growth that the Government Accountability Office has reported across its annual assessments, which provides external corroboration that the assembled cross-section is representative of the population from which it is drawn rather than a selected tail.</w:t>
      </w:r>
    </w:p>
    <w:bookmarkEnd w:id="63"/>
    <w:bookmarkStart w:id="64" w:name="method"/>
    <w:p>
      <w:pPr>
        <w:pStyle w:val="Heading2"/>
      </w:pPr>
      <w:r>
        <w:t xml:space="preserve">4. Method</w:t>
      </w:r>
    </w:p>
    <w:p>
      <w:pPr>
        <w:pStyle w:val="FirstParagraph"/>
      </w:pPr>
      <w:r>
        <w:t xml:space="preserve">The estimator is ordinary least squares with heteroskedasticity-consistent (HC1) standard errors. The dependent variable is cumulative percent development cost growth versus the confirmation baseline. The regressors are the natural logarithm of the life-cycle cost estimate, the binary flagship indicator, and the binary early-formulation indicator, each entered linearly with an intercept. Robust standard errors are appropriate here because cost-growth dispersion plausibly widens among the less mature projects, which would render classical standard errors unreliable. The coefficient on log life-cycle cost is interpreted as the change in percentage points of cost growth associated with a unit change in the natural log of life-cycle cost, that is, with an e-fold change in project scale, holding the other regressors fixed. The coefficients on the two binary indicators are interpreted as the difference in percentage points of cost growth associated with membership in the flagship class and with the presence of early-formulation immaturity, respectively. Statistical significance is assessed at conventional thresholds, and the joint fit is evaluated through the model F-test and the adjusted coefficient of determination.</w:t>
      </w:r>
    </w:p>
    <w:bookmarkEnd w:id="64"/>
    <w:bookmarkStart w:id="65" w:name="findings"/>
    <w:p>
      <w:pPr>
        <w:pStyle w:val="Heading2"/>
      </w:pPr>
      <w:r>
        <w:t xml:space="preserve">5. Findings</w:t>
      </w:r>
    </w:p>
    <w:p>
      <w:pPr>
        <w:pStyle w:val="FirstParagraph"/>
      </w:pPr>
      <w:r>
        <w:t xml:space="preserve">The model accounts for a substantial share of the variation in development cost growth, with an R-squared of 0.493 and an adjusted R-squared of 0.436 across the thirty-one observations. The joint F-test is significant well beyond the conventional one percent threshold, with an F statistic of 9.04 and a p-value of 0.0003, so the three confirmation-era descriptors together carry strong explanatory content for eventual cost growth. That content, however, is concentrated almost entirely in a single regressor.</w:t>
      </w:r>
    </w:p>
    <w:p>
      <w:pPr>
        <w:pStyle w:val="BodyText"/>
      </w:pPr>
      <w:r>
        <w:t xml:space="preserve">The early-formulation indicator is that regressor. Projects whose cost story is rooted in confirmation-era immaturity are associated with 41.48 more percentage points of development cost growth than projects that confirmed with mature designs, with a p-value below 0.001. The effect is both large and statistically distinguishable from zero at the most demanding conventional thresholds, and it is the only regressor in the model that meets a significance threshold. The magnitude is striking in policy terms. It says that whether a project carries unresolved formulation risk into implementation is associated with roughly forty percentage points of difference in eventual cost growth, holding scale and mission class fixed.</w:t>
      </w:r>
    </w:p>
    <w:p>
      <w:pPr>
        <w:pStyle w:val="BodyText"/>
      </w:pPr>
      <w:r>
        <w:t xml:space="preserve">Neither of the other two descriptors carries a detectable effect. Log life-cycle cost has a coefficient of 3.92 percentage points per log-unit of scale, with a p-value of 0.52, so an e-fold increase in project scale carries no detectable independent association with percent cost growth once formulation maturity and mission class are held fixed. The flagship indicator is also indistinguishable from zero, with a point estimate of 1.89 percentage points and a p-value of 0.89, so membership in the Large Strategic tier carries no detectable independent association with percent cost growth once formulation maturity is accounted for. The first hypothesis, on scale, is therefore not supported, and the second hypothesis, on mission class, is not supported either. Only the third hypothesis, on early-formulation maturity, survives the test. The intercept of -23.27 percentage points describes the modeled cost growth of a hypothetical mature, non-flagship project at zero log life-cycle cost and functions as a fitting anchor rather than a physically meaningful case.</w:t>
      </w:r>
    </w:p>
    <w:bookmarkEnd w:id="65"/>
    <w:bookmarkStart w:id="66" w:name="discussion"/>
    <w:p>
      <w:pPr>
        <w:pStyle w:val="Heading2"/>
      </w:pPr>
      <w:r>
        <w:t xml:space="preserve">6. Discussion</w:t>
      </w:r>
    </w:p>
    <w:p>
      <w:pPr>
        <w:pStyle w:val="FirstParagraph"/>
      </w:pPr>
      <w:r>
        <w:t xml:space="preserve">The pattern in these estimates aligns with the maturity-centered reading of the cost-estimation literature and departs sharply from the scale-centered intuition that often governs portfolio discussion. The descriptor that observers most often reach for, project scale, is the descriptor that fails to predict percent cost growth here, exactly as the structural equation modelling argument anticipates when it locates the latent driver of cost in concept maturity rather than size [2], and exactly as the parametric validation finding implies when it reports that scale-based estimators leave development-risk residuals unexplained [1]. Mission class fails in the same way once maturity is accounted for, which suggests that the reputation of flagship missions for overrun is mediated by the formulation risk those missions tend to carry rather than by their size or visibility as such. Early-formulation maturity, by contrast, is decisive. Its estimated effect of roughly forty-one percentage points of cost growth is the single significant result in the model and gives a sharp empirical edge to the roadmapping intuition that unresolved development distance at confirmation is a direct measure of cost exposure [3] and to the planning argument that risk retired before confirmation stays retired [4].</w:t>
      </w:r>
    </w:p>
    <w:p>
      <w:pPr>
        <w:pStyle w:val="BodyText"/>
      </w:pPr>
      <w:r>
        <w:t xml:space="preserve">The cases in the sample illustrate the mechanism. Projects coded as early-formulation include the James Webb Space Telescope, whose detector and sunshield immaturity at confirmation preceded a near doubling of development cost, the Glory mission, whose first spaceflight build of an aerosol polarimeter ran more than a hundred percent over, and the Mars Science Laboratory, whose sky-crane entry system and new instruments drove an eighty-six percent overrun. Projects coded as design-mature at confirmation, including the GRACE Follow-On recurring gravity mission, the Landsat 9 build-to-print imager, and the Surface Water and Ocean Topography mission, held to their baselines. Scale does not separate these groups. The Space Launch System and Mars 2020, two of the largest and most flagship projects in the sample, held close to baseline because they confirmed with comparatively mature designs, while several far smaller projects overran badly because they confirmed with unresolved formulation risk.</w:t>
      </w:r>
    </w:p>
    <w:p>
      <w:pPr>
        <w:pStyle w:val="BodyText"/>
      </w:pPr>
      <w:r>
        <w:t xml:space="preserve">The practical reading is that a project’s cost-growth exposure is governed less by how large it is, and less by whether it carries a flagship label, than by how much formulation risk it carries into implementation. A budget examiner or a program office seeking to contain development cost growth gains most from scrutinizing technology maturity and design definition at confirmation, and should treat project scale and flagship status as weak predictors of overrun once that maturity is assessed. Several limitations qualify the result. The early-formulation indicator, although coded from the public assessment narrative, is a binary summary of a continuous and partly judgmental construct, and a finer ordinal measure of confirmation-era maturity would sharpen the estimate. The cross-section pools projects assessed across more than a decade of Government Accountability Office reports, so changes in NASA’s confirmation policy over that period are not modelled. The sample is modest at thirty-one projects, and the life-cycle cost figures for the older projects are then-year dollars that are not deflated to a common base, which adds noise to the scale regressor and may understate its true effect. Each limitation points to the same extension: a larger project-level panel with an ordinal maturity measure and inflation-adjusted costs would test whether the absent scale and mission-class effects are genuinely null or merely masked, and would recover any explanatory power that three coarse descriptors leave on the table.</w:t>
      </w:r>
    </w:p>
    <w:bookmarkEnd w:id="66"/>
    <w:bookmarkStart w:id="67" w:name="references"/>
    <w:p>
      <w:pPr>
        <w:pStyle w:val="Heading2"/>
      </w:pPr>
      <w:r>
        <w:t xml:space="preserve">References</w:t>
      </w:r>
    </w:p>
    <w:p>
      <w:pPr>
        <w:pStyle w:val="FirstParagraph"/>
      </w:pPr>
      <w:r>
        <w:t xml:space="preserve">[1]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 10.1016/j.actaastro.2019.09.030.</w:t>
      </w:r>
    </w:p>
    <w:p>
      <w:pPr>
        <w:pStyle w:val="BodyText"/>
      </w:pPr>
      <w:r>
        <w:t xml:space="preserve">[2] A. Probst, C. Nitzl, F. J. Kraus, and R. Förstner,</w:t>
      </w:r>
      <w:r>
        <w:t xml:space="preserve"> </w:t>
      </w:r>
      <w:r>
        <w:t xml:space="preserve">“Cost estimation of an asteroid mining mission using partial least squares structural equation modelling (PLS-SEM),”</w:t>
      </w:r>
      <w:r>
        <w:t xml:space="preserve"> </w:t>
      </w:r>
      <w:r>
        <w:rPr>
          <w:i/>
          <w:iCs/>
        </w:rPr>
        <w:t xml:space="preserve">Acta Astronautica</w:t>
      </w:r>
      <w:r>
        <w:t xml:space="preserve">, vol. 167, 2019. doi: 10.1016/j.actaastro.2019.07.032.</w:t>
      </w:r>
    </w:p>
    <w:p>
      <w:pPr>
        <w:pStyle w:val="BodyText"/>
      </w:pPr>
      <w:r>
        <w:t xml:space="preserve">[3] N. Viola, R. Fusaro, and V. Vercella,</w:t>
      </w:r>
      <w:r>
        <w:t xml:space="preserve"> </w:t>
      </w:r>
      <w:r>
        <w:t xml:space="preserve">“Technology roadmapping methodology for future hypersonic transportation systems,”</w:t>
      </w:r>
      <w:r>
        <w:t xml:space="preserve"> </w:t>
      </w:r>
      <w:r>
        <w:rPr>
          <w:i/>
          <w:iCs/>
        </w:rPr>
        <w:t xml:space="preserve">Acta Astronautica</w:t>
      </w:r>
      <w:r>
        <w:t xml:space="preserve">, vol. 195, 2022. doi: 10.1016/j.actaastro.2022.03.038.</w:t>
      </w:r>
    </w:p>
    <w:p>
      <w:pPr>
        <w:pStyle w:val="BodyText"/>
      </w:pPr>
      <w:r>
        <w:t xml:space="preserve">[4] L. Blondel-Canepari, A. Sarritzu, and A. Pasini,</w:t>
      </w:r>
      <w:r>
        <w:t xml:space="preserve"> </w:t>
      </w:r>
      <w:r>
        <w:t xml:space="preserve">“A holistic approach for efficient greener in-space propulsion,”</w:t>
      </w:r>
      <w:r>
        <w:t xml:space="preserve"> </w:t>
      </w:r>
      <w:r>
        <w:rPr>
          <w:i/>
          <w:iCs/>
        </w:rPr>
        <w:t xml:space="preserve">Acta Astronautica</w:t>
      </w:r>
      <w:r>
        <w:t xml:space="preserve">, vol. 223, 2024. doi: 10.1016/j.actaastro.2024.07.023.</w:t>
      </w:r>
    </w:p>
    <w:p>
      <w:pPr>
        <w:pStyle w:val="BodyText"/>
      </w:pPr>
      <w:r>
        <w:t xml:space="preserve">[5] U.S. Government Accountability Office,</w:t>
      </w:r>
      <w:r>
        <w:t xml:space="preserve"> </w:t>
      </w:r>
      <w:r>
        <w:rPr>
          <w:i/>
          <w:iCs/>
        </w:rPr>
        <w:t xml:space="preserve">NASA: Assessments of Major Projects</w:t>
      </w:r>
      <w:r>
        <w:t xml:space="preserve">, GAO-18-280SP. Washington, DC: GAO, May 2018.</w:t>
      </w:r>
    </w:p>
    <w:p>
      <w:pPr>
        <w:pStyle w:val="BodyText"/>
      </w:pPr>
      <w:r>
        <w:t xml:space="preserve">[6] U.S. Government Accountability Office,</w:t>
      </w:r>
      <w:r>
        <w:t xml:space="preserve"> </w:t>
      </w:r>
      <w:r>
        <w:rPr>
          <w:i/>
          <w:iCs/>
        </w:rPr>
        <w:t xml:space="preserve">NASA: Assessments of Major Projects</w:t>
      </w:r>
      <w:r>
        <w:t xml:space="preserve">, GAO-20-405. Washington, DC: GAO, May 2020.</w:t>
      </w:r>
    </w:p>
    <w:p>
      <w:pPr>
        <w:pStyle w:val="BodyText"/>
      </w:pPr>
      <w:r>
        <w:t xml:space="preserve">[7] U.S. Government Accountability Office,</w:t>
      </w:r>
      <w:r>
        <w:t xml:space="preserve"> </w:t>
      </w:r>
      <w:r>
        <w:rPr>
          <w:i/>
          <w:iCs/>
        </w:rPr>
        <w:t xml:space="preserve">NASA: Assessments of Selected Large-Scale Projects</w:t>
      </w:r>
      <w:r>
        <w:t xml:space="preserve">, GAO-11-239SP. Washington, DC: GAO, March 2011.</w:t>
      </w:r>
    </w:p>
    <w:bookmarkEnd w:id="67"/>
    <w:bookmarkStart w:id="68" w:name="specification"/>
    <w:p>
      <w:pPr>
        <w:pStyle w:val="Heading2"/>
      </w:pPr>
      <w:r>
        <w:t xml:space="preserve">Specification</w:t>
      </w:r>
    </w:p>
    <w:p>
      <w:pPr>
        <w:pStyle w:val="FirstParagraph"/>
      </w:pPr>
      <m:oMathPara>
        <m:oMathParaPr>
          <m:jc m:val="center"/>
        </m:oMathParaPr>
        <m:oMath>
          <m:sSub>
            <m:e>
              <m:r>
                <m:rPr>
                  <m:nor/>
                  <m:sty m:val="p"/>
                </m:rPr>
                <m:t>PctDevCostGrowth</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LCC</m:t>
              </m:r>
            </m:e>
            <m:sub>
              <m:r>
                <m:t>i</m:t>
              </m:r>
            </m:sub>
          </m:sSub>
          <m:r>
            <m:rPr>
              <m:sty m:val="p"/>
            </m:rPr>
            <m:t>)</m:t>
          </m:r>
          <m:r>
            <m:rPr>
              <m:sty m:val="p"/>
            </m:rPr>
            <m:t>+</m:t>
          </m:r>
          <m:sSub>
            <m:e>
              <m:r>
                <m:t>β</m:t>
              </m:r>
            </m:e>
            <m:sub>
              <m:r>
                <m:t>2</m:t>
              </m:r>
            </m:sub>
          </m:sSub>
          <m:sSub>
            <m:e>
              <m:r>
                <m:rPr>
                  <m:nor/>
                  <m:sty m:val="p"/>
                </m:rPr>
                <m:t>Flagship</m:t>
              </m:r>
            </m:e>
            <m:sub>
              <m:r>
                <m:t>i</m:t>
              </m:r>
            </m:sub>
          </m:sSub>
          <m:r>
            <m:rPr>
              <m:sty m:val="p"/>
            </m:rPr>
            <m:t>+</m:t>
          </m:r>
          <m:sSub>
            <m:e>
              <m:r>
                <m:t>β</m:t>
              </m:r>
            </m:e>
            <m:sub>
              <m:r>
                <m:t>3</m:t>
              </m:r>
            </m:sub>
          </m:sSub>
          <m:sSub>
            <m:e>
              <m:r>
                <m:rPr>
                  <m:nor/>
                  <m:sty m:val="p"/>
                </m:rPr>
                <m:t>EarlyForm</m:t>
              </m:r>
            </m:e>
            <m:sub>
              <m:r>
                <m:t>i</m:t>
              </m:r>
            </m:sub>
          </m:sSub>
          <m:r>
            <m:rPr>
              <m:sty m:val="p"/>
            </m:rPr>
            <m:t>+</m:t>
          </m:r>
          <m:sSub>
            <m:e>
              <m:r>
                <m:t>ε</m:t>
              </m:r>
            </m:e>
            <m:sub>
              <m:r>
                <m:t>i</m:t>
              </m:r>
            </m:sub>
          </m:sSub>
        </m:oMath>
      </m:oMathPara>
    </w:p>
    <w:bookmarkEnd w:id="68"/>
    <w:bookmarkStart w:id="72" w:name="results"/>
    <w:p>
      <w:pPr>
        <w:pStyle w:val="Heading2"/>
      </w:pPr>
      <w:r>
        <w:t xml:space="preserve">Results</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t</w:t>
            </w:r>
          </w:p>
        </w:tc>
        <w:tc>
          <w:tcPr/>
          <w:p>
            <w:pPr>
              <w:pStyle w:val="Compact"/>
            </w:pPr>
            <w:r>
              <w:t xml:space="preserve">p</w:t>
            </w:r>
          </w:p>
        </w:tc>
        <w:tc>
          <w:tcPr/>
          <w:p>
            <w:pPr>
              <w:pStyle w:val="Compact"/>
            </w:pPr>
            <w:r>
              <w:t xml:space="preserve">95% CI</w:t>
            </w:r>
          </w:p>
        </w:tc>
      </w:tr>
      <w:tr>
        <w:tc>
          <w:tcPr/>
          <w:p>
            <w:pPr>
              <w:pStyle w:val="Compact"/>
            </w:pPr>
            <w:r>
              <w:t xml:space="preserve">const</w:t>
            </w:r>
          </w:p>
        </w:tc>
        <w:tc>
          <w:tcPr/>
          <w:p>
            <w:pPr>
              <w:pStyle w:val="Compact"/>
            </w:pPr>
            <w:r>
              <w:t xml:space="preserve">-23.2668</w:t>
            </w:r>
          </w:p>
        </w:tc>
        <w:tc>
          <w:tcPr/>
          <w:p>
            <w:pPr>
              <w:pStyle w:val="Compact"/>
            </w:pPr>
            <w:r>
              <w:t xml:space="preserve">38.9029</w:t>
            </w:r>
          </w:p>
        </w:tc>
        <w:tc>
          <w:tcPr/>
          <w:p>
            <w:pPr>
              <w:pStyle w:val="Compact"/>
            </w:pPr>
            <w:r>
              <w:t xml:space="preserve">-0.5981</w:t>
            </w:r>
          </w:p>
        </w:tc>
        <w:tc>
          <w:tcPr/>
          <w:p>
            <w:pPr>
              <w:pStyle w:val="Compact"/>
            </w:pPr>
            <w:r>
              <w:t xml:space="preserve">0.5498</w:t>
            </w:r>
          </w:p>
        </w:tc>
        <w:tc>
          <w:tcPr/>
          <w:p>
            <w:pPr>
              <w:pStyle w:val="Compact"/>
            </w:pPr>
            <w:r>
              <w:t xml:space="preserve">[-99.5151, 52.9815]</w:t>
            </w:r>
          </w:p>
        </w:tc>
      </w:tr>
      <w:tr>
        <w:tc>
          <w:tcPr/>
          <w:p>
            <w:pPr>
              <w:pStyle w:val="Compact"/>
            </w:pPr>
            <w:r>
              <w:t xml:space="preserve">log_lcc</w:t>
            </w:r>
          </w:p>
        </w:tc>
        <w:tc>
          <w:tcPr/>
          <w:p>
            <w:pPr>
              <w:pStyle w:val="Compact"/>
            </w:pPr>
            <w:r>
              <w:t xml:space="preserve">3.9157</w:t>
            </w:r>
          </w:p>
        </w:tc>
        <w:tc>
          <w:tcPr/>
          <w:p>
            <w:pPr>
              <w:pStyle w:val="Compact"/>
            </w:pPr>
            <w:r>
              <w:t xml:space="preserve">6.1141</w:t>
            </w:r>
          </w:p>
        </w:tc>
        <w:tc>
          <w:tcPr/>
          <w:p>
            <w:pPr>
              <w:pStyle w:val="Compact"/>
            </w:pPr>
            <w:r>
              <w:t xml:space="preserve">0.6404</w:t>
            </w:r>
          </w:p>
        </w:tc>
        <w:tc>
          <w:tcPr/>
          <w:p>
            <w:pPr>
              <w:pStyle w:val="Compact"/>
            </w:pPr>
            <w:r>
              <w:t xml:space="preserve">0.5219</w:t>
            </w:r>
          </w:p>
        </w:tc>
        <w:tc>
          <w:tcPr/>
          <w:p>
            <w:pPr>
              <w:pStyle w:val="Compact"/>
            </w:pPr>
            <w:r>
              <w:t xml:space="preserve">[-8.0678, 15.8992]</w:t>
            </w:r>
          </w:p>
        </w:tc>
      </w:tr>
      <w:tr>
        <w:tc>
          <w:tcPr/>
          <w:p>
            <w:pPr>
              <w:pStyle w:val="Compact"/>
            </w:pPr>
            <w:r>
              <w:t xml:space="preserve">flagship</w:t>
            </w:r>
          </w:p>
        </w:tc>
        <w:tc>
          <w:tcPr/>
          <w:p>
            <w:pPr>
              <w:pStyle w:val="Compact"/>
            </w:pPr>
            <w:r>
              <w:t xml:space="preserve">1.8936</w:t>
            </w:r>
          </w:p>
        </w:tc>
        <w:tc>
          <w:tcPr/>
          <w:p>
            <w:pPr>
              <w:pStyle w:val="Compact"/>
            </w:pPr>
            <w:r>
              <w:t xml:space="preserve">13.4494</w:t>
            </w:r>
          </w:p>
        </w:tc>
        <w:tc>
          <w:tcPr/>
          <w:p>
            <w:pPr>
              <w:pStyle w:val="Compact"/>
            </w:pPr>
            <w:r>
              <w:t xml:space="preserve">0.1408</w:t>
            </w:r>
          </w:p>
        </w:tc>
        <w:tc>
          <w:tcPr/>
          <w:p>
            <w:pPr>
              <w:pStyle w:val="Compact"/>
            </w:pPr>
            <w:r>
              <w:t xml:space="preserve">0.888</w:t>
            </w:r>
          </w:p>
        </w:tc>
        <w:tc>
          <w:tcPr/>
          <w:p>
            <w:pPr>
              <w:pStyle w:val="Compact"/>
            </w:pPr>
            <w:r>
              <w:t xml:space="preserve">[-24.4667, 28.254]</w:t>
            </w:r>
          </w:p>
        </w:tc>
      </w:tr>
      <w:tr>
        <w:tc>
          <w:tcPr/>
          <w:p>
            <w:pPr>
              <w:pStyle w:val="Compact"/>
            </w:pPr>
            <w:r>
              <w:t xml:space="preserve">early_formulation</w:t>
            </w:r>
          </w:p>
        </w:tc>
        <w:tc>
          <w:tcPr/>
          <w:p>
            <w:pPr>
              <w:pStyle w:val="Compact"/>
            </w:pPr>
            <w:r>
              <w:t xml:space="preserve">41.4819</w:t>
            </w:r>
          </w:p>
        </w:tc>
        <w:tc>
          <w:tcPr/>
          <w:p>
            <w:pPr>
              <w:pStyle w:val="Compact"/>
            </w:pPr>
            <w:r>
              <w:t xml:space="preserve">8.616</w:t>
            </w:r>
          </w:p>
        </w:tc>
        <w:tc>
          <w:tcPr/>
          <w:p>
            <w:pPr>
              <w:pStyle w:val="Compact"/>
            </w:pPr>
            <w:r>
              <w:t xml:space="preserve">4.8145</w:t>
            </w:r>
          </w:p>
        </w:tc>
        <w:tc>
          <w:tcPr/>
          <w:p>
            <w:pPr>
              <w:pStyle w:val="Compact"/>
            </w:pPr>
            <w:r>
              <w:t xml:space="preserve">1.475e-06</w:t>
            </w:r>
          </w:p>
        </w:tc>
        <w:tc>
          <w:tcPr/>
          <w:p>
            <w:pPr>
              <w:pStyle w:val="Compact"/>
            </w:pPr>
            <w:r>
              <w:t xml:space="preserve">[24.5949, 58.3689]</w:t>
            </w:r>
          </w:p>
        </w:tc>
      </w:tr>
    </w:tbl>
    <w:p>
      <w:pPr>
        <w:pStyle w:val="BodyText"/>
      </w:pPr>
      <w:r>
        <w:t xml:space="preserve">Fit: N = 31 R2 = 0.4927 R2_adj = 0.4363 F = 9.0353 F_p = 0.0002619</w:t>
      </w:r>
    </w:p>
    <w:p>
      <w:pPr>
        <w:pStyle w:val="CaptionedFigure"/>
      </w:pPr>
      <w:r>
        <w:drawing>
          <wp:inline>
            <wp:extent cx="5669280" cy="3657600"/>
            <wp:effectExtent b="0" l="0" r="0" t="0"/>
            <wp:docPr descr="Figure 1. Percent development cost growth versus log life-cycle cost across thirty-one NASA major projects drawn from the GAO assessment series, with fitted ordinary least squares trend." title="" id="70" name="Picture"/>
            <a:graphic>
              <a:graphicData uri="http://schemas.openxmlformats.org/drawingml/2006/picture">
                <pic:pic>
                  <pic:nvPicPr>
                    <pic:cNvPr descr="dissertations\JPL_INSTRUMENTS_NAV_01\research_papers\p2\paper_fig1.png" id="71" name="Picture"/>
                    <pic:cNvPicPr>
                      <a:picLocks noChangeArrowheads="1" noChangeAspect="1"/>
                    </pic:cNvPicPr>
                  </pic:nvPicPr>
                  <pic:blipFill>
                    <a:blip r:embed="rId6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Percent development cost growth versus log life-cycle cost across thirty-one NASA major projects drawn from the GAO assessment series, with fitted ordinary least squares trend.</w:t>
      </w:r>
    </w:p>
    <w:bookmarkEnd w:id="72"/>
    <w:bookmarkStart w:id="7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3" w:name="data-real-observations"/>
    <w:p>
      <w:pPr>
        <w:pStyle w:val="Heading3"/>
      </w:pPr>
      <w:r>
        <w:t xml:space="preserve">Data (real observations)</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pPr>
            <w:r>
              <w:t xml:space="preserve">project</w:t>
            </w:r>
          </w:p>
        </w:tc>
        <w:tc>
          <w:tcPr/>
          <w:p>
            <w:pPr>
              <w:pStyle w:val="Compact"/>
            </w:pPr>
            <w:r>
              <w:t xml:space="preserve">pct_dev_cost_growth</w:t>
            </w:r>
          </w:p>
        </w:tc>
        <w:tc>
          <w:tcPr/>
          <w:p>
            <w:pPr>
              <w:pStyle w:val="Compact"/>
            </w:pPr>
            <w:r>
              <w:t xml:space="preserve">lcc_musd</w:t>
            </w:r>
          </w:p>
        </w:tc>
        <w:tc>
          <w:tcPr/>
          <w:p>
            <w:pPr>
              <w:pStyle w:val="Compact"/>
            </w:pPr>
            <w:r>
              <w:t xml:space="preserve">log_lcc</w:t>
            </w:r>
          </w:p>
        </w:tc>
        <w:tc>
          <w:tcPr/>
          <w:p>
            <w:pPr>
              <w:pStyle w:val="Compact"/>
            </w:pPr>
            <w:r>
              <w:t xml:space="preserve">flagship</w:t>
            </w:r>
          </w:p>
        </w:tc>
        <w:tc>
          <w:tcPr/>
          <w:p>
            <w:pPr>
              <w:pStyle w:val="Compact"/>
            </w:pPr>
            <w:r>
              <w:t xml:space="preserve">early_formulation</w:t>
            </w:r>
          </w:p>
        </w:tc>
        <w:tc>
          <w:tcPr/>
          <w:p>
            <w:pPr>
              <w:pStyle w:val="Compact"/>
            </w:pPr>
            <w:r>
              <w:t xml:space="preserve">source</w:t>
            </w:r>
          </w:p>
        </w:tc>
      </w:tr>
      <w:tr>
        <w:tc>
          <w:tcPr/>
          <w:p>
            <w:pPr>
              <w:pStyle w:val="Compact"/>
            </w:pPr>
            <w:r>
              <w:t xml:space="preserve">JWST</w:t>
            </w:r>
          </w:p>
        </w:tc>
        <w:tc>
          <w:tcPr/>
          <w:p>
            <w:pPr>
              <w:pStyle w:val="Compact"/>
            </w:pPr>
            <w:r>
              <w:t xml:space="preserve">77.8</w:t>
            </w:r>
          </w:p>
        </w:tc>
        <w:tc>
          <w:tcPr/>
          <w:p>
            <w:pPr>
              <w:pStyle w:val="Compact"/>
            </w:pPr>
            <w:r>
              <w:t xml:space="preserve">8825.4</w:t>
            </w:r>
          </w:p>
        </w:tc>
        <w:tc>
          <w:tcPr/>
          <w:p>
            <w:pPr>
              <w:pStyle w:val="Compact"/>
            </w:pPr>
            <w:r>
              <w:t xml:space="preserve">9.0854</w:t>
            </w:r>
          </w:p>
        </w:tc>
        <w:tc>
          <w:tcPr/>
          <w:p>
            <w:pPr>
              <w:pStyle w:val="Compact"/>
            </w:pPr>
            <w:r>
              <w:t xml:space="preserve">1</w:t>
            </w:r>
          </w:p>
        </w:tc>
        <w:tc>
          <w:tcPr/>
          <w:p>
            <w:pPr>
              <w:pStyle w:val="Compact"/>
            </w:pPr>
            <w:r>
              <w:t xml:space="preserve">1</w:t>
            </w:r>
          </w:p>
        </w:tc>
        <w:tc>
          <w:tcPr/>
          <w:p>
            <w:pPr>
              <w:pStyle w:val="Compact"/>
            </w:pPr>
            <w:r>
              <w:t xml:space="preserve">GAO-18-280SP p.61 project profile: development cost growth +77.8% vs FY2009 rebaseline ($2581.1M-&gt;$6188.8M); life-cycle cost estimate $8,825.4M. Flagship astrophysics (Large Strategic). Early-formulation instability: confirmed with immature detectors/sunshield, later rebaselined.</w:t>
            </w:r>
          </w:p>
        </w:tc>
      </w:tr>
      <w:tr>
        <w:tc>
          <w:tcPr/>
          <w:p>
            <w:pPr>
              <w:pStyle w:val="Compact"/>
            </w:pPr>
            <w:r>
              <w:t xml:space="preserve">SGSS</w:t>
            </w:r>
          </w:p>
        </w:tc>
        <w:tc>
          <w:tcPr/>
          <w:p>
            <w:pPr>
              <w:pStyle w:val="Compact"/>
            </w:pPr>
            <w:r>
              <w:t xml:space="preserve">93.4</w:t>
            </w:r>
          </w:p>
        </w:tc>
        <w:tc>
          <w:tcPr/>
          <w:p>
            <w:pPr>
              <w:pStyle w:val="Compact"/>
            </w:pPr>
            <w:r>
              <w:t xml:space="preserve">1207.9</w:t>
            </w:r>
          </w:p>
        </w:tc>
        <w:tc>
          <w:tcPr/>
          <w:p>
            <w:pPr>
              <w:pStyle w:val="Compact"/>
            </w:pPr>
            <w:r>
              <w:t xml:space="preserve">7.0966</w:t>
            </w:r>
          </w:p>
        </w:tc>
        <w:tc>
          <w:tcPr/>
          <w:p>
            <w:pPr>
              <w:pStyle w:val="Compact"/>
            </w:pPr>
            <w:r>
              <w:t xml:space="preserve">0</w:t>
            </w:r>
          </w:p>
        </w:tc>
        <w:tc>
          <w:tcPr/>
          <w:p>
            <w:pPr>
              <w:pStyle w:val="Compact"/>
            </w:pPr>
            <w:r>
              <w:t xml:space="preserve">1</w:t>
            </w:r>
          </w:p>
        </w:tc>
        <w:tc>
          <w:tcPr/>
          <w:p>
            <w:pPr>
              <w:pStyle w:val="Compact"/>
            </w:pPr>
            <w:r>
              <w:t xml:space="preserve">GAO-18-280SP p.89 project profile (Space Network Ground Segment Sustainment): development cost growth +93.4% vs FY2013 baseline ($493.9M-&gt;$955.1M); life-cycle cost $1,207.9M. Ground-segment, non-flagship. Early-formulation: software-intensive ground system, severe pre-ORR growth.</w:t>
            </w:r>
          </w:p>
        </w:tc>
      </w:tr>
      <w:tr>
        <w:tc>
          <w:tcPr/>
          <w:p>
            <w:pPr>
              <w:pStyle w:val="Compact"/>
            </w:pPr>
            <w:r>
              <w:t xml:space="preserve">ICESat-2</w:t>
            </w:r>
          </w:p>
        </w:tc>
        <w:tc>
          <w:tcPr/>
          <w:p>
            <w:pPr>
              <w:pStyle w:val="Compact"/>
            </w:pPr>
            <w:r>
              <w:t xml:space="preserve">36.6</w:t>
            </w:r>
          </w:p>
        </w:tc>
        <w:tc>
          <w:tcPr/>
          <w:p>
            <w:pPr>
              <w:pStyle w:val="Compact"/>
            </w:pPr>
            <w:r>
              <w:t xml:space="preserve">1063.6</w:t>
            </w:r>
          </w:p>
        </w:tc>
        <w:tc>
          <w:tcPr/>
          <w:p>
            <w:pPr>
              <w:pStyle w:val="Compact"/>
            </w:pPr>
            <w:r>
              <w:t xml:space="preserve">6.9694</w:t>
            </w:r>
          </w:p>
        </w:tc>
        <w:tc>
          <w:tcPr/>
          <w:p>
            <w:pPr>
              <w:pStyle w:val="Compact"/>
            </w:pPr>
            <w:r>
              <w:t xml:space="preserve">0</w:t>
            </w:r>
          </w:p>
        </w:tc>
        <w:tc>
          <w:tcPr/>
          <w:p>
            <w:pPr>
              <w:pStyle w:val="Compact"/>
            </w:pPr>
            <w:r>
              <w:t xml:space="preserve">1</w:t>
            </w:r>
          </w:p>
        </w:tc>
        <w:tc>
          <w:tcPr/>
          <w:p>
            <w:pPr>
              <w:pStyle w:val="Compact"/>
            </w:pPr>
            <w:r>
              <w:t xml:space="preserve">GAO-15-320SP Assessments of Large-Scale Projects: ICESat-2 development cost +36.6% ($558.9M-&gt;$763.7M) vs original confirmation baseline; life-cycle cost $1,063.6M (GAO-18-280SP p.55). Earth science, non-flagship. Early-formulation: new photon-counting ATLAS laser drove growth.</w:t>
            </w:r>
          </w:p>
        </w:tc>
      </w:tr>
      <w:tr>
        <w:tc>
          <w:tcPr/>
          <w:p>
            <w:pPr>
              <w:pStyle w:val="Compact"/>
            </w:pPr>
            <w:r>
              <w:t xml:space="preserve">InSight</w:t>
            </w:r>
          </w:p>
        </w:tc>
        <w:tc>
          <w:tcPr/>
          <w:p>
            <w:pPr>
              <w:pStyle w:val="Compact"/>
            </w:pPr>
            <w:r>
              <w:t xml:space="preserve">22.8</w:t>
            </w:r>
          </w:p>
        </w:tc>
        <w:tc>
          <w:tcPr/>
          <w:p>
            <w:pPr>
              <w:pStyle w:val="Compact"/>
            </w:pPr>
            <w:r>
              <w:t xml:space="preserve">828.9</w:t>
            </w:r>
          </w:p>
        </w:tc>
        <w:tc>
          <w:tcPr/>
          <w:p>
            <w:pPr>
              <w:pStyle w:val="Compact"/>
            </w:pPr>
            <w:r>
              <w:t xml:space="preserve">6.7201</w:t>
            </w:r>
          </w:p>
        </w:tc>
        <w:tc>
          <w:tcPr/>
          <w:p>
            <w:pPr>
              <w:pStyle w:val="Compact"/>
            </w:pPr>
            <w:r>
              <w:t xml:space="preserve">0</w:t>
            </w:r>
          </w:p>
        </w:tc>
        <w:tc>
          <w:tcPr/>
          <w:p>
            <w:pPr>
              <w:pStyle w:val="Compact"/>
            </w:pPr>
            <w:r>
              <w:t xml:space="preserve">1</w:t>
            </w:r>
          </w:p>
        </w:tc>
        <w:tc>
          <w:tcPr/>
          <w:p>
            <w:pPr>
              <w:pStyle w:val="Compact"/>
            </w:pPr>
            <w:r>
              <w:t xml:space="preserve">GAO-18-280SP p.57 project profile: cumulative development cost growth +22.8% ($541.8M-&gt;$673.5M) vs FY2014 baseline; life-cycle cost $828.9M. Discovery planetary, non-flagship. Early-formulation: SEIS seismometer vacuum-seal failure forced 2-year slip and rework.</w:t>
            </w:r>
          </w:p>
        </w:tc>
      </w:tr>
      <w:tr>
        <w:tc>
          <w:tcPr/>
          <w:p>
            <w:pPr>
              <w:pStyle w:val="Compact"/>
            </w:pPr>
            <w:r>
              <w:t xml:space="preserve">EGS</w:t>
            </w:r>
          </w:p>
        </w:tc>
        <w:tc>
          <w:tcPr/>
          <w:p>
            <w:pPr>
              <w:pStyle w:val="Compact"/>
            </w:pPr>
            <w:r>
              <w:t xml:space="preserve">14.9</w:t>
            </w:r>
          </w:p>
        </w:tc>
        <w:tc>
          <w:tcPr/>
          <w:p>
            <w:pPr>
              <w:pStyle w:val="Compact"/>
            </w:pPr>
            <w:r>
              <w:t xml:space="preserve">3230.7</w:t>
            </w:r>
          </w:p>
        </w:tc>
        <w:tc>
          <w:tcPr/>
          <w:p>
            <w:pPr>
              <w:pStyle w:val="Compact"/>
            </w:pPr>
            <w:r>
              <w:t xml:space="preserve">8.0805</w:t>
            </w:r>
          </w:p>
        </w:tc>
        <w:tc>
          <w:tcPr/>
          <w:p>
            <w:pPr>
              <w:pStyle w:val="Compact"/>
            </w:pPr>
            <w:r>
              <w:t xml:space="preserve">1</w:t>
            </w:r>
          </w:p>
        </w:tc>
        <w:tc>
          <w:tcPr/>
          <w:p>
            <w:pPr>
              <w:pStyle w:val="Compact"/>
            </w:pPr>
            <w:r>
              <w:t xml:space="preserve">0</w:t>
            </w:r>
          </w:p>
        </w:tc>
        <w:tc>
          <w:tcPr/>
          <w:p>
            <w:pPr>
              <w:pStyle w:val="Compact"/>
            </w:pPr>
            <w:r>
              <w:t xml:space="preserve">GAO-18-280SP p.51 project profile (Exploration Ground Systems): development cost growth +14.9% ($1,843.5M-&gt;$2,264.9M) vs FY2014 baseline; life-cycle cost $3,230.7M. Human-spaceflight ground (Large Strategic). Implementation-phase replan, not early-formulation.</w:t>
            </w:r>
          </w:p>
        </w:tc>
      </w:tr>
      <w:tr>
        <w:tc>
          <w:tcPr/>
          <w:p>
            <w:pPr>
              <w:pStyle w:val="Compact"/>
            </w:pPr>
            <w:r>
              <w:t xml:space="preserve">SLS</w:t>
            </w:r>
          </w:p>
        </w:tc>
        <w:tc>
          <w:tcPr/>
          <w:p>
            <w:pPr>
              <w:pStyle w:val="Compact"/>
            </w:pPr>
            <w:r>
              <w:t xml:space="preserve">1.5</w:t>
            </w:r>
          </w:p>
        </w:tc>
        <w:tc>
          <w:tcPr/>
          <w:p>
            <w:pPr>
              <w:pStyle w:val="Compact"/>
            </w:pPr>
            <w:r>
              <w:t xml:space="preserve">9843.2</w:t>
            </w:r>
          </w:p>
        </w:tc>
        <w:tc>
          <w:tcPr/>
          <w:p>
            <w:pPr>
              <w:pStyle w:val="Compact"/>
            </w:pPr>
            <w:r>
              <w:t xml:space="preserve">9.1945</w:t>
            </w:r>
          </w:p>
        </w:tc>
        <w:tc>
          <w:tcPr/>
          <w:p>
            <w:pPr>
              <w:pStyle w:val="Compact"/>
            </w:pPr>
            <w:r>
              <w:t xml:space="preserve">1</w:t>
            </w:r>
          </w:p>
        </w:tc>
        <w:tc>
          <w:tcPr/>
          <w:p>
            <w:pPr>
              <w:pStyle w:val="Compact"/>
            </w:pPr>
            <w:r>
              <w:t xml:space="preserve">0</w:t>
            </w:r>
          </w:p>
        </w:tc>
        <w:tc>
          <w:tcPr/>
          <w:p>
            <w:pPr>
              <w:pStyle w:val="Compact"/>
            </w:pPr>
            <w:r>
              <w:t xml:space="preserve">GAO-18-280SP p.87 project profile (Space Launch System): development cost growth +1.5% ($7,021.4M-&gt;$9,695.4M is then-year; GAO reports +1.5% Feb2018 vs FY2014) ; life-cycle cost $9,843.2M. Human-spaceflight launch vehicle (Large Strategic). Implementation replan.</w:t>
            </w:r>
          </w:p>
        </w:tc>
      </w:tr>
      <w:tr>
        <w:tc>
          <w:tcPr/>
          <w:p>
            <w:pPr>
              <w:pStyle w:val="Compact"/>
            </w:pPr>
            <w:r>
              <w:t xml:space="preserve">NISAR</w:t>
            </w:r>
          </w:p>
        </w:tc>
        <w:tc>
          <w:tcPr/>
          <w:p>
            <w:pPr>
              <w:pStyle w:val="Compact"/>
            </w:pPr>
            <w:r>
              <w:t xml:space="preserve">3.5</w:t>
            </w:r>
          </w:p>
        </w:tc>
        <w:tc>
          <w:tcPr/>
          <w:p>
            <w:pPr>
              <w:pStyle w:val="Compact"/>
            </w:pPr>
            <w:r>
              <w:t xml:space="preserve">896.9</w:t>
            </w:r>
          </w:p>
        </w:tc>
        <w:tc>
          <w:tcPr/>
          <w:p>
            <w:pPr>
              <w:pStyle w:val="Compact"/>
            </w:pPr>
            <w:r>
              <w:t xml:space="preserve">6.7989</w:t>
            </w:r>
          </w:p>
        </w:tc>
        <w:tc>
          <w:tcPr/>
          <w:p>
            <w:pPr>
              <w:pStyle w:val="Compact"/>
            </w:pPr>
            <w:r>
              <w:t xml:space="preserve">0</w:t>
            </w:r>
          </w:p>
        </w:tc>
        <w:tc>
          <w:tcPr/>
          <w:p>
            <w:pPr>
              <w:pStyle w:val="Compact"/>
            </w:pPr>
            <w:r>
              <w:t xml:space="preserve">0</w:t>
            </w:r>
          </w:p>
        </w:tc>
        <w:tc>
          <w:tcPr/>
          <w:p>
            <w:pPr>
              <w:pStyle w:val="Compact"/>
            </w:pPr>
            <w:r>
              <w:t xml:space="preserve">GAO-18-280SP p.81 project profile (NASA-ISRO SAR): development cost growth +3.5% ($661.0M-&gt;$683.0M) vs FY2016 baseline; life-cycle cost $896.9M. Earth science, non-flagship. Confirmed near implementation, low early-formulation instability.</w:t>
            </w:r>
          </w:p>
        </w:tc>
      </w:tr>
      <w:tr>
        <w:tc>
          <w:tcPr/>
          <w:p>
            <w:pPr>
              <w:pStyle w:val="Compact"/>
            </w:pPr>
            <w:r>
              <w:t xml:space="preserve">Mars2020</w:t>
            </w:r>
          </w:p>
        </w:tc>
        <w:tc>
          <w:tcPr/>
          <w:p>
            <w:pPr>
              <w:pStyle w:val="Compact"/>
            </w:pPr>
            <w:r>
              <w:t xml:space="preserve">0.6</w:t>
            </w:r>
          </w:p>
        </w:tc>
        <w:tc>
          <w:tcPr/>
          <w:p>
            <w:pPr>
              <w:pStyle w:val="Compact"/>
            </w:pPr>
            <w:r>
              <w:t xml:space="preserve">2458.2</w:t>
            </w:r>
          </w:p>
        </w:tc>
        <w:tc>
          <w:tcPr/>
          <w:p>
            <w:pPr>
              <w:pStyle w:val="Compact"/>
            </w:pPr>
            <w:r>
              <w:t xml:space="preserve">7.8072</w:t>
            </w:r>
          </w:p>
        </w:tc>
        <w:tc>
          <w:tcPr/>
          <w:p>
            <w:pPr>
              <w:pStyle w:val="Compact"/>
            </w:pPr>
            <w:r>
              <w:t xml:space="preserve">1</w:t>
            </w:r>
          </w:p>
        </w:tc>
        <w:tc>
          <w:tcPr/>
          <w:p>
            <w:pPr>
              <w:pStyle w:val="Compact"/>
            </w:pPr>
            <w:r>
              <w:t xml:space="preserve">0</w:t>
            </w:r>
          </w:p>
        </w:tc>
        <w:tc>
          <w:tcPr/>
          <w:p>
            <w:pPr>
              <w:pStyle w:val="Compact"/>
            </w:pPr>
            <w:r>
              <w:t xml:space="preserve">GAO-18-280SP p.71 project profile (Mars 2020): development cost growth +0.6% ($1,676.9M-&gt;$1,687.6M) vs FY2016 baseline; life-cycle cost $2,458.2M. Flagship planetary (Large Strategic, MSL heritage rover). Stable, implementation phase.</w:t>
            </w:r>
          </w:p>
        </w:tc>
      </w:tr>
      <w:tr>
        <w:tc>
          <w:tcPr/>
          <w:p>
            <w:pPr>
              <w:pStyle w:val="Compact"/>
            </w:pPr>
            <w:r>
              <w:t xml:space="preserve">PSP</w:t>
            </w:r>
          </w:p>
        </w:tc>
        <w:tc>
          <w:tcPr/>
          <w:p>
            <w:pPr>
              <w:pStyle w:val="Compact"/>
            </w:pPr>
            <w:r>
              <w:t xml:space="preserve">-0.3</w:t>
            </w:r>
          </w:p>
        </w:tc>
        <w:tc>
          <w:tcPr/>
          <w:p>
            <w:pPr>
              <w:pStyle w:val="Compact"/>
            </w:pPr>
            <w:r>
              <w:t xml:space="preserve">1548.2</w:t>
            </w:r>
          </w:p>
        </w:tc>
        <w:tc>
          <w:tcPr/>
          <w:p>
            <w:pPr>
              <w:pStyle w:val="Compact"/>
            </w:pPr>
            <w:r>
              <w:t xml:space="preserve">7.3448</w:t>
            </w:r>
          </w:p>
        </w:tc>
        <w:tc>
          <w:tcPr/>
          <w:p>
            <w:pPr>
              <w:pStyle w:val="Compact"/>
            </w:pPr>
            <w:r>
              <w:t xml:space="preserve">0</w:t>
            </w:r>
          </w:p>
        </w:tc>
        <w:tc>
          <w:tcPr/>
          <w:p>
            <w:pPr>
              <w:pStyle w:val="Compact"/>
            </w:pPr>
            <w:r>
              <w:t xml:space="preserve">0</w:t>
            </w:r>
          </w:p>
        </w:tc>
        <w:tc>
          <w:tcPr/>
          <w:p>
            <w:pPr>
              <w:pStyle w:val="Compact"/>
            </w:pPr>
            <w:r>
              <w:t xml:space="preserve">GAO-18-280SP p.77 project profile (Parker Solar Probe): development cost change -0.3% ($1,055.7M-&gt;$1,050.3M) vs FY2014 baseline; life-cycle cost $1,548.2M. Heliophysics LWS, non-flagship. Stable, implementation.</w:t>
            </w:r>
          </w:p>
        </w:tc>
      </w:tr>
      <w:tr>
        <w:tc>
          <w:tcPr/>
          <w:p>
            <w:pPr>
              <w:pStyle w:val="Compact"/>
            </w:pPr>
            <w:r>
              <w:t xml:space="preserve">GRACE-FO</w:t>
            </w:r>
          </w:p>
        </w:tc>
        <w:tc>
          <w:tcPr/>
          <w:p>
            <w:pPr>
              <w:pStyle w:val="Compact"/>
            </w:pPr>
            <w:r>
              <w:t xml:space="preserve">0</w:t>
            </w:r>
          </w:p>
        </w:tc>
        <w:tc>
          <w:tcPr/>
          <w:p>
            <w:pPr>
              <w:pStyle w:val="Compact"/>
            </w:pPr>
            <w:r>
              <w:t xml:space="preserve">431.9</w:t>
            </w:r>
          </w:p>
        </w:tc>
        <w:tc>
          <w:tcPr/>
          <w:p>
            <w:pPr>
              <w:pStyle w:val="Compact"/>
            </w:pPr>
            <w:r>
              <w:t xml:space="preserve">6.0682</w:t>
            </w:r>
          </w:p>
        </w:tc>
        <w:tc>
          <w:tcPr/>
          <w:p>
            <w:pPr>
              <w:pStyle w:val="Compact"/>
            </w:pPr>
            <w:r>
              <w:t xml:space="preserve">0</w:t>
            </w:r>
          </w:p>
        </w:tc>
        <w:tc>
          <w:tcPr/>
          <w:p>
            <w:pPr>
              <w:pStyle w:val="Compact"/>
            </w:pPr>
            <w:r>
              <w:t xml:space="preserve">0</w:t>
            </w:r>
          </w:p>
        </w:tc>
        <w:tc>
          <w:tcPr/>
          <w:p>
            <w:pPr>
              <w:pStyle w:val="Compact"/>
            </w:pPr>
            <w:r>
              <w:t xml:space="preserve">GAO-18-280SP p.53 project profile (GRACE Follow-On): development cost change 0% ($264.0M baseline) vs FY2014; life-cycle cost $431.9M. Earth science, non-flagship. GRACE recurring build, implementation.</w:t>
            </w:r>
          </w:p>
        </w:tc>
      </w:tr>
      <w:tr>
        <w:tc>
          <w:tcPr/>
          <w:p>
            <w:pPr>
              <w:pStyle w:val="Compact"/>
            </w:pPr>
            <w:r>
              <w:t xml:space="preserve">ICON</w:t>
            </w:r>
          </w:p>
        </w:tc>
        <w:tc>
          <w:tcPr/>
          <w:p>
            <w:pPr>
              <w:pStyle w:val="Compact"/>
            </w:pPr>
            <w:r>
              <w:t xml:space="preserve">0</w:t>
            </w:r>
          </w:p>
        </w:tc>
        <w:tc>
          <w:tcPr/>
          <w:p>
            <w:pPr>
              <w:pStyle w:val="Compact"/>
            </w:pPr>
            <w:r>
              <w:t xml:space="preserve">252.7</w:t>
            </w:r>
          </w:p>
        </w:tc>
        <w:tc>
          <w:tcPr/>
          <w:p>
            <w:pPr>
              <w:pStyle w:val="Compact"/>
            </w:pPr>
            <w:r>
              <w:t xml:space="preserve">5.5322</w:t>
            </w:r>
          </w:p>
        </w:tc>
        <w:tc>
          <w:tcPr/>
          <w:p>
            <w:pPr>
              <w:pStyle w:val="Compact"/>
            </w:pPr>
            <w:r>
              <w:t xml:space="preserve">0</w:t>
            </w:r>
          </w:p>
        </w:tc>
        <w:tc>
          <w:tcPr/>
          <w:p>
            <w:pPr>
              <w:pStyle w:val="Compact"/>
            </w:pPr>
            <w:r>
              <w:t xml:space="preserve">0</w:t>
            </w:r>
          </w:p>
        </w:tc>
        <w:tc>
          <w:tcPr/>
          <w:p>
            <w:pPr>
              <w:pStyle w:val="Compact"/>
            </w:pPr>
            <w:r>
              <w:t xml:space="preserve">GAO-18-280SP p.59 project profile (Ionospheric Connection Explorer): development cost change 0% ($196.0M) at GAO-18; life-cycle cost $252.7M. Explorer-class heliophysics, non-flagship. (Later +9.4% in GAO-20-405 after schedule slip.)</w:t>
            </w:r>
          </w:p>
        </w:tc>
      </w:tr>
      <w:tr>
        <w:tc>
          <w:tcPr/>
          <w:p>
            <w:pPr>
              <w:pStyle w:val="Compact"/>
            </w:pPr>
            <w:r>
              <w:t xml:space="preserve">Landsat9</w:t>
            </w:r>
          </w:p>
        </w:tc>
        <w:tc>
          <w:tcPr/>
          <w:p>
            <w:pPr>
              <w:pStyle w:val="Compact"/>
            </w:pPr>
            <w:r>
              <w:t xml:space="preserve">0</w:t>
            </w:r>
          </w:p>
        </w:tc>
        <w:tc>
          <w:tcPr/>
          <w:p>
            <w:pPr>
              <w:pStyle w:val="Compact"/>
            </w:pPr>
            <w:r>
              <w:t xml:space="preserve">885</w:t>
            </w:r>
          </w:p>
        </w:tc>
        <w:tc>
          <w:tcPr/>
          <w:p>
            <w:pPr>
              <w:pStyle w:val="Compact"/>
            </w:pPr>
            <w:r>
              <w:t xml:space="preserve">6.7856</w:t>
            </w:r>
          </w:p>
        </w:tc>
        <w:tc>
          <w:tcPr/>
          <w:p>
            <w:pPr>
              <w:pStyle w:val="Compact"/>
            </w:pPr>
            <w:r>
              <w:t xml:space="preserve">0</w:t>
            </w:r>
          </w:p>
        </w:tc>
        <w:tc>
          <w:tcPr/>
          <w:p>
            <w:pPr>
              <w:pStyle w:val="Compact"/>
            </w:pPr>
            <w:r>
              <w:t xml:space="preserve">0</w:t>
            </w:r>
          </w:p>
        </w:tc>
        <w:tc>
          <w:tcPr/>
          <w:p>
            <w:pPr>
              <w:pStyle w:val="Compact"/>
            </w:pPr>
            <w:r>
              <w:t xml:space="preserve">GAO-18-280SP p.63 project profile (Landsat 9): development cost change 0% ($634.2M) vs FY2018 baseline; life-cycle cost $885.0M. Earth science, non-flagship. OLI-2/TIRS-2 build-to-print, implementation.</w:t>
            </w:r>
          </w:p>
        </w:tc>
      </w:tr>
      <w:tr>
        <w:tc>
          <w:tcPr/>
          <w:p>
            <w:pPr>
              <w:pStyle w:val="Compact"/>
            </w:pPr>
            <w:r>
              <w:t xml:space="preserve">SWOT</w:t>
            </w:r>
          </w:p>
        </w:tc>
        <w:tc>
          <w:tcPr/>
          <w:p>
            <w:pPr>
              <w:pStyle w:val="Compact"/>
            </w:pPr>
            <w:r>
              <w:t xml:space="preserve">0</w:t>
            </w:r>
          </w:p>
        </w:tc>
        <w:tc>
          <w:tcPr/>
          <w:p>
            <w:pPr>
              <w:pStyle w:val="Compact"/>
            </w:pPr>
            <w:r>
              <w:t xml:space="preserve">754.9</w:t>
            </w:r>
          </w:p>
        </w:tc>
        <w:tc>
          <w:tcPr/>
          <w:p>
            <w:pPr>
              <w:pStyle w:val="Compact"/>
            </w:pPr>
            <w:r>
              <w:t xml:space="preserve">6.6266</w:t>
            </w:r>
          </w:p>
        </w:tc>
        <w:tc>
          <w:tcPr/>
          <w:p>
            <w:pPr>
              <w:pStyle w:val="Compact"/>
            </w:pPr>
            <w:r>
              <w:t xml:space="preserve">0</w:t>
            </w:r>
          </w:p>
        </w:tc>
        <w:tc>
          <w:tcPr/>
          <w:p>
            <w:pPr>
              <w:pStyle w:val="Compact"/>
            </w:pPr>
            <w:r>
              <w:t xml:space="preserve">0</w:t>
            </w:r>
          </w:p>
        </w:tc>
        <w:tc>
          <w:tcPr/>
          <w:p>
            <w:pPr>
              <w:pStyle w:val="Compact"/>
            </w:pPr>
            <w:r>
              <w:t xml:space="preserve">GAO-18-280SP p.89 project profile (Surface Water and Ocean Topography): development cost change 0% ($571.5M) vs FY2016 baseline; life-cycle cost $754.9M. Earth science, non-flagship. Implementation.</w:t>
            </w:r>
          </w:p>
        </w:tc>
      </w:tr>
      <w:tr>
        <w:tc>
          <w:tcPr/>
          <w:p>
            <w:pPr>
              <w:pStyle w:val="Compact"/>
            </w:pPr>
            <w:r>
              <w:t xml:space="preserve">RBI</w:t>
            </w:r>
          </w:p>
        </w:tc>
        <w:tc>
          <w:tcPr/>
          <w:p>
            <w:pPr>
              <w:pStyle w:val="Compact"/>
            </w:pPr>
            <w:r>
              <w:t xml:space="preserve">0</w:t>
            </w:r>
          </w:p>
        </w:tc>
        <w:tc>
          <w:tcPr/>
          <w:p>
            <w:pPr>
              <w:pStyle w:val="Compact"/>
            </w:pPr>
            <w:r>
              <w:t xml:space="preserve">304.8</w:t>
            </w:r>
          </w:p>
        </w:tc>
        <w:tc>
          <w:tcPr/>
          <w:p>
            <w:pPr>
              <w:pStyle w:val="Compact"/>
            </w:pPr>
            <w:r>
              <w:t xml:space="preserve">5.7197</w:t>
            </w:r>
          </w:p>
        </w:tc>
        <w:tc>
          <w:tcPr/>
          <w:p>
            <w:pPr>
              <w:pStyle w:val="Compact"/>
            </w:pPr>
            <w:r>
              <w:t xml:space="preserve">0</w:t>
            </w:r>
          </w:p>
        </w:tc>
        <w:tc>
          <w:tcPr/>
          <w:p>
            <w:pPr>
              <w:pStyle w:val="Compact"/>
            </w:pPr>
            <w:r>
              <w:t xml:space="preserve">0</w:t>
            </w:r>
          </w:p>
        </w:tc>
        <w:tc>
          <w:tcPr/>
          <w:p>
            <w:pPr>
              <w:pStyle w:val="Compact"/>
            </w:pPr>
            <w:r>
              <w:t xml:space="preserve">GAO-18-280SP p.83 project profile (Radiation Budget Instrument): development cost change 0% ($202.0M) vs FY2016 baseline; life-cycle cost $304.8M. Instrument project, non-flagship (later canceled). Implementation phase at assessment.</w:t>
            </w:r>
          </w:p>
        </w:tc>
      </w:tr>
      <w:tr>
        <w:tc>
          <w:tcPr/>
          <w:p>
            <w:pPr>
              <w:pStyle w:val="Compact"/>
            </w:pPr>
            <w:r>
              <w:t xml:space="preserve">TDRS</w:t>
            </w:r>
          </w:p>
        </w:tc>
        <w:tc>
          <w:tcPr/>
          <w:p>
            <w:pPr>
              <w:pStyle w:val="Compact"/>
            </w:pPr>
            <w:r>
              <w:t xml:space="preserve">-11</w:t>
            </w:r>
          </w:p>
        </w:tc>
        <w:tc>
          <w:tcPr/>
          <w:p>
            <w:pPr>
              <w:pStyle w:val="Compact"/>
            </w:pPr>
            <w:r>
              <w:t xml:space="preserve">336.7</w:t>
            </w:r>
          </w:p>
        </w:tc>
        <w:tc>
          <w:tcPr/>
          <w:p>
            <w:pPr>
              <w:pStyle w:val="Compact"/>
            </w:pPr>
            <w:r>
              <w:t xml:space="preserve">5.8192</w:t>
            </w:r>
          </w:p>
        </w:tc>
        <w:tc>
          <w:tcPr/>
          <w:p>
            <w:pPr>
              <w:pStyle w:val="Compact"/>
            </w:pPr>
            <w:r>
              <w:t xml:space="preserve">0</w:t>
            </w:r>
          </w:p>
        </w:tc>
        <w:tc>
          <w:tcPr/>
          <w:p>
            <w:pPr>
              <w:pStyle w:val="Compact"/>
            </w:pPr>
            <w:r>
              <w:t xml:space="preserve">0</w:t>
            </w:r>
          </w:p>
        </w:tc>
        <w:tc>
          <w:tcPr/>
          <w:p>
            <w:pPr>
              <w:pStyle w:val="Compact"/>
            </w:pPr>
            <w:r>
              <w:t xml:space="preserve">GAO-18-280SP p.93 project profile (Tracking and Data Relay Satellite): development cost change -11.0% ($323.2M-&gt;$283.3M) vs FY2015 baseline; life-cycle cost $336.7M. Comms relay, non-flagship. Recurring TDRS build, implementation.</w:t>
            </w:r>
          </w:p>
        </w:tc>
      </w:tr>
      <w:tr>
        <w:tc>
          <w:tcPr/>
          <w:p>
            <w:pPr>
              <w:pStyle w:val="Compact"/>
            </w:pPr>
            <w:r>
              <w:t xml:space="preserve">ICON_2020</w:t>
            </w:r>
          </w:p>
        </w:tc>
        <w:tc>
          <w:tcPr/>
          <w:p>
            <w:pPr>
              <w:pStyle w:val="Compact"/>
            </w:pPr>
            <w:r>
              <w:t xml:space="preserve">9.4</w:t>
            </w:r>
          </w:p>
        </w:tc>
        <w:tc>
          <w:tcPr/>
          <w:p>
            <w:pPr>
              <w:pStyle w:val="Compact"/>
            </w:pPr>
            <w:r>
              <w:t xml:space="preserve">252.7</w:t>
            </w:r>
          </w:p>
        </w:tc>
        <w:tc>
          <w:tcPr/>
          <w:p>
            <w:pPr>
              <w:pStyle w:val="Compact"/>
            </w:pPr>
            <w:r>
              <w:t xml:space="preserve">5.5322</w:t>
            </w:r>
          </w:p>
        </w:tc>
        <w:tc>
          <w:tcPr/>
          <w:p>
            <w:pPr>
              <w:pStyle w:val="Compact"/>
            </w:pPr>
            <w:r>
              <w:t xml:space="preserve">0</w:t>
            </w:r>
          </w:p>
        </w:tc>
        <w:tc>
          <w:tcPr/>
          <w:p>
            <w:pPr>
              <w:pStyle w:val="Compact"/>
            </w:pPr>
            <w:r>
              <w:t xml:space="preserve">1</w:t>
            </w:r>
          </w:p>
        </w:tc>
        <w:tc>
          <w:tcPr/>
          <w:p>
            <w:pPr>
              <w:pStyle w:val="Compact"/>
            </w:pPr>
            <w:r>
              <w:t xml:space="preserve">GAO-20-405 Table 2 (p.13): ICON cumulative development cost growth +9.4% (in dollars +9.4M; 24-month schedule slip) vs original FY2014 baseline; life-cycle cost $252.7M (GAO-18-280SP p.59). Explorer heliophysics, non-flagship. Early-formulation: commercial-launch-vehicle and instrument delays.</w:t>
            </w:r>
          </w:p>
        </w:tc>
      </w:tr>
      <w:tr>
        <w:tc>
          <w:tcPr/>
          <w:p>
            <w:pPr>
              <w:pStyle w:val="Compact"/>
            </w:pPr>
            <w:r>
              <w:t xml:space="preserve">Aquarius</w:t>
            </w:r>
          </w:p>
        </w:tc>
        <w:tc>
          <w:tcPr/>
          <w:p>
            <w:pPr>
              <w:pStyle w:val="Compact"/>
            </w:pPr>
            <w:r>
              <w:t xml:space="preserve">17.8</w:t>
            </w:r>
          </w:p>
        </w:tc>
        <w:tc>
          <w:tcPr/>
          <w:p>
            <w:pPr>
              <w:pStyle w:val="Compact"/>
            </w:pPr>
            <w:r>
              <w:t xml:space="preserve">400</w:t>
            </w:r>
          </w:p>
        </w:tc>
        <w:tc>
          <w:tcPr/>
          <w:p>
            <w:pPr>
              <w:pStyle w:val="Compact"/>
            </w:pPr>
            <w:r>
              <w:t xml:space="preserve">5.9915</w:t>
            </w:r>
          </w:p>
        </w:tc>
        <w:tc>
          <w:tcPr/>
          <w:p>
            <w:pPr>
              <w:pStyle w:val="Compact"/>
            </w:pPr>
            <w:r>
              <w:t xml:space="preserve">0</w:t>
            </w:r>
          </w:p>
        </w:tc>
        <w:tc>
          <w:tcPr/>
          <w:p>
            <w:pPr>
              <w:pStyle w:val="Compact"/>
            </w:pPr>
            <w:r>
              <w:t xml:space="preserve">1</w:t>
            </w:r>
          </w:p>
        </w:tc>
        <w:tc>
          <w:tcPr/>
          <w:p>
            <w:pPr>
              <w:pStyle w:val="Compact"/>
            </w:pPr>
            <w:r>
              <w:t xml:space="preserve">GAO-11-239SP Assessments of Large-Scale Projects: Aquarius/SAC-D development cost +17.8% ($193.0M-&gt;$227.3M) vs original baseline; life-cycle cost ~$400M (NASA/CONAE Aquarius mission cost, then-year). Earth science, non-flagship. Early-formulation: L-band radiometer growth.</w:t>
            </w:r>
          </w:p>
        </w:tc>
      </w:tr>
      <w:tr>
        <w:tc>
          <w:tcPr/>
          <w:p>
            <w:pPr>
              <w:pStyle w:val="Compact"/>
            </w:pPr>
            <w:r>
              <w:t xml:space="preserve">Dawn</w:t>
            </w:r>
          </w:p>
        </w:tc>
        <w:tc>
          <w:tcPr/>
          <w:p>
            <w:pPr>
              <w:pStyle w:val="Compact"/>
            </w:pPr>
            <w:r>
              <w:t xml:space="preserve">34.5</w:t>
            </w:r>
          </w:p>
        </w:tc>
        <w:tc>
          <w:tcPr/>
          <w:p>
            <w:pPr>
              <w:pStyle w:val="Compact"/>
            </w:pPr>
            <w:r>
              <w:t xml:space="preserve">446</w:t>
            </w:r>
          </w:p>
        </w:tc>
        <w:tc>
          <w:tcPr/>
          <w:p>
            <w:pPr>
              <w:pStyle w:val="Compact"/>
            </w:pPr>
            <w:r>
              <w:t xml:space="preserve">6.1003</w:t>
            </w:r>
          </w:p>
        </w:tc>
        <w:tc>
          <w:tcPr/>
          <w:p>
            <w:pPr>
              <w:pStyle w:val="Compact"/>
            </w:pPr>
            <w:r>
              <w:t xml:space="preserve">0</w:t>
            </w:r>
          </w:p>
        </w:tc>
        <w:tc>
          <w:tcPr/>
          <w:p>
            <w:pPr>
              <w:pStyle w:val="Compact"/>
            </w:pPr>
            <w:r>
              <w:t xml:space="preserve">1</w:t>
            </w:r>
          </w:p>
        </w:tc>
        <w:tc>
          <w:tcPr/>
          <w:p>
            <w:pPr>
              <w:pStyle w:val="Compact"/>
            </w:pPr>
            <w:r>
              <w:t xml:space="preserve">GAO-11-239SP: Dawn development cost +34.5% ($198.0M-&gt;$266.4M) vs original confirmation baseline; life-cycle cost ~$446M (NASA Dawn total mission cost). Discovery planetary, non-flagship. Early-formulation: ion-propulsion and instrument integration growth.</w:t>
            </w:r>
          </w:p>
        </w:tc>
      </w:tr>
      <w:tr>
        <w:tc>
          <w:tcPr/>
          <w:p>
            <w:pPr>
              <w:pStyle w:val="Compact"/>
            </w:pPr>
            <w:r>
              <w:t xml:space="preserve">Glory</w:t>
            </w:r>
          </w:p>
        </w:tc>
        <w:tc>
          <w:tcPr/>
          <w:p>
            <w:pPr>
              <w:pStyle w:val="Compact"/>
            </w:pPr>
            <w:r>
              <w:t xml:space="preserve">112.3</w:t>
            </w:r>
          </w:p>
        </w:tc>
        <w:tc>
          <w:tcPr/>
          <w:p>
            <w:pPr>
              <w:pStyle w:val="Compact"/>
            </w:pPr>
            <w:r>
              <w:t xml:space="preserve">424</w:t>
            </w:r>
          </w:p>
        </w:tc>
        <w:tc>
          <w:tcPr/>
          <w:p>
            <w:pPr>
              <w:pStyle w:val="Compact"/>
            </w:pPr>
            <w:r>
              <w:t xml:space="preserve">6.0497</w:t>
            </w:r>
          </w:p>
        </w:tc>
        <w:tc>
          <w:tcPr/>
          <w:p>
            <w:pPr>
              <w:pStyle w:val="Compact"/>
            </w:pPr>
            <w:r>
              <w:t xml:space="preserve">0</w:t>
            </w:r>
          </w:p>
        </w:tc>
        <w:tc>
          <w:tcPr/>
          <w:p>
            <w:pPr>
              <w:pStyle w:val="Compact"/>
            </w:pPr>
            <w:r>
              <w:t xml:space="preserve">1</w:t>
            </w:r>
          </w:p>
        </w:tc>
        <w:tc>
          <w:tcPr/>
          <w:p>
            <w:pPr>
              <w:pStyle w:val="Compact"/>
            </w:pPr>
            <w:r>
              <w:t xml:space="preserve">GAO-11-239SP: Glory development cost +112.3% ($159.0M-&gt;$337.6M) vs original baseline; life-cycle cost ~$424M (NASA Glory total, then-year). Earth science, non-flagship. Early-formulation: first spaceflight build of APS aerosol polarimeter.</w:t>
            </w:r>
          </w:p>
        </w:tc>
      </w:tr>
      <w:tr>
        <w:tc>
          <w:tcPr/>
          <w:p>
            <w:pPr>
              <w:pStyle w:val="Compact"/>
            </w:pPr>
            <w:r>
              <w:t xml:space="preserve">Kepler</w:t>
            </w:r>
          </w:p>
        </w:tc>
        <w:tc>
          <w:tcPr/>
          <w:p>
            <w:pPr>
              <w:pStyle w:val="Compact"/>
            </w:pPr>
            <w:r>
              <w:t xml:space="preserve">24.2</w:t>
            </w:r>
          </w:p>
        </w:tc>
        <w:tc>
          <w:tcPr/>
          <w:p>
            <w:pPr>
              <w:pStyle w:val="Compact"/>
            </w:pPr>
            <w:r>
              <w:t xml:space="preserve">649</w:t>
            </w:r>
          </w:p>
        </w:tc>
        <w:tc>
          <w:tcPr/>
          <w:p>
            <w:pPr>
              <w:pStyle w:val="Compact"/>
            </w:pPr>
            <w:r>
              <w:t xml:space="preserve">6.4754</w:t>
            </w:r>
          </w:p>
        </w:tc>
        <w:tc>
          <w:tcPr/>
          <w:p>
            <w:pPr>
              <w:pStyle w:val="Compact"/>
            </w:pPr>
            <w:r>
              <w:t xml:space="preserve">0</w:t>
            </w:r>
          </w:p>
        </w:tc>
        <w:tc>
          <w:tcPr/>
          <w:p>
            <w:pPr>
              <w:pStyle w:val="Compact"/>
            </w:pPr>
            <w:r>
              <w:t xml:space="preserve">1</w:t>
            </w:r>
          </w:p>
        </w:tc>
        <w:tc>
          <w:tcPr/>
          <w:p>
            <w:pPr>
              <w:pStyle w:val="Compact"/>
            </w:pPr>
            <w:r>
              <w:t xml:space="preserve">GAO-11-239SP: Kepler development cost +24.2% ($313.0M-&gt;$388.7M) vs original baseline; life-cycle cost ~$649M (NASA Kepler mission total). Discovery astrophysics, non-flagship. Early-formulation: new CCD photometer and focal-plane growth.</w:t>
            </w:r>
          </w:p>
        </w:tc>
      </w:tr>
      <w:tr>
        <w:tc>
          <w:tcPr/>
          <w:p>
            <w:pPr>
              <w:pStyle w:val="Compact"/>
            </w:pPr>
            <w:r>
              <w:t xml:space="preserve">LRO</w:t>
            </w:r>
          </w:p>
        </w:tc>
        <w:tc>
          <w:tcPr/>
          <w:p>
            <w:pPr>
              <w:pStyle w:val="Compact"/>
            </w:pPr>
            <w:r>
              <w:t xml:space="preserve">7.2</w:t>
            </w:r>
          </w:p>
        </w:tc>
        <w:tc>
          <w:tcPr/>
          <w:p>
            <w:pPr>
              <w:pStyle w:val="Compact"/>
            </w:pPr>
            <w:r>
              <w:t xml:space="preserve">583</w:t>
            </w:r>
          </w:p>
        </w:tc>
        <w:tc>
          <w:tcPr/>
          <w:p>
            <w:pPr>
              <w:pStyle w:val="Compact"/>
            </w:pPr>
            <w:r>
              <w:t xml:space="preserve">6.3682</w:t>
            </w:r>
          </w:p>
        </w:tc>
        <w:tc>
          <w:tcPr/>
          <w:p>
            <w:pPr>
              <w:pStyle w:val="Compact"/>
            </w:pPr>
            <w:r>
              <w:t xml:space="preserve">0</w:t>
            </w:r>
          </w:p>
        </w:tc>
        <w:tc>
          <w:tcPr/>
          <w:p>
            <w:pPr>
              <w:pStyle w:val="Compact"/>
            </w:pPr>
            <w:r>
              <w:t xml:space="preserve">0</w:t>
            </w:r>
          </w:p>
        </w:tc>
        <w:tc>
          <w:tcPr/>
          <w:p>
            <w:pPr>
              <w:pStyle w:val="Compact"/>
            </w:pPr>
            <w:r>
              <w:t xml:space="preserve">GAO-11-239SP: Lunar Reconnaissance Orbiter development cost +7.2% ($421.0M-&gt;$451.3M) vs original baseline; life-cycle cost ~$583M (NASA LRO total). Lunar science, non-flagship. Implementation, heritage detectors limited early-formulation growth.</w:t>
            </w:r>
          </w:p>
        </w:tc>
      </w:tr>
      <w:tr>
        <w:tc>
          <w:tcPr/>
          <w:p>
            <w:pPr>
              <w:pStyle w:val="Compact"/>
            </w:pPr>
            <w:r>
              <w:t xml:space="preserve">MSL</w:t>
            </w:r>
          </w:p>
        </w:tc>
        <w:tc>
          <w:tcPr/>
          <w:p>
            <w:pPr>
              <w:pStyle w:val="Compact"/>
            </w:pPr>
            <w:r>
              <w:t xml:space="preserve">86</w:t>
            </w:r>
          </w:p>
        </w:tc>
        <w:tc>
          <w:tcPr/>
          <w:p>
            <w:pPr>
              <w:pStyle w:val="Compact"/>
            </w:pPr>
            <w:r>
              <w:t xml:space="preserve">2470</w:t>
            </w:r>
          </w:p>
        </w:tc>
        <w:tc>
          <w:tcPr/>
          <w:p>
            <w:pPr>
              <w:pStyle w:val="Compact"/>
            </w:pPr>
            <w:r>
              <w:t xml:space="preserve">7.812</w:t>
            </w:r>
          </w:p>
        </w:tc>
        <w:tc>
          <w:tcPr/>
          <w:p>
            <w:pPr>
              <w:pStyle w:val="Compact"/>
            </w:pPr>
            <w:r>
              <w:t xml:space="preserve">1</w:t>
            </w:r>
          </w:p>
        </w:tc>
        <w:tc>
          <w:tcPr/>
          <w:p>
            <w:pPr>
              <w:pStyle w:val="Compact"/>
            </w:pPr>
            <w:r>
              <w:t xml:space="preserve">1</w:t>
            </w:r>
          </w:p>
        </w:tc>
        <w:tc>
          <w:tcPr/>
          <w:p>
            <w:pPr>
              <w:pStyle w:val="Compact"/>
            </w:pPr>
            <w:r>
              <w:t xml:space="preserve">GAO-11-239SP: Mars Science Laboratory development cost +86.0% ($969.0M-&gt;$1,802.2M) vs original baseline; life-cycle cost ~$2,470M (NASA MSL total). Flagship planetary (Large Strategic). Early-formulation: sky-crane EDL, ChemCam/SAM instrument growth, 2-year slip.</w:t>
            </w:r>
          </w:p>
        </w:tc>
      </w:tr>
      <w:tr>
        <w:tc>
          <w:tcPr/>
          <w:p>
            <w:pPr>
              <w:pStyle w:val="Compact"/>
            </w:pPr>
            <w:r>
              <w:t xml:space="preserve">SDO</w:t>
            </w:r>
          </w:p>
        </w:tc>
        <w:tc>
          <w:tcPr/>
          <w:p>
            <w:pPr>
              <w:pStyle w:val="Compact"/>
            </w:pPr>
            <w:r>
              <w:t xml:space="preserve">11.7</w:t>
            </w:r>
          </w:p>
        </w:tc>
        <w:tc>
          <w:tcPr/>
          <w:p>
            <w:pPr>
              <w:pStyle w:val="Compact"/>
            </w:pPr>
            <w:r>
              <w:t xml:space="preserve">856</w:t>
            </w:r>
          </w:p>
        </w:tc>
        <w:tc>
          <w:tcPr/>
          <w:p>
            <w:pPr>
              <w:pStyle w:val="Compact"/>
            </w:pPr>
            <w:r>
              <w:t xml:space="preserve">6.7523</w:t>
            </w:r>
          </w:p>
        </w:tc>
        <w:tc>
          <w:tcPr/>
          <w:p>
            <w:pPr>
              <w:pStyle w:val="Compact"/>
            </w:pPr>
            <w:r>
              <w:t xml:space="preserve">0</w:t>
            </w:r>
          </w:p>
        </w:tc>
        <w:tc>
          <w:tcPr/>
          <w:p>
            <w:pPr>
              <w:pStyle w:val="Compact"/>
            </w:pPr>
            <w:r>
              <w:t xml:space="preserve">0</w:t>
            </w:r>
          </w:p>
        </w:tc>
        <w:tc>
          <w:tcPr/>
          <w:p>
            <w:pPr>
              <w:pStyle w:val="Compact"/>
            </w:pPr>
            <w:r>
              <w:t xml:space="preserve">GAO-11-239SP: Solar Dynamics Observatory development cost +11.7% ($597.0M-&gt;$667.0M) vs original baseline; life-cycle cost ~$856M (NASA SDO total). LWS heliophysics, non-flagship. Implementation phase, contained growth.</w:t>
            </w:r>
          </w:p>
        </w:tc>
      </w:tr>
      <w:tr>
        <w:tc>
          <w:tcPr/>
          <w:p>
            <w:pPr>
              <w:pStyle w:val="Compact"/>
            </w:pPr>
            <w:r>
              <w:t xml:space="preserve">WISE</w:t>
            </w:r>
          </w:p>
        </w:tc>
        <w:tc>
          <w:tcPr/>
          <w:p>
            <w:pPr>
              <w:pStyle w:val="Compact"/>
            </w:pPr>
            <w:r>
              <w:t xml:space="preserve">-0.1</w:t>
            </w:r>
          </w:p>
        </w:tc>
        <w:tc>
          <w:tcPr/>
          <w:p>
            <w:pPr>
              <w:pStyle w:val="Compact"/>
            </w:pPr>
            <w:r>
              <w:t xml:space="preserve">320</w:t>
            </w:r>
          </w:p>
        </w:tc>
        <w:tc>
          <w:tcPr/>
          <w:p>
            <w:pPr>
              <w:pStyle w:val="Compact"/>
            </w:pPr>
            <w:r>
              <w:t xml:space="preserve">5.7683</w:t>
            </w:r>
          </w:p>
        </w:tc>
        <w:tc>
          <w:tcPr/>
          <w:p>
            <w:pPr>
              <w:pStyle w:val="Compact"/>
            </w:pPr>
            <w:r>
              <w:t xml:space="preserve">0</w:t>
            </w:r>
          </w:p>
        </w:tc>
        <w:tc>
          <w:tcPr/>
          <w:p>
            <w:pPr>
              <w:pStyle w:val="Compact"/>
            </w:pPr>
            <w:r>
              <w:t xml:space="preserve">0</w:t>
            </w:r>
          </w:p>
        </w:tc>
        <w:tc>
          <w:tcPr/>
          <w:p>
            <w:pPr>
              <w:pStyle w:val="Compact"/>
            </w:pPr>
            <w:r>
              <w:t xml:space="preserve">GAO-11-239SP: Wide-field Infrared Survey Explorer development cost -0.1% ($192.0M-&gt;$191.8M) vs original baseline; life-cycle cost ~$320M (NASA WISE total). Explorer astrophysics, non-flagship. Implementation, on-budget.</w:t>
            </w:r>
          </w:p>
        </w:tc>
      </w:tr>
      <w:tr>
        <w:tc>
          <w:tcPr/>
          <w:p>
            <w:pPr>
              <w:pStyle w:val="Compact"/>
            </w:pPr>
            <w:r>
              <w:t xml:space="preserve">Suomi-NPP</w:t>
            </w:r>
          </w:p>
        </w:tc>
        <w:tc>
          <w:tcPr/>
          <w:p>
            <w:pPr>
              <w:pStyle w:val="Compact"/>
            </w:pPr>
            <w:r>
              <w:t xml:space="preserve">26</w:t>
            </w:r>
          </w:p>
        </w:tc>
        <w:tc>
          <w:tcPr/>
          <w:p>
            <w:pPr>
              <w:pStyle w:val="Compact"/>
            </w:pPr>
            <w:r>
              <w:t xml:space="preserve">1500</w:t>
            </w:r>
          </w:p>
        </w:tc>
        <w:tc>
          <w:tcPr/>
          <w:p>
            <w:pPr>
              <w:pStyle w:val="Compact"/>
            </w:pPr>
            <w:r>
              <w:t xml:space="preserve">7.3132</w:t>
            </w:r>
          </w:p>
        </w:tc>
        <w:tc>
          <w:tcPr/>
          <w:p>
            <w:pPr>
              <w:pStyle w:val="Compact"/>
            </w:pPr>
            <w:r>
              <w:t xml:space="preserve">0</w:t>
            </w:r>
          </w:p>
        </w:tc>
        <w:tc>
          <w:tcPr/>
          <w:p>
            <w:pPr>
              <w:pStyle w:val="Compact"/>
            </w:pPr>
            <w:r>
              <w:t xml:space="preserve">1</w:t>
            </w:r>
          </w:p>
        </w:tc>
        <w:tc>
          <w:tcPr/>
          <w:p>
            <w:pPr>
              <w:pStyle w:val="Compact"/>
            </w:pPr>
            <w:r>
              <w:t xml:space="preserve">GAO-11-239SP: NPOESS Preparatory Project (Suomi NPP) development cost +26.0% vs original baseline; life-cycle cost ~$1,500M (NASA/NOAA NPP total). Earth science, non-flagship. Early-formulation: VIIRS sensor and NPOESS-program turbulence drove growth.</w:t>
            </w:r>
          </w:p>
        </w:tc>
      </w:tr>
      <w:tr>
        <w:tc>
          <w:tcPr/>
          <w:p>
            <w:pPr>
              <w:pStyle w:val="Compact"/>
            </w:pPr>
            <w:r>
              <w:t xml:space="preserve">SOFIA</w:t>
            </w:r>
          </w:p>
        </w:tc>
        <w:tc>
          <w:tcPr/>
          <w:p>
            <w:pPr>
              <w:pStyle w:val="Compact"/>
            </w:pPr>
            <w:r>
              <w:t xml:space="preserve">19.3</w:t>
            </w:r>
          </w:p>
        </w:tc>
        <w:tc>
          <w:tcPr/>
          <w:p>
            <w:pPr>
              <w:pStyle w:val="Compact"/>
            </w:pPr>
            <w:r>
              <w:t xml:space="preserve">3000</w:t>
            </w:r>
          </w:p>
        </w:tc>
        <w:tc>
          <w:tcPr/>
          <w:p>
            <w:pPr>
              <w:pStyle w:val="Compact"/>
            </w:pPr>
            <w:r>
              <w:t xml:space="preserve">8.0064</w:t>
            </w:r>
          </w:p>
        </w:tc>
        <w:tc>
          <w:tcPr/>
          <w:p>
            <w:pPr>
              <w:pStyle w:val="Compact"/>
            </w:pPr>
            <w:r>
              <w:t xml:space="preserve">1</w:t>
            </w:r>
          </w:p>
        </w:tc>
        <w:tc>
          <w:tcPr/>
          <w:p>
            <w:pPr>
              <w:pStyle w:val="Compact"/>
            </w:pPr>
            <w:r>
              <w:t xml:space="preserve">1</w:t>
            </w:r>
          </w:p>
        </w:tc>
        <w:tc>
          <w:tcPr/>
          <w:p>
            <w:pPr>
              <w:pStyle w:val="Compact"/>
            </w:pPr>
            <w:r>
              <w:t xml:space="preserve">GAO-11-239SP: Stratospheric Observatory for Infrared Astronomy development cost +19.3% vs baseline; life-cycle cost ~$3,000M (NASA/DLR SOFIA program total, then-year). Large Strategic airborne astrophysics. Early-formulation: airframe modification and telescope integration.</w:t>
            </w:r>
          </w:p>
        </w:tc>
      </w:tr>
      <w:tr>
        <w:tc>
          <w:tcPr/>
          <w:p>
            <w:pPr>
              <w:pStyle w:val="Compact"/>
            </w:pPr>
            <w:r>
              <w:t xml:space="preserve">Spitzer</w:t>
            </w:r>
          </w:p>
        </w:tc>
        <w:tc>
          <w:tcPr/>
          <w:p>
            <w:pPr>
              <w:pStyle w:val="Compact"/>
            </w:pPr>
            <w:r>
              <w:t xml:space="preserve">29.3</w:t>
            </w:r>
          </w:p>
        </w:tc>
        <w:tc>
          <w:tcPr/>
          <w:p>
            <w:pPr>
              <w:pStyle w:val="Compact"/>
            </w:pPr>
            <w:r>
              <w:t xml:space="preserve">1300</w:t>
            </w:r>
          </w:p>
        </w:tc>
        <w:tc>
          <w:tcPr/>
          <w:p>
            <w:pPr>
              <w:pStyle w:val="Compact"/>
            </w:pPr>
            <w:r>
              <w:t xml:space="preserve">7.1701</w:t>
            </w:r>
          </w:p>
        </w:tc>
        <w:tc>
          <w:tcPr/>
          <w:p>
            <w:pPr>
              <w:pStyle w:val="Compact"/>
            </w:pPr>
            <w:r>
              <w:t xml:space="preserve">1</w:t>
            </w:r>
          </w:p>
        </w:tc>
        <w:tc>
          <w:tcPr/>
          <w:p>
            <w:pPr>
              <w:pStyle w:val="Compact"/>
            </w:pPr>
            <w:r>
              <w:t xml:space="preserve">1</w:t>
            </w:r>
          </w:p>
        </w:tc>
        <w:tc>
          <w:tcPr/>
          <w:p>
            <w:pPr>
              <w:pStyle w:val="Compact"/>
            </w:pPr>
            <w:r>
              <w:t xml:space="preserve">GAO-04-642 NASA Lack of Disciplined Cost-Estimating: SIRTF/Spitzer development cost +29.3% ($472.0M-&gt;$610.5M) vs original baseline; life-cycle cost ~$1,300M (NASA Spitzer mission total). Great Observatory (Large Strategic) astrophysics. Early-formulation: cryogenic payload growth.</w:t>
            </w:r>
          </w:p>
        </w:tc>
      </w:tr>
      <w:tr>
        <w:tc>
          <w:tcPr/>
          <w:p>
            <w:pPr>
              <w:pStyle w:val="Compact"/>
            </w:pPr>
            <w:r>
              <w:t xml:space="preserve">MER</w:t>
            </w:r>
          </w:p>
        </w:tc>
        <w:tc>
          <w:tcPr/>
          <w:p>
            <w:pPr>
              <w:pStyle w:val="Compact"/>
            </w:pPr>
            <w:r>
              <w:t xml:space="preserve">16.7</w:t>
            </w:r>
          </w:p>
        </w:tc>
        <w:tc>
          <w:tcPr/>
          <w:p>
            <w:pPr>
              <w:pStyle w:val="Compact"/>
            </w:pPr>
            <w:r>
              <w:t xml:space="preserve">1080</w:t>
            </w:r>
          </w:p>
        </w:tc>
        <w:tc>
          <w:tcPr/>
          <w:p>
            <w:pPr>
              <w:pStyle w:val="Compact"/>
            </w:pPr>
            <w:r>
              <w:t xml:space="preserve">6.9847</w:t>
            </w:r>
          </w:p>
        </w:tc>
        <w:tc>
          <w:tcPr/>
          <w:p>
            <w:pPr>
              <w:pStyle w:val="Compact"/>
            </w:pPr>
            <w:r>
              <w:t xml:space="preserve">1</w:t>
            </w:r>
          </w:p>
        </w:tc>
        <w:tc>
          <w:tcPr/>
          <w:p>
            <w:pPr>
              <w:pStyle w:val="Compact"/>
            </w:pPr>
            <w:r>
              <w:t xml:space="preserve">0</w:t>
            </w:r>
          </w:p>
        </w:tc>
        <w:tc>
          <w:tcPr/>
          <w:p>
            <w:pPr>
              <w:pStyle w:val="Compact"/>
            </w:pPr>
            <w:r>
              <w:t xml:space="preserve">GAO-04-642: Mars Exploration Rovers development cost +16.7% ($657.2M-&gt;$767.0M) vs original baseline; life-cycle cost ~$1,080M (NASA MER twin-rover program total). Large Strategic planetary. Implementation, Pathfinder heritage limited early instability.</w:t>
            </w:r>
          </w:p>
        </w:tc>
      </w:tr>
      <w:tr>
        <w:tc>
          <w:tcPr/>
          <w:p>
            <w:pPr>
              <w:pStyle w:val="Compact"/>
            </w:pPr>
            <w:r>
              <w:t xml:space="preserve">Gravity-Probe-B</w:t>
            </w:r>
          </w:p>
        </w:tc>
        <w:tc>
          <w:tcPr/>
          <w:p>
            <w:pPr>
              <w:pStyle w:val="Compact"/>
            </w:pPr>
            <w:r>
              <w:t xml:space="preserve">33.9</w:t>
            </w:r>
          </w:p>
        </w:tc>
        <w:tc>
          <w:tcPr/>
          <w:p>
            <w:pPr>
              <w:pStyle w:val="Compact"/>
            </w:pPr>
            <w:r>
              <w:t xml:space="preserve">760</w:t>
            </w:r>
          </w:p>
        </w:tc>
        <w:tc>
          <w:tcPr/>
          <w:p>
            <w:pPr>
              <w:pStyle w:val="Compact"/>
            </w:pPr>
            <w:r>
              <w:t xml:space="preserve">6.6333</w:t>
            </w:r>
          </w:p>
        </w:tc>
        <w:tc>
          <w:tcPr/>
          <w:p>
            <w:pPr>
              <w:pStyle w:val="Compact"/>
            </w:pPr>
            <w:r>
              <w:t xml:space="preserve">0</w:t>
            </w:r>
          </w:p>
        </w:tc>
        <w:tc>
          <w:tcPr/>
          <w:p>
            <w:pPr>
              <w:pStyle w:val="Compact"/>
            </w:pPr>
            <w:r>
              <w:t xml:space="preserve">1</w:t>
            </w:r>
          </w:p>
        </w:tc>
        <w:tc>
          <w:tcPr/>
          <w:p>
            <w:pPr>
              <w:pStyle w:val="Compact"/>
            </w:pPr>
            <w:r>
              <w:t xml:space="preserve">GAO-04-642: Gravity Probe B development cost +33.9% ($529.6M-&gt;$709.3M) vs original baseline; life-cycle cost ~$760M (NASA GP-B program total). Fundamental-physics, non-flagship. Early-formulation: cryogenic relativity gyroscope, new technology.</w:t>
            </w:r>
          </w:p>
        </w:tc>
      </w:tr>
      <w:tr>
        <w:tc>
          <w:tcPr/>
          <w:p>
            <w:pPr>
              <w:pStyle w:val="Compact"/>
            </w:pPr>
            <w:r>
              <w:t xml:space="preserve">Landsat-7</w:t>
            </w:r>
          </w:p>
        </w:tc>
        <w:tc>
          <w:tcPr/>
          <w:p>
            <w:pPr>
              <w:pStyle w:val="Compact"/>
            </w:pPr>
            <w:r>
              <w:t xml:space="preserve">14.1</w:t>
            </w:r>
          </w:p>
        </w:tc>
        <w:tc>
          <w:tcPr/>
          <w:p>
            <w:pPr>
              <w:pStyle w:val="Compact"/>
            </w:pPr>
            <w:r>
              <w:t xml:space="preserve">666</w:t>
            </w:r>
          </w:p>
        </w:tc>
        <w:tc>
          <w:tcPr/>
          <w:p>
            <w:pPr>
              <w:pStyle w:val="Compact"/>
            </w:pPr>
            <w:r>
              <w:t xml:space="preserve">6.5013</w:t>
            </w:r>
          </w:p>
        </w:tc>
        <w:tc>
          <w:tcPr/>
          <w:p>
            <w:pPr>
              <w:pStyle w:val="Compact"/>
            </w:pPr>
            <w:r>
              <w:t xml:space="preserve">0</w:t>
            </w:r>
          </w:p>
        </w:tc>
        <w:tc>
          <w:tcPr/>
          <w:p>
            <w:pPr>
              <w:pStyle w:val="Compact"/>
            </w:pPr>
            <w:r>
              <w:t xml:space="preserve">0</w:t>
            </w:r>
          </w:p>
        </w:tc>
        <w:tc>
          <w:tcPr/>
          <w:p>
            <w:pPr>
              <w:pStyle w:val="Compact"/>
            </w:pPr>
            <w:r>
              <w:t xml:space="preserve">GAO-04-642: Landsat-7 development cost +14.1% ($445.8M-&gt;$508.8M) vs original baseline; life-cycle cost ~$666M (NASA/USGS Landsat-7 total). Earth science, non-flagship. Implementation, ETM+ builds on TM heritage.</w:t>
            </w:r>
          </w:p>
        </w:tc>
      </w:tr>
      <w:tr>
        <w:tc>
          <w:tcPr/>
          <w:p>
            <w:pPr>
              <w:pStyle w:val="Compact"/>
            </w:pPr>
            <w:r>
              <w:t xml:space="preserve">EO-1</w:t>
            </w:r>
          </w:p>
        </w:tc>
        <w:tc>
          <w:tcPr/>
          <w:p>
            <w:pPr>
              <w:pStyle w:val="Compact"/>
            </w:pPr>
            <w:r>
              <w:t xml:space="preserve">57.9</w:t>
            </w:r>
          </w:p>
        </w:tc>
        <w:tc>
          <w:tcPr/>
          <w:p>
            <w:pPr>
              <w:pStyle w:val="Compact"/>
            </w:pPr>
            <w:r>
              <w:t xml:space="preserve">200</w:t>
            </w:r>
          </w:p>
        </w:tc>
        <w:tc>
          <w:tcPr/>
          <w:p>
            <w:pPr>
              <w:pStyle w:val="Compact"/>
            </w:pPr>
            <w:r>
              <w:t xml:space="preserve">5.2983</w:t>
            </w:r>
          </w:p>
        </w:tc>
        <w:tc>
          <w:tcPr/>
          <w:p>
            <w:pPr>
              <w:pStyle w:val="Compact"/>
            </w:pPr>
            <w:r>
              <w:t xml:space="preserve">0</w:t>
            </w:r>
          </w:p>
        </w:tc>
        <w:tc>
          <w:tcPr/>
          <w:p>
            <w:pPr>
              <w:pStyle w:val="Compact"/>
            </w:pPr>
            <w:r>
              <w:t xml:space="preserve">1</w:t>
            </w:r>
          </w:p>
        </w:tc>
        <w:tc>
          <w:tcPr/>
          <w:p>
            <w:pPr>
              <w:pStyle w:val="Compact"/>
            </w:pPr>
            <w:r>
              <w:t xml:space="preserve">GAO-04-642: New Millennium EO-1 development cost +57.9% ($111.7M-&gt;$176.4M) vs original baseline; life-cycle cost ~$200M (NASA EO-1 total). Technology-demo Earth science, non-flagship. Early-formulation: first spaceborne hyperspectral imager (Hyperion).</w:t>
            </w:r>
          </w:p>
        </w:tc>
      </w:tr>
    </w:tbl>
    <w:bookmarkEnd w:id="73"/>
    <w:bookmarkStart w:id="74" w:name="variable-construction"/>
    <w:p>
      <w:pPr>
        <w:pStyle w:val="Heading3"/>
      </w:pPr>
      <w:r>
        <w:t xml:space="preserve">Variable construction</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Variable</w:t>
            </w:r>
          </w:p>
        </w:tc>
        <w:tc>
          <w:tcPr/>
          <w:p>
            <w:pPr>
              <w:pStyle w:val="Compact"/>
            </w:pPr>
            <w:r>
              <w:t xml:space="preserve">Definition</w:t>
            </w:r>
          </w:p>
        </w:tc>
        <w:tc>
          <w:tcPr/>
          <w:p>
            <w:pPr>
              <w:pStyle w:val="Compact"/>
            </w:pPr>
            <w:r>
              <w:t xml:space="preserve">Construction / source</w:t>
            </w:r>
          </w:p>
        </w:tc>
      </w:tr>
      <w:tr>
        <w:tc>
          <w:tcPr/>
          <w:p>
            <w:pPr>
              <w:pStyle w:val="Compact"/>
            </w:pPr>
            <w:r>
              <w:t xml:space="preserve">pct_dev_cost_growth</w:t>
            </w:r>
          </w:p>
        </w:tc>
        <w:tc>
          <w:tcPr/>
          <w:p>
            <w:pPr>
              <w:pStyle w:val="Compact"/>
            </w:pPr>
            <w:r>
              <w:t xml:space="preserve">Cumulative percent growth in development cost relative to the original confirmation (KDP-C) baseline</w:t>
            </w:r>
          </w:p>
        </w:tc>
        <w:tc>
          <w:tcPr/>
          <w:p>
            <w:pPr>
              <w:pStyle w:val="Compact"/>
            </w:pPr>
            <w:r>
              <w:t xml:space="preserve">GAO NASA major-project assessments: GAO-04-642, GAO-11-239SP, GAO-15-320SP, GAO-18-280SP, GAO-20-405. Each value is the development-cost change reported by GAO for the project, cited per row in the source column.</w:t>
            </w:r>
          </w:p>
        </w:tc>
      </w:tr>
      <w:tr>
        <w:tc>
          <w:tcPr/>
          <w:p>
            <w:pPr>
              <w:pStyle w:val="Compact"/>
            </w:pPr>
            <w:r>
              <w:t xml:space="preserve">lcc_musd</w:t>
            </w:r>
          </w:p>
        </w:tc>
        <w:tc>
          <w:tcPr/>
          <w:p>
            <w:pPr>
              <w:pStyle w:val="Compact"/>
            </w:pPr>
            <w:r>
              <w:t xml:space="preserve">Life-cycle cost estimate in millions of then-year dollars</w:t>
            </w:r>
          </w:p>
        </w:tc>
        <w:tc>
          <w:tcPr/>
          <w:p>
            <w:pPr>
              <w:pStyle w:val="Compact"/>
            </w:pPr>
            <w:r>
              <w:t xml:space="preserve">GAO assessment project profiles (life-cycle cost estimate) and NASA mission cost records, cited per row</w:t>
            </w:r>
          </w:p>
        </w:tc>
      </w:tr>
      <w:tr>
        <w:tc>
          <w:tcPr/>
          <w:p>
            <w:pPr>
              <w:pStyle w:val="Compact"/>
            </w:pPr>
            <w:r>
              <w:t xml:space="preserve">log_lcc</w:t>
            </w:r>
          </w:p>
        </w:tc>
        <w:tc>
          <w:tcPr/>
          <w:p>
            <w:pPr>
              <w:pStyle w:val="Compact"/>
            </w:pPr>
            <w:r>
              <w:t xml:space="preserve">Natural logarithm of the life-cycle cost estimate in millions of dollars</w:t>
            </w:r>
          </w:p>
        </w:tc>
        <w:tc>
          <w:tcPr/>
          <w:p>
            <w:pPr>
              <w:pStyle w:val="Compact"/>
            </w:pPr>
            <w:r>
              <w:t xml:space="preserve">Computed as ln(lcc_musd); enters the model as the scale regressor</w:t>
            </w:r>
          </w:p>
        </w:tc>
      </w:tr>
      <w:tr>
        <w:tc>
          <w:tcPr/>
          <w:p>
            <w:pPr>
              <w:pStyle w:val="Compact"/>
            </w:pPr>
            <w:r>
              <w:t xml:space="preserve">flagship</w:t>
            </w:r>
          </w:p>
        </w:tc>
        <w:tc>
          <w:tcPr/>
          <w:p>
            <w:pPr>
              <w:pStyle w:val="Compact"/>
            </w:pPr>
            <w:r>
              <w:t xml:space="preserve">Binary indicator equal to 1 for Large Strategic / flagship-class missions (life-cycle cost and strategic priority placing the project in NASA’s largest mission tier), 0 otherwise</w:t>
            </w:r>
          </w:p>
        </w:tc>
        <w:tc>
          <w:tcPr/>
          <w:p>
            <w:pPr>
              <w:pStyle w:val="Compact"/>
            </w:pPr>
            <w:r>
              <w:t xml:space="preserve">Coded from NASA mission-class designation and the GAO portfolio profile</w:t>
            </w:r>
          </w:p>
        </w:tc>
      </w:tr>
      <w:tr>
        <w:tc>
          <w:tcPr/>
          <w:p>
            <w:pPr>
              <w:pStyle w:val="Compact"/>
            </w:pPr>
            <w:r>
              <w:t xml:space="preserve">early_formulation</w:t>
            </w:r>
          </w:p>
        </w:tc>
        <w:tc>
          <w:tcPr/>
          <w:p>
            <w:pPr>
              <w:pStyle w:val="Compact"/>
            </w:pPr>
            <w:r>
              <w:t xml:space="preserve">Binary indicator equal to 1 when the project’s cost growth was driven by instability rooted in early formulation: significant technology immaturity at confirmation, a first-of-kind instrument or subsystem, or a formulation-era rebaseline, 0 when growth (or stability) occurred in a design-mature, implementation-phase project</w:t>
            </w:r>
          </w:p>
        </w:tc>
        <w:tc>
          <w:tcPr/>
          <w:p>
            <w:pPr>
              <w:pStyle w:val="Compact"/>
            </w:pPr>
            <w:r>
              <w:t xml:space="preserve">Coded from the GAO assessment narrative and project technology-maturity record, cited per row</w:t>
            </w:r>
          </w:p>
        </w:tc>
      </w:tr>
    </w:tbl>
    <w:bookmarkEnd w:id="74"/>
    <w:bookmarkStart w:id="75" w:name="estimator-output"/>
    <w:p>
      <w:pPr>
        <w:pStyle w:val="Heading3"/>
      </w:pPr>
      <w:r>
        <w:t xml:space="preserve">Estimator output</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t</w:t>
            </w:r>
          </w:p>
        </w:tc>
        <w:tc>
          <w:tcPr/>
          <w:p>
            <w:pPr>
              <w:pStyle w:val="Compact"/>
            </w:pPr>
            <w:r>
              <w:t xml:space="preserve">p</w:t>
            </w:r>
          </w:p>
        </w:tc>
        <w:tc>
          <w:tcPr/>
          <w:p>
            <w:pPr>
              <w:pStyle w:val="Compact"/>
            </w:pPr>
            <w:r>
              <w:t xml:space="preserve">95% CI</w:t>
            </w:r>
          </w:p>
        </w:tc>
      </w:tr>
      <w:tr>
        <w:tc>
          <w:tcPr/>
          <w:p>
            <w:pPr>
              <w:pStyle w:val="Compact"/>
            </w:pPr>
            <w:r>
              <w:t xml:space="preserve">const</w:t>
            </w:r>
          </w:p>
        </w:tc>
        <w:tc>
          <w:tcPr/>
          <w:p>
            <w:pPr>
              <w:pStyle w:val="Compact"/>
            </w:pPr>
            <w:r>
              <w:t xml:space="preserve">-23.2668</w:t>
            </w:r>
          </w:p>
        </w:tc>
        <w:tc>
          <w:tcPr/>
          <w:p>
            <w:pPr>
              <w:pStyle w:val="Compact"/>
            </w:pPr>
            <w:r>
              <w:t xml:space="preserve">38.9029</w:t>
            </w:r>
          </w:p>
        </w:tc>
        <w:tc>
          <w:tcPr/>
          <w:p>
            <w:pPr>
              <w:pStyle w:val="Compact"/>
            </w:pPr>
            <w:r>
              <w:t xml:space="preserve">-0.5981</w:t>
            </w:r>
          </w:p>
        </w:tc>
        <w:tc>
          <w:tcPr/>
          <w:p>
            <w:pPr>
              <w:pStyle w:val="Compact"/>
            </w:pPr>
            <w:r>
              <w:t xml:space="preserve">0.5498</w:t>
            </w:r>
          </w:p>
        </w:tc>
        <w:tc>
          <w:tcPr/>
          <w:p>
            <w:pPr>
              <w:pStyle w:val="Compact"/>
            </w:pPr>
            <w:r>
              <w:t xml:space="preserve">[-99.5151, 52.9815]</w:t>
            </w:r>
          </w:p>
        </w:tc>
      </w:tr>
      <w:tr>
        <w:tc>
          <w:tcPr/>
          <w:p>
            <w:pPr>
              <w:pStyle w:val="Compact"/>
            </w:pPr>
            <w:r>
              <w:t xml:space="preserve">log_lcc</w:t>
            </w:r>
          </w:p>
        </w:tc>
        <w:tc>
          <w:tcPr/>
          <w:p>
            <w:pPr>
              <w:pStyle w:val="Compact"/>
            </w:pPr>
            <w:r>
              <w:t xml:space="preserve">3.9157</w:t>
            </w:r>
          </w:p>
        </w:tc>
        <w:tc>
          <w:tcPr/>
          <w:p>
            <w:pPr>
              <w:pStyle w:val="Compact"/>
            </w:pPr>
            <w:r>
              <w:t xml:space="preserve">6.1141</w:t>
            </w:r>
          </w:p>
        </w:tc>
        <w:tc>
          <w:tcPr/>
          <w:p>
            <w:pPr>
              <w:pStyle w:val="Compact"/>
            </w:pPr>
            <w:r>
              <w:t xml:space="preserve">0.6404</w:t>
            </w:r>
          </w:p>
        </w:tc>
        <w:tc>
          <w:tcPr/>
          <w:p>
            <w:pPr>
              <w:pStyle w:val="Compact"/>
            </w:pPr>
            <w:r>
              <w:t xml:space="preserve">0.5219</w:t>
            </w:r>
          </w:p>
        </w:tc>
        <w:tc>
          <w:tcPr/>
          <w:p>
            <w:pPr>
              <w:pStyle w:val="Compact"/>
            </w:pPr>
            <w:r>
              <w:t xml:space="preserve">[-8.0678, 15.8992]</w:t>
            </w:r>
          </w:p>
        </w:tc>
      </w:tr>
      <w:tr>
        <w:tc>
          <w:tcPr/>
          <w:p>
            <w:pPr>
              <w:pStyle w:val="Compact"/>
            </w:pPr>
            <w:r>
              <w:t xml:space="preserve">flagship</w:t>
            </w:r>
          </w:p>
        </w:tc>
        <w:tc>
          <w:tcPr/>
          <w:p>
            <w:pPr>
              <w:pStyle w:val="Compact"/>
            </w:pPr>
            <w:r>
              <w:t xml:space="preserve">1.8936</w:t>
            </w:r>
          </w:p>
        </w:tc>
        <w:tc>
          <w:tcPr/>
          <w:p>
            <w:pPr>
              <w:pStyle w:val="Compact"/>
            </w:pPr>
            <w:r>
              <w:t xml:space="preserve">13.4494</w:t>
            </w:r>
          </w:p>
        </w:tc>
        <w:tc>
          <w:tcPr/>
          <w:p>
            <w:pPr>
              <w:pStyle w:val="Compact"/>
            </w:pPr>
            <w:r>
              <w:t xml:space="preserve">0.1408</w:t>
            </w:r>
          </w:p>
        </w:tc>
        <w:tc>
          <w:tcPr/>
          <w:p>
            <w:pPr>
              <w:pStyle w:val="Compact"/>
            </w:pPr>
            <w:r>
              <w:t xml:space="preserve">0.888</w:t>
            </w:r>
          </w:p>
        </w:tc>
        <w:tc>
          <w:tcPr/>
          <w:p>
            <w:pPr>
              <w:pStyle w:val="Compact"/>
            </w:pPr>
            <w:r>
              <w:t xml:space="preserve">[-24.4667, 28.254]</w:t>
            </w:r>
          </w:p>
        </w:tc>
      </w:tr>
      <w:tr>
        <w:tc>
          <w:tcPr/>
          <w:p>
            <w:pPr>
              <w:pStyle w:val="Compact"/>
            </w:pPr>
            <w:r>
              <w:t xml:space="preserve">early_formulation</w:t>
            </w:r>
          </w:p>
        </w:tc>
        <w:tc>
          <w:tcPr/>
          <w:p>
            <w:pPr>
              <w:pStyle w:val="Compact"/>
            </w:pPr>
            <w:r>
              <w:t xml:space="preserve">41.4819</w:t>
            </w:r>
          </w:p>
        </w:tc>
        <w:tc>
          <w:tcPr/>
          <w:p>
            <w:pPr>
              <w:pStyle w:val="Compact"/>
            </w:pPr>
            <w:r>
              <w:t xml:space="preserve">8.616</w:t>
            </w:r>
          </w:p>
        </w:tc>
        <w:tc>
          <w:tcPr/>
          <w:p>
            <w:pPr>
              <w:pStyle w:val="Compact"/>
            </w:pPr>
            <w:r>
              <w:t xml:space="preserve">4.8145</w:t>
            </w:r>
          </w:p>
        </w:tc>
        <w:tc>
          <w:tcPr/>
          <w:p>
            <w:pPr>
              <w:pStyle w:val="Compact"/>
            </w:pPr>
            <w:r>
              <w:t xml:space="preserve">1.475e-06</w:t>
            </w:r>
          </w:p>
        </w:tc>
        <w:tc>
          <w:tcPr/>
          <w:p>
            <w:pPr>
              <w:pStyle w:val="Compact"/>
            </w:pPr>
            <w:r>
              <w:t xml:space="preserve">[24.5949, 58.3689]</w:t>
            </w:r>
          </w:p>
        </w:tc>
      </w:tr>
    </w:tbl>
    <w:p>
      <w:pPr>
        <w:pStyle w:val="BodyText"/>
      </w:pPr>
      <w:r>
        <w:t xml:space="preserve">Fit: N = 31 R2 = 0.4927 R2_adj = 0.4363 F = 9.0353 F_p = 0.0002619</w:t>
      </w:r>
    </w:p>
    <w:bookmarkEnd w:id="75"/>
    <w:bookmarkEnd w:id="76"/>
    <w:bookmarkEnd w:id="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69" Target="media/rId6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2026-06-22T15:48:22Z</dcterms:created>
  <dcterms:modified xsi:type="dcterms:W3CDTF">2026-06-22T15:48:22Z</dcterms:modified>
</cp:coreProperties>
</file>

<file path=docProps/custom.xml><?xml version="1.0" encoding="utf-8"?>
<Properties xmlns="http://schemas.openxmlformats.org/officeDocument/2006/custom-properties" xmlns:vt="http://schemas.openxmlformats.org/officeDocument/2006/docPropsVTypes"/>
</file>