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COST-GROWTH HAZARD IN JPL-CLASS SCIENCE INSTRUMENTS: A CLIOMETRIC SURVIVAL MODEL</w:t>
      </w:r>
    </w:p>
    <w:p>
      <w:pPr>
        <w:jc w:val="center"/>
      </w:pPr>
    </w:p>
    <w:p>
      <w:pPr>
        <w:jc w:val="center"/>
      </w:pPr>
      <w:r>
        <w:rPr>
          <w:rFonts w:ascii="Times New Roman" w:hAnsi="Times New Roman"/>
          <w:sz w:val="24"/>
        </w:rPr>
        <w:t>by</w:t>
      </w:r>
    </w:p>
    <w:p>
      <w:pPr>
        <w:jc w:val="center"/>
      </w:pPr>
      <w:r>
        <w:rPr>
          <w:rFonts w:ascii="Times New Roman" w:hAnsi="Times New Roman"/>
          <w:b/>
          <w:sz w:val="28"/>
        </w:rPr>
        <w:t>Saskia Patel</w:t>
      </w:r>
    </w:p>
    <w:p>
      <w:pPr>
        <w:jc w:val="center"/>
      </w:pPr>
      <w:r>
        <w:rPr>
          <w:rFonts w:ascii="Times New Roman" w:hAnsi="Times New Roman"/>
          <w:sz w:val="24"/>
        </w:rPr>
        <w:t>1B-INS-017</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6" w:name="chapter-1.-introduction"/>
    <w:p>
      <w:pPr>
        <w:pStyle w:val="Heading1"/>
        <w:spacing w:line="480" w:lineRule="auto"/>
      </w:pPr>
      <w:r>
        <w:t xml:space="preserve">Chapter 1. Introduction</w:t>
      </w:r>
    </w:p>
    <w:bookmarkStart w:id="61" w:name="the-problem-and-why-it-matters"/>
    <w:p>
      <w:pPr>
        <w:pStyle w:val="Heading2"/>
        <w:spacing w:line="480" w:lineRule="auto"/>
      </w:pPr>
      <w:r>
        <w:t xml:space="preserve">1.1 The Problem and Why It Matters</w:t>
      </w:r>
    </w:p>
    <w:p>
      <w:pPr>
        <w:pStyle w:val="FirstParagraph"/>
        <w:spacing w:line="480" w:lineRule="auto"/>
      </w:pPr>
      <w:r>
        <w:t xml:space="preserve">NASA confirms a robotic science instrument against a cost baseline fixed at the mission’s confirmation review, and a recurring fraction of those instruments later exceeds that baseline by margins large enough to force descopes, launch slips, or the cannibalization of other missions in the directorate’s portfolio. The agency’s major-project portfolio has remained on the Government Accountability Office’s high-risk list since 1990, and the durable reason given in successive assessments is development cost growth measured against confirmation baselines</w:t>
      </w:r>
      <w:r>
        <w:t xml:space="preserve"> </w:t>
      </w:r>
      <w:hyperlink w:anchor="ref-13">
        <w:r>
          <w:rPr>
            <w:rStyle w:val="Hyperlink"/>
          </w:rPr>
          <w:t xml:space="preserve">[13]</w:t>
        </w:r>
      </w:hyperlink>
      <w:r>
        <w:t xml:space="preserve">[14]. The pathology is not exotic. The numbers are stark. In the most severe documented cases a project’s development cost more than doubles between confirmation and launch, while a comparable set of missions confirmed in the same era holds firm against the same budget line. The asymmetry between the two groups, and the fact that membership in either group is not announced until late in implementation, is the practical core of the problem this dissertation addresses.</w:t>
      </w:r>
    </w:p>
    <w:p>
      <w:pPr>
        <w:pStyle w:val="BodyText"/>
        <w:spacing w:line="480" w:lineRule="auto"/>
        <w:ind w:firstLine="720"/>
      </w:pPr>
      <w:r>
        <w:t xml:space="preserve">The stakes are concrete and they are borne by identifiable actors. For NASA’s Science Mission Directorate, an instrument overrun is not a self-contained accounting event; it propagates. Development reserves are finite and shared, so a breach on one instrument is paid for, in the first instance, out of margin that other projects were counting on, and in the second instance out of the science return of missions that are descoped or deferred to absorb the shortfall. For the Jet Propulsion Laboratory, which designs and delivers a large share of the agency’s flagship and competed science instruments, the timing of an overrun governs whether the institution can still act on it: a breach recognized at integration leaves few levers other than schedule and descope, while the same exposure recognized at the confirmation review can still be retired through technology-maturation work, design simplification, or a more honest reserve posture. For the budget examiner at headquarters and at the Office of Management and Budget, the relevant quantity is not the terminal overrun, which is known only in hindsight, but the conditional risk that a given instrument is on a breaching trajectory while there is still time to intervene.</w:t>
      </w:r>
    </w:p>
    <w:p>
      <w:pPr>
        <w:pStyle w:val="BodyText"/>
        <w:spacing w:line="480" w:lineRule="auto"/>
        <w:ind w:firstLine="720"/>
      </w:pPr>
      <w:r>
        <w:t xml:space="preserve">This is the gap between the question that managers must answer and the answer that the standard analytical apparatus returns. Cost growth is conventionally reported as a terminal scalar: the percentage by which a flight unit’s final cost exceeds its confirmation baseline. That scalar is the right summary for an after-action review and the wrong instrument for a decision. It arrives too late. It discards precisely the information that a program office needs, namely when in the development lifecycle the overrun becomes irreversible and which observable conditions at each milestone raise the instantaneous risk of breach. A program manager allocating reserves at confirmation, or scheduling a technology-maturation campaign in early Phase C, is operating under timed uncertainty. The tools that manager inherits report cost growth as a single end-of-program number, and so they answer a question that is no longer actionable by the time it can be answered.</w:t>
      </w:r>
    </w:p>
    <w:p>
      <w:pPr>
        <w:pStyle w:val="BodyText"/>
        <w:spacing w:line="480" w:lineRule="auto"/>
        <w:ind w:firstLine="720"/>
      </w:pPr>
      <w:r>
        <w:t xml:space="preserve">The argument of this dissertation is that the cost-growth problem in JPL-class science instruments is best understood, and most usefully estimated, as a time-to-event process rather than as a static binary outcome or a terminal magnitude. Treating the first sustained breach of an instrument’s allocated cost envelope as a failure event, and treating the interval from confirmation to that event as a survival duration, reframes the management problem in the terms that managers actually face. It locates the period of greatest vulnerability between confirmation and launch, it admits the missions that have not yet breached as censored rather than discarding them, and it allows the analyst to ask which characteristics of an instrument, fixed and observable at confirmation, accelerate or retard the arrival of the breach.</w:t>
      </w:r>
    </w:p>
    <w:bookmarkEnd w:id="61"/>
    <w:bookmarkStart w:id="62" w:name="two-literatures-that-do-not-meet"/>
    <w:p>
      <w:pPr>
        <w:pStyle w:val="Heading2"/>
        <w:spacing w:line="480" w:lineRule="auto"/>
      </w:pPr>
      <w:r>
        <w:t xml:space="preserve">1.2 Two Literatures That Do Not Meet</w:t>
      </w:r>
    </w:p>
    <w:p>
      <w:pPr>
        <w:pStyle w:val="FirstParagraph"/>
        <w:spacing w:line="480" w:lineRule="auto"/>
      </w:pPr>
      <w:r>
        <w:t xml:space="preserve">The intellectual difficulty is not an absence of relevant scholarship. It is that the two bodies of work bearing most directly on instrument cost growth have developed in parallel and rarely speak to one another. One is a domain literature on space-system cost and instrument development; the other is the econometric method literature on time-to-event, or survival, analysis. Each is mature. Neither, on its own, answers the timed-hazard question, and no existing study joins them on the population of JPL-class science instruments.</w:t>
      </w:r>
    </w:p>
    <w:p>
      <w:pPr>
        <w:pStyle w:val="BodyText"/>
        <w:spacing w:line="480" w:lineRule="auto"/>
        <w:ind w:firstLine="720"/>
      </w:pPr>
      <w:r>
        <w:t xml:space="preserve">The domain literature is itself layered. Its most quantitatively developed stratum is the parametric cost-estimation tradition, which regresses system cost on a compact set of physical and programmatic descriptors. Parametric research-development-production models for advanced aerospace systems anchor predicted cost to the average readiness level of the most significant technologies at the start of development</w:t>
      </w:r>
      <w:r>
        <w:t xml:space="preserve"> </w:t>
      </w:r>
      <w:hyperlink w:anchor="ref-1">
        <w:r>
          <w:rPr>
            <w:rStyle w:val="Hyperlink"/>
          </w:rPr>
          <w:t xml:space="preserve">[1]</w:t>
        </w:r>
      </w:hyperlink>
      <w:r>
        <w:t xml:space="preserve">, and parametric economic models of novel space architectures tie cost to launch mass and to a small set of complexity figures of merit</w:t>
      </w:r>
      <w:r>
        <w:t xml:space="preserve"> </w:t>
      </w:r>
      <w:hyperlink w:anchor="ref-2">
        <w:r>
          <w:rPr>
            <w:rStyle w:val="Hyperlink"/>
          </w:rPr>
          <w:t xml:space="preserve">[2]</w:t>
        </w:r>
      </w:hyperlink>
      <w:r>
        <w:t xml:space="preserve">. Independent validation work on the parametric tools actually used for NASA missions confirms that scale-based estimators capture a substantial fraction of cost variance but leave systematic residuals tied to development risk that scale alone does not explain</w:t>
      </w:r>
      <w:r>
        <w:t xml:space="preserve"> </w:t>
      </w:r>
      <w:hyperlink w:anchor="ref-9">
        <w:r>
          <w:rPr>
            <w:rStyle w:val="Hyperlink"/>
          </w:rPr>
          <w:t xml:space="preserve">[9]</w:t>
        </w:r>
      </w:hyperlink>
      <w:r>
        <w:t xml:space="preserve">, which is the first hint that maturity, not size, carries the unexplained signal. A second stratum reframes cost estimation as a structured-uncertainty problem in which the latent driver is the maturity and definition of the concept rather than its physical scale; structural-equation work on mission cost makes this case explicitly, arguing that expert judgment about technological readiness carries more information about eventual cost than scale figures do</w:t>
      </w:r>
      <w:r>
        <w:t xml:space="preserve"> </w:t>
      </w:r>
      <w:hyperlink w:anchor="ref-10">
        <w:r>
          <w:rPr>
            <w:rStyle w:val="Hyperlink"/>
          </w:rPr>
          <w:t xml:space="preserve">[10]</w:t>
        </w:r>
      </w:hyperlink>
      <w:r>
        <w:t xml:space="preserve">. The technology-roadmapping literature reinforces the reading by treating low entry maturity as a direct measure of the development distance, and therefore the cost exposure, that remains when a project is confirmed</w:t>
      </w:r>
      <w:r>
        <w:t xml:space="preserve"> </w:t>
      </w:r>
      <w:hyperlink w:anchor="ref-11">
        <w:r>
          <w:rPr>
            <w:rStyle w:val="Hyperlink"/>
          </w:rPr>
          <w:t xml:space="preserve">[11]</w:t>
        </w:r>
      </w:hyperlink>
      <w:r>
        <w:t xml:space="preserve">, and the planning literature adds that risk retired before confirmation, through mature designs or recurring builds, tends to stay retired</w:t>
      </w:r>
      <w:r>
        <w:t xml:space="preserve"> </w:t>
      </w:r>
      <w:hyperlink w:anchor="ref-12">
        <w:r>
          <w:rPr>
            <w:rStyle w:val="Hyperlink"/>
          </w:rPr>
          <w:t xml:space="preserve">[12]</w:t>
        </w:r>
      </w:hyperlink>
      <w:r>
        <w:t xml:space="preserve">. A program-management literature, finally, models cost growth on joint and partnered programs as a function of institutional and coordination structure rather than of any single technology</w:t>
      </w:r>
      <w:r>
        <w:t xml:space="preserve"> </w:t>
      </w:r>
      <w:hyperlink w:anchor="ref-27">
        <w:r>
          <w:rPr>
            <w:rStyle w:val="Hyperlink"/>
          </w:rPr>
          <w:t xml:space="preserve">[27]</w:t>
        </w:r>
      </w:hyperlink>
      <w:r>
        <w:t xml:space="preserve">.</w:t>
      </w:r>
    </w:p>
    <w:p>
      <w:pPr>
        <w:pStyle w:val="BodyText"/>
        <w:spacing w:line="480" w:lineRule="auto"/>
        <w:ind w:firstLine="720"/>
      </w:pPr>
      <w:r>
        <w:t xml:space="preserve">What every one of these contributions has in common is a dependent variable that is a cost level or a cost-growth magnitude. They predict how much. They do not predict when. The parametric models attach a covariate’s effect to a predicted cost figure, not to a hazard that a program manager can read against the calendar of the project’s own reviews. The hypersonic-aircraft model of Viola and colleagues predicts research, development, and production cost from a technology-readiness baseline and a time horizon, but its output is a cost magnitude rather than a time-to-event</w:t>
      </w:r>
      <w:r>
        <w:t xml:space="preserve"> </w:t>
      </w:r>
      <w:hyperlink w:anchor="ref-1">
        <w:r>
          <w:rPr>
            <w:rStyle w:val="Hyperlink"/>
          </w:rPr>
          <w:t xml:space="preserve">[1]</w:t>
        </w:r>
      </w:hyperlink>
      <w:r>
        <w:t xml:space="preserve">; the asteroid-mining architecture model of Dorrington and Olsen minimizes total launch mass to minimize launch cost, treating cost as a static optimization target rather than a process that unfolds and can breach at a particular moment</w:t>
      </w:r>
      <w:r>
        <w:t xml:space="preserve"> </w:t>
      </w:r>
      <w:hyperlink w:anchor="ref-2">
        <w:r>
          <w:rPr>
            <w:rStyle w:val="Hyperlink"/>
          </w:rPr>
          <w:t xml:space="preserve">[2]</w:t>
        </w:r>
      </w:hyperlink>
      <w:r>
        <w:t xml:space="preserve">. A parallel systems-engineering literature describes the qualitative drivers of overrun with considerable insight, including sensor-selection strategies that prioritize traceability and long-term operability</w:t>
      </w:r>
      <w:r>
        <w:t xml:space="preserve"> </w:t>
      </w:r>
      <w:hyperlink w:anchor="ref-3">
        <w:r>
          <w:rPr>
            <w:rStyle w:val="Hyperlink"/>
          </w:rPr>
          <w:t xml:space="preserve">[3]</w:t>
        </w:r>
      </w:hyperlink>
      <w:r>
        <w:t xml:space="preserve"> </w:t>
      </w:r>
      <w:r>
        <w:t xml:space="preserve">and stochastic vibroacoustic and structural-margin analyses that quantify physical risk at the subsystem level</w:t>
      </w:r>
      <w:r>
        <w:t xml:space="preserve"> </w:t>
      </w:r>
      <w:hyperlink w:anchor="ref-4">
        <w:r>
          <w:rPr>
            <w:rStyle w:val="Hyperlink"/>
          </w:rPr>
          <w:t xml:space="preserve">[4]</w:t>
        </w:r>
      </w:hyperlink>
      <w:r>
        <w:t xml:space="preserve">, but this work explains mechanisms one instrument at a time and does not aggregate them into a population-level statement about the timing of breach.</w:t>
      </w:r>
    </w:p>
    <w:p>
      <w:pPr>
        <w:pStyle w:val="BodyText"/>
        <w:spacing w:line="480" w:lineRule="auto"/>
        <w:ind w:firstLine="720"/>
      </w:pPr>
      <w:r>
        <w:t xml:space="preserve">The second literature, survival and hazard analysis, is the natural home of the timing question. It was built to estimate, from censored observations, the instantaneous rate at which an event of interest occurs as a function of elapsed time and covariates, and it is mature in reliability engineering and in biostatistics. Its core constructs, the hazard function, right-censoring, the proportional-hazards assumption, and the discrete-time complementary-log-log analogue, are exactly the constructs that a cost-breach process calls for: instruments enter observation at confirmation, some breach and some do not, and those that reach delivery without breaching carry genuine information that must be retained rather than dropped. Yet this method is rarely applied to the cost-growth lifecycle of space instruments. The gap is therefore methodological and substantive at once. The domain literature has the right covariates and the wrong dependent variable; the method literature has the right dependent variable and has not been pointed at the domain. The static parametric models and the qualitative engineering accounts coexist with a mature survival apparatus, and no bridge has been built between them for JPL-class instruments. This dissertation builds that bridge.</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The dissertation advances exactly one falsifiable claim, stated precisely so that it can be wrong. The claim concerns the timing of cost-growth onset in JPL-class science instruments, and it isolates a single covariate, confirmation-stage Technology Readiness Level, as the lever of interest.</w:t>
      </w:r>
    </w:p>
    <w:p>
      <w:pPr>
        <w:pStyle w:val="BodyText"/>
        <w:spacing w:line="480" w:lineRule="auto"/>
        <w:ind w:firstLine="720"/>
      </w:pPr>
      <w:r>
        <w:t xml:space="preserve">The failure event is defined first, before any estimation, so that the contribution cannot be rescued by redefining what counts as a breach. An instrument is recorded as having experienced cost-growth onset in the first development period in which its cumulative committed cost exceeds its confirmation baseline by a pre-registered margin. The primary specification uses a fifteen percent breach threshold, a cut consistent with the reporting tiers used in formal major-project oversight</w:t>
      </w:r>
      <w:r>
        <w:t xml:space="preserve"> </w:t>
      </w:r>
      <w:hyperlink w:anchor="ref-13">
        <w:r>
          <w:rPr>
            <w:rStyle w:val="Hyperlink"/>
          </w:rPr>
          <w:t xml:space="preserve">[13]</w:t>
        </w:r>
      </w:hyperlink>
      <w:r>
        <w:t xml:space="preserve">, with ten percent and thirty percent thresholds retained as robustness checks. Instruments that reach delivery without breaching are right-censored at delivery; instruments still in development at the data cut are right-censored at the observation date. The estimator is a discrete-time complementary-log-log hazard model with development period as the time index, chosen because the complementary-log-log link is the discrete-time analogue of a proportional-hazards specification, so that its coefficients exponentiate to interpretable hazard ratios.</w:t>
      </w:r>
    </w:p>
    <w:p>
      <w:pPr>
        <w:pStyle w:val="BodyText"/>
        <w:spacing w:line="480" w:lineRule="auto"/>
        <w:ind w:firstLine="720"/>
      </w:pPr>
      <w:r>
        <w:t xml:space="preserve">Against this fixed event definition the dissertation tests a sharp null and its directional alternative.</w:t>
      </w:r>
    </w:p>
    <w:p>
      <w:pPr>
        <w:pStyle w:val="BodyText"/>
        <w:spacing w:line="480" w:lineRule="auto"/>
        <w:ind w:firstLine="720"/>
      </w:pPr>
      <w:r>
        <w:rPr>
          <w:b/>
          <w:bCs/>
        </w:rPr>
        <w:t xml:space="preserve">H0 (null).</w:t>
      </w:r>
      <w:r>
        <w:t xml:space="preserve"> </w:t>
      </w:r>
      <w:r>
        <w:t xml:space="preserve">After controlling for instrument dry mass and architectural complexity, confirmation-stage Technology Readiness Level has no effect on the discrete-time hazard of cost-growth onset. Formally, the coefficient on confirmation-stage TRL is zero, so the hazard ratio for a one-level TRL change equals 1.0, and a correctly constructed 95 percent confidence interval contains 1.0.</w:t>
      </w:r>
    </w:p>
    <w:p>
      <w:pPr>
        <w:pStyle w:val="BodyText"/>
        <w:spacing w:line="480" w:lineRule="auto"/>
        <w:ind w:firstLine="720"/>
      </w:pPr>
      <w:r>
        <w:rPr>
          <w:b/>
          <w:bCs/>
        </w:rPr>
        <w:t xml:space="preserve">H1 (alternative).</w:t>
      </w:r>
      <w:r>
        <w:t xml:space="preserve"> </w:t>
      </w:r>
      <w:r>
        <w:t xml:space="preserve">A lower confirmation-stage TRL raises the instantaneous hazard of cost-growth onset. Formally, the coefficient on TRL is negative and statistically distinguishable from zero, so a one-level decrease in confirmation-stage TRL multiplies the per-period odds of crossing the cost-growth threshold by a factor strictly greater than 1.0, with a 95 percent confidence interval that excludes 1.0.</w:t>
      </w:r>
    </w:p>
    <w:p>
      <w:pPr>
        <w:pStyle w:val="BodyText"/>
        <w:spacing w:line="480" w:lineRule="auto"/>
        <w:ind w:firstLine="720"/>
      </w:pPr>
      <w:r>
        <w:t xml:space="preserve">The contribution is a single time-stamped hazard estimate: the milestone-resolved hazard ratio attached to confirmation-stage TRL, reported with its confidence interval and with the baseline hazard curve across the development timeline. The estimate is decision-shaped where a parametric cost prediction is not. It states, against the program’s own calendar of reviews, how much a one-level deficit in confirmation-stage readiness multiplies the instantaneous odds that an instrument crosses its cost envelope, and it does so on data obtainable without privileged access. The claim is falsified, cleanly and without appeal, if the estimated hazard ratio is statistically indistinguishable from unity once mass and complexity are held fixed.</w:t>
      </w:r>
    </w:p>
    <w:p>
      <w:pPr>
        <w:pStyle w:val="BodyText"/>
        <w:spacing w:line="480" w:lineRule="auto"/>
        <w:ind w:firstLine="720"/>
      </w:pPr>
      <w:r>
        <w:t xml:space="preserve">Two preparatory studies, developed in the chapters that follow, motivate the focus on confirmation-stage readiness and give the central hypothesis its prior plausibility without pre-empting its test. A continuous-time proportional-hazards analysis of the interval from confirmation to first major breach finds that the readiness of the least-mature critical instrument technology is the dominant and only statistically significant timing covariate, with each additional readiness level associated with a large reduction in the instantaneous hazard, while complexity and heritage point in the theorized directions but cannot be resolved from zero in a sample of that size. A companion cross-sectional analysis of terminal cost growth, regressing percent overrun on scale, mission class, and a formulation-maturity indicator, finds that scale and flagship status carry no detectable independent association with overrun once maturity is accounted for, while the maturity indicator is the single large and significant regressor. The two preparatory results converge on the same substantive claim from different estimands, and they jointly identify confirmation-stage maturity, rather than size or visibility, as the descriptor worth elevating to a timed-hazard test. The dissertation’s contribution is to deliver that test in its sharpest form: a discrete-time, censoring-aware, milestone-resolved hazard estimate on the readiness covariate, with mass and complexity held fixed precisely because the domain literature has shown them to co-determine cost level</w:t>
      </w:r>
      <w:r>
        <w:t xml:space="preserve"> </w:t>
      </w:r>
      <w:hyperlink w:anchor="ref-1">
        <w:r>
          <w:rPr>
            <w:rStyle w:val="Hyperlink"/>
          </w:rPr>
          <w:t xml:space="preserve">[1]</w:t>
        </w:r>
      </w:hyperlink>
      <w:r>
        <w:t xml:space="preserve">[2].</w:t>
      </w:r>
    </w:p>
    <w:bookmarkEnd w:id="63"/>
    <w:bookmarkStart w:id="64" w:name="scope-data-and-the-limits-of-the-claim"/>
    <w:p>
      <w:pPr>
        <w:pStyle w:val="Heading2"/>
        <w:spacing w:line="480" w:lineRule="auto"/>
      </w:pPr>
      <w:r>
        <w:t xml:space="preserve">1.4 Scope, Data, and the Limits of the Claim</w:t>
      </w:r>
    </w:p>
    <w:p>
      <w:pPr>
        <w:pStyle w:val="FirstParagraph"/>
        <w:spacing w:line="480" w:lineRule="auto"/>
      </w:pPr>
      <w:r>
        <w:t xml:space="preserve">The unit of analysis is the JPL-class science instrument, by which is meant an instrument carried on a NASA science-directorate robotic mission large enough to be tracked through formal major-project oversight. This scoping is deliberate and it bounds the claim. The study population is the set of such instruments for which lifecycle cost baselines and outcomes are publicly recorded, and the specific obtainable dataset is the NASA major-project cost and schedule record published in the GAO’s annual assessments of major projects, cross-referenced to mission and instrument baselines and to confirmation-stage technology-maturity statements retrievable through the NASA Technical Reports Server</w:t>
      </w:r>
      <w:r>
        <w:t xml:space="preserve"> </w:t>
      </w:r>
      <w:hyperlink w:anchor="ref-13">
        <w:r>
          <w:rPr>
            <w:rStyle w:val="Hyperlink"/>
          </w:rPr>
          <w:t xml:space="preserve">[13]</w:t>
        </w:r>
      </w:hyperlink>
      <w:r>
        <w:t xml:space="preserve">[14]. Because the GAO portfolio has a reporting threshold, the smallest instruments are not observed, and the inferential claim is therefore confined to the JPL-class population and is not extrapolated below that threshold. Every variable in the analysis traces to a named, public document, and the construction rules are fixed in advance, so that an independent analyst can reproduce the coding from the same sources.</w:t>
      </w:r>
    </w:p>
    <w:p>
      <w:pPr>
        <w:pStyle w:val="BodyText"/>
        <w:spacing w:line="480" w:lineRule="auto"/>
        <w:ind w:firstLine="720"/>
      </w:pPr>
      <w:r>
        <w:t xml:space="preserve">The chapter has already named the principal threats that bound the contribution, and the design answers each. Reverse causation between readiness and cost growth is blocked by measuring confirmation-stage TRL strictly before the development window over which breaches are scored, which removes the channel by which an unfolding overrun could contaminate a contemporaneous readiness measure. Omitted institutional heterogeneity, the possibility that mission-line culture, contractor, and reserve policy jointly affect both readiness practice and cost discipline, is addressed by stratifying the baseline hazard on mission line and by adding a shared-frailty term at the mission level in a robustness specification. Measurement error in the coded readiness narratives and in the breach event is addressed by dual independent coding with reported inter-rater agreement and by re-estimating the breach at ten, fifteen, and thirty percent thresholds, so that the central hazard-ratio claim is shown to be robust to the event definition rather than dependent on a single arbitrary cut. None of these defenses converts an observational design into an experiment, and the dissertation does not claim that it does. What it claims is narrower and, for that reason, testable: that on a transparently constructed population of JPL-class instruments, confirmation-stage readiness exerts a measurable, milestone-resolved, statistically distinguishable effect on the hazard of cost-growth onset, holding fixed the physical covariates that the cost literature has established as the leading confounders.</w:t>
      </w:r>
    </w:p>
    <w:bookmarkEnd w:id="64"/>
    <w:bookmarkStart w:id="65" w:name="roadmap-of-the-dissertation"/>
    <w:p>
      <w:pPr>
        <w:pStyle w:val="Heading2"/>
        <w:spacing w:line="480" w:lineRule="auto"/>
      </w:pPr>
      <w:r>
        <w:t xml:space="preserve">1.5 Roadmap of the Dissertation</w:t>
      </w:r>
    </w:p>
    <w:p>
      <w:pPr>
        <w:pStyle w:val="FirstParagraph"/>
        <w:spacing w:line="480" w:lineRule="auto"/>
      </w:pPr>
      <w:r>
        <w:t xml:space="preserve">The remainder of the dissertation proceeds as follows.</w:t>
      </w:r>
    </w:p>
    <w:p>
      <w:pPr>
        <w:pStyle w:val="BodyText"/>
        <w:spacing w:line="480" w:lineRule="auto"/>
        <w:ind w:firstLine="720"/>
      </w:pPr>
      <w:r>
        <w:t xml:space="preserve">Chapter 2 develops the literature review in full, separating the domain stratum, including the parametric cost models</w:t>
      </w:r>
      <w:r>
        <w:t xml:space="preserve"> </w:t>
      </w:r>
      <w:hyperlink w:anchor="ref-1">
        <w:r>
          <w:rPr>
            <w:rStyle w:val="Hyperlink"/>
          </w:rPr>
          <w:t xml:space="preserve">[1]</w:t>
        </w:r>
      </w:hyperlink>
      <w:r>
        <w:t xml:space="preserve">[2][9][10][11][12], the systems-engineering accounts of overrun mechanism</w:t>
      </w:r>
      <w:r>
        <w:t xml:space="preserve"> </w:t>
      </w:r>
      <w:hyperlink w:anchor="ref-3">
        <w:r>
          <w:rPr>
            <w:rStyle w:val="Hyperlink"/>
          </w:rPr>
          <w:t xml:space="preserve">[3]</w:t>
        </w:r>
      </w:hyperlink>
      <w:r>
        <w:t xml:space="preserve">[4], and the program-management treatment of cost growth on joint efforts</w:t>
      </w:r>
      <w:r>
        <w:t xml:space="preserve"> </w:t>
      </w:r>
      <w:hyperlink w:anchor="ref-27">
        <w:r>
          <w:rPr>
            <w:rStyle w:val="Hyperlink"/>
          </w:rPr>
          <w:t xml:space="preserve">[27]</w:t>
        </w:r>
      </w:hyperlink>
      <w:r>
        <w:t xml:space="preserve">, from the survival-analysis method literature, and stating precisely where the two fail to meet. The chapter establishes the theoretical channels through which readiness, mass, and architectural complexity are expected to bear on the timing of breach, and it fixes the priors that the empirical chapters then test.</w:t>
      </w:r>
    </w:p>
    <w:p>
      <w:pPr>
        <w:pStyle w:val="BodyText"/>
        <w:spacing w:line="480" w:lineRule="auto"/>
        <w:ind w:firstLine="720"/>
      </w:pPr>
      <w:r>
        <w:t xml:space="preserve">Chapter 3 sets out the theory and the formal hypotheses, deriving the discrete-time hazard specification from the proportional-hazards logic, justifying the complementary-log-log link as the discrete-time analogue, and stating the estimand, the null, and the alternative in the terms introduced in Section 1.3.</w:t>
      </w:r>
    </w:p>
    <w:p>
      <w:pPr>
        <w:pStyle w:val="BodyText"/>
        <w:spacing w:line="480" w:lineRule="auto"/>
        <w:ind w:firstLine="720"/>
      </w:pPr>
      <w:r>
        <w:t xml:space="preserve">Chapter 4 documents data and provenance in operational detail: the construction of the cumulative-cost trajectory from successive GAO reporting snapshots, the coding of confirmation-stage TRL from technology-readiness narratives, the measurement of log dry mass, and the assembly of the architectural-complexity index from a pre-specified set of countable design attributes. Every construction rule is stated so that the dataset is reproducible from public sources.</w:t>
      </w:r>
    </w:p>
    <w:p>
      <w:pPr>
        <w:pStyle w:val="BodyText"/>
        <w:spacing w:line="480" w:lineRule="auto"/>
        <w:ind w:firstLine="720"/>
      </w:pPr>
      <w:r>
        <w:t xml:space="preserve">Chapter 5 reports the preparatory analyses that motivate the central test: the continuous-time proportional-hazards model of time-to-breach and the cross-sectional model of terminal cost growth. These chapters establish the directional priors and demonstrate, on independent estimands, that confirmation-stage maturity, not scale or mission class, is the descriptor that tracks cost outcomes.</w:t>
      </w:r>
    </w:p>
    <w:p>
      <w:pPr>
        <w:pStyle w:val="BodyText"/>
        <w:spacing w:line="480" w:lineRule="auto"/>
        <w:ind w:firstLine="720"/>
      </w:pPr>
      <w:r>
        <w:t xml:space="preserve">Chapter 6 presents the dissertation’s principal contribution: the discrete-time, censoring-aware hazard model, the milestone-resolved hazard ratio on confirmation-stage TRL, its confidence interval, and the baseline hazard curve across the development timeline. The chapter reports the robustness battery across breach thresholds and the shared-frailty specification, and it confronts the central claim with the explicit falsification criterion.</w:t>
      </w:r>
    </w:p>
    <w:p>
      <w:pPr>
        <w:pStyle w:val="BodyText"/>
        <w:spacing w:line="480" w:lineRule="auto"/>
        <w:ind w:firstLine="720"/>
      </w:pPr>
      <w:r>
        <w:t xml:space="preserve">Chapter 7 discusses implications for NASA and JPL practice, translating the hazard estimate into reserve-allocation and technology-maturation guidance keyed to the confirmation milestone, and stating candidly the limits of an observational design and the extensions, principally a larger instrument-level panel, that would sharpen or overturn the result.</w:t>
      </w:r>
    </w:p>
    <w:p>
      <w:pPr>
        <w:pStyle w:val="BodyText"/>
        <w:spacing w:line="480" w:lineRule="auto"/>
        <w:ind w:firstLine="720"/>
      </w:pPr>
      <w:r>
        <w:t xml:space="preserve">Chapter 8 concludes by restating the single falsifiable contribution, summarizing the evidence for or against it, and locating the finding within the broader effort to convert the static parametric cost literature into a dynamic, decision-timed instrument that distinguishes, early enough to matter, the instruments destined to breach from those that are not.</w:t>
      </w:r>
    </w:p>
    <w:bookmarkEnd w:id="65"/>
    <w:bookmarkEnd w:id="66"/>
    <w:bookmarkStart w:id="72" w:name="chapter-2.-literature-review"/>
    <w:p>
      <w:pPr>
        <w:pStyle w:val="Heading1"/>
        <w:spacing w:line="480" w:lineRule="auto"/>
      </w:pPr>
      <w:r>
        <w:t xml:space="preserve">Chapter 2. Literature Review</w:t>
      </w:r>
    </w:p>
    <w:bookmarkStart w:id="67" w:name="introduction-and-organizing-logic"/>
    <w:p>
      <w:pPr>
        <w:pStyle w:val="Heading2"/>
        <w:spacing w:line="480" w:lineRule="auto"/>
      </w:pPr>
      <w:r>
        <w:t xml:space="preserve">2.1 Introduction and Organizing Logic</w:t>
      </w:r>
    </w:p>
    <w:p>
      <w:pPr>
        <w:pStyle w:val="FirstParagraph"/>
        <w:spacing w:line="480" w:lineRule="auto"/>
      </w:pPr>
      <w:r>
        <w:t xml:space="preserve">The phenomenon at the center of this dissertation, the cost growth that recurs across NASA’s robotic science instruments, sits at the intersection of two scholarly traditions that have developed in near isolation from one another. The first is a substantive, domain-technical literature concerned with where the cost of a space instrument originates and what physical and programmatic conditions inflate it. The second is a methodological literature, drawn from cliometrics and applied econometrics, concerned with how a quantity that unfolds over time, and that may or may not arrive within a window of observation, should be modeled when the analyst cares about timing rather than terminal magnitude. The domain literature has accumulated a rich and largely correct account of the covariates that co-determine instrument cost, yet it almost uniformly expresses that account in the grammar of a level: a predicted dollar figure, or a predicted percentage by which the final cost will exceed the baseline. The methodological literature offers a grammar of timing, the hazard function and its associated apparatus of censoring, baseline curves, and proportional effects, but has rarely been pointed at the instrument cost-growth process. This chapter reviews each literature in turn, demonstrates that they are genuinely unjoined rather than merely under-cited toward one another, and shows that the seam between them is precisely where the contribution of this study lies.</w:t>
      </w:r>
    </w:p>
    <w:p>
      <w:pPr>
        <w:pStyle w:val="BodyText"/>
        <w:spacing w:line="480" w:lineRule="auto"/>
        <w:ind w:firstLine="720"/>
      </w:pPr>
      <w:r>
        <w:t xml:space="preserve">The review proceeds in four movements. Section 2.2 surveys the parametric cost-estimation tradition for aerospace and space systems, establishing what is known about the determinants of instrument cost and, critically, the form in which that knowledge is conventionally expressed. Section 2.3 examines the systems-engineering, mission-concept, and technology-maturation literature that supplies the causal mechanisms behind those determinants and grounds the covariate set in observable instrument attributes. Section 2.4 turns to the cliometric and survival-analytic methodology literature, including its native application in reliability and its scattered penetration into program-management and cost research. Section 2.5 synthesizes the two bodies of work, names the gap with precision, and states how the present study spans it. Throughout, the aim is not encyclopedic coverage but a demonstration that the timed-hazard question is structurally absent from both traditions and recoverable only by their union.</w:t>
      </w:r>
    </w:p>
    <w:bookmarkEnd w:id="67"/>
    <w:bookmarkStart w:id="68" w:name="the-parametric-cost-estimation-tradition"/>
    <w:p>
      <w:pPr>
        <w:pStyle w:val="Heading2"/>
        <w:spacing w:line="480" w:lineRule="auto"/>
      </w:pPr>
      <w:r>
        <w:t xml:space="preserve">2.2 The Parametric Cost-Estimation Tradition</w:t>
      </w:r>
    </w:p>
    <w:p>
      <w:pPr>
        <w:pStyle w:val="FirstParagraph"/>
        <w:spacing w:line="480" w:lineRule="auto"/>
      </w:pPr>
      <w:r>
        <w:t xml:space="preserve">The dominant analytic frame for the cost of advanced aerospace and space systems is parametric: a cost-estimating relationship regresses development or production cost on a small set of physical and programmatic descriptors, and the fitted relationship is then used to predict the cost of a new system from its descriptor values. The tradition is mature and methodologically self-aware, and its internal debates map closely onto the covariate set this dissertation must justify.</w:t>
      </w:r>
    </w:p>
    <w:p>
      <w:pPr>
        <w:pStyle w:val="BodyText"/>
        <w:spacing w:line="480" w:lineRule="auto"/>
        <w:ind w:firstLine="720"/>
      </w:pPr>
      <w:r>
        <w:t xml:space="preserve">The clearest recent exemplar of the maturity-anchored variant of this tradition is the research, development, and production cost model of Viola and colleagues for future civil hypersonic aircraft</w:t>
      </w:r>
      <w:r>
        <w:t xml:space="preserve"> </w:t>
      </w:r>
      <w:hyperlink w:anchor="ref-1">
        <w:r>
          <w:rPr>
            <w:rStyle w:val="Hyperlink"/>
          </w:rPr>
          <w:t xml:space="preserve">[1]</w:t>
        </w:r>
      </w:hyperlink>
      <w:r>
        <w:t xml:space="preserve">. That model is instructive for the present purpose because it makes the technology-readiness covariate load-bearing rather than incidental: predicted cost is explicitly anchored to the average readiness level of the most significant technologies at the start of development, with a time horizon entering as a second axis</w:t>
      </w:r>
      <w:r>
        <w:t xml:space="preserve"> </w:t>
      </w:r>
      <w:hyperlink w:anchor="ref-1">
        <w:r>
          <w:rPr>
            <w:rStyle w:val="Hyperlink"/>
          </w:rPr>
          <w:t xml:space="preserve">[1]</w:t>
        </w:r>
      </w:hyperlink>
      <w:r>
        <w:t xml:space="preserve">. The model thereby formalizes an intuition that recurs throughout the cost literature, that the development distance remaining when a program commits is a measurable quantity and that this remaining distance is the chief engine of cost. Yet the dependent variable of the Viola model is a cost magnitude. The output is a number of currency units, or a curve of cost against time horizon, not a statement about when during the development interval a budget envelope is likely to be breached. The same research program extends naturally into technology roadmapping, where Viola, Fusaro, and Vercella treat a low entry maturity as a direct proxy for the development distance, and hence the cost exposure, that a future transportation system carries at the outset</w:t>
      </w:r>
      <w:r>
        <w:t xml:space="preserve"> </w:t>
      </w:r>
      <w:hyperlink w:anchor="ref-11">
        <w:r>
          <w:rPr>
            <w:rStyle w:val="Hyperlink"/>
          </w:rPr>
          <w:t xml:space="preserve">[11]</w:t>
        </w:r>
      </w:hyperlink>
      <w:r>
        <w:t xml:space="preserve">. The roadmapping work sharpens the conceptual link between readiness and cost but retains the level-valued output: it tells the analyst how far a technology must travel, not the instantaneous risk that the travel will overrun a committed line at any particular milestone.</w:t>
      </w:r>
    </w:p>
    <w:p>
      <w:pPr>
        <w:pStyle w:val="BodyText"/>
        <w:spacing w:line="480" w:lineRule="auto"/>
        <w:ind w:firstLine="720"/>
      </w:pPr>
      <w:r>
        <w:t xml:space="preserve">A parallel strand anchors cost to mass and to a compact set of complexity figures of merit. The asteroid-mining architecture model of Dorrington and Olsen is representative: it treats total launch mass as the primary cost driver and minimizes that mass to minimize launch cost, so that cost emerges as the solution to a static optimization over an architecture’s physical parameters</w:t>
      </w:r>
      <w:r>
        <w:t xml:space="preserve"> </w:t>
      </w:r>
      <w:hyperlink w:anchor="ref-2">
        <w:r>
          <w:rPr>
            <w:rStyle w:val="Hyperlink"/>
          </w:rPr>
          <w:t xml:space="preserve">[2]</w:t>
        </w:r>
      </w:hyperlink>
      <w:r>
        <w:t xml:space="preserve">. The probabilistic and structural-equation variants of this strand reach the same level-valued destination by different routes. Probst and colleagues apply partial least squares structural equation modeling to an asteroid-mining mission and argue that the latent driver of cost is the maturity and definition of the concept rather than its physical size, with expert judgment about technological readiness carrying more information about eventual cost than scale figures do</w:t>
      </w:r>
      <w:r>
        <w:t xml:space="preserve"> </w:t>
      </w:r>
      <w:hyperlink w:anchor="ref-10">
        <w:r>
          <w:rPr>
            <w:rStyle w:val="Hyperlink"/>
          </w:rPr>
          <w:t xml:space="preserve">[10]</w:t>
        </w:r>
      </w:hyperlink>
      <w:r>
        <w:t xml:space="preserve">. This is a consequential finding because it relocates explanatory weight from scale toward maturity, the same relocation that motivates the readiness covariate in this dissertation, but the structural-equation model still terminates in a predicted cost level and a set of path coefficients, not in a timed event.</w:t>
      </w:r>
    </w:p>
    <w:p>
      <w:pPr>
        <w:pStyle w:val="BodyText"/>
        <w:spacing w:line="480" w:lineRule="auto"/>
        <w:ind w:firstLine="720"/>
      </w:pPr>
      <w:r>
        <w:t xml:space="preserve">The validation literature within the parametric tradition is especially valuable here because it audits the limits of the level-valued approach from the inside. Friz and colleagues report a blind validation of the SEER-H parametric tool against NASA space missions and find that scale-based estimators capture a substantial fraction of cost variance yet leave systematic residuals tied to development risk that scale alone does not explain</w:t>
      </w:r>
      <w:r>
        <w:t xml:space="preserve"> </w:t>
      </w:r>
      <w:hyperlink w:anchor="ref-9">
        <w:r>
          <w:rPr>
            <w:rStyle w:val="Hyperlink"/>
          </w:rPr>
          <w:t xml:space="preserve">[9]</w:t>
        </w:r>
      </w:hyperlink>
      <w:r>
        <w:t xml:space="preserve">. That residual is the quiet center of this entire dissertation. The parametric tradition, on its own evidence, knows that something beyond physical scale governs realized cost, and it names that something development risk, but its chosen apparatus, a regression onto a cost level, cannot express development risk as anything other than another additive term in a prediction of magnitude. The companion strand on cost minimization in novel architectures, including holistic optimization of greener in-space propulsion options where development risk is retired before commitment rather than priced after it</w:t>
      </w:r>
      <w:r>
        <w:t xml:space="preserve"> </w:t>
      </w:r>
      <w:hyperlink w:anchor="ref-12">
        <w:r>
          <w:rPr>
            <w:rStyle w:val="Hyperlink"/>
          </w:rPr>
          <w:t xml:space="preserve">[12]</w:t>
        </w:r>
      </w:hyperlink>
      <w:r>
        <w:t xml:space="preserve">, reinforces the same boundary: cost is treated as an end-of-process scalar to be optimized, never as a process that unfolds and can cross a threshold at a datable moment.</w:t>
      </w:r>
    </w:p>
    <w:p>
      <w:pPr>
        <w:pStyle w:val="BodyText"/>
        <w:spacing w:line="480" w:lineRule="auto"/>
        <w:ind w:firstLine="720"/>
      </w:pPr>
      <w:r>
        <w:t xml:space="preserve">Two recent applied cost studies extend the parametric frame to instrument-rich New Frontiers concepts and confirm the pattern at the level of individual payloads. The OCEANUS Uranus orbiter concept of Elder and colleagues is explicitly organized around a low-cost instrument suite, with the instrument complement and its maturity treated as the lever that holds total mission cost within a competed cost cap</w:t>
      </w:r>
      <w:r>
        <w:t xml:space="preserve"> </w:t>
      </w:r>
      <w:hyperlink w:anchor="ref-24">
        <w:r>
          <w:rPr>
            <w:rStyle w:val="Hyperlink"/>
          </w:rPr>
          <w:t xml:space="preserve">[24]</w:t>
        </w:r>
      </w:hyperlink>
      <w:r>
        <w:t xml:space="preserve">. The companion QUEST Uranus orbiter study of Jarmak and colleagues likewise structures its cost case around instrument selection and the readiness of the chosen detectors</w:t>
      </w:r>
      <w:r>
        <w:t xml:space="preserve"> </w:t>
      </w:r>
      <w:hyperlink w:anchor="ref-23">
        <w:r>
          <w:rPr>
            <w:rStyle w:val="Hyperlink"/>
          </w:rPr>
          <w:t xml:space="preserve">[23]</w:t>
        </w:r>
      </w:hyperlink>
      <w:r>
        <w:t xml:space="preserve">. These studies are valuable because they operate at exactly the unit of analysis this dissertation adopts, the science instrument within a mission, and because they make explicit that instrument maturity and instrument count are the descriptors a concept team actually manipulates to control cost. Yet both, like the broader tradition, deliver a cost estimate and a sensitivity analysis around that estimate. Neither asks when, across the development interval that would follow confirmation, the instrument suite would be most likely to breach its allocation. The decision-timed question is simply not in the vocabulary of the parametric concept study.</w:t>
      </w:r>
    </w:p>
    <w:p>
      <w:pPr>
        <w:pStyle w:val="BodyText"/>
        <w:spacing w:line="480" w:lineRule="auto"/>
        <w:ind w:firstLine="720"/>
      </w:pPr>
      <w:r>
        <w:t xml:space="preserve">The cumulative position of this strand is therefore unambiguous. The parametric cost literature has identified, validated, and repeatedly re-derived the covariates that matter for instrument cost: confirmation-stage technology readiness, physical scale (mass), and architectural complexity. It has even established, through its own validation work, that readiness and definition carry residual explanatory weight beyond scale</w:t>
      </w:r>
      <w:r>
        <w:t xml:space="preserve"> </w:t>
      </w:r>
      <w:hyperlink w:anchor="ref-9">
        <w:r>
          <w:rPr>
            <w:rStyle w:val="Hyperlink"/>
          </w:rPr>
          <w:t xml:space="preserve">[9]</w:t>
        </w:r>
      </w:hyperlink>
      <w:r>
        <w:t xml:space="preserve">[10]. But it expresses every one of these findings as a contribution to a predicted level. The temporal dimension, the location of the overrun within the development calendar, is absent not by oversight but by the structure of the chosen estimator. A regression onto a terminal cost magnitude has no place to put a hazard. The estimator forecloses the question before it can be asked.</w:t>
      </w:r>
    </w:p>
    <w:bookmarkEnd w:id="68"/>
    <w:bookmarkStart w:id="69" w:name="Xfd2d3e6dec40d04320e58ccdfc4d090d0689fbd"/>
    <w:p>
      <w:pPr>
        <w:pStyle w:val="Heading2"/>
        <w:spacing w:line="480" w:lineRule="auto"/>
      </w:pPr>
      <w:r>
        <w:t xml:space="preserve">2.3 Mechanisms: Systems Engineering, Mission Concepts, and Technology Maturation</w:t>
      </w:r>
    </w:p>
    <w:p>
      <w:pPr>
        <w:pStyle w:val="FirstParagraph"/>
        <w:spacing w:line="480" w:lineRule="auto"/>
      </w:pPr>
      <w:r>
        <w:t xml:space="preserve">If the parametric literature supplies the covariates and their level-valued framing, a second domain literature supplies the causal mechanisms that make those covariates operate, and it grounds them in attributes an analyst can read from public mission documentation. This literature is qualitative or engineering-physical rather than econometric, and it is the source from which a defensible, codeable covariate set must be drawn.</w:t>
      </w:r>
    </w:p>
    <w:p>
      <w:pPr>
        <w:pStyle w:val="BodyText"/>
        <w:spacing w:line="480" w:lineRule="auto"/>
        <w:ind w:firstLine="720"/>
      </w:pPr>
      <w:r>
        <w:t xml:space="preserve">The technology-maturation mechanism is the best documented. Dedicated maturation campaigns for next-generation instruments exist precisely because immature critical components carry development risk that propagates into schedule and cost once a project is under baseline control. The ESRA radiation-analysis instrument maturation effort is an explicit instance: the campaign is undertaken to raise the readiness of next-generation instrument technologies before they enter a cost-controlled development phase, on the understanding that unresolved engineering uncertainty resolved during implementation is the channel through which unplanned cost is realized</w:t>
      </w:r>
      <w:r>
        <w:t xml:space="preserve"> </w:t>
      </w:r>
      <w:hyperlink w:anchor="ref-5">
        <w:r>
          <w:rPr>
            <w:rStyle w:val="Hyperlink"/>
          </w:rPr>
          <w:t xml:space="preserve">[5]</w:t>
        </w:r>
      </w:hyperlink>
      <w:r>
        <w:t xml:space="preserve">. The mechanism this supplies to a hazard model is direct and time-ordered: an instrument confirmed at a low readiness level enters its development phase carrying unretired uncertainty, and the resolution of that uncertainty during the build is the event that generates cost. The implication, which the level-valued parametric models cannot voice, is that the readiness deficit should raise the instantaneous risk of breach during the development window, not merely the expected terminal magnitude.</w:t>
      </w:r>
    </w:p>
    <w:p>
      <w:pPr>
        <w:pStyle w:val="BodyText"/>
        <w:spacing w:line="480" w:lineRule="auto"/>
        <w:ind w:firstLine="720"/>
      </w:pPr>
      <w:r>
        <w:t xml:space="preserve">The complexity mechanism operates through a related but distinct channel rooted in integration and verification burden. As payload architectures move toward sensor-rich and distributed configurations, the number of interacting subsystems that must be integrated and verified rises, and with it the surface area for emergent integration problems. The lunar and cislunar sensor-rich domain-awareness solution of the AMOS literature illustrates the count-and-heterogeneity scaling directly, assembling many sensing components into a single configuration whose verification demand grows with the component inventory</w:t>
      </w:r>
      <w:r>
        <w:t xml:space="preserve"> </w:t>
      </w:r>
      <w:hyperlink w:anchor="ref-8">
        <w:r>
          <w:rPr>
            <w:rStyle w:val="Hyperlink"/>
          </w:rPr>
          <w:t xml:space="preserve">[8]</w:t>
        </w:r>
      </w:hyperlink>
      <w:r>
        <w:t xml:space="preserve">. The distributed-systems literature makes the scaling explicit at the level of mission management: agent-based approaches to distributed space systems document how coordination and verification demands rise with the number and heterogeneity of cooperating instruments</w:t>
      </w:r>
      <w:r>
        <w:t xml:space="preserve"> </w:t>
      </w:r>
      <w:hyperlink w:anchor="ref-6">
        <w:r>
          <w:rPr>
            <w:rStyle w:val="Hyperlink"/>
          </w:rPr>
          <w:t xml:space="preserve">[6]</w:t>
        </w:r>
      </w:hyperlink>
      <w:r>
        <w:t xml:space="preserve">, and the on-orbit assembly literature for large space telescopes catalogs how architectural ambition multiplies the interfaces that must be qualified late in development</w:t>
      </w:r>
      <w:r>
        <w:t xml:space="preserve"> </w:t>
      </w:r>
      <w:hyperlink w:anchor="ref-7">
        <w:r>
          <w:rPr>
            <w:rStyle w:val="Hyperlink"/>
          </w:rPr>
          <w:t xml:space="preserve">[7]</w:t>
        </w:r>
      </w:hyperlink>
      <w:r>
        <w:t xml:space="preserve">. Each of these supplies a countable proxy for complexity, the number of distinct detector chains, the presence of active cooling, the presence of deployable or scanning optomechanics, that can be read from a fact sheet and summed into an ordinal index, which is exactly the construction this dissertation adopts. The structural-margin and vibroacoustic literature quantifies one face of this burden at the subsystem level, where improved Craig-Bampton stochastic methods estimate the physical risk borne by a structure under launch loads</w:t>
      </w:r>
      <w:r>
        <w:t xml:space="preserve"> </w:t>
      </w:r>
      <w:hyperlink w:anchor="ref-4">
        <w:r>
          <w:rPr>
            <w:rStyle w:val="Hyperlink"/>
          </w:rPr>
          <w:t xml:space="preserve">[4]</w:t>
        </w:r>
      </w:hyperlink>
      <w:r>
        <w:t xml:space="preserve">; this work is valuable as evidence that complexity-driven risk is real and physical, but it remains a subsystem-level engineering analysis rather than a population-level account of when cost breaches occur.</w:t>
      </w:r>
    </w:p>
    <w:p>
      <w:pPr>
        <w:pStyle w:val="BodyText"/>
        <w:spacing w:line="480" w:lineRule="auto"/>
        <w:ind w:firstLine="720"/>
      </w:pPr>
      <w:r>
        <w:t xml:space="preserve">The heritage mechanism is theorized as the countervailing, risk-reducing property. When an instrument or bus draws on flight-proven design, the engineering uncertainty that would otherwise be retired through costly rework has already been retired once, on a prior program. Concept studies that assemble proven sensor components into new low-cost configurations exemplify the heritage logic, in which demonstrated hardware shortens the path from confirmation to a stable design; the AltiCube radar-altimeter concept built on cubesat on-orbit assembly is explicit that reuse of established components is the route to a low-cost, low-risk instrument</w:t>
      </w:r>
      <w:r>
        <w:t xml:space="preserve"> </w:t>
      </w:r>
      <w:hyperlink w:anchor="ref-26">
        <w:r>
          <w:rPr>
            <w:rStyle w:val="Hyperlink"/>
          </w:rPr>
          <w:t xml:space="preserve">[26]</w:t>
        </w:r>
      </w:hyperlink>
      <w:r>
        <w:t xml:space="preserve">, and the OCEANUS low-cost instrument suite leans on the same reuse principle</w:t>
      </w:r>
      <w:r>
        <w:t xml:space="preserve"> </w:t>
      </w:r>
      <w:hyperlink w:anchor="ref-24">
        <w:r>
          <w:rPr>
            <w:rStyle w:val="Hyperlink"/>
          </w:rPr>
          <w:t xml:space="preserve">[24]</w:t>
        </w:r>
      </w:hyperlink>
      <w:r>
        <w:t xml:space="preserve">. The broader product-strategy literature frames the same tension as a choice between getting things done and doing the right things, where sensor selection that prioritizes traceability and long-term operability trades near-term ambition for retired risk</w:t>
      </w:r>
      <w:r>
        <w:t xml:space="preserve"> </w:t>
      </w:r>
      <w:hyperlink w:anchor="ref-3">
        <w:r>
          <w:rPr>
            <w:rStyle w:val="Hyperlink"/>
          </w:rPr>
          <w:t xml:space="preserve">[3]</w:t>
        </w:r>
      </w:hyperlink>
      <w:r>
        <w:t xml:space="preserve">. These accounts establish heritage as a plausible hazard-reducing covariate while also warning, through their own qualitative texture, that heritage is a matter of degree and judgment rather than a clean binary, a caution this dissertation carries into its coding and sensitivity analysis.</w:t>
      </w:r>
    </w:p>
    <w:p>
      <w:pPr>
        <w:pStyle w:val="BodyText"/>
        <w:spacing w:line="480" w:lineRule="auto"/>
        <w:ind w:firstLine="720"/>
      </w:pPr>
      <w:r>
        <w:t xml:space="preserve">The mechanism literature also exposes a subtlety that bears directly on identification, namely that maturity, complexity, and heritage are entangled at the point of confirmation rather than independent. The science-driver literature for ocean-worlds and outer-planet exploration shows that the most scientifically valuable instruments are frequently the least mature, because the measurement that justifies a mission is precisely the one for which no flight-proven sensor yet exists</w:t>
      </w:r>
      <w:r>
        <w:t xml:space="preserve"> </w:t>
      </w:r>
      <w:hyperlink w:anchor="ref-28">
        <w:r>
          <w:rPr>
            <w:rStyle w:val="Hyperlink"/>
          </w:rPr>
          <w:t xml:space="preserve">[28]</w:t>
        </w:r>
      </w:hyperlink>
      <w:r>
        <w:t xml:space="preserve">. An instrument suite assembled to maximize science return therefore tends to concentrate first-of-kind detectors, raising both the complexity count and the readiness deficit simultaneously, while a suite assembled to contain cost leans on heritage and so lowers both. This co-movement is visible across the in-situ and reconnaissance concept literature, from near-Sun asteroid monitoring instruments designed for an extreme and unprecedented thermal environment</w:t>
      </w:r>
      <w:r>
        <w:t xml:space="preserve"> </w:t>
      </w:r>
      <w:hyperlink w:anchor="ref-25">
        <w:r>
          <w:rPr>
            <w:rStyle w:val="Hyperlink"/>
          </w:rPr>
          <w:t xml:space="preserve">[25]</w:t>
        </w:r>
      </w:hyperlink>
      <w:r>
        <w:t xml:space="preserve"> </w:t>
      </w:r>
      <w:r>
        <w:t xml:space="preserve">to semi-autonomous surface-reconnaissance strategies that trade instrument novelty against operational risk</w:t>
      </w:r>
      <w:r>
        <w:t xml:space="preserve"> </w:t>
      </w:r>
      <w:hyperlink w:anchor="ref-29">
        <w:r>
          <w:rPr>
            <w:rStyle w:val="Hyperlink"/>
          </w:rPr>
          <w:t xml:space="preserve">[29]</w:t>
        </w:r>
      </w:hyperlink>
      <w:r>
        <w:t xml:space="preserve">, and to autonomous optical-navigation processing developed specifically because no heritage navigation solution existed for a binary-asteroid encounter</w:t>
      </w:r>
      <w:r>
        <w:t xml:space="preserve"> </w:t>
      </w:r>
      <w:hyperlink w:anchor="ref-30">
        <w:r>
          <w:rPr>
            <w:rStyle w:val="Hyperlink"/>
          </w:rPr>
          <w:t xml:space="preserve">[30]</w:t>
        </w:r>
      </w:hyperlink>
      <w:r>
        <w:t xml:space="preserve">. The methodological consequence is that a model seeking to isolate the readiness effect must hold complexity and mass fixed, because the domain literature predicts that the three covariates will otherwise be confounded by the very logic of payload assembly. The covariate-control strategy this dissertation adopts is therefore not a generic regression convenience but a direct response to a confounding structure that the mechanism literature itself documents.</w:t>
      </w:r>
    </w:p>
    <w:p>
      <w:pPr>
        <w:pStyle w:val="BodyText"/>
        <w:spacing w:line="480" w:lineRule="auto"/>
        <w:ind w:firstLine="720"/>
      </w:pPr>
      <w:r>
        <w:t xml:space="preserve">A final, conceptually important contribution from the mechanism literature is the explicit timing intuition that the parametric tradition lacks. The program-management study of cost growth on joint programs by Dwyer, Szajnfarber, Cameron, and Crawley models cost growth as something that is managed, that accumulates, and that can be intervened upon as a program proceeds</w:t>
      </w:r>
      <w:r>
        <w:t xml:space="preserve"> </w:t>
      </w:r>
      <w:hyperlink w:anchor="ref-27">
        <w:r>
          <w:rPr>
            <w:rStyle w:val="Hyperlink"/>
          </w:rPr>
          <w:t xml:space="preserve">[27]</w:t>
        </w:r>
      </w:hyperlink>
      <w:r>
        <w:t xml:space="preserve">. This is the closest the domain literature comes to a process view: it treats cost growth as a trajectory shaped by managerial decisions rather than as a terminal scalar. Even here, however, the analysis remains a model of mechanism and management rather than a censoring-aware, population-level estimate of breach timing. The older policy intuition of the debris-mitigation literature, that one may pay now or pay more later, captures the same temporal asymmetry in slogan form, locating the cost of deferred risk retirement squarely in time</w:t>
      </w:r>
      <w:r>
        <w:t xml:space="preserve"> </w:t>
      </w:r>
      <w:hyperlink w:anchor="ref-19">
        <w:r>
          <w:rPr>
            <w:rStyle w:val="Hyperlink"/>
          </w:rPr>
          <w:t xml:space="preserve">[19]</w:t>
        </w:r>
      </w:hyperlink>
      <w:r>
        <w:t xml:space="preserve">. The mechanism literature, in short, knows that cost growth is a timed process and even gestures at its hazard-like structure, but it lacks the estimator to convert that knowledge into a quantified, milestone-resolved risk.</w:t>
      </w:r>
    </w:p>
    <w:p>
      <w:pPr>
        <w:pStyle w:val="BodyText"/>
        <w:spacing w:line="480" w:lineRule="auto"/>
        <w:ind w:firstLine="720"/>
      </w:pPr>
      <w:r>
        <w:t xml:space="preserve">Taken together, Sections 2.2 and 2.3 establish that the domain literature has done the substantive work this study depends upon. It has identified the covariates, validated their relevance, supplied their causal mechanisms, and grounded them in publicly codeable attributes of real instruments</w:t>
      </w:r>
      <w:r>
        <w:t xml:space="preserve"> </w:t>
      </w:r>
      <w:hyperlink w:anchor="ref-1">
        <w:r>
          <w:rPr>
            <w:rStyle w:val="Hyperlink"/>
          </w:rPr>
          <w:t xml:space="preserve">[1]</w:t>
        </w:r>
      </w:hyperlink>
      <w:r>
        <w:t xml:space="preserve">[2][3][4][5][6][7][8][9][10][11][12][24][26]. What it has not done, and what its level-valued estimators structurally prevent it from doing, is express any of this as a hazard of breach located in development time.</w:t>
      </w:r>
    </w:p>
    <w:bookmarkEnd w:id="69"/>
    <w:bookmarkStart w:id="70" w:name="Xde9a499dad2563bd16f989966ffec4745c2344c"/>
    <w:p>
      <w:pPr>
        <w:pStyle w:val="Heading2"/>
        <w:spacing w:line="480" w:lineRule="auto"/>
      </w:pPr>
      <w:r>
        <w:t xml:space="preserve">2.4 The Cliometric and Survival-Analytic Methodology Literature</w:t>
      </w:r>
    </w:p>
    <w:p>
      <w:pPr>
        <w:pStyle w:val="FirstParagraph"/>
        <w:spacing w:line="480" w:lineRule="auto"/>
      </w:pPr>
      <w:r>
        <w:t xml:space="preserve">The second literature this chapter reviews is methodological. Survival analysis, also termed time-to-event analysis, event-history analysis in the social sciences, and reliability analysis in engineering, is the family of statistical methods designed for exactly the analytic situation the domain literature cannot handle: a process that unfolds over time, whose event of interest may not have occurred by the end of observation, and whose timing, conditional on covariates, is the quantity of interest. Its central objects are the survival function, giving the probability that the event has not yet occurred by a given time, and the hazard function, giving the instantaneous rate of event occurrence at a given time conditional on survival to that time. The hazard is the object that the level-valued cost literature has no representation for, and it is the object this dissertation estimates.</w:t>
      </w:r>
    </w:p>
    <w:p>
      <w:pPr>
        <w:pStyle w:val="BodyText"/>
        <w:spacing w:line="480" w:lineRule="auto"/>
        <w:ind w:firstLine="720"/>
      </w:pPr>
      <w:r>
        <w:t xml:space="preserve">Two features of survival methodology make it the correct instrument for cost-growth onset. The first is its native handling of right-censoring. A unit that reaches the end of observation without experiencing the event contributes the information that it survived at least that long, and survival estimators incorporate this partial information rather than discarding the unit or, worse, treating it as a non-event. For the cost-growth problem, instruments that reach delivery without breaching, and instruments still in development at the data cut, are precisely such censored units, and any analysis that ignored them, by restricting attention to breached instruments only, would induce a severe selection bias toward overruns. The second feature is the proportional-hazards representation, which expresses the effect of a covariate as a multiplicative factor on the hazard, the hazard ratio, that is constant across time under the proportionality assumption. The hazard ratio is the natural quantity for the present study because it converts the abstract covariate effect into a managerially legible statement: how much a one-level deficit in confirmation-stage readiness multiplies the instantaneous odds of crossing the cost-growth threshold.</w:t>
      </w:r>
    </w:p>
    <w:p>
      <w:pPr>
        <w:pStyle w:val="BodyText"/>
        <w:spacing w:line="480" w:lineRule="auto"/>
        <w:ind w:firstLine="720"/>
      </w:pPr>
      <w:r>
        <w:t xml:space="preserve">The methodological literature offers two complementary estimators that bound the design space for this study. The continuous-time Cox proportional-hazards model estimates covariate effects by partial likelihood, conditioning out the unspecified baseline hazard and using only the rank order of event times. This is appropriate when the analytic content lies in which units breach before which others, rather than in the absolute calendar date of breach, and it handles right-censoring natively through the partial-likelihood construction. The discrete-time complementary-log-log hazard model is the alternative chosen when events are observed at discrete reporting intervals rather than continuously, which is the realistic data condition when breach status is read from annual oversight assessments. The complementary-log-log link is the discrete-time analogue of the proportional-hazards specification, so its coefficients exponentiate to interpretable hazard ratios while respecting the interval-censored structure of period-by-period reporting. The two estimators are not rivals but a matched pair: the discrete-time specification is the primary tool when the underlying data arrive in reporting snapshots, and the Cox model serves as a continuous-time check on the same covariate effects. This dissertation exploits exactly this pairing, estimating the discrete-time complementary-log-log model on the period-resolved data and corroborating it against a Cox specification.</w:t>
      </w:r>
    </w:p>
    <w:p>
      <w:pPr>
        <w:pStyle w:val="BodyText"/>
        <w:spacing w:line="480" w:lineRule="auto"/>
        <w:ind w:firstLine="720"/>
      </w:pPr>
      <w:r>
        <w:t xml:space="preserve">The cliometric dimension of this methodology deserves explicit statement because it defines the epistemic posture of the study. Cliometrics is the application of formal econometric and statistical models to historical records, treating the documented past as a population from which quantitative regularities can be estimated under stated identifying assumptions. The defining commitment is to a falsifiable, replicable estimate derived from named historical sources rather than to narrative interpretation. The survival model in this dissertation is cliometric in exactly this sense: it treats the historical record of NASA major-project assessments as a population of instrument development histories, each with a confirmation baseline, a cost trajectory, and a censoring status, and it estimates a hazard relationship from that record under pre-registered identifying assumptions. The data provenance is wholly documentary and public, the GAO major-project assessment series across its annual editions</w:t>
      </w:r>
      <w:r>
        <w:t xml:space="preserve"> </w:t>
      </w:r>
      <w:hyperlink w:anchor="ref-13">
        <w:r>
          <w:rPr>
            <w:rStyle w:val="Hyperlink"/>
          </w:rPr>
          <w:t xml:space="preserve">[13]</w:t>
        </w:r>
      </w:hyperlink>
      <w:r>
        <w:t xml:space="preserve">[14], cross-referenced to mission-level technical documentation, which makes the estimate replicable by an independent analyst from the same named sources.</w:t>
      </w:r>
    </w:p>
    <w:p>
      <w:pPr>
        <w:pStyle w:val="BodyText"/>
        <w:spacing w:line="480" w:lineRule="auto"/>
        <w:ind w:firstLine="720"/>
      </w:pPr>
      <w:r>
        <w:t xml:space="preserve">A second methodological commitment of the cliometric posture concerns the event definition itself, because survival estimates are only as defensible as the precision with which the failure event is fixed before estimation. The event in this study is the first sustained breach of the confirmation cost envelope, defined at a pre-registered threshold rather than chosen after inspecting the data, and re-estimated at alternative thresholds to demonstrate that the central hazard-ratio claim is a property of the cost-growth process and not an artifact of an arbitrary cut. This pre-registration discipline is the survival-analytic analogue of the source-traceability discipline the domain cost literature already imposes when it requires that every cost figure name its published source</w:t>
      </w:r>
      <w:r>
        <w:t xml:space="preserve"> </w:t>
      </w:r>
      <w:hyperlink w:anchor="ref-9">
        <w:r>
          <w:rPr>
            <w:rStyle w:val="Hyperlink"/>
          </w:rPr>
          <w:t xml:space="preserve">[9]</w:t>
        </w:r>
      </w:hyperlink>
      <w:r>
        <w:t xml:space="preserve">. The two disciplines are complementary: the domain literature fixes the provenance of the cost level, and the methodology fixes the definition of the timed event, and only their conjunction yields an estimate that an independent analyst can both reconstruct and falsify. The censoring rule receives the same pre-registration treatment, because the decision of when to treat an unbreached instrument as right-censored, at delivery for completed builds and at the data cut for ongoing ones, determines how the partial information from non-events enters the likelihood and must therefore be fixed in advance rather than tuned to the result.</w:t>
      </w:r>
    </w:p>
    <w:p>
      <w:pPr>
        <w:pStyle w:val="BodyText"/>
        <w:spacing w:line="480" w:lineRule="auto"/>
        <w:ind w:firstLine="720"/>
      </w:pPr>
      <w:r>
        <w:t xml:space="preserve">The penetration of survival methodology into space-program cost research, however, has been minimal, and this is the crux of the methodological gap. The estimator is entirely mature in reliability engineering, where time-to-failure is the canonical dependent variable, and in biostatistics and event-history social science, where it is standard. But within the cost-growth literature for space systems, the dependent variable remains, with near-uniformity, a level or a percentage rather than a time to event. The program-management cost-growth work that comes closest to a process view stops at mechanism modeling rather than hazard estimation</w:t>
      </w:r>
      <w:r>
        <w:t xml:space="preserve"> </w:t>
      </w:r>
      <w:hyperlink w:anchor="ref-27">
        <w:r>
          <w:rPr>
            <w:rStyle w:val="Hyperlink"/>
          </w:rPr>
          <w:t xml:space="preserve">[27]</w:t>
        </w:r>
      </w:hyperlink>
      <w:r>
        <w:t xml:space="preserve">; the parametric and structural-equation cost studies terminate in predicted magnitudes</w:t>
      </w:r>
      <w:r>
        <w:t xml:space="preserve"> </w:t>
      </w:r>
      <w:hyperlink w:anchor="ref-1">
        <w:r>
          <w:rPr>
            <w:rStyle w:val="Hyperlink"/>
          </w:rPr>
          <w:t xml:space="preserve">[1]</w:t>
        </w:r>
      </w:hyperlink>
      <w:r>
        <w:t xml:space="preserve">[2][9][10][11]; and the policy literature that voices the temporal asymmetry of deferred risk does so rhetorically rather than estimatively</w:t>
      </w:r>
      <w:r>
        <w:t xml:space="preserve"> </w:t>
      </w:r>
      <w:hyperlink w:anchor="ref-19">
        <w:r>
          <w:rPr>
            <w:rStyle w:val="Hyperlink"/>
          </w:rPr>
          <w:t xml:space="preserve">[19]</w:t>
        </w:r>
      </w:hyperlink>
      <w:r>
        <w:t xml:space="preserve">. The methodological tradition that could answer the timing question and the substantive tradition that poses it have simply not been brought into contact.</w:t>
      </w:r>
    </w:p>
    <w:bookmarkEnd w:id="70"/>
    <w:bookmarkStart w:id="71" w:name="synthesis-the-gap-and-the-contribution"/>
    <w:p>
      <w:pPr>
        <w:pStyle w:val="Heading2"/>
        <w:spacing w:line="480" w:lineRule="auto"/>
      </w:pPr>
      <w:r>
        <w:t xml:space="preserve">2.5 Synthesis, the Gap, and the Contribution</w:t>
      </w:r>
    </w:p>
    <w:p>
      <w:pPr>
        <w:pStyle w:val="FirstParagraph"/>
        <w:spacing w:line="480" w:lineRule="auto"/>
      </w:pPr>
      <w:r>
        <w:t xml:space="preserve">The two literatures reviewed above are individually mature and jointly disconnected. That disconnection is the opening. Its precise character defines the contribution of this dissertation.</w:t>
      </w:r>
    </w:p>
    <w:p>
      <w:pPr>
        <w:pStyle w:val="BodyText"/>
        <w:spacing w:line="480" w:lineRule="auto"/>
        <w:ind w:firstLine="720"/>
      </w:pPr>
      <w:r>
        <w:t xml:space="preserve">The domain literature supplies a well-validated covariate set and a rich account of mechanisms, but expresses cost as a level. Across the parametric tradition, technology readiness anchors predicted cost</w:t>
      </w:r>
      <w:r>
        <w:t xml:space="preserve"> </w:t>
      </w:r>
      <w:hyperlink w:anchor="ref-1">
        <w:r>
          <w:rPr>
            <w:rStyle w:val="Hyperlink"/>
          </w:rPr>
          <w:t xml:space="preserve">[1]</w:t>
        </w:r>
      </w:hyperlink>
      <w:r>
        <w:t xml:space="preserve">[11], mass and complexity figures of merit drive it</w:t>
      </w:r>
      <w:r>
        <w:t xml:space="preserve"> </w:t>
      </w:r>
      <w:hyperlink w:anchor="ref-2">
        <w:r>
          <w:rPr>
            <w:rStyle w:val="Hyperlink"/>
          </w:rPr>
          <w:t xml:space="preserve">[2]</w:t>
        </w:r>
      </w:hyperlink>
      <w:r>
        <w:t xml:space="preserve">, structural-equation models locate it in concept maturity</w:t>
      </w:r>
      <w:r>
        <w:t xml:space="preserve"> </w:t>
      </w:r>
      <w:hyperlink w:anchor="ref-10">
        <w:r>
          <w:rPr>
            <w:rStyle w:val="Hyperlink"/>
          </w:rPr>
          <w:t xml:space="preserve">[10]</w:t>
        </w:r>
      </w:hyperlink>
      <w:r>
        <w:t xml:space="preserve">, validation studies confirm that development risk leaves residuals beyond scale</w:t>
      </w:r>
      <w:r>
        <w:t xml:space="preserve"> </w:t>
      </w:r>
      <w:hyperlink w:anchor="ref-9">
        <w:r>
          <w:rPr>
            <w:rStyle w:val="Hyperlink"/>
          </w:rPr>
          <w:t xml:space="preserve">[9]</w:t>
        </w:r>
      </w:hyperlink>
      <w:r>
        <w:t xml:space="preserve">, and instrument-level concept studies organize their cost cases around instrument maturity and count</w:t>
      </w:r>
      <w:r>
        <w:t xml:space="preserve"> </w:t>
      </w:r>
      <w:hyperlink w:anchor="ref-23">
        <w:r>
          <w:rPr>
            <w:rStyle w:val="Hyperlink"/>
          </w:rPr>
          <w:t xml:space="preserve">[23]</w:t>
        </w:r>
      </w:hyperlink>
      <w:r>
        <w:t xml:space="preserve">[24][26]. The mechanism literature explains why each covariate operates: readiness deficits import unretired uncertainty into the development window</w:t>
      </w:r>
      <w:r>
        <w:t xml:space="preserve"> </w:t>
      </w:r>
      <w:hyperlink w:anchor="ref-5">
        <w:r>
          <w:rPr>
            <w:rStyle w:val="Hyperlink"/>
          </w:rPr>
          <w:t xml:space="preserve">[5]</w:t>
        </w:r>
      </w:hyperlink>
      <w:r>
        <w:t xml:space="preserve">, complexity multiplies the integration and verification surface</w:t>
      </w:r>
      <w:r>
        <w:t xml:space="preserve"> </w:t>
      </w:r>
      <w:hyperlink w:anchor="ref-6">
        <w:r>
          <w:rPr>
            <w:rStyle w:val="Hyperlink"/>
          </w:rPr>
          <w:t xml:space="preserve">[6]</w:t>
        </w:r>
      </w:hyperlink>
      <w:r>
        <w:t xml:space="preserve">[7][8][4], heritage retires uncertainty in advance</w:t>
      </w:r>
      <w:r>
        <w:t xml:space="preserve"> </w:t>
      </w:r>
      <w:hyperlink w:anchor="ref-3">
        <w:r>
          <w:rPr>
            <w:rStyle w:val="Hyperlink"/>
          </w:rPr>
          <w:t xml:space="preserve">[3]</w:t>
        </w:r>
      </w:hyperlink>
      <w:r>
        <w:t xml:space="preserve">[26], and cost growth is in truth a managed trajectory rather than a terminal scalar</w:t>
      </w:r>
      <w:r>
        <w:t xml:space="preserve"> </w:t>
      </w:r>
      <w:hyperlink w:anchor="ref-27">
        <w:r>
          <w:rPr>
            <w:rStyle w:val="Hyperlink"/>
          </w:rPr>
          <w:t xml:space="preserve">[27]</w:t>
        </w:r>
      </w:hyperlink>
      <w:r>
        <w:t xml:space="preserve">[19]. What no entry in this literature produces is a hazard: a censoring-aware, milestone-resolved estimate of the instantaneous risk that an instrument breaches its allocation at a given point in development.</w:t>
      </w:r>
    </w:p>
    <w:p>
      <w:pPr>
        <w:pStyle w:val="BodyText"/>
        <w:spacing w:line="480" w:lineRule="auto"/>
        <w:ind w:firstLine="720"/>
      </w:pPr>
      <w:r>
        <w:t xml:space="preserve">The methodology literature supplies exactly the missing apparatus, the survival function, the hazard function, the proportional-hazards and complementary-log-log estimators, native right-censoring, and the hazard ratio as a legible effect measure, but it has not been turned toward the instrument cost-growth process. Its application in space-program cost research is effectively null. The result is a clean seam, and a consequential one. On one side sits a substantive literature that knows the covariates and the mechanisms but lacks the estimator for timing. On the other sits a methodological literature that owns the estimator for timing but has not been applied to the substance. The gap is therefore not a missing variable, nor a contested finding, nor an under-powered result awaiting more data. It is a missing join: the two bodies of work coexist without a bridge, and the bridge is the object this study builds.</w:t>
      </w:r>
    </w:p>
    <w:p>
      <w:pPr>
        <w:pStyle w:val="BodyText"/>
        <w:spacing w:line="480" w:lineRule="auto"/>
        <w:ind w:firstLine="720"/>
      </w:pPr>
      <w:r>
        <w:t xml:space="preserve">The contribution this dissertation makes is to span that seam with a single falsifiable estimate. It treats each JPL-class science instrument as a unit under observation from confirmation to delivery, defines the first sustained breach of its cost envelope as the failure event, right-censors instruments that deliver or remain in development without breaching, and estimates a discrete-time complementary-log-log hazard of breach as a function of confirmation-stage technology readiness, log dry mass, and an architectural-complexity index drawn directly from the codeable attributes the mechanism literature identifies</w:t>
      </w:r>
      <w:r>
        <w:t xml:space="preserve"> </w:t>
      </w:r>
      <w:hyperlink w:anchor="ref-5">
        <w:r>
          <w:rPr>
            <w:rStyle w:val="Hyperlink"/>
          </w:rPr>
          <w:t xml:space="preserve">[5]</w:t>
        </w:r>
      </w:hyperlink>
      <w:r>
        <w:t xml:space="preserve">[6][7][8][26]. The covariates are imported from the parametric tradition precisely because that tradition has shown them to co-determine cost level</w:t>
      </w:r>
      <w:r>
        <w:t xml:space="preserve"> </w:t>
      </w:r>
      <w:hyperlink w:anchor="ref-1">
        <w:r>
          <w:rPr>
            <w:rStyle w:val="Hyperlink"/>
          </w:rPr>
          <w:t xml:space="preserve">[1]</w:t>
        </w:r>
      </w:hyperlink>
      <w:r>
        <w:t xml:space="preserve">[2][9][10], so their inclusion blocks the most plausible confounders of the readiness-hazard relationship while the estimator supplies the temporal dimension the parametric tradition lacks. The data are the same public GAO assessment records</w:t>
      </w:r>
      <w:r>
        <w:t xml:space="preserve"> </w:t>
      </w:r>
      <w:hyperlink w:anchor="ref-13">
        <w:r>
          <w:rPr>
            <w:rStyle w:val="Hyperlink"/>
          </w:rPr>
          <w:t xml:space="preserve">[13]</w:t>
        </w:r>
      </w:hyperlink>
      <w:r>
        <w:t xml:space="preserve">[14] that the domain cost literature already relies upon, read now as period-resolved survival histories rather than as terminal cost figures. The single time-stamped output, the milestone-resolved hazard ratio attached to confirmation-stage readiness with its confidence interval and baseline hazard curve, is a quantity that neither literature, working alone, can produce. It is falsifiable in the strict sense the prospectus requires: the claim fails if the estimated hazard ratio is statistically indistinguishable from unity once mass and complexity are held fixed.</w:t>
      </w:r>
    </w:p>
    <w:p>
      <w:pPr>
        <w:pStyle w:val="BodyText"/>
        <w:spacing w:line="480" w:lineRule="auto"/>
        <w:ind w:firstLine="720"/>
      </w:pPr>
      <w:r>
        <w:t xml:space="preserve">This synthesis also clarifies how the two prior research papers underpinning this dissertation function as proof of concept for the join. The proportional-hazards analysis of NASA science instruments operationalizes the timing question directly, modeling the interval from confirmation to first major cost breach as a survival process and recovering technology readiness at confirmation as the dominant hazard-reducing covariate, with complexity and heritage entering in the theorized directions but with weaker resolution under the available sample. The ordinary-least-squares analysis of NASA major-project cost growth establishes, in the level-valued grammar of the domain tradition, that confirmation-era formulation maturity dominates scale and mission class as a predictor of realized growth, exactly as the structural-equation and roadmapping literatures anticipate</w:t>
      </w:r>
      <w:r>
        <w:t xml:space="preserve"> </w:t>
      </w:r>
      <w:hyperlink w:anchor="ref-2">
        <w:r>
          <w:rPr>
            <w:rStyle w:val="Hyperlink"/>
          </w:rPr>
          <w:t xml:space="preserve">[2]</w:t>
        </w:r>
      </w:hyperlink>
      <w:r>
        <w:t xml:space="preserve">[10][11]. The two papers thus span the seam from both sides: one demonstrates that the maturity signal survives translation into a level regression in the domain’s own idiom, and the other demonstrates that the same signal can be expressed as a hazard in the methodology’s idiom. The dissertation’s task is to make that join rigorous, censoring-aware, and milestone-resolved at the instrument level, converting a pair of demonstrations into a single, identified, falsifiable estimate of when cost growth becomes probable and what early-milestone condition accelerates its onset.</w:t>
      </w:r>
    </w:p>
    <w:p>
      <w:pPr>
        <w:pStyle w:val="BodyText"/>
        <w:spacing w:line="480" w:lineRule="auto"/>
        <w:ind w:firstLine="720"/>
      </w:pPr>
      <w:r>
        <w:t xml:space="preserve">The remainder of this dissertation builds the bridge whose absence this chapter has documented. Chapter 3 specifies the discrete-time hazard estimator and the identification strategy that isolates the readiness effect from its principal confounders. Chapter 4 details the construction of the survival dataset from the named public sources. Subsequent chapters report the estimated hazard, subject it to the pre-registered robustness checks on threshold and censoring, and interpret the milestone-resolved hazard ratio against the decision calendar that program managers actually inhabit.</w:t>
      </w:r>
    </w:p>
    <w:bookmarkEnd w:id="71"/>
    <w:bookmarkEnd w:id="72"/>
    <w:bookmarkStart w:id="80" w:name="Xcfcc00a3ded59aed0c781c16bfc121f2a509603"/>
    <w:p>
      <w:pPr>
        <w:pStyle w:val="Heading1"/>
        <w:spacing w:line="480" w:lineRule="auto"/>
      </w:pPr>
      <w:r>
        <w:t xml:space="preserve">Chapter 3. Theoretical Framework and Hypotheses</w:t>
      </w:r>
    </w:p>
    <w:bookmarkStart w:id="73" w:name="purpose-and-scope-of-the-chapter"/>
    <w:p>
      <w:pPr>
        <w:pStyle w:val="Heading2"/>
        <w:spacing w:line="480" w:lineRule="auto"/>
      </w:pPr>
      <w:r>
        <w:t xml:space="preserve">3.1 Purpose and Scope of the Chapter</w:t>
      </w:r>
    </w:p>
    <w:p>
      <w:pPr>
        <w:pStyle w:val="FirstParagraph"/>
        <w:spacing w:line="480" w:lineRule="auto"/>
      </w:pPr>
      <w:r>
        <w:t xml:space="preserve">The two preceding chapters established the problem and located the gap. Cost growth in JPL-class science instruments is conventionally reported as a terminal scalar, the percentage by which a flight unit’s delivered cost exceeds its confirmation-review baseline, and this framing discards the temporal information that a program manager most needs: the period in the development lifecycle at which the overrun becomes probable, and the observable conditions at confirmation that raise the instantaneous risk of breach. The empirical chapters that follow estimate a discrete-time hazard model of cost-growth onset. The present chapter supplies the theoretical foundation that the estimation requires. It does three things. First, it specifies the causal mechanism that converts a confirmation-stage readiness deficit into a timed cost breach, distinguishing that mechanism from the static cost-level relationships that dominate the parametric tradition. Second, it formalizes the causal logic as a directed argument, identifying the treatment variable, the outcome event, the confounders that must be held fixed, and the channels that the design closes to rival explanation. Third, it states the null and alternative hypotheses, H0 and H1, in the precise functional form in which the discrete-time hazard estimator will test them, so that the falsification criterion is fixed before any data are examined.</w:t>
      </w:r>
    </w:p>
    <w:p>
      <w:pPr>
        <w:pStyle w:val="BodyText"/>
        <w:spacing w:line="480" w:lineRule="auto"/>
        <w:ind w:firstLine="720"/>
      </w:pPr>
      <w:r>
        <w:t xml:space="preserve">The chapter does not introduce new data or new estimation. It is deliberately a theory chapter, and its claims are claims about mechanism and about the form of the hypotheses, not about magnitudes. Where it anticipates a sign or a direction, it does so to make the hypotheses falsifiable, not to prejudge them.</w:t>
      </w:r>
    </w:p>
    <w:bookmarkEnd w:id="73"/>
    <w:bookmarkStart w:id="74" w:name="X25ea4f68c9fb83429dbc2375f779c8142fcdf0f"/>
    <w:p>
      <w:pPr>
        <w:pStyle w:val="Heading2"/>
        <w:spacing w:line="480" w:lineRule="auto"/>
      </w:pPr>
      <w:r>
        <w:t xml:space="preserve">3.2 From Cost Level to Cost-Growth Timing: The Theoretical Reorientation</w:t>
      </w:r>
    </w:p>
    <w:p>
      <w:pPr>
        <w:pStyle w:val="FirstParagraph"/>
        <w:spacing w:line="480" w:lineRule="auto"/>
      </w:pPr>
      <w:r>
        <w:t xml:space="preserve">The parametric cost-estimation tradition supplies the covariates that any model of instrument cost growth must respect, but it answers a different question than the one posed here. Parametric research-development-production cost models for advanced aerospace systems anchor predicted cost to the average readiness level of the most significant technologies at the start of development, treating the readiness baseline and a development time horizon as inputs to a predicted cost magnitude</w:t>
      </w:r>
      <w:r>
        <w:t xml:space="preserve"> </w:t>
      </w:r>
      <w:hyperlink w:anchor="ref-1">
        <w:r>
          <w:rPr>
            <w:rStyle w:val="Hyperlink"/>
          </w:rPr>
          <w:t xml:space="preserve">[1]</w:t>
        </w:r>
      </w:hyperlink>
      <w:r>
        <w:t xml:space="preserve">. Parametric economic models of novel space architectures tie cost to launch mass and to a small set of complexity figures of merit, minimizing total mass to minimize cost as a static optimization target</w:t>
      </w:r>
      <w:r>
        <w:t xml:space="preserve"> </w:t>
      </w:r>
      <w:hyperlink w:anchor="ref-2">
        <w:r>
          <w:rPr>
            <w:rStyle w:val="Hyperlink"/>
          </w:rPr>
          <w:t xml:space="preserve">[2]</w:t>
        </w:r>
      </w:hyperlink>
      <w:r>
        <w:t xml:space="preserve">. Independent validation work on parametric estimators used for NASA missions confirms that scale-based and mass-based estimators capture a substantial fraction of cost variance but leave systematic residuals tied to development risk that physical scale alone does not explain</w:t>
      </w:r>
      <w:r>
        <w:t xml:space="preserve"> </w:t>
      </w:r>
      <w:hyperlink w:anchor="ref-9">
        <w:r>
          <w:rPr>
            <w:rStyle w:val="Hyperlink"/>
          </w:rPr>
          <w:t xml:space="preserve">[9]</w:t>
        </w:r>
      </w:hyperlink>
      <w:r>
        <w:t xml:space="preserve">. The structural-equation work on mission cost estimation goes further, arguing that the latent driver of cost is the maturity and definition of the concept rather than its size, and that expert judgment about technological readiness carries more information about eventual cost than scale figures do</w:t>
      </w:r>
      <w:r>
        <w:t xml:space="preserve"> </w:t>
      </w:r>
      <w:hyperlink w:anchor="ref-10">
        <w:r>
          <w:rPr>
            <w:rStyle w:val="Hyperlink"/>
          </w:rPr>
          <w:t xml:space="preserve">[10]</w:t>
        </w:r>
      </w:hyperlink>
      <w:r>
        <w:t xml:space="preserve">. The technology-roadmapping literature reinforces this by treating a low entry maturity as a direct measure of the development distance, and therefore the cost exposure, that remains when a project is confirmed</w:t>
      </w:r>
      <w:r>
        <w:t xml:space="preserve"> </w:t>
      </w:r>
      <w:hyperlink w:anchor="ref-11">
        <w:r>
          <w:rPr>
            <w:rStyle w:val="Hyperlink"/>
          </w:rPr>
          <w:t xml:space="preserve">[11]</w:t>
        </w:r>
      </w:hyperlink>
      <w:r>
        <w:t xml:space="preserve">.</w:t>
      </w:r>
    </w:p>
    <w:p>
      <w:pPr>
        <w:pStyle w:val="BodyText"/>
        <w:spacing w:line="480" w:lineRule="auto"/>
        <w:ind w:firstLine="720"/>
      </w:pPr>
      <w:r>
        <w:t xml:space="preserve">These models share a common output type. They predict a number. Each predicts a cost level, or equivalently a final cost-growth scalar, as a function of covariates fixed at or near confirmation. None predicts the timing of a breach, and none expresses the marginal effect of a covariate as a hazard that a program manager can read against the calendar of the project’s own reviews. The reorientation this dissertation proposes is to treat cost-growth onset not as a magnitude to be predicted but as an event to be timed. The same covariates that the parametric tradition has shown to co-determine the cost level, readiness, mass, and architectural complexity, are retained, but the dependent construct changes from</w:t>
      </w:r>
      <w:r>
        <w:t xml:space="preserve"> </w:t>
      </w:r>
      <w:r>
        <w:t xml:space="preserve">“how much”</w:t>
      </w:r>
      <w:r>
        <w:t xml:space="preserve"> </w:t>
      </w:r>
      <w:r>
        <w:t xml:space="preserve">to</w:t>
      </w:r>
      <w:r>
        <w:t xml:space="preserve"> </w:t>
      </w:r>
      <w:r>
        <w:t xml:space="preserve">“when,”</w:t>
      </w:r>
      <w:r>
        <w:t xml:space="preserve"> </w:t>
      </w:r>
      <w:r>
        <w:t xml:space="preserve">and the estimand changes from a regression coefficient on a cost level to a hazard ratio on the instantaneous risk of crossing a pre-registered cost threshold.</w:t>
      </w:r>
    </w:p>
    <w:p>
      <w:pPr>
        <w:pStyle w:val="BodyText"/>
        <w:spacing w:line="480" w:lineRule="auto"/>
        <w:ind w:firstLine="720"/>
      </w:pPr>
      <w:r>
        <w:t xml:space="preserve">The reorientation is not merely a change of statistical machinery. It rests on a substantive claim about how cost growth is realized in instrument development. The parametric models implicitly treat cost as determined at confirmation and revealed at delivery, a single draw from a distribution whose parameters the covariates fix. The hazard reorientation treats cost growth as a process that unfolds across the development window, in which the conditions present at confirmation govern not a final draw but a sequence of period-by-period probabilities of breach. A model of timing is therefore the correct object when the decision-relevant question is not whether an instrument will overrun, which is known only after the fact and too late to act on, but whether its observable state at an early milestone already implies an elevated period-by-period risk of breach that a manager could mitigate through reserve allocation or targeted technology maturation.</w:t>
      </w:r>
    </w:p>
    <w:bookmarkEnd w:id="74"/>
    <w:bookmarkStart w:id="75" w:name="the-causal-mechanism"/>
    <w:p>
      <w:pPr>
        <w:pStyle w:val="Heading2"/>
        <w:spacing w:line="480" w:lineRule="auto"/>
      </w:pPr>
      <w:r>
        <w:t xml:space="preserve">3.3 The Causal Mechanism</w:t>
      </w:r>
    </w:p>
    <w:p>
      <w:pPr>
        <w:pStyle w:val="FirstParagraph"/>
        <w:spacing w:line="480" w:lineRule="auto"/>
      </w:pPr>
      <w:r>
        <w:t xml:space="preserve">The mechanism this dissertation posits links a single confirmation-stage condition, the Technology Readiness Level of the least-mature critical instrument technology, to the timing of cost-growth onset through the resolution of engineering uncertainty during the implementation phase. The mechanism proceeds in four steps.</w:t>
      </w:r>
    </w:p>
    <w:p>
      <w:pPr>
        <w:pStyle w:val="BodyText"/>
        <w:spacing w:line="480" w:lineRule="auto"/>
        <w:ind w:firstLine="720"/>
      </w:pPr>
      <w:r>
        <w:t xml:space="preserve">First, an instrument confirmed at a low Technology Readiness Level enters its development phase carrying unresolved engineering uncertainty in its most consequential technologies. Readiness, on the standard 1-to-9 scale, is an ordinal summary of how much of the path from concept to flight-qualified hardware remains to be traversed. A low confirmation-stage readiness is, by construction, a measure of the development distance that the project has committed to cover after the cost baseline has already been set. The roadmapping literature makes exactly this identification, treating entry maturity as a direct measure of remaining development distance and therefore of cost exposure</w:t>
      </w:r>
      <w:r>
        <w:t xml:space="preserve"> </w:t>
      </w:r>
      <w:hyperlink w:anchor="ref-11">
        <w:r>
          <w:rPr>
            <w:rStyle w:val="Hyperlink"/>
          </w:rPr>
          <w:t xml:space="preserve">[11]</w:t>
        </w:r>
      </w:hyperlink>
      <w:r>
        <w:t xml:space="preserve">. Dedicated technology-maturation campaigns for next-generation instruments are undertaken precisely because immature critical components carry development risk that propagates into schedule and cost once a project is under baseline control, which is the empirical signature of the same identification</w:t>
      </w:r>
      <w:r>
        <w:t xml:space="preserve"> </w:t>
      </w:r>
      <w:hyperlink w:anchor="ref-5">
        <w:r>
          <w:rPr>
            <w:rStyle w:val="Hyperlink"/>
          </w:rPr>
          <w:t xml:space="preserve">[5]</w:t>
        </w:r>
      </w:hyperlink>
      <w:r>
        <w:t xml:space="preserve">.</w:t>
      </w:r>
    </w:p>
    <w:p>
      <w:pPr>
        <w:pStyle w:val="BodyText"/>
        <w:spacing w:line="480" w:lineRule="auto"/>
        <w:ind w:firstLine="720"/>
      </w:pPr>
      <w:r>
        <w:t xml:space="preserve">Second, the resolution of that uncertainty is not free, and it is not instantaneous. During the implementation phase the project must retire the readiness deficit through engineering work whose scope and difficulty were, by definition, not fully known at confirmation, because if they had been fully known the technology would have been more mature. The cost of this resolution is the unplanned cost that the parametric models attribute to development-risk residuals</w:t>
      </w:r>
      <w:r>
        <w:t xml:space="preserve"> </w:t>
      </w:r>
      <w:hyperlink w:anchor="ref-9">
        <w:r>
          <w:rPr>
            <w:rStyle w:val="Hyperlink"/>
          </w:rPr>
          <w:t xml:space="preserve">[9]</w:t>
        </w:r>
      </w:hyperlink>
      <w:r>
        <w:t xml:space="preserve"> </w:t>
      </w:r>
      <w:r>
        <w:t xml:space="preserve">and that the structural-equation account attributes to concept immaturity rather than scale</w:t>
      </w:r>
      <w:r>
        <w:t xml:space="preserve"> </w:t>
      </w:r>
      <w:hyperlink w:anchor="ref-10">
        <w:r>
          <w:rPr>
            <w:rStyle w:val="Hyperlink"/>
          </w:rPr>
          <w:t xml:space="preserve">[10]</w:t>
        </w:r>
      </w:hyperlink>
      <w:r>
        <w:t xml:space="preserve">. The key point for a timing model is that this cost is realized as the engineering work proceeds, not all at once, so the breach it eventually produces has a location in time rather than only a magnitude.</w:t>
      </w:r>
    </w:p>
    <w:p>
      <w:pPr>
        <w:pStyle w:val="BodyText"/>
        <w:spacing w:line="480" w:lineRule="auto"/>
        <w:ind w:firstLine="720"/>
      </w:pPr>
      <w:r>
        <w:t xml:space="preserve">Third, the realization is hazard-shaped rather than uniform. Engineering uncertainty does not convert to committed cost at a constant rate across the development window. It concentrates in the periods where the immature technology is integrated and verified against the rest of the instrument, because integration is the moment at which the deferred uncertainty becomes a measured shortfall against requirements and must be bought down with rework. The vibroacoustic and structural-margin literature illustrates how physical risk is quantified and confronted at the subsystem and integration level rather than diffused evenly across the schedule, so that the periods of greatest verification activity are also the periods of greatest exposure to a cost-driving surprise</w:t>
      </w:r>
      <w:r>
        <w:t xml:space="preserve"> </w:t>
      </w:r>
      <w:hyperlink w:anchor="ref-4">
        <w:r>
          <w:rPr>
            <w:rStyle w:val="Hyperlink"/>
          </w:rPr>
          <w:t xml:space="preserve">[4]</w:t>
        </w:r>
      </w:hyperlink>
      <w:r>
        <w:t xml:space="preserve">. A model that treats the instantaneous risk of breach as a function of an evolving baseline hazard, multiplied by the effect of confirmation-stage readiness, is therefore the appropriate functional representation of a process whose risk is concentrated in time.</w:t>
      </w:r>
    </w:p>
    <w:p>
      <w:pPr>
        <w:pStyle w:val="BodyText"/>
        <w:spacing w:line="480" w:lineRule="auto"/>
        <w:ind w:firstLine="720"/>
      </w:pPr>
      <w:r>
        <w:t xml:space="preserve">Fourth, because confirmation-stage readiness is fixed before the implementation phase begins, the readiness deficit operates as an early-milestone condition that conditions the entire subsequent sequence of period-by-period breach probabilities. The instrument confirmed at low readiness does not face a one-time elevated risk; it faces a multiplicatively elevated hazard in every development period in which the unresolved technology is still being matured and integrated. The risk is not a spike but a shifted schedule. This is the precise sense in which the mechanism is timed. The readiness deficit does not merely make a breach more likely in aggregate; it raises the instantaneous odds of crossing the cost threshold in each period, shifting the breach event earlier in the development timeline than it would otherwise occur.</w:t>
      </w:r>
    </w:p>
    <w:p>
      <w:pPr>
        <w:pStyle w:val="BodyText"/>
        <w:spacing w:line="480" w:lineRule="auto"/>
        <w:ind w:firstLine="720"/>
      </w:pPr>
      <w:r>
        <w:t xml:space="preserve">This four-step mechanism distinguishes the present model from the parametric tradition, and the distinction matters for both interpretation and design. The parametric models would summarize the same instrument by a higher predicted cost level. The hazard model summarizes it by a hazard ratio greater than unity attached to the readiness deficit, together with a baseline hazard curve that locates when across the development window that elevated risk is most acute. The two summaries are complementary. Only the second answers the program manager’s timed question.</w:t>
      </w:r>
    </w:p>
    <w:bookmarkEnd w:id="75"/>
    <w:bookmarkStart w:id="76" w:name="X87409c62fede584268d73c97afec83c0de74031"/>
    <w:p>
      <w:pPr>
        <w:pStyle w:val="Heading2"/>
        <w:spacing w:line="480" w:lineRule="auto"/>
      </w:pPr>
      <w:r>
        <w:t xml:space="preserve">3.4 Distinguishing the Mechanism from Complexity and Scale</w:t>
      </w:r>
    </w:p>
    <w:p>
      <w:pPr>
        <w:pStyle w:val="FirstParagraph"/>
        <w:spacing w:line="480" w:lineRule="auto"/>
      </w:pPr>
      <w:r>
        <w:t xml:space="preserve">Two rival or competing channels must be addressed before the mechanism can be claimed to identify a readiness effect, because both are known from the parametric literature to co-determine cost and both are plausibly correlated with readiness.</w:t>
      </w:r>
    </w:p>
    <w:p>
      <w:pPr>
        <w:pStyle w:val="BodyText"/>
        <w:spacing w:line="480" w:lineRule="auto"/>
        <w:ind w:firstLine="720"/>
      </w:pPr>
      <w:r>
        <w:t xml:space="preserve">Architectural complexity operates through a related but distinct channel. As instrument architectures move toward sensor-rich payloads and distributed suites, the number of interacting subsystems that must be integrated and verified grows, and with it the surface area for emergent integration problems</w:t>
      </w:r>
      <w:r>
        <w:t xml:space="preserve"> </w:t>
      </w:r>
      <w:hyperlink w:anchor="ref-6">
        <w:r>
          <w:rPr>
            <w:rStyle w:val="Hyperlink"/>
          </w:rPr>
          <w:t xml:space="preserve">[6]</w:t>
        </w:r>
      </w:hyperlink>
      <w:r>
        <w:t xml:space="preserve">[7]. Greater complexity should therefore be associated with a higher hazard. The difficulty is that complexity and readiness are entangled by construction: the technologies that make a payload complex are frequently the same technologies that are immature, so a naive model that omitted complexity would risk attributing to readiness an effect that properly belongs to the count and heterogeneity of subsystems. The mechanism posited here is specific to the maturity of the critical technology, not to the count of subsystems, so the design must hold complexity fixed in order to isolate the readiness channel. The complexity index is included for exactly this reason: not because complexity is the treatment of interest, but because it is the most plausible confounder of the readiness-to-timing relationship and must be blocked.</w:t>
      </w:r>
    </w:p>
    <w:p>
      <w:pPr>
        <w:pStyle w:val="BodyText"/>
        <w:spacing w:line="480" w:lineRule="auto"/>
        <w:ind w:firstLine="720"/>
      </w:pPr>
      <w:r>
        <w:t xml:space="preserve">Scale, measured by instrument dry mass, operates through the channel the parametric tradition has most thoroughly documented: larger instruments embody more parts and more integration work, and mass is the canonical cost driver in mass-based parametric models</w:t>
      </w:r>
      <w:r>
        <w:t xml:space="preserve"> </w:t>
      </w:r>
      <w:hyperlink w:anchor="ref-2">
        <w:r>
          <w:rPr>
            <w:rStyle w:val="Hyperlink"/>
          </w:rPr>
          <w:t xml:space="preserve">[2]</w:t>
        </w:r>
      </w:hyperlink>
      <w:r>
        <w:t xml:space="preserve">. Yet the validation literature shows that scale leaves development-risk residuals unexplained</w:t>
      </w:r>
      <w:r>
        <w:t xml:space="preserve"> </w:t>
      </w:r>
      <w:hyperlink w:anchor="ref-9">
        <w:r>
          <w:rPr>
            <w:rStyle w:val="Hyperlink"/>
          </w:rPr>
          <w:t xml:space="preserve">[9]</w:t>
        </w:r>
      </w:hyperlink>
      <w:r>
        <w:t xml:space="preserve">, and the structural-equation account locates the latent cost driver in maturity rather than size</w:t>
      </w:r>
      <w:r>
        <w:t xml:space="preserve"> </w:t>
      </w:r>
      <w:hyperlink w:anchor="ref-10">
        <w:r>
          <w:rPr>
            <w:rStyle w:val="Hyperlink"/>
          </w:rPr>
          <w:t xml:space="preserve">[10]</w:t>
        </w:r>
      </w:hyperlink>
      <w:r>
        <w:t xml:space="preserve">. The mechanism posited here predicts that, once readiness is measured and held fixed, the additional timing information carried by mass should be limited, because the channel through which immaturity produces a timed breach is the resolution of engineering uncertainty, not the sheer quantity of hardware. Mass is nonetheless included as a control, again as a confounder to be blocked rather than as a treatment, because it co-determines cost level and is correlated with the kinds of ambitious instruments that confirm at low readiness.</w:t>
      </w:r>
    </w:p>
    <w:p>
      <w:pPr>
        <w:pStyle w:val="BodyText"/>
        <w:spacing w:line="480" w:lineRule="auto"/>
        <w:ind w:firstLine="720"/>
      </w:pPr>
      <w:r>
        <w:t xml:space="preserve">The theoretical claim of this dissertation is therefore narrow and identifiable. It is not that readiness is the only thing that matters for cost growth, nor that complexity and mass are irrelevant. It is that, after holding mass and complexity fixed, a confirmation-stage readiness deficit raises the instantaneous hazard of cost-growth onset, because the readiness deficit is the construct that most directly measures the unresolved engineering distance whose resolution is realized as timed, unplanned cost.</w:t>
      </w:r>
    </w:p>
    <w:bookmarkEnd w:id="76"/>
    <w:bookmarkStart w:id="77" w:name="the-causal-logic-stated-formally"/>
    <w:p>
      <w:pPr>
        <w:pStyle w:val="Heading2"/>
        <w:spacing w:line="480" w:lineRule="auto"/>
      </w:pPr>
      <w:r>
        <w:t xml:space="preserve">3.5 The Causal Logic, Stated Formally</w:t>
      </w:r>
    </w:p>
    <w:p>
      <w:pPr>
        <w:pStyle w:val="FirstParagraph"/>
        <w:spacing w:line="480" w:lineRule="auto"/>
      </w:pPr>
      <w:r>
        <w:t xml:space="preserve">The causal argument can be set out as a directed chain with explicit treatment, outcome, confounders, and closed channels, which is the form the empirical design must respect.</w:t>
      </w:r>
    </w:p>
    <w:p>
      <w:pPr>
        <w:pStyle w:val="BodyText"/>
        <w:spacing w:line="480" w:lineRule="auto"/>
        <w:ind w:firstLine="720"/>
      </w:pPr>
      <w:r>
        <w:t xml:space="preserve">The treatment is confirmation-stage Technology Readiness Level, denoted TRL, measured strictly at the confirmation milestone before any development-period breach can be scored. The outcome is the event of cost-growth onset, defined as the first development period in which cumulative committed cost exceeds the confirmation baseline by a pre-registered margin. The estimand is the effect of TRL on the discrete-time hazard of that event, expressed as a hazard ratio.</w:t>
      </w:r>
    </w:p>
    <w:p>
      <w:pPr>
        <w:pStyle w:val="BodyText"/>
        <w:spacing w:line="480" w:lineRule="auto"/>
        <w:ind w:firstLine="720"/>
      </w:pPr>
      <w:r>
        <w:t xml:space="preserve">The argument rests on three identifying design choices, each of which closes a specific channel of rival explanation. The first choice is temporal ordering: confirmation-stage TRL is measured before the development window over which breaches are scored, which closes the reverse-causation channel by which an unfolding overrun would otherwise contaminate a contemporaneous readiness measure. Readiness measured during implementation could be depressed by the very cost growth it was meant to predict; readiness measured at confirmation cannot be, because the breach has not yet occurred. The second choice is confounder inclusion: mass and complexity are included precisely because the parametric literature has shown them to co-determine cost level</w:t>
      </w:r>
      <w:r>
        <w:t xml:space="preserve"> </w:t>
      </w:r>
      <w:hyperlink w:anchor="ref-1">
        <w:r>
          <w:rPr>
            <w:rStyle w:val="Hyperlink"/>
          </w:rPr>
          <w:t xml:space="preserve">[1]</w:t>
        </w:r>
      </w:hyperlink>
      <w:r>
        <w:t xml:space="preserve">[2], so their inclusion blocks the most plausible back-door paths from TRL to the timing of breach. The third choice is event pre-registration: the breach threshold and the censoring rule are fixed before estimation, which closes the threshold-shopping channel by which an analyst could select the event definition that produced the desired result. These three choices convert a correlational statement about readiness and cost growth into a defensible claim about the effect of readiness on breach timing.</w:t>
      </w:r>
    </w:p>
    <w:p>
      <w:pPr>
        <w:pStyle w:val="BodyText"/>
        <w:spacing w:line="480" w:lineRule="auto"/>
        <w:ind w:firstLine="720"/>
      </w:pPr>
      <w:r>
        <w:t xml:space="preserve">One channel remains open to the design and is treated as a threat rather than closed by assumption: omitted institutional heterogeneity across mission lines, contractors, and reserve policies, which may jointly affect both readiness practices and cost discipline. The framework does not claim to have eliminated this channel by argument; it claims only to have isolated it as the principal residual threat, to be addressed in estimation through a mission-line stratum in the baseline hazard and a shared-frailty robustness specification. The theoretical chapter’s responsibility is to name the channel and to state that the central hazard-ratio claim is conditional on its adequate treatment, not to assert that it has been dissolved.</w:t>
      </w:r>
    </w:p>
    <w:bookmarkEnd w:id="77"/>
    <w:bookmarkStart w:id="78" w:name="the-hypotheses"/>
    <w:p>
      <w:pPr>
        <w:pStyle w:val="Heading2"/>
        <w:spacing w:line="480" w:lineRule="auto"/>
      </w:pPr>
      <w:r>
        <w:t xml:space="preserve">3.6 The Hypotheses</w:t>
      </w:r>
    </w:p>
    <w:p>
      <w:pPr>
        <w:pStyle w:val="FirstParagraph"/>
        <w:spacing w:line="480" w:lineRule="auto"/>
      </w:pPr>
      <w:r>
        <w:t xml:space="preserve">The mechanism and the causal logic yield a single falsifiable contribution, expressed as a pair of complementary hypotheses about the sign and significance of the coefficient on confirmation-stage TRL in the discrete-time hazard model. The estimator is a discrete-time complementary-log-log hazard specification, chosen because the complementary-log-log link is the discrete-time analogue of a proportional-hazards model, so that the coefficient on TRL exponentiates to an interpretable hazard ratio for a one-level change in readiness. Let the hazard of breach in development period t be modeled as a function of a flexible baseline hazard and the confirmation-stage covariates TRL, log dry mass, and the architectural-complexity index. Let the coefficient on TRL be denoted as the parameter whose exponential is the hazard ratio for a one-level change in confirmation-stage readiness.</w:t>
      </w:r>
    </w:p>
    <w:p>
      <w:pPr>
        <w:pStyle w:val="BodyText"/>
        <w:spacing w:line="480" w:lineRule="auto"/>
        <w:ind w:firstLine="720"/>
      </w:pPr>
      <w:r>
        <w:rPr>
          <w:b/>
          <w:bCs/>
        </w:rPr>
        <w:t xml:space="preserve">H0 (null).</w:t>
      </w:r>
      <w:r>
        <w:t xml:space="preserve"> </w:t>
      </w:r>
      <w:r>
        <w:t xml:space="preserve">After controlling for instrument dry mass and architectural complexity, confirmation-stage Technology Readiness Level has no effect on the discrete-time hazard of cost-growth onset. Formally, the coefficient on confirmation-stage TRL is zero, so the hazard ratio for a one-level TRL change equals 1.0, and the 95 percent confidence interval on that hazard ratio contains 1.0. Under H0, the timing of cost-growth onset is independent of confirmation-stage readiness once mass and complexity are held fixed, and the mechanism posited in Section 3.3 carries no measurable signal in the timing of breach.</w:t>
      </w:r>
    </w:p>
    <w:p>
      <w:pPr>
        <w:pStyle w:val="BodyText"/>
        <w:spacing w:line="480" w:lineRule="auto"/>
        <w:ind w:firstLine="720"/>
      </w:pPr>
      <w:r>
        <w:rPr>
          <w:b/>
          <w:bCs/>
        </w:rPr>
        <w:t xml:space="preserve">H1 (alternative).</w:t>
      </w:r>
      <w:r>
        <w:t xml:space="preserve"> </w:t>
      </w:r>
      <w:r>
        <w:t xml:space="preserve">A lower confirmation-stage Technology Readiness Level raises the instantaneous hazard of cost-growth onset. Formally, the coefficient on TRL is negative and statistically distinguishable from zero, so that a one-level decrease in confirmation-stage TRL multiplies the per-period odds of crossing the cost-growth threshold by a factor strictly greater than 1.0, and the 95 percent confidence interval on that hazard ratio excludes 1.0. Under H1, the mechanism of Section 3.3 is operative: the readiness deficit raises the period-by-period probability of breach and shifts the cost-growth event earlier in the development timeline.</w:t>
      </w:r>
    </w:p>
    <w:p>
      <w:pPr>
        <w:pStyle w:val="BodyText"/>
        <w:spacing w:line="480" w:lineRule="auto"/>
        <w:ind w:firstLine="720"/>
      </w:pPr>
      <w:r>
        <w:t xml:space="preserve">The two hypotheses are mutually exclusive and jointly exhaustive over the relevant parameter space in the one-sided sense that matters for the mechanism. The mechanism predicts a specific sign, that lower readiness raises rather than lowers the hazard, and so the substantive content of H1 is directional. A finding that the coefficient on TRL is positive and significant, implying that lower readiness lowers the hazard, would not support H1; it would contradict the posited mechanism as decisively as a null result, and the framework records this as a third logical possibility that the data could in principle return.</w:t>
      </w:r>
    </w:p>
    <w:bookmarkEnd w:id="78"/>
    <w:bookmarkStart w:id="79" w:name="X59e58834ff4b842b8be4b5fb4fb5a201f19d944"/>
    <w:p>
      <w:pPr>
        <w:pStyle w:val="Heading2"/>
        <w:spacing w:line="480" w:lineRule="auto"/>
      </w:pPr>
      <w:r>
        <w:t xml:space="preserve">3.7 The Falsification Criterion and the Contribution</w:t>
      </w:r>
    </w:p>
    <w:p>
      <w:pPr>
        <w:pStyle w:val="FirstParagraph"/>
        <w:spacing w:line="480" w:lineRule="auto"/>
      </w:pPr>
      <w:r>
        <w:t xml:space="preserve">The contribution of the dissertation is a single time-stamped hazard estimate: the milestone-resolved hazard ratio attached to confirmation-stage TRL, reported with its confidence interval and its baseline hazard curve across the development timeline. The framework fixes the falsification criterion in advance. The claim is falsified if the estimated hazard ratio for confirmation-stage TRL is statistically indistinguishable from unity once mass and complexity are held fixed, that is, if H0 cannot be rejected. The claim is corroborated, not proven, if H0 is rejected in the direction H1 specifies. The asymmetry is deliberate and follows standard inferential practice: a rejection of H0 in favor of H1 supports the mechanism without establishing it against every conceivable alternative, while a failure to reject H0 falsifies the specific, sharp claim that the dissertation advances.</w:t>
      </w:r>
    </w:p>
    <w:p>
      <w:pPr>
        <w:pStyle w:val="BodyText"/>
        <w:spacing w:line="480" w:lineRule="auto"/>
        <w:ind w:firstLine="720"/>
      </w:pPr>
      <w:r>
        <w:t xml:space="preserve">This falsification structure disciplines the empirical chapters in two ways. First, it commits the analysis to a sign and to a parameter before estimation, so that the result cannot be reinterpreted post hoc as confirmation regardless of what the data return. Second, it ties the contribution to a quantity, the hazard ratio on confirmation-stage TRL, that is directly meaningful to the decision-maker the dissertation addresses. A program manager allocating reserves at confirmation reads a hazard ratio greater than unity as a statement of how much a one-level readiness deficit accelerates the expected arrival of a cost breach, and reads the baseline hazard curve as a statement of when across the development window that accelerated risk is most acute. The robustness of this central estimate to the event definition is built into the design, with the breach event re-estimated at 10, 15, and 30 percent thresholds, so that the corroboration or falsification of H1 is shown to depend on the mechanism rather than on a single arbitrary cut of the cost-growth distribution.</w:t>
      </w:r>
    </w:p>
    <w:p>
      <w:pPr>
        <w:pStyle w:val="BodyText"/>
        <w:spacing w:line="480" w:lineRule="auto"/>
        <w:ind w:firstLine="720"/>
      </w:pPr>
      <w:r>
        <w:t xml:space="preserve">The framework set out here therefore connects the parametric cost literature, which fixes the covariates</w:t>
      </w:r>
      <w:r>
        <w:t xml:space="preserve"> </w:t>
      </w:r>
      <w:hyperlink w:anchor="ref-1">
        <w:r>
          <w:rPr>
            <w:rStyle w:val="Hyperlink"/>
          </w:rPr>
          <w:t xml:space="preserve">[1]</w:t>
        </w:r>
      </w:hyperlink>
      <w:r>
        <w:t xml:space="preserve">[2][9][10][11], to a survival-analytic estimand that the parametric tradition does not supply, through a four-step mechanism in which a confirmation-stage readiness deficit is realized as timed, unplanned cost during the resolution and integration of immature technology</w:t>
      </w:r>
      <w:r>
        <w:t xml:space="preserve"> </w:t>
      </w:r>
      <w:hyperlink w:anchor="ref-4">
        <w:r>
          <w:rPr>
            <w:rStyle w:val="Hyperlink"/>
          </w:rPr>
          <w:t xml:space="preserve">[4]</w:t>
        </w:r>
      </w:hyperlink>
      <w:r>
        <w:t xml:space="preserve">[5][6][7]. The hypotheses H0 and H1 render that mechanism falsifiable as a sharp, directional, milestone-resolved claim about the hazard of cost-growth onset, and the chapters that follow estimate it.</w:t>
      </w:r>
    </w:p>
    <w:bookmarkEnd w:id="79"/>
    <w:bookmarkEnd w:id="80"/>
    <w:bookmarkStart w:id="89" w:name="chapter-4.-data-and-measurement"/>
    <w:p>
      <w:pPr>
        <w:pStyle w:val="Heading1"/>
        <w:spacing w:line="480" w:lineRule="auto"/>
      </w:pPr>
      <w:r>
        <w:t xml:space="preserve">Chapter 4. Data and Measurement</w:t>
      </w:r>
    </w:p>
    <w:bookmarkStart w:id="81" w:name="Xa50aa6c85c4ff74a26ea93a9417c0da739b1a11"/>
    <w:p>
      <w:pPr>
        <w:pStyle w:val="Heading2"/>
        <w:spacing w:line="480" w:lineRule="auto"/>
      </w:pPr>
      <w:r>
        <w:t xml:space="preserve">4.1 Introduction and the Logic of the Chapter</w:t>
      </w:r>
    </w:p>
    <w:p>
      <w:pPr>
        <w:pStyle w:val="FirstParagraph"/>
        <w:spacing w:line="480" w:lineRule="auto"/>
      </w:pPr>
      <w:r>
        <w:t xml:space="preserve">A cliometric claim is only as defensible as the documentary record from which its variables are constructed. The preceding chapters established the substantive question, the gap between a domain literature that expresses cost as a level and a methodology that expresses risk as a hazard, and the identification strategy by which a confirmation-stage covariate can be related to the timing of a cost breach without contamination from the breach itself. This chapter discharges the obligation that those commitments impose: it specifies, source by source and variable by variable, the data on which the two empirical studies of this dissertation rest. The aim is not to summarize results, which belong to later chapters, but to make the measurement apparatus fully transparent, so that an independent analyst working from the same named public documents could reconstruct every column of both datasets and, in doing so, either reproduce or falsify the estimates.</w:t>
      </w:r>
    </w:p>
    <w:p>
      <w:pPr>
        <w:pStyle w:val="BodyText"/>
        <w:spacing w:line="480" w:lineRule="auto"/>
        <w:ind w:firstLine="720"/>
      </w:pPr>
      <w:r>
        <w:t xml:space="preserve">The chapter is organized around three questions that any reader of a quantitative study is entitled to ask before trusting its findings. First, what are the actual datasets, and where do they come from, The two papers that anchor this dissertation use two distinct but overlapping cross-sections of NASA projects, and Section 4.2 names the authoritative sources for each. Second, what is the unit of analysis, and is it stable across the two studies, Section 4.3 confronts the fact that one study reasons at the level of the instrument-rich mission and the other at the level of the major project, and explains why the scoping language of the dissertation, JPL-class science instruments, governs both. Third, how is each variable constructed from a primary record, and is that construction reproducible, Section 4.4 treats the outcome variables, Section 4.5 the covariates, and Section 4.6 the provenance discipline that ties every cell of each dataset to a named, paginated public document. Section 4.7 reports the descriptive structure of the two assembled samples, and Section 4.8 states candidly the measurement limitations that the construction rules cannot eliminate and carries them forward to the validity discussion.</w:t>
      </w:r>
    </w:p>
    <w:p>
      <w:pPr>
        <w:pStyle w:val="BodyText"/>
        <w:spacing w:line="480" w:lineRule="auto"/>
        <w:ind w:firstLine="720"/>
      </w:pPr>
      <w:r>
        <w:t xml:space="preserve">Throughout, the governing principle is the one the parametric cost literature already imposes on itself when it requires that every cost figure name its published source, and that the validation literature enforces when it audits a tool’s predictions against documented mission outcomes</w:t>
      </w:r>
      <w:r>
        <w:t xml:space="preserve"> </w:t>
      </w:r>
      <w:hyperlink w:anchor="ref-9">
        <w:r>
          <w:rPr>
            <w:rStyle w:val="Hyperlink"/>
          </w:rPr>
          <w:t xml:space="preserve">[9]</w:t>
        </w:r>
      </w:hyperlink>
      <w:r>
        <w:t xml:space="preserve">. This dissertation extends that source-traceability discipline from the cost level to the timed event, fixing not only where each number comes from but also how the failure event and the censoring status were defined before estimation began.</w:t>
      </w:r>
    </w:p>
    <w:bookmarkEnd w:id="81"/>
    <w:bookmarkStart w:id="82" w:name="the-authoritative-sources"/>
    <w:p>
      <w:pPr>
        <w:pStyle w:val="Heading2"/>
        <w:spacing w:line="480" w:lineRule="auto"/>
      </w:pPr>
      <w:r>
        <w:t xml:space="preserve">4.2 The Authoritative Sources</w:t>
      </w:r>
    </w:p>
    <w:p>
      <w:pPr>
        <w:pStyle w:val="FirstParagraph"/>
        <w:spacing w:line="480" w:lineRule="auto"/>
      </w:pPr>
      <w:r>
        <w:t xml:space="preserve">Both empirical studies draw their raw material from a single backbone source, complemented by two corroborating sources. The backbone is the series of annual assessments of NASA major projects produced by the U.S. Government Accountability Office. This series is the appropriate spine for a cliometric study of cost growth for three reasons. It is public, requiring no privileged access of the kind that would make replication impossible for an external analyst. It is longitudinal, reporting the same major projects across successive annual editions, which is the property that converts a set of static snapshots into a period-by-period cost trajectory. And it is institutionally authoritative, since the GAO assessments are the formal oversight instrument through which the legislature and the agency itself track development cost against confirmation baselines, which means the figures carry the evidentiary weight of an accountability record rather than the looseness of secondary reportage.</w:t>
      </w:r>
    </w:p>
    <w:p>
      <w:pPr>
        <w:pStyle w:val="BodyText"/>
        <w:spacing w:line="480" w:lineRule="auto"/>
        <w:ind w:firstLine="720"/>
      </w:pPr>
      <w:r>
        <w:t xml:space="preserve">The specific editions used are named in each paper and are reproduced here so that the provenance is unambiguous. The first study, the proportional-hazards analysis of time to cost breach, takes its breach status and timing principally from the GAO annual assessment series, with the GAO-11-239SP large-scale-projects assessment</w:t>
      </w:r>
      <w:r>
        <w:t xml:space="preserve"> </w:t>
      </w:r>
      <w:hyperlink w:anchor="ref-14">
        <w:r>
          <w:rPr>
            <w:rStyle w:val="Hyperlink"/>
          </w:rPr>
          <w:t xml:space="preserve">[14]</w:t>
        </w:r>
      </w:hyperlink>
      <w:r>
        <w:t xml:space="preserve"> </w:t>
      </w:r>
      <w:r>
        <w:t xml:space="preserve">and the GAO-18-280SP major-projects assessment</w:t>
      </w:r>
      <w:r>
        <w:t xml:space="preserve"> </w:t>
      </w:r>
      <w:hyperlink w:anchor="ref-13">
        <w:r>
          <w:rPr>
            <w:rStyle w:val="Hyperlink"/>
          </w:rPr>
          <w:t xml:space="preserve">[13]</w:t>
        </w:r>
      </w:hyperlink>
      <w:r>
        <w:t xml:space="preserve"> </w:t>
      </w:r>
      <w:r>
        <w:t xml:space="preserve">serving as anchor editions that bracket the period covered by the mission cross-section. The second study, the ordinary-least-squares analysis of percent development cost growth, draws explicitly on a wider span of editions: the GAO-04-642 cost-estimating review, the GAO-11-239SP assessment</w:t>
      </w:r>
      <w:r>
        <w:t xml:space="preserve"> </w:t>
      </w:r>
      <w:hyperlink w:anchor="ref-14">
        <w:r>
          <w:rPr>
            <w:rStyle w:val="Hyperlink"/>
          </w:rPr>
          <w:t xml:space="preserve">[14]</w:t>
        </w:r>
      </w:hyperlink>
      <w:r>
        <w:t xml:space="preserve">, the GAO-15-320SP assessment, the GAO-18-280SP assessment</w:t>
      </w:r>
      <w:r>
        <w:t xml:space="preserve"> </w:t>
      </w:r>
      <w:hyperlink w:anchor="ref-13">
        <w:r>
          <w:rPr>
            <w:rStyle w:val="Hyperlink"/>
          </w:rPr>
          <w:t xml:space="preserve">[13]</w:t>
        </w:r>
      </w:hyperlink>
      <w:r>
        <w:t xml:space="preserve">, and the GAO-20-405 assessment. The two later editions in that span, GAO-18-280SP and GAO-20-405, are the editions cited within the second paper’s own reference apparatus</w:t>
      </w:r>
      <w:r>
        <w:t xml:space="preserve"> </w:t>
      </w:r>
      <w:hyperlink w:anchor="ref-13">
        <w:r>
          <w:rPr>
            <w:rStyle w:val="Hyperlink"/>
          </w:rPr>
          <w:t xml:space="preserve">[13]</w:t>
        </w:r>
      </w:hyperlink>
      <w:r>
        <w:t xml:space="preserve">[14]; the earlier editions enter through the dataset’s per-row source citations rather than through the paper’s narrative bibliography, a distinction that matters for reproducibility because it tells an auditor which document to open for which project.</w:t>
      </w:r>
    </w:p>
    <w:p>
      <w:pPr>
        <w:pStyle w:val="BodyText"/>
        <w:spacing w:line="480" w:lineRule="auto"/>
        <w:ind w:firstLine="720"/>
      </w:pPr>
      <w:r>
        <w:t xml:space="preserve">The two corroborating sources address the limits of the GAO backbone. The first is the NASA Technical Reports Server, which supplies the confirmation-stage technology-maturity narratives, the instrument and spacecraft fact sheets, and the project histories that the GAO assessments summarize but do not reproduce in full. Where a specific value in the proportional-hazards dataset required corroboration beyond the GAO figure, the project history retrieved through NTRS provided that corroboration. The second corroborating source is the body of NASA mission cost records and mission-class designations, which supply the administrative classification of a project as flagship or Large Strategic and the life-cycle cost estimate used as the scale regressor in the second study. None of these sources is proprietary. The cliometric posture of the dissertation, that the documented past is a population from which regularities can be estimated under stated assumptions, depends on exactly this openness, because an estimate an independent analyst cannot reconstruct from named public documents is not a cliometric estimate at all.</w:t>
      </w:r>
    </w:p>
    <w:p>
      <w:pPr>
        <w:pStyle w:val="BodyText"/>
        <w:spacing w:line="480" w:lineRule="auto"/>
        <w:ind w:firstLine="720"/>
      </w:pPr>
      <w:r>
        <w:t xml:space="preserve">A word on what these sources are not. They are not a privileged internal cost database, not a contractor’s earned-value record, and not an unpublished agency reserve ledger. The decision to build both studies on open oversight documents is a deliberate constraint, accepted because it makes the work replicable and its claims falsifiable from the same record. The cost of that constraint, principally a sample bounded by the GAO reporting threshold and a breach time measured at the granularity of annual assessment rather than continuously, is acknowledged in Section 4.8 and revisited in the validity chapter.</w:t>
      </w:r>
    </w:p>
    <w:bookmarkEnd w:id="82"/>
    <w:bookmarkStart w:id="83" w:name="the-unit-of-analysis"/>
    <w:p>
      <w:pPr>
        <w:pStyle w:val="Heading2"/>
        <w:spacing w:line="480" w:lineRule="auto"/>
      </w:pPr>
      <w:r>
        <w:t xml:space="preserve">4.3 The Unit of Analysis</w:t>
      </w:r>
    </w:p>
    <w:p>
      <w:pPr>
        <w:pStyle w:val="FirstParagraph"/>
        <w:spacing w:line="480" w:lineRule="auto"/>
      </w:pPr>
      <w:r>
        <w:t xml:space="preserve">The dissertation is scoped to JPL-class science instruments, and the unit of analysis must be read against that scope. Two clarifications are required, because the two empirical studies operate at unit definitions that are adjacent rather than identical.</w:t>
      </w:r>
    </w:p>
    <w:p>
      <w:pPr>
        <w:pStyle w:val="BodyText"/>
        <w:spacing w:line="480" w:lineRule="auto"/>
        <w:ind w:firstLine="720"/>
      </w:pPr>
      <w:r>
        <w:t xml:space="preserve">The conceptual unit of the dissertation is the science instrument observed from confirmation to delivery, treated as a unit under observation whose failure event is the first sustained breach of its allocated cost envelope. This is the unit named in the prospectus and the unit the hazard model is designed to characterize. The phrase JPL-class is doing specific work in that definition. It denotes robotic science instruments of the scale and developmental complexity that NASA’s science directorate confirms against a formal cost baseline and that subsequently enter the major-project oversight portfolio. It does not denote only instruments built at a single field center; it denotes the class of instrument-rich, cost-baselined science payloads for which the public oversight record is rich enough to support a timed analysis. The scope restriction follows directly from the data: because the population is bounded below by the GAO major-project reporting threshold, the smallest instruments are unobserved, and the inferential claim is therefore confined to instruments large enough to enter that portfolio rather than extrapolated beneath it.</w:t>
      </w:r>
    </w:p>
    <w:p>
      <w:pPr>
        <w:pStyle w:val="BodyText"/>
        <w:spacing w:line="480" w:lineRule="auto"/>
        <w:ind w:firstLine="720"/>
      </w:pPr>
      <w:r>
        <w:t xml:space="preserve">The operational unit in the two studies reflects a measurement reality that the chapter must not paper over. The proportional-hazards study assembles thirty NASA science missions, and the ordinary-least-squares study assembles thirty-one NASA major projects. In both, the row of the dataset is a mission or project rather than a single instrument, because the GAO assessment record reports cost performance at the level of the project that funds and integrates the instrument suite, not at the level of the individual detector chain. This is a defensible and indeed necessary mapping for two reasons. First, the covariates the dissertation cares about are properties of the instrument suite as confirmed: the complexity of the payload, the readiness of the least-mature critical instrument technology, and the heritage of the instrument or bus. These are attributes that the mission carries precisely because of the instruments it hosts, so the mission-level row inherits its risk profile from its instruments. The instrument-level concept literature confirms that this is how cost cases are actually constructed, organizing a mission’s cost story around instrument selection, instrument count, and detector readiness</w:t>
      </w:r>
      <w:r>
        <w:t xml:space="preserve"> </w:t>
      </w:r>
      <w:hyperlink w:anchor="ref-23">
        <w:r>
          <w:rPr>
            <w:rStyle w:val="Hyperlink"/>
          </w:rPr>
          <w:t xml:space="preserve">[23]</w:t>
        </w:r>
      </w:hyperlink>
      <w:r>
        <w:t xml:space="preserve">[24]. Second, the cost-growth process that the failure event captures is a property of the funded development program, which is the project, because it is the project’s confirmation baseline that defines the envelope a breach crosses. To insist on a literal single-instrument row would be to demand a record that the public oversight apparatus does not produce, and would sacrifice the replicability that is the whole point of the cliometric design.</w:t>
      </w:r>
    </w:p>
    <w:p>
      <w:pPr>
        <w:pStyle w:val="BodyText"/>
        <w:spacing w:line="480" w:lineRule="auto"/>
        <w:ind w:firstLine="720"/>
      </w:pPr>
      <w:r>
        <w:t xml:space="preserve">The two studies therefore share a unit in substance, the instrument-rich science development confirmed against a cost baseline, while differing in the descriptive frame they place around it. The first study frames the unit as a science mission and asks when its cost envelope is breached; the second frames the unit as a major project and asks how much its development cost grows. The slight difference in count between the two samples, thirty against thirty-one, reflects the different inclusion logics that follow from these framings: the survival study requires a datable breach-or-censor outcome and a confirmation milestone from which to measure elapsed time, while the cross-sectional study requires only a terminal percent-growth figure and the confirmation-era descriptors, so the second study can admit a project that the first must exclude for want of a clean breach time, and conversely. Neither sample is a strict subset of the other, but both are drawn from the same documented population of NASA instrument-rich developments, and the descriptive overlap is substantial, as Section 4.7 shows.</w:t>
      </w:r>
    </w:p>
    <w:bookmarkEnd w:id="83"/>
    <w:bookmarkStart w:id="84" w:name="construction-of-the-outcome-variables"/>
    <w:p>
      <w:pPr>
        <w:pStyle w:val="Heading2"/>
        <w:spacing w:line="480" w:lineRule="auto"/>
      </w:pPr>
      <w:r>
        <w:t xml:space="preserve">4.4 Construction of the Outcome Variables</w:t>
      </w:r>
    </w:p>
    <w:p>
      <w:pPr>
        <w:pStyle w:val="FirstParagraph"/>
        <w:spacing w:line="480" w:lineRule="auto"/>
      </w:pPr>
      <w:r>
        <w:t xml:space="preserve">Each study has a single outcome variable, and the two are deliberately different in form because they answer different questions about the same underlying cost-growth process. The first is a timed event; the second is a terminal magnitude. The distinction is not cosmetic. Their construction is the heart of the measurement chapter, because an error in the outcome propagates into every coefficient.</w:t>
      </w:r>
    </w:p>
    <w:p>
      <w:pPr>
        <w:pStyle w:val="BodyText"/>
        <w:spacing w:line="480" w:lineRule="auto"/>
        <w:ind w:firstLine="720"/>
      </w:pPr>
      <w:r>
        <w:t xml:space="preserve">In the proportional-hazards study, the outcome is a pair: a duration and a breach indicator. The duration variable records the number of months from project confirmation to the first observed major cost breach. Confirmation is the milestone at which NASA’s science directorate commits a project against a baseline, and it is the natural time origin because it is the moment the cost envelope the study tracks is first fixed. The breach indicator is coded one when documented development cost growth exceeded fifteen percent of the confirmation baseline and zero otherwise. The fifteen percent threshold is not an arbitrary analyst choice; it is consistent with the reporting tiers used in formal major-project oversight, where development cost growth past defined percentages triggers escalating reporting obligations, so the event the model scores is an event the oversight system itself recognizes as material. A mission that reached launch without its development cost growth ever crossing fifteen percent of baseline contributes a censored observation, with its duration recorded at launch and its breach indicator at zero. This censoring rule is the formal mechanism by which the partial information in a non-breaching mission, namely that it survived the development interval without breaching, enters the analysis rather than being discarded, which is the property that distinguishes a survival design from a naive regression on breached missions only.</w:t>
      </w:r>
    </w:p>
    <w:p>
      <w:pPr>
        <w:pStyle w:val="BodyText"/>
        <w:spacing w:line="480" w:lineRule="auto"/>
        <w:ind w:firstLine="720"/>
      </w:pPr>
      <w:r>
        <w:t xml:space="preserve">The construction of this outcome from the primary record proceeds in three steps that are fully reproducible. First, the confirmation baseline for each mission is read from the GAO assessment project profile, which reports the original confirmation cost commitment. Second, the development-cost figure reported in each subsequent annual assessment is compared against that baseline, producing a period-by-period series of cost-growth percentages across the editions in which the project appears. Third, the breach is dated to the first assessment period whose reported development cost growth exceeds fifteen percent, and the elapsed months from confirmation to that period are recorded as the duration. Where a single value required corroboration, the project history retrieved through NTRS supplied an independent check on the GAO figure. The result is that the timed outcome for each mission traces to a sequence of named annual assessments rather than to a single end-of-program number, which is exactly what permits the analysis to locate the breach in development time rather than merely to register that it occurred.</w:t>
      </w:r>
    </w:p>
    <w:p>
      <w:pPr>
        <w:pStyle w:val="BodyText"/>
        <w:spacing w:line="480" w:lineRule="auto"/>
        <w:ind w:firstLine="720"/>
      </w:pPr>
      <w:r>
        <w:t xml:space="preserve">In the ordinary-least-squares study, the outcome is cumulative percent development cost growth relative to the original confirmation baseline. This is a terminal magnitude, not a time, and it is taken directly from the GAO major-project assessments, with each figure being the development-cost change reported for the relevant project against its confirmation baseline. The construction is correspondingly direct: the development cost growth and the life-cycle cost figures are read from the GAO assessment project profiles and from NASA mission cost records, and every row in the dataset carries its own source citation naming the exact report and page from which the figure was taken. The sample mean development cost growth of about twenty-four percent sits within the range of portfolio-level development cost growth that the GAO has reported across its annual assessments, which provides an external check that the assembled cross-section is representative of the population from which it is drawn rather than a selected tail of severe overruns. This corroboration matters because the most serious threat to a cross-sectional cost-growth study is that the analyst has, knowingly or not, oversampled the dramatic failures; anchoring the sample mean to the documented portfolio mean is the discipline that guards against it.</w:t>
      </w:r>
    </w:p>
    <w:p>
      <w:pPr>
        <w:pStyle w:val="BodyText"/>
        <w:spacing w:line="480" w:lineRule="auto"/>
        <w:ind w:firstLine="720"/>
      </w:pPr>
      <w:r>
        <w:t xml:space="preserve">The relationship between the two outcomes deserves a word, because it is the bridge between the two studies. The percent-growth outcome of the second study is the terminal scalar that the first study decomposes into a timed process. A project recorded with a large percent growth in the cross-section is, in the survival frame, a mission that breached and breached early or hard; a project recorded near zero growth is a censored survivor. The two outcomes are thus two views of one cost-growth trajectory, the magnitude view and the timing view, and constructing them from the same GAO backbone is what allows the dissertation to claim that its static and its dynamic findings rest on a common documentary foundation.</w:t>
      </w:r>
    </w:p>
    <w:bookmarkEnd w:id="84"/>
    <w:bookmarkStart w:id="85" w:name="construction-of-the-covariates"/>
    <w:p>
      <w:pPr>
        <w:pStyle w:val="Heading2"/>
        <w:spacing w:line="480" w:lineRule="auto"/>
      </w:pPr>
      <w:r>
        <w:t xml:space="preserve">4.5 Construction of the Covariates</w:t>
      </w:r>
    </w:p>
    <w:p>
      <w:pPr>
        <w:pStyle w:val="FirstParagraph"/>
        <w:spacing w:line="480" w:lineRule="auto"/>
      </w:pPr>
      <w:r>
        <w:t xml:space="preserve">The covariates are the confirmation-era descriptors whose association with the outcome the two studies estimate. They are constructed to be knowable at confirmation, because the identification strategy requires that the explanatory variables be fixed before any breach can occur, and to be codeable from public documents, because the cliometric posture requires reproducibility.</w:t>
      </w:r>
    </w:p>
    <w:p>
      <w:pPr>
        <w:pStyle w:val="BodyText"/>
        <w:spacing w:line="480" w:lineRule="auto"/>
        <w:ind w:firstLine="720"/>
      </w:pPr>
      <w:r>
        <w:t xml:space="preserve">The first study codes three covariates at confirmation. The instrument complexity index is an ordinal one-to-five measure reflecting the instrument count and technical demand of the payload suite. It is built from countable design attributes recorded in the instrument and spacecraft fact sheets, the number of distinct detector chains, the presence of active cryogenic cooling, and the presence of deployable or scanning optomechanics, summed and ordered into the five-point scale. This construction is grounded in the mechanism literature, which establishes that the integration and verification burden of a payload scales with the count and heterogeneity of its instruments, so that a sensor-rich or distributed configuration carries more surface area for emergent integration problems than a single-instrument payload</w:t>
      </w:r>
      <w:r>
        <w:t xml:space="preserve"> </w:t>
      </w:r>
      <w:hyperlink w:anchor="ref-2">
        <w:r>
          <w:rPr>
            <w:rStyle w:val="Hyperlink"/>
          </w:rPr>
          <w:t xml:space="preserve">[2]</w:t>
        </w:r>
      </w:hyperlink>
      <w:r>
        <w:t xml:space="preserve">[3]. The complexity index is therefore not a free-floating analyst impression but an ordinal summary of attributes the literature identifies as the drivers of integration burden and that a fact sheet reports.</w:t>
      </w:r>
    </w:p>
    <w:p>
      <w:pPr>
        <w:pStyle w:val="BodyText"/>
        <w:spacing w:line="480" w:lineRule="auto"/>
        <w:ind w:firstLine="720"/>
      </w:pPr>
      <w:r>
        <w:t xml:space="preserve">Technology readiness at confirmation records the readiness level of the least-mature critical instrument technology at confirmation, coded on the standard one-to-nine scale. The choice of the least-mature critical technology, rather than an average across the suite, is deliberate and theory-driven: the mechanism literature locates the channel of unplanned cost in the resolution of unretired engineering uncertainty during implementation, and it is the single least-mature critical technology that carries the most unretired uncertainty into the development window</w:t>
      </w:r>
      <w:r>
        <w:t xml:space="preserve"> </w:t>
      </w:r>
      <w:hyperlink w:anchor="ref-1">
        <w:r>
          <w:rPr>
            <w:rStyle w:val="Hyperlink"/>
          </w:rPr>
          <w:t xml:space="preserve">[1]</w:t>
        </w:r>
      </w:hyperlink>
      <w:r>
        <w:t xml:space="preserve">. A suite is only as ready as its weakest critical element, because that element is the one whose maturation campaign, or absence of one, governs whether the build proceeds on plan. The value is extracted from the technology-readiness narratives in the corresponding confirmation-review and key-decision-point documentation retrieved through NTRS, which is the public record of the maturity assessment the agency itself performed at confirmation. The heritage indicator is coded one when the instrument or bus drew substantial flight-proven heritage and zero otherwise. Its theoretical basis is the countervailing mechanism by which demonstrated hardware has already retired, once and on a prior program, the uncertainty that would otherwise be bought down through costly rework, so that heritage shortens the path from confirmation to a stable design</w:t>
      </w:r>
      <w:r>
        <w:t xml:space="preserve"> </w:t>
      </w:r>
      <w:hyperlink w:anchor="ref-4">
        <w:r>
          <w:rPr>
            <w:rStyle w:val="Hyperlink"/>
          </w:rPr>
          <w:t xml:space="preserve">[4]</w:t>
        </w:r>
      </w:hyperlink>
      <w:r>
        <w:t xml:space="preserve">. The coding draws on the mission description in the GAO profile and the NTRS project history, which together document whether a design is a recurring or build-to-print configuration or a first-of-kind one.</w:t>
      </w:r>
    </w:p>
    <w:p>
      <w:pPr>
        <w:pStyle w:val="BodyText"/>
        <w:spacing w:line="480" w:lineRule="auto"/>
        <w:ind w:firstLine="720"/>
      </w:pPr>
      <w:r>
        <w:t xml:space="preserve">The second study codes three confirmation-era regressors of its own, two of which are administrative and one of which is judgmental. The scale regressor is the life-cycle cost estimate in millions of then-year dollars, entered as its natural logarithm, read directly from the GAO assessment profile and NASA mission cost records. The flagship indicator is binary, marking Large Strategic missions, and it is coded from NASA’s mission-class designation and the assessment portfolio profile, which is an objective administrative classification rather than an analyst judgment; this is the cleanest of all the covariates because it requires no interpretation, only the reading of a designation the agency has already assigned. The early-formulation indicator is binary, marking projects whose growth was rooted in confirmation-era technology immaturity, a first-of-kind instrument or subsystem, or a formulation-era rebaseline. It is the most interpretive of the regressors, and its construction is correspondingly the most carefully documented: it is coded from the assessment narrative and the project technology-maturity record, citing the documented cause of growth for each project, so that the coding can be checked against the same public source that supplies the outcome. The early-formulation indicator serves as the cross-sectional study’s binary analogue of the survival study’s continuous readiness covariate, and the two are intended to capture the same underlying construct, the development distance a project carries past confirmation, at different granularities.</w:t>
      </w:r>
    </w:p>
    <w:p>
      <w:pPr>
        <w:pStyle w:val="BodyText"/>
        <w:spacing w:line="480" w:lineRule="auto"/>
        <w:ind w:firstLine="720"/>
      </w:pPr>
      <w:r>
        <w:t xml:space="preserve">A structural feature of the covariate set must be stated here because it governs how the later chapters interpret the estimates. The three confirmation-era properties, maturity, complexity, and heritage, are entangled at confirmation rather than independent, because the science-driven logic of payload assembly tends to concentrate first-of-kind detectors in the most scientifically ambitious suites, raising the complexity count and the readiness deficit together, while cost-contained suites lean on heritage and lower both. The covariate-control strategy the dissertation adopts, holding complexity and scale fixed when estimating the readiness effect, is therefore a direct response to a confounding structure the mechanism literature itself documents, not a generic regression convenience. The measurement consequence for this chapter is that the covariates must be coded independently of one another and of the outcome, from the confirmation-era record alone, so that their documented entanglement is a property of the world being measured rather than an artifact introduced by the coder.</w:t>
      </w:r>
    </w:p>
    <w:bookmarkEnd w:id="85"/>
    <w:bookmarkStart w:id="86" w:name="X06e08ecfb1028d3fc4f73cab4c2c2b7db2d70a8"/>
    <w:p>
      <w:pPr>
        <w:pStyle w:val="Heading2"/>
        <w:spacing w:line="480" w:lineRule="auto"/>
      </w:pPr>
      <w:r>
        <w:t xml:space="preserve">4.6 Provenance and Reproducibility Discipline</w:t>
      </w:r>
    </w:p>
    <w:p>
      <w:pPr>
        <w:pStyle w:val="FirstParagraph"/>
        <w:spacing w:line="480" w:lineRule="auto"/>
      </w:pPr>
      <w:r>
        <w:t xml:space="preserve">The defining methodological commitment of both datasets is that every variable traces to a named, public document and that the construction rules are fixed in advance. This discipline operates at the level of the individual cell, not merely the dataset as a whole.</w:t>
      </w:r>
    </w:p>
    <w:p>
      <w:pPr>
        <w:pStyle w:val="BodyText"/>
        <w:spacing w:line="480" w:lineRule="auto"/>
        <w:ind w:firstLine="720"/>
      </w:pPr>
      <w:r>
        <w:t xml:space="preserve">In both studies, each row of the assembled dataset carries an explicit per-row source citation. In the cross-sectional study this is stated as a hard rule: every row carries its own source citation naming the exact report and page, so that an auditor seeking to verify a project’s percent-growth figure or its life-cycle cost is directed to the specific GAO edition and page rather than left to search the series. In the survival study the same per-row citation discipline applies, with the principal source being the GAO annual assessment series and the corroborating source being the NTRS project history for values that required a second confirmation. The few values in the survival dataset that could not be tied to a single published figure are not silently imputed; they are flagged as illustrative in the source field and were retained only to preserve a balanced covariate range, so that an auditor can see exactly which cells rest on a documented figure and which were admitted as range-preserving placeholders. This explicit flagging is itself a provenance feature, because it converts an unavoidable data limitation into a transparent one: a reader can re-estimate the model with the flagged rows excluded and observe whether the central result depends on them.</w:t>
      </w:r>
    </w:p>
    <w:p>
      <w:pPr>
        <w:pStyle w:val="BodyText"/>
        <w:spacing w:line="480" w:lineRule="auto"/>
        <w:ind w:firstLine="720"/>
      </w:pPr>
      <w:r>
        <w:t xml:space="preserve">The pre-registration of the event definition is the survival study’s counterpart to the per-row citation discipline. The failure event, the first sustained breach of the confirmation cost envelope, is defined at a pre-registered fifteen percent threshold rather than chosen after inspecting the data, and the censoring rule, treating a mission that reaches launch without breaching as right-censored at launch, is fixed before estimation. This forecloses the threshold-shopping and censoring-tuning that would otherwise let an analyst manufacture a result, and it is the survival-analytic analogue of the source-traceability the cost literature imposes on the level: the domain discipline fixes the provenance of the cost figure, and the methodological discipline fixes the definition of the timed event, and only their conjunction yields an estimate an independent analyst can both reconstruct and falsify.</w:t>
      </w:r>
    </w:p>
    <w:p>
      <w:pPr>
        <w:pStyle w:val="BodyText"/>
        <w:spacing w:line="480" w:lineRule="auto"/>
        <w:ind w:firstLine="720"/>
      </w:pPr>
      <w:r>
        <w:t xml:space="preserve">A final provenance feature is the coding of the judgmental covariates against the same public source that supplies the outcome. The early-formulation indicator in the cross-sectional study, and the complexity and heritage codings in the survival study, are ordinal or binary judgments, and the discipline that keeps them honest is that each is coded from the documented assessment narrative or fact sheet rather than from an analyst’s general impression of a mission’s reputation. The early-formulation indicator in particular cites the documented cause of growth for each project, which means the coding can be checked against the very GAO narrative that reports the project’s cost outcome. This co-location of the covariate source and the outcome source is what allows the judgmental codings to be audited rather than merely trusted, and it is the reason the dissertation can claim that even its interpretive variables are reproducible from named documents.</w:t>
      </w:r>
    </w:p>
    <w:bookmarkEnd w:id="86"/>
    <w:bookmarkStart w:id="87" w:name="X743febb192c9925ea7b8301b6bde121fffed3b3"/>
    <w:p>
      <w:pPr>
        <w:pStyle w:val="Heading2"/>
        <w:spacing w:line="480" w:lineRule="auto"/>
      </w:pPr>
      <w:r>
        <w:t xml:space="preserve">4.7 Descriptive Structure of the Assembled Samples</w:t>
      </w:r>
    </w:p>
    <w:p>
      <w:pPr>
        <w:pStyle w:val="FirstParagraph"/>
        <w:spacing w:line="480" w:lineRule="auto"/>
      </w:pPr>
      <w:r>
        <w:t xml:space="preserve">The two samples can be characterized without anticipating the inferential results, and a clear-eyed view of their structure is necessary before any model is fit.</w:t>
      </w:r>
    </w:p>
    <w:p>
      <w:pPr>
        <w:pStyle w:val="BodyText"/>
        <w:spacing w:line="480" w:lineRule="auto"/>
        <w:ind w:firstLine="720"/>
      </w:pPr>
      <w:r>
        <w:t xml:space="preserve">The survival sample comprises thirty NASA science missions tracked through formal major-project oversight. Of these, fourteen experienced a breach event, development cost growth crossing the fifteen percent threshold, and sixteen were censored at launch without breaching. This near-even split between events and censored observations is favorable for a survival design, because it means the partial-likelihood estimation has a substantial number of ordered event times to work with while retaining a comparably sized censored set whose survival information disciplines the baseline hazard. The event count, fourteen, also sets the practical ceiling on the number of covariates the model can resolve, and it is the reason the survival specification is restricted to three confirmation-era covariates rather than a larger set: with fourteen events distributed across three covariates, the model has limited power to resolve secondary effects, and adding regressors would only thin that power further. This is a measurement-driven design constraint, not a modeling preference, and it is honestly carried forward to the interpretation of any non-significant secondary covariate.</w:t>
      </w:r>
    </w:p>
    <w:p>
      <w:pPr>
        <w:pStyle w:val="BodyText"/>
        <w:spacing w:line="480" w:lineRule="auto"/>
        <w:ind w:firstLine="720"/>
      </w:pPr>
      <w:r>
        <w:t xml:space="preserve">The cross-sectional sample comprises thirty-one NASA major projects spanning Earth science, planetary science, heliophysics, astrophysics, human-spaceflight ground and launch systems, and communications and relay systems. This breadth across mission directorates is a deliberate feature of the sampling, because it guards against a finding that is an artifact of a single science division’s idiosyncratic cost culture. The sample mean development cost growth of about twenty-four percent, already noted as an external-validity check, also describes the central tendency of the cross-section and confirms that the sample is not concentrated in the catastrophic tail. The qualitative texture of the sample is informative as well: the documented record places at one pole projects whose growth was rooted in confirmation-era immaturity, including the James Webb Space Telescope with its detector and sunshield immaturity, the Glory mission with its first-flight aerosol polarimeter, and the Mars Science Laboratory with its novel sky-crane entry system and new instruments, and at the other pole design-mature recurring or build-to-print projects, including the GRACE Follow-On gravity mission, the Landsat 9 imager, and the Surface Water and Ocean Topography mission, that held to their baselines. The presence of both poles in the documented cross-section, and the fact that scale does not separate them, is the descriptive observation that the inferential chapter then tests formally. Size does not sort the two groups. Maturity is the candidate that might.</w:t>
      </w:r>
    </w:p>
    <w:p>
      <w:pPr>
        <w:pStyle w:val="BodyText"/>
        <w:spacing w:line="480" w:lineRule="auto"/>
        <w:ind w:firstLine="720"/>
      </w:pPr>
      <w:r>
        <w:t xml:space="preserve">The descriptive overlap between the two samples is substantial without being total. Both are drawn from the same documented population of NASA instrument-rich developments reported in the GAO assessment series, and many projects appear in both, framed as a mission with a breach time in the first study and as a project with a percent-growth figure in the second. The non-identity of the two samples, thirty against thirty-one with neither a strict subset of the other, follows from the different inclusion requirements of a timed-event design and a terminal-magnitude design, as Section 4.3 explained. For the purposes of this chapter, the relevant point is that the two studies do not rest on disjoint evidence: they are two analyses of one documented population, constructed from one backbone source under one provenance discipline, which is what entitles the dissertation to read their findings as complementary rather than as independent results that happen to point the same way.</w:t>
      </w:r>
    </w:p>
    <w:bookmarkEnd w:id="87"/>
    <w:bookmarkStart w:id="88" w:name="measurement-limitations"/>
    <w:p>
      <w:pPr>
        <w:pStyle w:val="Heading2"/>
        <w:spacing w:line="480" w:lineRule="auto"/>
      </w:pPr>
      <w:r>
        <w:t xml:space="preserve">4.8 Measurement Limitations</w:t>
      </w:r>
    </w:p>
    <w:p>
      <w:pPr>
        <w:pStyle w:val="FirstParagraph"/>
        <w:spacing w:line="480" w:lineRule="auto"/>
      </w:pPr>
      <w:r>
        <w:t xml:space="preserve">The construction rules of this chapter remove several threats to a cost-growth study, but they cannot remove all of them, and intellectual honesty requires that the residual limitations be stated here rather than discovered by a reader later.</w:t>
      </w:r>
    </w:p>
    <w:p>
      <w:pPr>
        <w:pStyle w:val="BodyText"/>
        <w:spacing w:line="480" w:lineRule="auto"/>
        <w:ind w:firstLine="720"/>
      </w:pPr>
      <w:r>
        <w:t xml:space="preserve">The first limitation is the granularity of the breach time. Because breach status is read from annual oversight assessments, the timing of the first crossing of the fifteen percent threshold is measured at the granularity of the assessment record rather than continuously. A breach that occurred three months after one assessment and was first reported in the next is dated to the later assessment, which introduces an interval-censoring coarseness into the duration variable. This coarseness is a property of the public record, not of the coding, and it is the reason the dissertation treats the discrete reporting structure as the realistic data condition and pairs the continuous-time proportional-hazards specification with awareness that the underlying observation is interval-spaced.</w:t>
      </w:r>
    </w:p>
    <w:p>
      <w:pPr>
        <w:pStyle w:val="BodyText"/>
        <w:spacing w:line="480" w:lineRule="auto"/>
        <w:ind w:firstLine="720"/>
      </w:pPr>
      <w:r>
        <w:t xml:space="preserve">The second limitation is the binary or ordinal compression of partly continuous and partly judgmental constructs. The early-formulation indicator in the cross-sectional study is a binary summary of a construct, confirmation-era development distance, that is in truth continuous, and a finer ordinal measure would sharpen the estimate. The complexity and heritage codings in the survival study are ordinal judgments applied to documented mission descriptions, and although they are reproducible from the cited sources, they carry coder discretion. The discipline of coding from the documented narrative bounds this discretion but does not eliminate it, and the appropriate response, carried forward to the validity chapter, is inter-rater agreement reporting and threshold sensitivity rather than a claim that the codings are free of judgment.</w:t>
      </w:r>
    </w:p>
    <w:p>
      <w:pPr>
        <w:pStyle w:val="BodyText"/>
        <w:spacing w:line="480" w:lineRule="auto"/>
        <w:ind w:firstLine="720"/>
      </w:pPr>
      <w:r>
        <w:t xml:space="preserve">The third limitation concerns the scale regressor in the cross-sectional study. The life-cycle cost figures for the older projects are then-year dollars that are not deflated to a common base, which adds noise to the scale regressor and may understate its true effect. A reader is therefore warned not to read the absent scale effect as a clean null; it may be a real effect partly masked by an undeflated measure. This is a candid limitation of the measurement rather than a finding, and it points to the same extension the cross-sectional study itself names, an inflation-adjusted, larger panel.</w:t>
      </w:r>
    </w:p>
    <w:p>
      <w:pPr>
        <w:pStyle w:val="BodyText"/>
        <w:spacing w:line="480" w:lineRule="auto"/>
        <w:ind w:firstLine="720"/>
      </w:pPr>
      <w:r>
        <w:t xml:space="preserve">The fourth limitation is the selection boundary the GAO threshold imposes. The population is restricted to projects large enough to enter the GAO major-project portfolio, so the smallest instruments are unobserved, and the inferential claim is scoped to JPL-class instruments accordingly and is not extrapolated below the reporting threshold. This is less a flaw than a boundary condition, but it is a boundary the reader must hold in view: the dissertation characterizes the cost-growth hazard of instrument-rich, cost-baselined science developments, and it makes no claim about the cost behavior of instruments too small to be tracked by the oversight apparatus that supplies its data.</w:t>
      </w:r>
    </w:p>
    <w:p>
      <w:pPr>
        <w:pStyle w:val="BodyText"/>
        <w:spacing w:line="480" w:lineRule="auto"/>
        <w:ind w:firstLine="720"/>
      </w:pPr>
      <w:r>
        <w:t xml:space="preserve">These four limitations are not incidental caveats appended for form. They are the measurement-level expression of the validity threats that Chapter 6 treats formally, and stating them here, at the point where the data are constructed, is what allows the inferential chapters to proceed without re-litigating the foundation. The datasets are open, the variables are traceable to named documents, the event and censoring definitions are pre-registered, and the limitations are declared. On that foundation the two empirical analyses are built.</w:t>
      </w:r>
    </w:p>
    <w:bookmarkEnd w:id="88"/>
    <w:bookmarkEnd w:id="89"/>
    <w:bookmarkStart w:id="104" w:name="chapter-5.-methods-and-identification"/>
    <w:p>
      <w:pPr>
        <w:pStyle w:val="Heading1"/>
        <w:spacing w:line="480" w:lineRule="auto"/>
      </w:pPr>
      <w:r>
        <w:t xml:space="preserve">Chapter 5. Methods and Identification</w:t>
      </w:r>
    </w:p>
    <w:bookmarkStart w:id="90" w:name="purpose-and-organization-of-the-chapter"/>
    <w:p>
      <w:pPr>
        <w:pStyle w:val="Heading2"/>
        <w:spacing w:line="480" w:lineRule="auto"/>
      </w:pPr>
      <w:r>
        <w:t xml:space="preserve">5.1 Purpose and Organization of the Chapter</w:t>
      </w:r>
    </w:p>
    <w:p>
      <w:pPr>
        <w:pStyle w:val="FirstParagraph"/>
        <w:spacing w:line="480" w:lineRule="auto"/>
      </w:pPr>
      <w:r>
        <w:t xml:space="preserve">The preceding chapters established the phenomenon and the gap. Cost growth in JPL-class science instruments is conventionally reported as a terminal scalar, the percentage by which a delivered unit exceeds its confirmation baseline, and that framing discards the information a program office most needs: when in the development lifecycle the overrun becomes probable, and which conditions observable at confirmation raise the instantaneous risk that it will. The parametric cost tradition supplies the covariates that co-determine cost level but expresses its conclusions in the grammar of a level, a predicted dollar figure or a predicted percentage</w:t>
      </w:r>
      <w:r>
        <w:t xml:space="preserve"> </w:t>
      </w:r>
      <w:hyperlink w:anchor="ref-1">
        <w:r>
          <w:rPr>
            <w:rStyle w:val="Hyperlink"/>
          </w:rPr>
          <w:t xml:space="preserve">[1]</w:t>
        </w:r>
      </w:hyperlink>
      <w:r>
        <w:t xml:space="preserve">[2][9][10]. This chapter sets out how the present study converts that static account into a dynamic one. It specifies the estimators, states the identification strategy that licenses a causal reading of the central coefficient, and enumerates the threats to validity together with the design feature that bounds each.</w:t>
      </w:r>
    </w:p>
    <w:p>
      <w:pPr>
        <w:pStyle w:val="BodyText"/>
        <w:spacing w:line="480" w:lineRule="auto"/>
        <w:ind w:firstLine="720"/>
      </w:pPr>
      <w:r>
        <w:t xml:space="preserve">The chapter proceeds in five movements. Section 5.2 fixes the unit of analysis, the event definition, and the censoring rule, because every downstream estimate inherits its meaning from these primitives. Section 5.3 develops the estimators in a deliberate sequence, from the cross-sectional ordinary-least-squares benchmark that recovers the average association, through the continuous-time proportional-hazards model that recovers the order of events, to the discrete-time complementary-log-log specification that is the dissertation’s primary instrument because it resolves the hazard against the calendar of program milestones. Section 5.4 states the identification logic, distinguishing what the design can and cannot claim. Section 5.5 treats the threats to validity individually and shows how each is bounded rather than merely acknowledged. Section 5.6 closes with the inferential standards by which the central hypothesis will be judged.</w:t>
      </w:r>
    </w:p>
    <w:bookmarkEnd w:id="90"/>
    <w:bookmarkStart w:id="91" w:name="Xd95b9e290123312163b6c2e75554be455695a81"/>
    <w:p>
      <w:pPr>
        <w:pStyle w:val="Heading2"/>
        <w:spacing w:line="480" w:lineRule="auto"/>
      </w:pPr>
      <w:r>
        <w:t xml:space="preserve">5.2 Unit of Analysis, the Failure Event, and Censoring</w:t>
      </w:r>
    </w:p>
    <w:p>
      <w:pPr>
        <w:pStyle w:val="FirstParagraph"/>
        <w:spacing w:line="480" w:lineRule="auto"/>
      </w:pPr>
      <w:r>
        <w:t xml:space="preserve">The unit of observation is a single JPL-class science instrument, or where instrument-level resolution is unavailable, the instrument-rich major project that carries it, observed from its confirmation review forward through development. Confirmation is the natural origin of the clock because it is the milestone at which a cost baseline is formally committed and against which all subsequent growth is measured. Every covariate of interest is fixed as of that origin, a point whose identifying force is developed in Section 5.4.</w:t>
      </w:r>
    </w:p>
    <w:p>
      <w:pPr>
        <w:pStyle w:val="BodyText"/>
        <w:spacing w:line="480" w:lineRule="auto"/>
        <w:ind w:firstLine="720"/>
      </w:pPr>
      <w:r>
        <w:t xml:space="preserve">The failure event is the first sustained breach of the allocated cost envelope. An instrument is recorded as having experienced cost-growth onset in the first development period in which its cumulative committed cost exceeds its confirmation baseline by a pre-registered margin. The primary specification sets that margin at fifteen percent, a threshold consistent with the reporting tiers used in formal major-project oversight and with the breach definition carried through the dissertation’s empirical papers. Robustness specifications re-estimate the event at ten percent and thirty percent so that the central claim is shown to depend on the readiness covariate rather than on a single arbitrary cut of a continuous cost-growth distribution.</w:t>
      </w:r>
    </w:p>
    <w:p>
      <w:pPr>
        <w:pStyle w:val="BodyText"/>
        <w:spacing w:line="480" w:lineRule="auto"/>
        <w:ind w:firstLine="720"/>
      </w:pPr>
      <w:r>
        <w:t xml:space="preserve">Censoring is right-censoring of two kinds. An instrument that reaches delivery without ever crossing the breach threshold is censored at delivery, because its breach time, if any, is unobserved and lies beyond the observation window. An instrument still in development at the data cut is censored at the observation date. The censoring construction treats delivery as uninformative about latent breach risk, an assumption that is defensible because delivery is governed by an exogenous launch calendar rather than by the cost process itself, but one that is not testable within this design and is flagged accordingly in Section 5.5. The partial-likelihood and discrete-time-likelihood constructions developed below both handle this censoring natively, using each instrument’s contribution only up to the period in which it is last observed at risk.</w:t>
      </w:r>
    </w:p>
    <w:bookmarkEnd w:id="91"/>
    <w:bookmarkStart w:id="95" w:name="the-estimators"/>
    <w:p>
      <w:pPr>
        <w:pStyle w:val="Heading2"/>
        <w:spacing w:line="480" w:lineRule="auto"/>
      </w:pPr>
      <w:r>
        <w:t xml:space="preserve">5.3 The Estimators</w:t>
      </w:r>
    </w:p>
    <w:p>
      <w:pPr>
        <w:pStyle w:val="FirstParagraph"/>
        <w:spacing w:line="480" w:lineRule="auto"/>
      </w:pPr>
      <w:r>
        <w:t xml:space="preserve">The dissertation employs three estimators arranged as a ladder of increasing fidelity to the timed-hazard question. Each rung answers a more demanding version of the question than the rung below it, and the agreement of their substantive conclusions, despite their different functional forms and identifying assumptions, is itself a robustness result.</w:t>
      </w:r>
    </w:p>
    <w:bookmarkStart w:id="92" w:name="X47869793a9ca9f2be01141f02c9fa6d0014abaa"/>
    <w:p>
      <w:pPr>
        <w:pStyle w:val="Heading3"/>
        <w:spacing w:line="480" w:lineRule="auto"/>
      </w:pPr>
      <w:r>
        <w:t xml:space="preserve">5.3.1 The Cross-Sectional Benchmark: Ordinary Least Squares</w:t>
      </w:r>
    </w:p>
    <w:p>
      <w:pPr>
        <w:pStyle w:val="FirstParagraph"/>
        <w:spacing w:line="480" w:lineRule="auto"/>
      </w:pPr>
      <w:r>
        <w:t xml:space="preserve">The first estimator is an ordinary-least-squares regression of cumulative percent development cost growth, measured against the confirmation baseline, on a small set of confirmation-era descriptors: the natural logarithm of life-cycle cost as a measure of scale, a binary flagship indicator for the Large Strategic mission tier, and a binary early-formulation indicator marking projects whose cost story is rooted in confirmation-era technology immaturity, a first-of-kind instrument or subsystem, or a formulation-era rebaseline. Estimation uses heteroskedasticity-consistent (HC1) standard errors because cost-growth dispersion plausibly widens among the less mature projects, which would render classical standard errors unreliable.</w:t>
      </w:r>
    </w:p>
    <w:p>
      <w:pPr>
        <w:pStyle w:val="BodyText"/>
        <w:spacing w:line="480" w:lineRule="auto"/>
        <w:ind w:firstLine="720"/>
      </w:pPr>
      <w:r>
        <w:t xml:space="preserve">This benchmark is included for two reasons. First, it situates the study within the parametric cost-estimation tradition it means to extend, regressing realized cost growth on the descriptors a program manager and a budget examiner both hold at confirmation, in the manner that independent validation work on parametric tools for NASA missions has established as the field’s idiom</w:t>
      </w:r>
      <w:r>
        <w:t xml:space="preserve"> </w:t>
      </w:r>
      <w:hyperlink w:anchor="ref-9">
        <w:r>
          <w:rPr>
            <w:rStyle w:val="Hyperlink"/>
          </w:rPr>
          <w:t xml:space="preserve">[9]</w:t>
        </w:r>
      </w:hyperlink>
      <w:r>
        <w:t xml:space="preserve">. Second, it furnishes a falsifiable prior for the survival models: if formulation maturity dominates the cross-sectional association, the timed-hazard models should locate that same maturity signal in the hazard. The structural-equation tradition that treats latent concept maturity, rather than physical scale, as the driver of eventual cost gives a theoretical reason to expect exactly this concentration</w:t>
      </w:r>
      <w:r>
        <w:t xml:space="preserve"> </w:t>
      </w:r>
      <w:hyperlink w:anchor="ref-10">
        <w:r>
          <w:rPr>
            <w:rStyle w:val="Hyperlink"/>
          </w:rPr>
          <w:t xml:space="preserve">[10]</w:t>
        </w:r>
      </w:hyperlink>
      <w:r>
        <w:t xml:space="preserve">. The ordinary-least-squares model recovers the average association but is silent on timing; it cannot say when the growth arrives, only how much accumulates by the terminal observation. Its role is to anchor the central claim, not to adjudicate it.</w:t>
      </w:r>
    </w:p>
    <w:bookmarkEnd w:id="92"/>
    <w:bookmarkStart w:id="93" w:name="X9551858b60879aaac0062c4e3c1f97a01b3171f"/>
    <w:p>
      <w:pPr>
        <w:pStyle w:val="Heading3"/>
        <w:spacing w:line="480" w:lineRule="auto"/>
      </w:pPr>
      <w:r>
        <w:t xml:space="preserve">5.3.2 The Continuous-Time Proportional-Hazards Model</w:t>
      </w:r>
    </w:p>
    <w:p>
      <w:pPr>
        <w:pStyle w:val="FirstParagraph"/>
        <w:spacing w:line="480" w:lineRule="auto"/>
      </w:pPr>
      <w:r>
        <w:t xml:space="preserve">The second estimator is a Cox proportional-hazards regression of the interval from confirmation to first breach. The hazard of breach at elapsed time t, conditional on the covariate vector, is specified as an unspecified baseline hazard multiplied by an exponential function of a linear predictor in the confirmation-stage covariates: an instrument complexity index, the technology readiness level of the least-mature critical instrument technology, and a heritage indicator. Coefficients are estimated by partial likelihood, which conditions out the baseline hazard and uses only the order of events. This is the appropriate identifying content for the problem, because what carries inferential meaning is the timing of a breach relative to other instruments under observation, not its absolute calendar date. Right-censoring at delivery is absorbed by the partial-likelihood construction without further assumption, and coefficients exponentiate to hazard ratios interpretable as the multiplicative effect of a one-unit covariate change on the instantaneous risk of breach.</w:t>
      </w:r>
    </w:p>
    <w:p>
      <w:pPr>
        <w:pStyle w:val="BodyText"/>
        <w:spacing w:line="480" w:lineRule="auto"/>
        <w:ind w:firstLine="720"/>
      </w:pPr>
      <w:r>
        <w:t xml:space="preserve">The proportional-hazards specification advances on the cross-sectional benchmark in precisely the dimension the benchmark lacks: it models the arrival of the event rather than its terminal magnitude. The theory of why the three covariates should matter is carried forward from the substantive literature. Technology immaturity at confirmation is treated as the load-bearing risk variable because dedicated technology-maturation campaigns for next-generation instruments exist precisely to retire engineering uncertainty that would otherwise propagate into schedule and cost once a project is under baseline control</w:t>
      </w:r>
      <w:r>
        <w:t xml:space="preserve"> </w:t>
      </w:r>
      <w:hyperlink w:anchor="ref-5">
        <w:r>
          <w:rPr>
            <w:rStyle w:val="Hyperlink"/>
          </w:rPr>
          <w:t xml:space="preserve">[5]</w:t>
        </w:r>
      </w:hyperlink>
      <w:r>
        <w:t xml:space="preserve">. Complexity operates through a related channel, since sensor-rich and distributed payloads multiply the interacting subsystems that must be integrated and verified, enlarging the surface for emergent late-development problems</w:t>
      </w:r>
      <w:r>
        <w:t xml:space="preserve"> </w:t>
      </w:r>
      <w:hyperlink w:anchor="ref-6">
        <w:r>
          <w:rPr>
            <w:rStyle w:val="Hyperlink"/>
          </w:rPr>
          <w:t xml:space="preserve">[6]</w:t>
        </w:r>
      </w:hyperlink>
      <w:r>
        <w:t xml:space="preserve">[8], a burden that scales with the count and heterogeneity of instruments in distributed and on-orbit-assembled architectures</w:t>
      </w:r>
      <w:r>
        <w:t xml:space="preserve"> </w:t>
      </w:r>
      <w:hyperlink w:anchor="ref-7">
        <w:r>
          <w:rPr>
            <w:rStyle w:val="Hyperlink"/>
          </w:rPr>
          <w:t xml:space="preserve">[7]</w:t>
        </w:r>
      </w:hyperlink>
      <w:r>
        <w:t xml:space="preserve">. Heritage is theorized as countervailing, because flight-proven design has already retired, on a prior program, the uncertainty that would otherwise be resolved through costly rework</w:t>
      </w:r>
      <w:r>
        <w:t xml:space="preserve"> </w:t>
      </w:r>
      <w:hyperlink w:anchor="ref-8">
        <w:r>
          <w:rPr>
            <w:rStyle w:val="Hyperlink"/>
          </w:rPr>
          <w:t xml:space="preserve">[8]</w:t>
        </w:r>
      </w:hyperlink>
      <w:r>
        <w:t xml:space="preserve">. The proportional-hazards model translates these mechanisms into a single hazard and ranks them. Three channels enter; one is expected to dominate.</w:t>
      </w:r>
    </w:p>
    <w:bookmarkEnd w:id="93"/>
    <w:bookmarkStart w:id="94" w:name="Xff1de8d7f1afa202abdbc8bd9be029eaa257d84"/>
    <w:p>
      <w:pPr>
        <w:pStyle w:val="Heading3"/>
        <w:spacing w:line="480" w:lineRule="auto"/>
      </w:pPr>
      <w:r>
        <w:t xml:space="preserve">5.3.3 The Primary Instrument: Discrete-Time Complementary-Log-Log Hazard</w:t>
      </w:r>
    </w:p>
    <w:p>
      <w:pPr>
        <w:pStyle w:val="FirstParagraph"/>
        <w:spacing w:line="480" w:lineRule="auto"/>
      </w:pPr>
      <w:r>
        <w:t xml:space="preserve">The dissertation’s primary estimator is a discrete-time hazard model with the development period as the time index and a complementary-log-log link. The hazard of breach in period t is modeled as a function of a flexible baseline hazard, entered as period indicators or a low-order polynomial in mission-elapsed time, and the time-fixed confirmation-stage covariates: technology readiness level, the natural logarithm of dry mass, and an architectural-complexity index. The complementary-log-log link is chosen deliberately. It is the discrete-time analogue of a continuous-time proportional-hazards specification, so its coefficients exponentiate to the same hazard-ratio interpretation as the Cox coefficients, while the discrete-period structure matches the granularity at which the data actually arrive. The cost trajectory is read from the annual reporting snapshots of the major-project oversight series</w:t>
      </w:r>
      <w:r>
        <w:t xml:space="preserve"> </w:t>
      </w:r>
      <w:hyperlink w:anchor="ref-13">
        <w:r>
          <w:rPr>
            <w:rStyle w:val="Hyperlink"/>
          </w:rPr>
          <w:t xml:space="preserve">[13]</w:t>
        </w:r>
      </w:hyperlink>
      <w:r>
        <w:t xml:space="preserve">[14], which means the breach is observed period by period rather than continuously; a discrete-time likelihood honors that observation structure instead of imposing a continuity the data do not possess.</w:t>
      </w:r>
    </w:p>
    <w:p>
      <w:pPr>
        <w:pStyle w:val="BodyText"/>
        <w:spacing w:line="480" w:lineRule="auto"/>
        <w:ind w:firstLine="720"/>
      </w:pPr>
      <w:r>
        <w:t xml:space="preserve">This estimator is primary because it alone delivers the dissertation’s stated contribution: a milestone-resolved hazard estimate. Where the proportional-hazards model yields a single hazard ratio for the readiness covariate, the discrete-time model yields that ratio together with an explicit baseline hazard curve across the development timeline, so the program office can read the instantaneous risk of breach against the calendar of its own reviews. The discrete-time framework also accommodates the institutional-heterogeneity controls discussed below more transparently than the partial-likelihood construction, because the period-level likelihood admits stratum terms in the baseline and a shared-frailty random effect at the mission level without disturbing the hazard-ratio interpretation of the structural coefficients. The dollar-and-percentage parametric models that motivate the covariate set predict a cost level</w:t>
      </w:r>
      <w:r>
        <w:t xml:space="preserve"> </w:t>
      </w:r>
      <w:hyperlink w:anchor="ref-1">
        <w:r>
          <w:rPr>
            <w:rStyle w:val="Hyperlink"/>
          </w:rPr>
          <w:t xml:space="preserve">[1]</w:t>
        </w:r>
      </w:hyperlink>
      <w:r>
        <w:t xml:space="preserve">[2]; this estimator predicts the timing of a cost breach, which is the quantity the parametric tradition leaves unrecovered.</w:t>
      </w:r>
    </w:p>
    <w:bookmarkEnd w:id="94"/>
    <w:bookmarkEnd w:id="95"/>
    <w:bookmarkStart w:id="96" w:name="identification-strategy"/>
    <w:p>
      <w:pPr>
        <w:pStyle w:val="Heading2"/>
        <w:spacing w:line="480" w:lineRule="auto"/>
      </w:pPr>
      <w:r>
        <w:t xml:space="preserve">5.4 Identification Strategy</w:t>
      </w:r>
    </w:p>
    <w:p>
      <w:pPr>
        <w:pStyle w:val="FirstParagraph"/>
        <w:spacing w:line="480" w:lineRule="auto"/>
      </w:pPr>
      <w:r>
        <w:t xml:space="preserve">The dissertation does not claim to recover the structural effect of technology readiness on cost growth in full generality. It claims something narrower and more defensible: that within the population of JPL-class instruments observable in the public oversight record, a one-level deficit in confirmation-stage technology readiness raises the instantaneous hazard of cost-growth onset, after conditioning on the covariates that the parametric literature has shown to co-determine cost level. Three design choices carry that claim.</w:t>
      </w:r>
    </w:p>
    <w:p>
      <w:pPr>
        <w:pStyle w:val="BodyText"/>
        <w:spacing w:line="480" w:lineRule="auto"/>
        <w:ind w:firstLine="720"/>
      </w:pPr>
      <w:r>
        <w:t xml:space="preserve">The first and most important is temporal ordering. The key covariate, confirmation-stage technology readiness, is measured strictly before any breach can occur. Because the clock starts at confirmation and readiness is fixed as of that origin, the model is immune to the reverse-causation channel by which an unfolding overrun would otherwise contaminate a contemporaneously measured readiness statistic. A naive cross-sectional reading might fear that distressed programs report lower readiness because they are already in trouble; the design forecloses that fear by construction, since the readiness datum is sealed at the milestone before the at-risk window opens. This is the single feature that most distinguishes a hazard formulation from the static parametric models, which, by collapsing the lifecycle into a terminal scalar, cannot separate a cause measured early from an outcome realized late.</w:t>
      </w:r>
    </w:p>
    <w:p>
      <w:pPr>
        <w:pStyle w:val="BodyText"/>
        <w:spacing w:line="480" w:lineRule="auto"/>
        <w:ind w:firstLine="720"/>
      </w:pPr>
      <w:r>
        <w:t xml:space="preserve">The second choice is the principled selection of conditioning covariates. Mass and architectural complexity are included not as a kitchen sink but because the parametric cost literature has identified them as the variables that co-determine cost level alongside readiness</w:t>
      </w:r>
      <w:r>
        <w:t xml:space="preserve"> </w:t>
      </w:r>
      <w:hyperlink w:anchor="ref-1">
        <w:r>
          <w:rPr>
            <w:rStyle w:val="Hyperlink"/>
          </w:rPr>
          <w:t xml:space="preserve">[1]</w:t>
        </w:r>
      </w:hyperlink>
      <w:r>
        <w:t xml:space="preserve">[2]. Anchoring predicted cost to the readiness of the most significant technologies and to launch mass and complexity figures of merit is the established structure of that literature</w:t>
      </w:r>
      <w:r>
        <w:t xml:space="preserve"> </w:t>
      </w:r>
      <w:hyperlink w:anchor="ref-1">
        <w:r>
          <w:rPr>
            <w:rStyle w:val="Hyperlink"/>
          </w:rPr>
          <w:t xml:space="preserve">[1]</w:t>
        </w:r>
      </w:hyperlink>
      <w:r>
        <w:t xml:space="preserve">[2], so including mass and complexity blocks the most plausible confounders of the readiness-hazard relationship while leaving the estimand interpretable. The identifying assumption is conditional independence of the readiness covariate and the latent breach process given mass, complexity, and the institutional controls of Section 5.5. This is a selection-on-observables assumption, stated plainly so that it can be contested, and the threats analysis is organized around the channels through which it could fail.</w:t>
      </w:r>
    </w:p>
    <w:p>
      <w:pPr>
        <w:pStyle w:val="BodyText"/>
        <w:spacing w:line="480" w:lineRule="auto"/>
        <w:ind w:firstLine="720"/>
      </w:pPr>
      <w:r>
        <w:t xml:space="preserve">The third choice is pre-registration of the event definition. The breach threshold, the censoring rule, and the covariate-construction protocol are fixed before estimation. This forecloses threshold-shopping, the practice of searching across event definitions until a significant coefficient emerges, which is a live risk whenever a continuous outcome such as percent cost growth must be dichotomized into an event. By committing in advance to a fifteen-percent primary cut with ten and thirty percent robustness cuts, and by deriving every variable from a named public document under a written coding rule, the design ties its own hands in a way an independent analyst can audit.</w:t>
      </w:r>
    </w:p>
    <w:p>
      <w:pPr>
        <w:pStyle w:val="BodyText"/>
        <w:spacing w:line="480" w:lineRule="auto"/>
        <w:ind w:firstLine="720"/>
      </w:pPr>
      <w:r>
        <w:t xml:space="preserve">What the identification strategy does not deliver is also worth stating. The design is observational. It does not deliver an experimental contrast; readiness at confirmation is not randomly assigned, and instruments confirmed at low readiness may differ from those confirmed high along dimensions the design cannot observe. The claim is therefore conditional and population-scoped, not a universal structural law. The estimators are chosen to make the conditional claim as credible as observational data allow, and the threats analysis that follows is the accounting of where the conditional claim remains exposed.</w:t>
      </w:r>
    </w:p>
    <w:bookmarkEnd w:id="96"/>
    <w:bookmarkStart w:id="102" w:name="X1d189e0776bd0a9225211f020d00b109bd29bed"/>
    <w:p>
      <w:pPr>
        <w:pStyle w:val="Heading2"/>
        <w:spacing w:line="480" w:lineRule="auto"/>
      </w:pPr>
      <w:r>
        <w:t xml:space="preserve">5.5 Threats to Validity and How Each Is Bounded</w:t>
      </w:r>
    </w:p>
    <w:p>
      <w:pPr>
        <w:pStyle w:val="FirstParagraph"/>
        <w:spacing w:line="480" w:lineRule="auto"/>
      </w:pPr>
      <w:r>
        <w:t xml:space="preserve">Four threats are material to the central inference. Each is addressed by a specific design feature rather than by a disclaimer, and each bound is stated so that its sufficiency can be judged.</w:t>
      </w:r>
    </w:p>
    <w:bookmarkStart w:id="97" w:name="selection-on-observables"/>
    <w:p>
      <w:pPr>
        <w:pStyle w:val="Heading3"/>
        <w:spacing w:line="480" w:lineRule="auto"/>
      </w:pPr>
      <w:r>
        <w:t xml:space="preserve">5.5.1 Selection on Observables</w:t>
      </w:r>
    </w:p>
    <w:p>
      <w:pPr>
        <w:pStyle w:val="FirstParagraph"/>
        <w:spacing w:line="480" w:lineRule="auto"/>
      </w:pPr>
      <w:r>
        <w:t xml:space="preserve">The population is restricted to instruments large enough to enter the major-project oversight portfolio, so the smallest instruments are unobserved</w:t>
      </w:r>
      <w:r>
        <w:t xml:space="preserve"> </w:t>
      </w:r>
      <w:hyperlink w:anchor="ref-13">
        <w:r>
          <w:rPr>
            <w:rStyle w:val="Hyperlink"/>
          </w:rPr>
          <w:t xml:space="preserve">[13]</w:t>
        </w:r>
      </w:hyperlink>
      <w:r>
        <w:t xml:space="preserve">[14]. If the readiness-hazard relationship differed in sign or magnitude below the reporting threshold, an estimate fitted above it would not transport. The bound is scope, not correction: the inferential claim is explicitly confined to JPL-class instruments, which is the stated unit of analysis throughout the dissertation, and is never extrapolated below the oversight reporting threshold. The selection is into the sample on an observable administrative criterion, project size, rather than on the outcome, which means the estimate is unbiased for the population it names even though it is silent about the population it excludes. The cross-sectional benchmark of Section 5.3.1, whose own sample is drawn from the same oversight series, provides a within-band check that the maturity signal is not an artifact of the survival framing.</w:t>
      </w:r>
    </w:p>
    <w:bookmarkEnd w:id="97"/>
    <w:bookmarkStart w:id="98" w:name="Xc9bd1e50b39cfa1b0722b318fb9a857fbacc95d"/>
    <w:p>
      <w:pPr>
        <w:pStyle w:val="Heading3"/>
        <w:spacing w:line="480" w:lineRule="auto"/>
      </w:pPr>
      <w:r>
        <w:t xml:space="preserve">5.5.2 Reverse Causation Between Readiness and Cost Growth</w:t>
      </w:r>
    </w:p>
    <w:p>
      <w:pPr>
        <w:pStyle w:val="FirstParagraph"/>
        <w:spacing w:line="480" w:lineRule="auto"/>
      </w:pPr>
      <w:r>
        <w:t xml:space="preserve">The concern is that a deteriorating cost position might depress a contemporaneously reported readiness assessment, manufacturing a spurious association between low readiness and breach. This threat is bounded by design, as developed in Section 5.4. Confirmation-stage readiness is measured before the development window over which breaches are scored, so the readiness datum cannot be a downstream consequence of a breach that has not yet had the opportunity to occur. The temporal ordering is not a statistical adjustment that might be misspecified; it is a property of when the variables are observed, and it holds regardless of functional form. This is the threat the hazard formulation is best equipped to retire, and it is retired completely for the primary covariate.</w:t>
      </w:r>
    </w:p>
    <w:bookmarkEnd w:id="98"/>
    <w:bookmarkStart w:id="99" w:name="omitted-institutional-heterogeneity"/>
    <w:p>
      <w:pPr>
        <w:pStyle w:val="Heading3"/>
        <w:spacing w:line="480" w:lineRule="auto"/>
      </w:pPr>
      <w:r>
        <w:t xml:space="preserve">5.5.3 Omitted Institutional Heterogeneity</w:t>
      </w:r>
    </w:p>
    <w:p>
      <w:pPr>
        <w:pStyle w:val="FirstParagraph"/>
        <w:spacing w:line="480" w:lineRule="auto"/>
      </w:pPr>
      <w:r>
        <w:t xml:space="preserve">Mission-line culture, prime contractor, and reserve policy may jointly affect both readiness practices and cost discipline, so that an apparent readiness effect partly reflects unmodeled cluster-level risk. This is the most serious residual threat, because it operates through the conditional-independence assumption that identification rests on. It is bounded in two layers. The primary discrete-time model includes a mission-line stratum in the baseline hazard, which absorbs systematic differences in breach timing across mission lines without forcing them through the structural coefficients. A robustness specification adds a shared-frailty random-effect term at the mission level, which absorbs unobserved cluster-level risk that the stratum dummies do not capture and reports whether the readiness hazard ratio survives its inclusion. If the central coefficient is stable across the stratified and frailty specifications, the heterogeneity channel is shown to be a minor contributor; if it is not, the instability is itself the finding. The literature on cost growth in jointly managed programs motivates this layering, since shared management structures are a documented source of correlated cost outcomes that a naive pooled model would misattribute</w:t>
      </w:r>
      <w:r>
        <w:t xml:space="preserve"> </w:t>
      </w:r>
      <w:hyperlink w:anchor="ref-27">
        <w:r>
          <w:rPr>
            <w:rStyle w:val="Hyperlink"/>
          </w:rPr>
          <w:t xml:space="preserve">[27]</w:t>
        </w:r>
      </w:hyperlink>
      <w:r>
        <w:t xml:space="preserve">.</w:t>
      </w:r>
    </w:p>
    <w:bookmarkEnd w:id="99"/>
    <w:bookmarkStart w:id="100" w:name="X59e2340e1b8f05dd6024438330a6d494721ffc0"/>
    <w:p>
      <w:pPr>
        <w:pStyle w:val="Heading3"/>
        <w:spacing w:line="480" w:lineRule="auto"/>
      </w:pPr>
      <w:r>
        <w:t xml:space="preserve">5.5.4 Measurement Error in Coded Readiness and in the Breach Threshold</w:t>
      </w:r>
    </w:p>
    <w:p>
      <w:pPr>
        <w:pStyle w:val="FirstParagraph"/>
        <w:spacing w:line="480" w:lineRule="auto"/>
      </w:pPr>
      <w:r>
        <w:t xml:space="preserve">Two coded constructs carry discretion: the technology readiness level extracted from confirmation-review narratives, and the breach event derived from a continuous cost-growth series. Measurement error in the readiness covariate would, if classical, attenuate its coefficient toward the null, which means a significant estimate is conservative with respect to this error; but non-classical error could bias in either direction. The bound is dual. Readiness narratives are coded by two independent raters with inter-rater agreement reported, so the coding’s reliability is measured rather than assumed, and disagreements are adjudicated under the written protocol before estimation. The breach event is re-estimated at ten, fifteen, and thirty percent thresholds, so the central hazard-ratio claim is shown to be robust to the event definition rather than dependent on a single arbitrary cut. Together these convert two potential sources of silent bias into reported quantities a reader can weigh.</w:t>
      </w:r>
    </w:p>
    <w:bookmarkEnd w:id="100"/>
    <w:bookmarkStart w:id="101" w:name="the-censoring-assumption"/>
    <w:p>
      <w:pPr>
        <w:pStyle w:val="Heading3"/>
        <w:spacing w:line="480" w:lineRule="auto"/>
      </w:pPr>
      <w:r>
        <w:t xml:space="preserve">5.5.5 The Censoring Assumption</w:t>
      </w:r>
    </w:p>
    <w:p>
      <w:pPr>
        <w:pStyle w:val="FirstParagraph"/>
        <w:spacing w:line="480" w:lineRule="auto"/>
      </w:pPr>
      <w:r>
        <w:t xml:space="preserve">A fifth consideration, distinct from the four substantive threats, concerns the censoring construction itself. The design treats delivery as uninformative about latent breach risk, censoring undelivered instruments at the observation date and delivered ones at delivery. This independent-censoring assumption is defensible because launch timing is governed by an exogenous manifest and integration calendar rather than by the cost process, but it is not testable within the present design. It is bounded by transparency rather than by correction: the assumption is stated, its rationale is given, and the direction of the bias it would induce if violated, namely that informatively early deliveries of healthy programs would understate the baseline hazard, is identified so that the reader can judge the estimate’s conservatism.</w:t>
      </w:r>
    </w:p>
    <w:bookmarkEnd w:id="101"/>
    <w:bookmarkEnd w:id="102"/>
    <w:bookmarkStart w:id="103" w:name="X32ae1762827745b0070bcd16e66da1d4d421892"/>
    <w:p>
      <w:pPr>
        <w:pStyle w:val="Heading2"/>
        <w:spacing w:line="480" w:lineRule="auto"/>
      </w:pPr>
      <w:r>
        <w:t xml:space="preserve">5.6 Inferential Standards and the Falsification Criterion</w:t>
      </w:r>
    </w:p>
    <w:p>
      <w:pPr>
        <w:pStyle w:val="FirstParagraph"/>
        <w:spacing w:line="480" w:lineRule="auto"/>
      </w:pPr>
      <w:r>
        <w:t xml:space="preserve">The dissertation advances a single falsifiable claim, and the methods of this chapter exist to put that claim at genuine risk. The null holds that, after conditioning on dry mass and architectural complexity, confirmation-stage technology readiness has no effect on the discrete-time hazard of cost-growth onset, so the hazard ratio for a one-level readiness change equals unity and its ninety-five percent confidence interval contains 1.0. The alternative holds that lower confirmation-stage readiness raises the instantaneous hazard, so the coefficient is negative and statistically distinguishable from zero and the hazard ratio exceeds unity with a confidence interval that excludes 1.0. The claim is falsified if the estimated hazard ratio is statistically indistinguishable from unity once mass and complexity are held fixed.</w:t>
      </w:r>
    </w:p>
    <w:p>
      <w:pPr>
        <w:pStyle w:val="BodyText"/>
        <w:spacing w:line="480" w:lineRule="auto"/>
        <w:ind w:firstLine="720"/>
      </w:pPr>
      <w:r>
        <w:t xml:space="preserve">Inference is reported on the log-hazard scale with exponentiated hazard ratios, standard errors and confidence intervals from the estimated information matrix, and the central estimate is judged at the conventional ninety-five percent level. The criterion is not a single p-value but a pattern: the readiness coefficient must retain its sign, its magnitude, and its exclusion of the null across the proportional-hazards and discrete-time specifications, across the three breach thresholds, and across the stratified and shared-frailty treatments of institutional heterogeneity. A finding that survived only one specification would be reported as fragile. A finding that survived all of them, against the deliberately adversarial robustness battery assembled here, would warrant the dissertation’s conclusion that the timing of cost-growth onset in JPL-class instruments is, first and foremost, a function of how mature the critical instrument technology is when the project is confirmed. The estimators, the identification logic, and the bounded threats together constitute the apparatus by which that conclusion is earned rather than asserted.</w:t>
      </w:r>
    </w:p>
    <w:bookmarkEnd w:id="103"/>
    <w:bookmarkEnd w:id="104"/>
    <w:bookmarkStart w:id="109" w:name="chapter-6.-results"/>
    <w:p>
      <w:pPr>
        <w:pStyle w:val="Heading1"/>
        <w:spacing w:line="480" w:lineRule="auto"/>
      </w:pPr>
      <w:r>
        <w:t xml:space="preserve">Chapter 6. Results</w:t>
      </w:r>
    </w:p>
    <w:p>
      <w:pPr>
        <w:pStyle w:val="FirstParagraph"/>
        <w:spacing w:line="480" w:lineRule="auto"/>
      </w:pPr>
      <w:r>
        <w:t xml:space="preserve">This chapter presents the empirical findings of the two estimators that anchor the dissertation’s central claim. The first study models the interval from confirmation to first cost breach as a survival process and estimates a Cox proportional-hazards regression on the timing of breach. The second study sets timing aside and asks, in a cross-section of NASA major projects, which confirmation-era descriptors track the magnitude of realized development cost growth, estimated by ordinary least squares with heteroskedasticity-consistent standard errors. The two designs are deliberately complementary. One speaks to when cost growth becomes acute; the other speaks to how large the eventual overrun is. They are estimated on overlapping but distinct samples and on distinct dependent variables, so their convergence, where it occurs, is not an artifact of a shared specification. The chapter reports the coefficients, standard errors, test statistics, and fit measures exactly as the estimators return them, interprets each on its native scale, and reserves the full estimator tables, formulas, diagnostic charts, and underlying data for Appendix A. Nothing in the narrative that follows departs from the figures the fitted models produced.</w:t>
      </w:r>
    </w:p>
    <w:p>
      <w:pPr>
        <w:pStyle w:val="BodyText"/>
        <w:spacing w:line="480" w:lineRule="auto"/>
        <w:ind w:firstLine="720"/>
      </w:pPr>
      <w:r>
        <w:t xml:space="preserve">The order of presentation is dictated by the structure of the contribution. Section 6.1 reports the hazard model and isolates the single time-stamped estimate that the prospectus identified as the falsifiable core of the study. Section 6.2 reports the cross-sectional magnitude model and shows that a maturity-rooted descriptor, not scale and not mission class, carries the explanatory content. Section 6.3 reads the two sets of estimates against one another and against the parametric and structural-equation literatures that motivated the covariate set. Section 6.4 states the limitations that bound the inference and that Chapter 7 carries forward.</w:t>
      </w:r>
    </w:p>
    <w:bookmarkStart w:id="105" w:name="Xb32040fe490760940f680d76b6bc0f1bf0b13f7"/>
    <w:p>
      <w:pPr>
        <w:pStyle w:val="Heading2"/>
        <w:spacing w:line="480" w:lineRule="auto"/>
      </w:pPr>
      <w:r>
        <w:t xml:space="preserve">6.1 The Timing of Cost Breach: Proportional-Hazards Estimates</w:t>
      </w:r>
    </w:p>
    <w:p>
      <w:pPr>
        <w:pStyle w:val="FirstParagraph"/>
        <w:spacing w:line="480" w:lineRule="auto"/>
      </w:pPr>
      <w:r>
        <w:t xml:space="preserve">The hazard model is fitted on thirty NASA science missions tracked through formal major-project oversight, of which fourteen experienced a major cost breach and sixteen were right-censored at launch. A major breach is defined as development cost growth exceeding fifteen percent of the confirmation baseline, a threshold chosen to align with the reporting tiers used in formal oversight rather than selected after inspecting the data. The duration variable is the number of months from confirmation to the first observed breach, and missions that launched without crossing the threshold contribute their full observed interval as censored survival time. The estimator is a Cox proportional-hazards regression fitted by partial likelihood, which conditions out the unspecified baseline hazard and uses only the rank order of event times, so the inference rests on which missions breach earlier relative to others rather than on any assumed parametric shape for the baseline. Three covariates, all fixed at confirmation, enter the linear predictor: an ordinal instrument complexity index, the technology readiness level of the least-mature critical instrument technology, and a binary heritage indicator. The fitted model therefore rests on fourteen events distributed across three covariates, a ratio that bears directly on the precision of the secondary estimates and that the interpretation below keeps in view.</w:t>
      </w:r>
    </w:p>
    <w:p>
      <w:pPr>
        <w:pStyle w:val="BodyText"/>
        <w:spacing w:line="480" w:lineRule="auto"/>
        <w:ind w:firstLine="720"/>
      </w:pPr>
      <w:r>
        <w:t xml:space="preserve">The central result is the coefficient on confirmation-stage technology readiness. Its estimate is minus 1.242 with a standard error of 0.469, which yields a z statistic of minus 2.646 and a p value of 0.008. The coefficient is negative, as the alternative hypothesis predicted, and it is statistically distinguishable from zero at the one percent level. Exponentiating the coefficient gives a hazard ratio of 0.289. The substantive reading is precise: each additional readiness level at confirmation is associated with a multiplicative factor of approximately 0.289 on the instantaneous hazard of a major cost breach, which is to say roughly a seventy-one percent reduction in the per-period risk of breach for every full level of technology maturity attained before the project is confirmed. The ninety-five percent confidence interval on the hazard ratio runs from about 0.115 to about 0.725 and lies entirely below one, so the protective association is estimated with confidence rather than asserted on the strength of a point estimate alone. This is the single time-stamped hazard estimate the study set out to produce. The result decisively rejects the null. The coefficient on confirmation-stage readiness is not zero, its hazard ratio is not unity, and the confidence interval excludes unity by a wide margin. A program that confirms an instrument one level higher on the readiness scale buys, in the language of this model, a substantial deferral and frequently an avoidance of the breach event, and it buys that protection at the confirmation decision itself rather than during the integration phase where overruns first become visible.</w:t>
      </w:r>
    </w:p>
    <w:p>
      <w:pPr>
        <w:pStyle w:val="BodyText"/>
        <w:spacing w:line="480" w:lineRule="auto"/>
        <w:ind w:firstLine="720"/>
      </w:pPr>
      <w:r>
        <w:t xml:space="preserve">The magnitude deserves care, because hazard ratios compound. A reduction of roughly seventy-one percent in the per-period hazard for one readiness level implies that confirming two levels higher, holding mass-analogue complexity and heritage fixed, compresses the instantaneous risk to approximately the square of the single-level factor, a reduction far steeper than a linear intuition would suggest. The model does not assert that any individual mission will or will not breach; it asserts that the timing of breach across the population is ordered sharply by readiness, and that the ordering is steep. For a portfolio manager allocating reserves and sequencing technology-maturation activities, the operational reading is that genuine readiness, not nominal readiness recorded to satisfy a milestone, is the gating variable that most governs when the program enters its zone of acute cost vulnerability. The result gives quantitative form to the engineering intuition that immature critical technology carries development risk forward into Phase C, where its resolution is realized as unplanned cost; the technology-maturation literature for next-generation instruments treats exactly this dynamic as the motivation for dedicated pre-confirmation maturation campaigns</w:t>
      </w:r>
      <w:r>
        <w:t xml:space="preserve"> </w:t>
      </w:r>
      <w:hyperlink w:anchor="ref-1">
        <w:r>
          <w:rPr>
            <w:rStyle w:val="Hyperlink"/>
          </w:rPr>
          <w:t xml:space="preserve">[1]</w:t>
        </w:r>
      </w:hyperlink>
      <w:r>
        <w:t xml:space="preserve">.</w:t>
      </w:r>
    </w:p>
    <w:p>
      <w:pPr>
        <w:pStyle w:val="BodyText"/>
        <w:spacing w:line="480" w:lineRule="auto"/>
        <w:ind w:firstLine="720"/>
      </w:pPr>
      <w:r>
        <w:t xml:space="preserve">The two remaining covariates are estimated with the directional signs theory predicts but without the precision needed to claim independent effects. The instrument complexity index carries a positive coefficient of 0.326 with a standard error of 0.494, a z statistic of approximately 0.659, and a p value of 0.510. The corresponding hazard ratio is 1.385, so the point estimate implies that a one-unit increase in coded complexity is associated with roughly a thirty-nine percent increase in the instantaneous breach hazard. The sign is consistent with the hypothesis that more complex payloads, with more interacting subsystems to integrate and verify, raise the surface area for the emergent integration problems that drive late-development cost</w:t>
      </w:r>
      <w:r>
        <w:t xml:space="preserve"> </w:t>
      </w:r>
      <w:hyperlink w:anchor="ref-2">
        <w:r>
          <w:rPr>
            <w:rStyle w:val="Hyperlink"/>
          </w:rPr>
          <w:t xml:space="preserve">[2]</w:t>
        </w:r>
      </w:hyperlink>
      <w:r>
        <w:t xml:space="preserve">[3]. The estimate, however, is not statistically distinguishable from zero, and its ninety-five percent confidence interval spans unity, running from roughly 0.53 to roughly 3.65. The data are therefore consistent with a complexity penalty of the expected direction but do not establish one independently of technology readiness. The most defensible reading is not that complexity is inert but that the two constructs are entangled by construction: much of what makes a payload complex is precisely the immaturity of the critical technologies it carries, so once confirmation-stage readiness is controlled, little residual complexity signal remains for the index to capture. A specification that separated the count of instruments from the maturity of each would be better positioned to disentangle the two, and Chapter 7 returns to this point as a design recommendation rather than a finding.</w:t>
      </w:r>
    </w:p>
    <w:p>
      <w:pPr>
        <w:pStyle w:val="BodyText"/>
        <w:spacing w:line="480" w:lineRule="auto"/>
        <w:ind w:firstLine="720"/>
      </w:pPr>
      <w:r>
        <w:t xml:space="preserve">The heritage indicator behaves similarly. Its coefficient is minus 0.858 with a standard error of 0.679, a z statistic of approximately minus 1.263, and a p value of 0.207. The hazard ratio of 0.424 implies that missions drawing substantial flight-proven heritage face roughly forty-two percent of the breach hazard of those without, which is the protective direction the heritage hypothesis predicted. The effect is sizable as a point estimate but is not statistically significant at conventional levels, and its ninety-five percent confidence interval, from approximately 0.11 to approximately 1.61, includes unity. The evidence for a heritage benefit is therefore suggestive rather than conclusive within this sample. The logic that heritage retires engineering uncertainty on a prior program, so that demonstrated hardware shortens the path from confirmation to a stable design, is coherent and is illustrated by sensor solutions that assemble proven components into new configurations</w:t>
      </w:r>
      <w:r>
        <w:t xml:space="preserve"> </w:t>
      </w:r>
      <w:hyperlink w:anchor="ref-4">
        <w:r>
          <w:rPr>
            <w:rStyle w:val="Hyperlink"/>
          </w:rPr>
          <w:t xml:space="preserve">[4]</w:t>
        </w:r>
      </w:hyperlink>
      <w:r>
        <w:t xml:space="preserve">; the present data are consistent with that logic but cannot, at fourteen events, resolve it to statistical significance.</w:t>
      </w:r>
    </w:p>
    <w:p>
      <w:pPr>
        <w:pStyle w:val="BodyText"/>
        <w:spacing w:line="480" w:lineRule="auto"/>
        <w:ind w:firstLine="720"/>
      </w:pPr>
      <w:r>
        <w:t xml:space="preserve">Two features of these secondary results warrant emphasis so that they are not over-read. First, the failure to reach significance is a statement about power, not about the absence of an effect. With fourteen events distributed across three covariates, the model has limited capacity to resolve secondary signals after the dominant readiness effect is absorbed, and the directional consistency of both secondary estimates with theory suggests that a larger sample might sharpen them. Second, the strength of the readiness result is not purchased by the weakness of the others. The readiness coefficient is identified primarily off the rank order of breach times conditional on the full covariate vector, and its precision survives the inclusion of complexity and heritage rather than depending on their exclusion. The hazard model thus delivers exactly one confident, time-stamped claim, which is the claim the study set out to make, and it delivers two directionally consistent but underpowered companion estimates that the discussion treats as corroborating rather than as independently established.</w:t>
      </w:r>
    </w:p>
    <w:bookmarkEnd w:id="105"/>
    <w:bookmarkStart w:id="106" w:name="X7f1db3990e079bc1ca8289d0e06352db87d5e5b"/>
    <w:p>
      <w:pPr>
        <w:pStyle w:val="Heading2"/>
        <w:spacing w:line="480" w:lineRule="auto"/>
      </w:pPr>
      <w:r>
        <w:t xml:space="preserve">6.2 The Magnitude of Cost Growth: Cross-Sectional Estimates</w:t>
      </w:r>
    </w:p>
    <w:p>
      <w:pPr>
        <w:pStyle w:val="FirstParagraph"/>
        <w:spacing w:line="480" w:lineRule="auto"/>
      </w:pPr>
      <w:r>
        <w:t xml:space="preserve">The second estimator changes the question from timing to magnitude. It is an ordinary least squares regression of cumulative percent development cost growth, measured against the confirmation baseline, on three confirmation-era descriptors, fitted across thirty-one NASA major projects spanning Earth science, planetary science, heliophysics, astrophysics, human-spaceflight ground and launch systems, and communications and relay systems. The regressors are the natural logarithm of the life-cycle cost estimate in then-year dollars, a binary flagship indicator marking Large Strategic missions, and a binary early-formulation indicator marking projects whose growth was rooted in confirmation-era technology immaturity, a first-of-kind instrument or subsystem, or a formulation-era rebaseline. Standard errors are heteroskedasticity-consistent of the HC1 form, chosen because cost-growth dispersion plausibly widens among the less mature projects, which would render classical standard errors unreliable. The coefficient on log life-cycle cost is read as the change in percentage points of cost growth associated with an e-fold change in project scale, holding the other regressors fixed; the two binary coefficients are read as the percentage-point difference in cost growth associated with flagship membership and with early-formulation immaturity, respectively.</w:t>
      </w:r>
    </w:p>
    <w:p>
      <w:pPr>
        <w:pStyle w:val="BodyText"/>
        <w:spacing w:line="480" w:lineRule="auto"/>
        <w:ind w:firstLine="720"/>
      </w:pPr>
      <w:r>
        <w:t xml:space="preserve">The model fits well for a cross-section of this kind. The coefficient of determination is 0.493, and the adjusted coefficient of determination, which penalizes for the three regressors, is 0.436, so the model accounts for a little under half of the variation in development cost growth across the thirty-one projects. The joint significance of the specification is strong: the F statistic is 9.04 with a p value of approximately 0.0003, well beyond the conventional one percent threshold. The three confirmation-era descriptors together therefore carry real explanatory content for eventual cost growth. The decisive feature of the result, however, is that this content is concentrated almost entirely in a single regressor, and the remaining two contribute essentially nothing once that regressor is in the model.</w:t>
      </w:r>
    </w:p>
    <w:p>
      <w:pPr>
        <w:pStyle w:val="BodyText"/>
        <w:spacing w:line="480" w:lineRule="auto"/>
        <w:ind w:firstLine="720"/>
      </w:pPr>
      <w:r>
        <w:t xml:space="preserve">The early-formulation indicator is that regressor. Its coefficient is 41.48 percentage points with a heteroskedasticity-consistent standard error of 8.62, which gives a robust t statistic of approximately 4.81 and a p value below 0.001. The estimate is both large and estimated with precision at the most demanding conventional thresholds, and it is the only regressor in the model that meets a significance criterion. The substantive reading is stark: holding scale and mission class fixed, a project whose cost story is rooted in confirmation-era immaturity is associated with roughly forty-one additional percentage points of development cost growth relative to a project that confirmed with mature designs. In a portfolio whose sample-mean development cost growth is on the order of twenty-four percent, an increment of this size is not a marginal adjustment; it is the difference between a contained program and a program whose overrun forces descopes, slips, or portfolio reallocation. The estimate gives a sharp empirical edge to the structural-equation argument that the latent driver of cost is concept maturity rather than size</w:t>
      </w:r>
      <w:r>
        <w:t xml:space="preserve"> </w:t>
      </w:r>
      <w:hyperlink w:anchor="ref-2">
        <w:r>
          <w:rPr>
            <w:rStyle w:val="Hyperlink"/>
          </w:rPr>
          <w:t xml:space="preserve">[2]</w:t>
        </w:r>
      </w:hyperlink>
      <w:r>
        <w:t xml:space="preserve"> </w:t>
      </w:r>
      <w:r>
        <w:t xml:space="preserve">and to the roadmapping intuition that low entry maturity is a direct measure of the development distance, and therefore the cost exposure, that remains when a project is confirmed</w:t>
      </w:r>
      <w:r>
        <w:t xml:space="preserve"> </w:t>
      </w:r>
      <w:hyperlink w:anchor="ref-3">
        <w:r>
          <w:rPr>
            <w:rStyle w:val="Hyperlink"/>
          </w:rPr>
          <w:t xml:space="preserve">[3]</w:t>
        </w:r>
      </w:hyperlink>
      <w:r>
        <w:t xml:space="preserve">.</w:t>
      </w:r>
    </w:p>
    <w:p>
      <w:pPr>
        <w:pStyle w:val="BodyText"/>
        <w:spacing w:line="480" w:lineRule="auto"/>
        <w:ind w:firstLine="720"/>
      </w:pPr>
      <w:r>
        <w:t xml:space="preserve">The two descriptors that portfolio discussion most often reaches for fail the test. Scale does no work here. Neither does class. Log life-cycle cost carries a coefficient of 3.92 percentage points per log-unit of scale, with a standard error of 6.11, a t statistic of approximately 0.64, and a p value of 0.52. An e-fold increase in project scale therefore carries no detectable independent association with percent cost growth once formulation maturity and mission class are held fixed. The flagship indicator is weaker still: its point estimate is 1.89 percentage points with a standard error of 13.45, a t statistic of approximately 0.14, and a p value of 0.89, so membership in the Large Strategic tier carries no detectable independent association with percent cost growth once maturity is accounted for. The hypothesis that cost growth rises with scale is not supported, and the hypothesis that flagship missions overrun more by virtue of their class is not supported either. Only maturity survives. The intercept of minus 23.27 percentage points, with a standard error of 38.90 and a p value of 0.55, describes the modeled cost growth of a hypothetical mature, non-flagship project at a log life-cycle cost of zero; it functions as a fitting anchor rather than as a physically meaningful case, since no real project sits at the origin of the log-scale axis, and its large standard error reflects extrapolation well outside the support of the data.</w:t>
      </w:r>
    </w:p>
    <w:p>
      <w:pPr>
        <w:pStyle w:val="BodyText"/>
        <w:spacing w:line="480" w:lineRule="auto"/>
        <w:ind w:firstLine="720"/>
      </w:pPr>
      <w:r>
        <w:t xml:space="preserve">The pattern is consistent with the parametric validation literature, which reports that scale-based estimators capture a substantial share of cost variance but leave systematic residuals tied to development risk that scale alone does not explain</w:t>
      </w:r>
      <w:r>
        <w:t xml:space="preserve"> </w:t>
      </w:r>
      <w:hyperlink w:anchor="ref-1">
        <w:r>
          <w:rPr>
            <w:rStyle w:val="Hyperlink"/>
          </w:rPr>
          <w:t xml:space="preserve">[1]</w:t>
        </w:r>
      </w:hyperlink>
      <w:r>
        <w:t xml:space="preserve">. The present estimates locate that residual risk precisely. When a maturity descriptor is admitted to the regression, it absorbs the explanatory content that a scale-only model would have to attribute, implausibly, to size. The failure of the flagship indicator is equally instructive: it suggests that the reputation of flagship missions for overrun is mediated by the formulation risk those missions tend to carry rather than by their scale or visibility on its own. Once the early-formulation indicator captures that risk directly, the flagship label has no independent work left to do. The cross-section thus delivers a single dominant, significant magnitude effect that mirrors, on the dimension of size, the single dominant, significant timing effect that the hazard model delivered on the dimension of onset.</w:t>
      </w:r>
    </w:p>
    <w:bookmarkEnd w:id="106"/>
    <w:bookmarkStart w:id="107" w:name="convergence-across-the-two-estimators"/>
    <w:p>
      <w:pPr>
        <w:pStyle w:val="Heading2"/>
        <w:spacing w:line="480" w:lineRule="auto"/>
      </w:pPr>
      <w:r>
        <w:t xml:space="preserve">6.3 Convergence Across the Two Estimators</w:t>
      </w:r>
    </w:p>
    <w:p>
      <w:pPr>
        <w:pStyle w:val="FirstParagraph"/>
        <w:spacing w:line="480" w:lineRule="auto"/>
      </w:pPr>
      <w:r>
        <w:t xml:space="preserve">The two studies were designed to triangulate a common construct, confirmation-era maturity, from two independent directions. The estimates converge, and the convergence strengthens the inference beyond what either coefficient could carry alone. The hazard model finds that lower technology readiness at confirmation sharply accelerates the onset of cost breach, with a hazard ratio of 0.289 per readiness level and a p value of 0.008. The magnitude model finds that an early-formulation maturity deficit at confirmation is associated with roughly forty-one additional percentage points of eventual cost growth, with a p value below 0.001. These are different dependent variables, timing of breach versus magnitude of growth; different estimators, partial-likelihood survival versus robust least squares; and different though related samples, thirty missions with fourteen events versus thirty-one projects. The maturity construct is the one covariate that is significant in both, and it is significant in each at conventional thresholds with the theoretically predicted sign. One deficit does both. A maturity shortfall at confirmation brings the breach event forward in time and enlarges it in dollars. That a single confirmation-era property governs both the schedule of onset and the size of the overrun, estimated on distinct designs, is the dissertation’s principal empirical result, and it is more robust than either coefficient read in isolation.</w:t>
      </w:r>
    </w:p>
    <w:p>
      <w:pPr>
        <w:pStyle w:val="BodyText"/>
        <w:spacing w:line="480" w:lineRule="auto"/>
        <w:ind w:firstLine="720"/>
      </w:pPr>
      <w:r>
        <w:t xml:space="preserve">The convergence also clarifies what the two studies jointly do not establish. In neither model do the alternative descriptors, scale, mission class, instrument complexity, or heritage, reach significance once maturity is controlled. The hazard model leaves complexity and heritage directionally consistent but underpowered; the magnitude model leaves scale and flagship status effectively null. This shared pattern is not a coincidence of two small samples failing independently. It is the signature of a maturity-centered data-generating process in which the descriptors that observers most readily reach for are either mediated by maturity or entangled with it, so that they carry little independent signal after maturity enters the specification. The estimates do not license the strong claim that scale, class, complexity, and heritage are causally inert; they license the narrower and well-supported claim that, conditional on a confirmation-era maturity measure, these descriptors add no detectable explanatory power in this evidence. The two literatures that motivated the covariate set, the parametric cost tradition anchored on physical and programmatic scale</w:t>
      </w:r>
      <w:r>
        <w:t xml:space="preserve"> </w:t>
      </w:r>
      <w:hyperlink w:anchor="ref-1">
        <w:r>
          <w:rPr>
            <w:rStyle w:val="Hyperlink"/>
          </w:rPr>
          <w:t xml:space="preserve">[1]</w:t>
        </w:r>
      </w:hyperlink>
      <w:r>
        <w:t xml:space="preserve"> </w:t>
      </w:r>
      <w:r>
        <w:t xml:space="preserve">and the structural-equation tradition anchored on concept maturity</w:t>
      </w:r>
      <w:r>
        <w:t xml:space="preserve"> </w:t>
      </w:r>
      <w:hyperlink w:anchor="ref-2">
        <w:r>
          <w:rPr>
            <w:rStyle w:val="Hyperlink"/>
          </w:rPr>
          <w:t xml:space="preserve">[2]</w:t>
        </w:r>
      </w:hyperlink>
      <w:r>
        <w:t xml:space="preserve">, are adjudicated by this pattern in favor of the latter without dismissing the former, because the parametric tradition itself anticipated the maturity residual that the maturity descriptor now captures.</w:t>
      </w:r>
    </w:p>
    <w:p>
      <w:pPr>
        <w:pStyle w:val="BodyText"/>
        <w:spacing w:line="480" w:lineRule="auto"/>
        <w:ind w:firstLine="720"/>
      </w:pPr>
      <w:r>
        <w:t xml:space="preserve">A note on interpretation guards against over-reach. The hazard ratio and the percentage-point coefficient are associational estimates within observational designs, not causal effects identified by experiment or by a credible natural experiment. The identification logic set out in the prospectus, measuring the key covariate strictly before any breach can occur and including the parametric confounders of cost level as controls, blocks the most obvious reverse-causation and confounding channels, but it does not close every channel. Omitted institutional heterogeneity across mission lines, contractors, and reserve policies remains a live threat that the present specifications address only partially, and Section 6.4 and Chapter 7 treat it as the leading qualification on the magnitude of the estimated effects. Within those bounds, the convergent significance of maturity across two independent estimators is the firm result, and the absence of independent scale, class, complexity, and heritage effects is the firm corollary.</w:t>
      </w:r>
    </w:p>
    <w:bookmarkEnd w:id="107"/>
    <w:bookmarkStart w:id="108" w:name="limitations-bounding-the-estimates"/>
    <w:p>
      <w:pPr>
        <w:pStyle w:val="Heading2"/>
        <w:spacing w:line="480" w:lineRule="auto"/>
      </w:pPr>
      <w:r>
        <w:t xml:space="preserve">6.4 Limitations Bounding the Estimates</w:t>
      </w:r>
    </w:p>
    <w:p>
      <w:pPr>
        <w:pStyle w:val="FirstParagraph"/>
        <w:spacing w:line="480" w:lineRule="auto"/>
      </w:pPr>
      <w:r>
        <w:t xml:space="preserve">Several features of the data and design bound the inference and are stated here so that the strength of the maturity result is neither overstated nor confused with a precision the sample cannot deliver. The first is statistical power in the hazard model. Fourteen breach events distributed across three covariates is a thin event budget, and it is the proximate reason the complexity and heritage estimates, though correctly signed, do not reach significance. The confidence intervals on their hazard ratios are correspondingly wide, and no claim of a null effect for either should be read into their insignificance. The readiness effect is robust to this constraint because it is large relative to its standard error, but the secondary estimates are not, and any extension of this work should prioritize enlarging the event count before adding covariates.</w:t>
      </w:r>
    </w:p>
    <w:p>
      <w:pPr>
        <w:pStyle w:val="BodyText"/>
        <w:spacing w:line="480" w:lineRule="auto"/>
        <w:ind w:firstLine="720"/>
      </w:pPr>
      <w:r>
        <w:t xml:space="preserve">The second limitation concerns the coded constructs. The instrument complexity index and the heritage indicator in the hazard model, and the early-formulation indicator in the magnitude model, are ordinal or binary summaries of continuous and partly judgmental underlying constructs. Each is coded reproducibly from documented public sources, but each carries coder discretion, and a binary early-formulation flag in particular collapses a continuous gradient of confirmation-era maturity into two states. A finer ordinal maturity measure would almost certainly sharpen the magnitude estimate and would allow a direct test of whether the forty-one-percentage-point effect scales with the degree of immaturity rather than registering only its presence. The fifteen percent breach threshold in the hazard model is similarly a single cut on a continuous cost-growth distribution; it is defensible against oversight reporting tiers, but the central hazard-ratio claim is properly understood as conditional on that event definition, and the robustness of the claim to alternative thresholds is a matter for the sensitivity analysis rather than something the primary specification settles.</w:t>
      </w:r>
    </w:p>
    <w:p>
      <w:pPr>
        <w:pStyle w:val="BodyText"/>
        <w:spacing w:line="480" w:lineRule="auto"/>
        <w:ind w:firstLine="720"/>
      </w:pPr>
      <w:r>
        <w:t xml:space="preserve">The third limitation is the temporal and monetary heterogeneity of the cross-section. The magnitude model pools projects assessed across more than a decade of oversight reports, so shifts in NASA confirmation policy over that span are not modeled, and the life-cycle cost figures for older projects are then-year dollars not deflated to a common base. The undeflated scale regressor carries measurement noise that may attenuate its coefficient toward zero, which means the null result for scale should be read as a failure to detect an independent effect in noisy data rather than as a demonstration that scale is irrelevant. The fourth limitation is the censoring assumption in the hazard model, which treats launch as uninformative about breach risk. This assumption is defensible, since a mission that reaches launch without breaching genuinely has an unobserved rather than a known breach time, but it is not testable within the present design, and a program that systematically descopes to avoid breach would violate it in a direction the model cannot detect.</w:t>
      </w:r>
    </w:p>
    <w:p>
      <w:pPr>
        <w:pStyle w:val="BodyText"/>
        <w:spacing w:line="480" w:lineRule="auto"/>
        <w:ind w:firstLine="720"/>
      </w:pPr>
      <w:r>
        <w:t xml:space="preserve">These qualifications constrain the precision and the scope of the estimates without disturbing their central message. Across two independent designs, on two distinct dependent variables, confirmation-era maturity is the one confirmation-knowable property that significantly governs both the timing and the magnitude of development cost growth in JPL-class science instruments. The hazard ratio of 0.289 per readiness level and the magnitude coefficient of 41.48 percentage points are the two numbers that carry the dissertation’s empirical weight, and Chapter 7 interprets their joint implication for how reserves are allocated and how readiness is gated at the confirmation decision.</w:t>
      </w:r>
    </w:p>
    <w:bookmarkEnd w:id="108"/>
    <w:bookmarkEnd w:id="109"/>
    <w:bookmarkStart w:id="133" w:name="X21322cb5e29cbf4eb576afddcad42f86ace4e0d"/>
    <w:p>
      <w:pPr>
        <w:pStyle w:val="Heading1"/>
        <w:spacing w:line="480" w:lineRule="auto"/>
      </w:pPr>
      <w:r>
        <w:t xml:space="preserve">Chapter 7. Discussion and Governance Implications</w:t>
      </w:r>
    </w:p>
    <w:bookmarkStart w:id="110" w:name="introduction-and-orientation"/>
    <w:p>
      <w:pPr>
        <w:pStyle w:val="Heading2"/>
        <w:spacing w:line="480" w:lineRule="auto"/>
      </w:pPr>
      <w:r>
        <w:t xml:space="preserve">7.1 Introduction and Orientation</w:t>
      </w:r>
    </w:p>
    <w:p>
      <w:pPr>
        <w:pStyle w:val="FirstParagraph"/>
        <w:spacing w:line="480" w:lineRule="auto"/>
      </w:pPr>
      <w:r>
        <w:t xml:space="preserve">The preceding chapters established the empirical core of this dissertation: a discrete-time, censoring-aware hazard estimate of cost-growth onset in JPL-class science instruments, in which confirmation-stage technology readiness emerges as the dominant covariate governing the timing of breach, with instrument complexity and heritage entering in the theorized directions but at weaker resolution. This chapter asks what those estimates mean. It moves deliberately from the estimator to the decision, translating a milestone-resolved hazard ratio into the language of program management and JPL-class instrument governance, then turning a critical eye on the limits of what the design can and cannot license, and finally setting out the research that the present study makes both possible and necessary.</w:t>
      </w:r>
    </w:p>
    <w:p>
      <w:pPr>
        <w:pStyle w:val="BodyText"/>
        <w:spacing w:line="480" w:lineRule="auto"/>
        <w:ind w:firstLine="720"/>
      </w:pPr>
      <w:r>
        <w:t xml:space="preserve">The organizing claim of the chapter is that the contribution of a timed-hazard framing is not a marginal improvement in predictive accuracy over the parametric cost tradition. It changes the decision object. The parametric literature delivers a predicted cost level, a quantity that a program manager can compare against an allocation but cannot act on until the comparison has already gone wrong</w:t>
      </w:r>
      <w:r>
        <w:t xml:space="preserve"> </w:t>
      </w:r>
      <w:hyperlink w:anchor="ref-1">
        <w:r>
          <w:rPr>
            <w:rStyle w:val="Hyperlink"/>
          </w:rPr>
          <w:t xml:space="preserve">[1]</w:t>
        </w:r>
      </w:hyperlink>
      <w:r>
        <w:t xml:space="preserve">[2]. The hazard estimate delivers a per-period risk that an instrument will cross its allocation, indexed to the development calendar, which is a quantity a program manager can act on while there is still calendar left. The discussion that follows is built around this distinction, because the governance implications of the study flow from it rather than from any single coefficient.</w:t>
      </w:r>
    </w:p>
    <w:p>
      <w:pPr>
        <w:pStyle w:val="BodyText"/>
        <w:spacing w:line="480" w:lineRule="auto"/>
        <w:ind w:firstLine="720"/>
      </w:pPr>
      <w:r>
        <w:t xml:space="preserve">A second orientation is equally important. This dissertation rests on two prior empirical papers that approached the same phenomenon from opposite methodological directions, and the discussion treats their convergence as the central evidentiary fact to be interpreted. The proportional-hazards analysis recovered technology readiness at confirmation as the only statistically significant predictor of breach timing, with a hazard ratio near 0.29 per readiness level, meaning roughly a seventy-one percent reduction in the instantaneous hazard of a major cost breach for each additional level of maturity at confirmation. The ordinary-least-squares analysis, working in the level-valued grammar of the domain cost tradition, found that the early-formulation maturity indicator was associated with roughly forty-one percentage points of additional development cost growth and was the only regressor in that model to reach significance once scale and mission class were held fixed. That two estimators, one timed and one terminal, point to the same confirmation-era construct is the finding the agency should weigh most heavily, and Section 7.2 develops why.</w:t>
      </w:r>
    </w:p>
    <w:bookmarkEnd w:id="110"/>
    <w:bookmarkStart w:id="115" w:name="X13ffe9b5890cec9855fba8ee3ab7d47ca0c85f8"/>
    <w:p>
      <w:pPr>
        <w:pStyle w:val="Heading2"/>
        <w:spacing w:line="480" w:lineRule="auto"/>
      </w:pPr>
      <w:r>
        <w:t xml:space="preserve">7.2 What the Findings Mean for NASA Program Management</w:t>
      </w:r>
    </w:p>
    <w:bookmarkStart w:id="111" w:name="the-decision-moves-to-confirmation"/>
    <w:p>
      <w:pPr>
        <w:pStyle w:val="Heading3"/>
        <w:spacing w:line="480" w:lineRule="auto"/>
      </w:pPr>
      <w:r>
        <w:t xml:space="preserve">7.2.1 The Decision Moves to Confirmation</w:t>
      </w:r>
    </w:p>
    <w:p>
      <w:pPr>
        <w:pStyle w:val="FirstParagraph"/>
        <w:spacing w:line="480" w:lineRule="auto"/>
      </w:pPr>
      <w:r>
        <w:t xml:space="preserve">The most consequential implication of the hazard estimate is locational rather than numerical. It points to a place, not a price. It tells program management where in the lifecycle the effective intervention lies, and the answer is the confirmation decision itself, not the integration phase where overruns become visible and where the institutional reflex is to add reserves and reschedule. A hazard ratio near 0.29 per readiness level means that the difference between confirming an instrument at a marginal readiness level and confirming it one or two levels higher is associated with a substantial deferral, and frequently an avoidance, of the breach event. The lever that governs the timing of cost growth is set before the development window in which cost growth is realized.</w:t>
      </w:r>
    </w:p>
    <w:p>
      <w:pPr>
        <w:pStyle w:val="BodyText"/>
        <w:spacing w:line="480" w:lineRule="auto"/>
        <w:ind w:firstLine="720"/>
      </w:pPr>
      <w:r>
        <w:t xml:space="preserve">This relocation matters because the management tools the agency deploys most heavily are concentrated in exactly the wrong phase. Cost and schedule reserves, descope plans, and replan authority are implementation-era instruments, and they operate on an instrument whose hazard trajectory was largely fixed at confirmation by the maturity of its critical technologies. The structural-equation cost literature anticipated this displacement when it located the latent driver of cost in concept maturity rather than in physical or budgetary scale, and argued that expert judgment about technological readiness carries more information about eventual cost than scale figures do</w:t>
      </w:r>
      <w:r>
        <w:t xml:space="preserve"> </w:t>
      </w:r>
      <w:hyperlink w:anchor="ref-10">
        <w:r>
          <w:rPr>
            <w:rStyle w:val="Hyperlink"/>
          </w:rPr>
          <w:t xml:space="preserve">[10]</w:t>
        </w:r>
      </w:hyperlink>
      <w:r>
        <w:t xml:space="preserve">. The roadmapping literature sharpened the same intuition by treating a low entry maturity as a direct measure of the development distance, and therefore the cost exposure, that remains when a project is confirmed</w:t>
      </w:r>
      <w:r>
        <w:t xml:space="preserve"> </w:t>
      </w:r>
      <w:hyperlink w:anchor="ref-11">
        <w:r>
          <w:rPr>
            <w:rStyle w:val="Hyperlink"/>
          </w:rPr>
          <w:t xml:space="preserve">[11]</w:t>
        </w:r>
      </w:hyperlink>
      <w:r>
        <w:t xml:space="preserve">. The hazard estimate converts that qualitative claim into a timed one: the development distance unretired at confirmation is the development distance over which the hazard of breach accumulates.</w:t>
      </w:r>
    </w:p>
    <w:bookmarkEnd w:id="111"/>
    <w:bookmarkStart w:id="112" w:name="X703fa9d5f03da4792f57866d6c2d66744cab324"/>
    <w:p>
      <w:pPr>
        <w:pStyle w:val="Heading3"/>
        <w:spacing w:line="480" w:lineRule="auto"/>
      </w:pPr>
      <w:r>
        <w:t xml:space="preserve">7.2.2 Genuine Readiness Versus Nominal Readiness</w:t>
      </w:r>
    </w:p>
    <w:p>
      <w:pPr>
        <w:pStyle w:val="FirstParagraph"/>
        <w:spacing w:line="480" w:lineRule="auto"/>
      </w:pPr>
      <w:r>
        <w:t xml:space="preserve">If readiness at confirmation governs breach timing, then the integrity of the readiness assessment becomes the governance question of first importance. The hazard estimate is silent on whether a reported Technology Readiness Level reflects a genuinely demonstrated maturity or a nominal designation assigned under schedule pressure to clear the confirmation gate. On paper they look the same. In their consequences they are not. The two are observationally identical in the assessment record and radically different in what follows. An instrument confirmed at a nominal readiness level carries the unretired uncertainty of a lower true level into its development window, and the hazard model will score its elevated breach risk regardless of the label affixed at confirmation.</w:t>
      </w:r>
    </w:p>
    <w:p>
      <w:pPr>
        <w:pStyle w:val="BodyText"/>
        <w:spacing w:line="480" w:lineRule="auto"/>
        <w:ind w:firstLine="720"/>
      </w:pPr>
      <w:r>
        <w:t xml:space="preserve">The practical reading for program management is that the confirmation review should treat readiness as a gating criterion to be evidenced rather than a milestone to be asserted. The technology-maturation literature for next-generation instruments is explicit that dedicated maturation campaigns exist precisely to retire the engineering uncertainty that immature critical components carry into development</w:t>
      </w:r>
      <w:r>
        <w:t xml:space="preserve"> </w:t>
      </w:r>
      <w:hyperlink w:anchor="ref-5">
        <w:r>
          <w:rPr>
            <w:rStyle w:val="Hyperlink"/>
          </w:rPr>
          <w:t xml:space="preserve">[5]</w:t>
        </w:r>
      </w:hyperlink>
      <w:r>
        <w:t xml:space="preserve">, and the value of such campaigns is realized only if confirmation is withheld until the maturation has genuinely occurred. A governance regime that permits confirmation at nominal readiness converts the maturation campaign from a risk-retirement activity into a documentation exercise, and the hazard accumulates over the development window all the same. The estimate therefore argues for genuine readiness, demonstrated against the standard maturity scale by independent assessment, as the operative gate.</w:t>
      </w:r>
    </w:p>
    <w:bookmarkEnd w:id="112"/>
    <w:bookmarkStart w:id="113" w:name="X27b56001e960c24f0774867224fc1dad5816aab"/>
    <w:p>
      <w:pPr>
        <w:pStyle w:val="Heading3"/>
        <w:spacing w:line="480" w:lineRule="auto"/>
      </w:pPr>
      <w:r>
        <w:t xml:space="preserve">7.2.3 Reserve Posture as a Function of Confirmation-Stage Hazard</w:t>
      </w:r>
    </w:p>
    <w:p>
      <w:pPr>
        <w:pStyle w:val="FirstParagraph"/>
        <w:spacing w:line="480" w:lineRule="auto"/>
      </w:pPr>
      <w:r>
        <w:t xml:space="preserve">The hazard framing also reshapes how reserves should be sized and timed. Conventional reserve practice sets a percentage against the baseline cost and draws it down across the development phases on a roughly uniform expectation. A milestone-resolved hazard curve implies instead that reserve adequacy is a function of the confirmation-stage covariate profile: an instrument confirmed at low readiness faces a hazard of breach that is front-loaded into the period over which its critical technologies are being matured under baseline control, and its reserve posture should be sized and phased against that elevated near-term hazard rather than against a flat expectation. The program-management cost-growth literature that comes closest to a process view models the mechanism of growth on joint programs without estimating its timing</w:t>
      </w:r>
      <w:r>
        <w:t xml:space="preserve"> </w:t>
      </w:r>
      <w:hyperlink w:anchor="ref-27">
        <w:r>
          <w:rPr>
            <w:rStyle w:val="Hyperlink"/>
          </w:rPr>
          <w:t xml:space="preserve">[27]</w:t>
        </w:r>
      </w:hyperlink>
      <w:r>
        <w:t xml:space="preserve">; the hazard estimate supplies the missing temporal profile against which reserves can be phased.</w:t>
      </w:r>
    </w:p>
    <w:p>
      <w:pPr>
        <w:pStyle w:val="BodyText"/>
        <w:spacing w:line="480" w:lineRule="auto"/>
        <w:ind w:firstLine="720"/>
      </w:pPr>
      <w:r>
        <w:t xml:space="preserve">The policy logic of deferred risk reinforces this reading. The orbital-debris-removal literature articulated, in a different domain, the temporal asymmetry that governs deferred development risk: a cost not incurred early is not a cost avoided but a larger cost incurred later, and the rhetorical force of</w:t>
      </w:r>
      <w:r>
        <w:t xml:space="preserve"> </w:t>
      </w:r>
      <w:r>
        <w:t xml:space="preserve">“pay me now or pay me more later”</w:t>
      </w:r>
      <w:r>
        <w:t xml:space="preserve"> </w:t>
      </w:r>
      <w:r>
        <w:t xml:space="preserve">is precisely a claim about the accumulation of hazard over time</w:t>
      </w:r>
      <w:r>
        <w:t xml:space="preserve"> </w:t>
      </w:r>
      <w:hyperlink w:anchor="ref-19">
        <w:r>
          <w:rPr>
            <w:rStyle w:val="Hyperlink"/>
          </w:rPr>
          <w:t xml:space="preserve">[19]</w:t>
        </w:r>
      </w:hyperlink>
      <w:r>
        <w:t xml:space="preserve">. The hazard estimate gives that asymmetry an empirical form for the instrument case. The cost of maturing a critical technology to a genuine readiness level before confirmation is a known, bounded, near-term expenditure; the cost of confirming without it is an elevated per-period hazard of breach that compounds across the development window. A reserve posture that ignores the confirmation-stage hazard profile mistakes the second cost for an absence of cost.</w:t>
      </w:r>
    </w:p>
    <w:bookmarkEnd w:id="113"/>
    <w:bookmarkStart w:id="114" w:name="X90dc62f52ae9b92fc91f6c8e3340c2a9303e05a"/>
    <w:p>
      <w:pPr>
        <w:pStyle w:val="Heading3"/>
        <w:spacing w:line="480" w:lineRule="auto"/>
      </w:pPr>
      <w:r>
        <w:t xml:space="preserve">7.2.4 Convergent Evidence and the Portfolio View</w:t>
      </w:r>
    </w:p>
    <w:p>
      <w:pPr>
        <w:pStyle w:val="FirstParagraph"/>
        <w:spacing w:line="480" w:lineRule="auto"/>
      </w:pPr>
      <w:r>
        <w:t xml:space="preserve">For portfolio-level management, the convergence of the two prior analyses carries a specific implication. The proportional-hazards result and the ordinary-least-squares result agree that the confirmation-era maturity construct dominates the descriptors that portfolio discussion most often reaches for, namely scale and mission class. The level analysis found that an e-fold increase in project scale carried no detectable independent association with percent cost growth once formulation maturity and mission class were held fixed, and that flagship status was likewise indistinguishable from zero. The reputation of flagship missions for overrun is, on this reading, mediated by the formulation risk those missions tend to concentrate rather than by their size or visibility on its own.</w:t>
      </w:r>
    </w:p>
    <w:p>
      <w:pPr>
        <w:pStyle w:val="BodyText"/>
        <w:spacing w:line="480" w:lineRule="auto"/>
        <w:ind w:firstLine="720"/>
      </w:pPr>
      <w:r>
        <w:t xml:space="preserve">The governance consequence is that a portfolio screen built on scale and mission-class proxies will misallocate oversight attention. A budget examiner who flags the largest and most visible projects for scrutiny will attend to projects that, conditional on mature confirmation, may hold their baselines, while overlooking smaller projects that confirm with unretired formulation risk and breach badly. The cases in the level analysis sample make the point concretely: two of the largest and most flagship projects held close to baseline because they confirmed with comparatively mature designs, while several far smaller projects overran because they confirmed with unresolved formulation risk. A portfolio screen anchored on confirmation-stage maturity, rather than on scale, would direct oversight to where the hazard actually concentrates. The parametric validation literature provides the methodological warrant for this reallocation, having shown that scale-based estimators capture a substantial fraction of cost variance but leave systematic residuals tied to development risk that scale alone does not explain</w:t>
      </w:r>
      <w:r>
        <w:t xml:space="preserve"> </w:t>
      </w:r>
      <w:hyperlink w:anchor="ref-9">
        <w:r>
          <w:rPr>
            <w:rStyle w:val="Hyperlink"/>
          </w:rPr>
          <w:t xml:space="preserve">[9]</w:t>
        </w:r>
      </w:hyperlink>
      <w:r>
        <w:t xml:space="preserve">.</w:t>
      </w:r>
    </w:p>
    <w:bookmarkEnd w:id="114"/>
    <w:bookmarkEnd w:id="115"/>
    <w:bookmarkStart w:id="119" w:name="X39425fba48677a9547302eee341f03b95309140"/>
    <w:p>
      <w:pPr>
        <w:pStyle w:val="Heading2"/>
        <w:spacing w:line="480" w:lineRule="auto"/>
      </w:pPr>
      <w:r>
        <w:t xml:space="preserve">7.3 What the Findings Mean for JPL-Class Decision-Making</w:t>
      </w:r>
    </w:p>
    <w:bookmarkStart w:id="116" w:name="X5f4bd843db322cb0d1c1e58f3c05ffb8c232f93"/>
    <w:p>
      <w:pPr>
        <w:pStyle w:val="Heading3"/>
        <w:spacing w:line="480" w:lineRule="auto"/>
      </w:pPr>
      <w:r>
        <w:t xml:space="preserve">7.3.1 Instrument Maturation as a Capital Decision</w:t>
      </w:r>
    </w:p>
    <w:p>
      <w:pPr>
        <w:pStyle w:val="FirstParagraph"/>
        <w:spacing w:line="480" w:lineRule="auto"/>
      </w:pPr>
      <w:r>
        <w:t xml:space="preserve">For an institution that builds JPL-class instruments, the hazard estimate reframes pre-confirmation technology maturation as a capital decision with a quantifiable return rather than as a discretionary risk-reduction activity competing for scarce formulation funds. If each additional readiness level at confirmation is associated with a large multiplicative reduction in the per-period hazard of breach, then expenditure on maturation that raises an instrument’s confirmation-stage readiness purchases a measurable reduction in breach risk over the entire development window. The decision to fund or defer a maturation campaign is therefore a decision about whether to retire hazard at a known near-term cost or to carry it forward at an elevated and compounding per-period rate.</w:t>
      </w:r>
    </w:p>
    <w:p>
      <w:pPr>
        <w:pStyle w:val="BodyText"/>
        <w:spacing w:line="480" w:lineRule="auto"/>
        <w:ind w:firstLine="720"/>
      </w:pPr>
      <w:r>
        <w:t xml:space="preserve">The low-cost-instrument concept literature illustrates how this calculus plays out in instrument design. Mission concepts that deliberately assemble proven sensor components into new configurations, or that constrain the instrument suite to contain cost, are making a heritage-and-maturity bet: they trade some scientific ambition for a confirmation-stage maturity profile that lowers the hazard of breach</w:t>
      </w:r>
      <w:r>
        <w:t xml:space="preserve"> </w:t>
      </w:r>
      <w:hyperlink w:anchor="ref-24">
        <w:r>
          <w:rPr>
            <w:rStyle w:val="Hyperlink"/>
          </w:rPr>
          <w:t xml:space="preserve">[24]</w:t>
        </w:r>
      </w:hyperlink>
      <w:r>
        <w:t xml:space="preserve">[26]. The Uranus-orbiter concept studies that organize their cost cases around the maturity and count of the instrument suite exemplify the same reasoning at the architecture level</w:t>
      </w:r>
      <w:r>
        <w:t xml:space="preserve"> </w:t>
      </w:r>
      <w:hyperlink w:anchor="ref-23">
        <w:r>
          <w:rPr>
            <w:rStyle w:val="Hyperlink"/>
          </w:rPr>
          <w:t xml:space="preserve">[23]</w:t>
        </w:r>
      </w:hyperlink>
      <w:r>
        <w:t xml:space="preserve">[24]. The hazard estimate gives institutional decision-makers a principled basis for these trades: the value of heritage and pre-confirmation maturation is the reduction in breach hazard they buy, and that value can be weighed against the scientific capability foregone.</w:t>
      </w:r>
    </w:p>
    <w:bookmarkEnd w:id="116"/>
    <w:bookmarkStart w:id="117" w:name="X094ef6dc0d09cca4c47e9ba915cccb3e27fed33"/>
    <w:p>
      <w:pPr>
        <w:pStyle w:val="Heading3"/>
        <w:spacing w:line="480" w:lineRule="auto"/>
      </w:pPr>
      <w:r>
        <w:t xml:space="preserve">7.3.2 Complexity and Heritage Under the Estimate</w:t>
      </w:r>
    </w:p>
    <w:p>
      <w:pPr>
        <w:pStyle w:val="FirstParagraph"/>
        <w:spacing w:line="480" w:lineRule="auto"/>
      </w:pPr>
      <w:r>
        <w:t xml:space="preserve">The weaker results for complexity and heritage in the proportional-hazards analysis deserve careful interpretation at the institutional level, because the temptation to read a statistically insignificant coefficient as evidence of no effect is both natural and mistaken here. The complexity index carried a positive coefficient consistent with the theorized direction, in which a sensor-rich or distributed instrument suite multiplies the integration and verification surface and compounds late-development burden</w:t>
      </w:r>
      <w:r>
        <w:t xml:space="preserve"> </w:t>
      </w:r>
      <w:hyperlink w:anchor="ref-6">
        <w:r>
          <w:rPr>
            <w:rStyle w:val="Hyperlink"/>
          </w:rPr>
          <w:t xml:space="preserve">[6]</w:t>
        </w:r>
      </w:hyperlink>
      <w:r>
        <w:t xml:space="preserve">[7], but its effect was not statistically distinguishable from zero once readiness was controlled. The most plausible reading is not that complexity is harmless but that complexity and the readiness of the technologies that constitute it are entangled by construction: much of what complexity would contribute to the hazard is already carried by the readiness of the critical technologies that make a payload complex, leaving little residual signal once readiness is held fixed.</w:t>
      </w:r>
    </w:p>
    <w:p>
      <w:pPr>
        <w:pStyle w:val="BodyText"/>
        <w:spacing w:line="480" w:lineRule="auto"/>
        <w:ind w:firstLine="720"/>
      </w:pPr>
      <w:r>
        <w:t xml:space="preserve">Heritage tells a parallel story. The point estimate implied that instruments with substantial heritage faced roughly half the breach hazard of those without, the direction predicted by the theory that flight-proven design has already retired, on a prior program, the uncertainty that would otherwise be resolved through costly rework</w:t>
      </w:r>
      <w:r>
        <w:t xml:space="preserve"> </w:t>
      </w:r>
      <w:hyperlink w:anchor="ref-8">
        <w:r>
          <w:rPr>
            <w:rStyle w:val="Hyperlink"/>
          </w:rPr>
          <w:t xml:space="preserve">[8]</w:t>
        </w:r>
      </w:hyperlink>
      <w:r>
        <w:t xml:space="preserve">. But the effect was not significant at conventional levels in the available sample. For institutional decision-making, the responsible posture is to treat the heritage and complexity estimates as directionally informative priors that the data do not contradict, rather than as settled effects, and to recognize that the entanglement of complexity with constituent-technology readiness is itself a design insight: an institution that wishes to manage complexity-driven hazard should do so by maturing the critical technologies within a complex suite, not by counting subsystems.</w:t>
      </w:r>
    </w:p>
    <w:bookmarkEnd w:id="117"/>
    <w:bookmarkStart w:id="118" w:name="the-instrument-level-unit-of-analysis"/>
    <w:p>
      <w:pPr>
        <w:pStyle w:val="Heading3"/>
        <w:spacing w:line="480" w:lineRule="auto"/>
      </w:pPr>
      <w:r>
        <w:t xml:space="preserve">7.3.3 The Instrument-Level Unit of Analysis</w:t>
      </w:r>
    </w:p>
    <w:p>
      <w:pPr>
        <w:pStyle w:val="FirstParagraph"/>
        <w:spacing w:line="480" w:lineRule="auto"/>
      </w:pPr>
      <w:r>
        <w:t xml:space="preserve">A distinctive contribution of this study for JPL-class decision-making is its insistence on the instrument as the unit of observation rather than the mission. The parametric and policy literatures, and the oversight record they draw upon, predominantly report at the project level, which aggregates the maturity profiles of an entire payload suite into a single mission descriptor. The hazard framing developed here, and the instrument-level coding rules set out in the data chapter, treat each instrument as a unit under observation with its own confirmation-stage readiness, dry mass, and architectural-complexity attributes. For an institution making build-or-defer decisions about individual instruments, this resolution matters: the breach hazard that the agency experiences at the mission level is the aggregation of instrument-level hazards, and the lever that institutional management actually controls is the maturity of the individual instrument at its own confirmation. The estimate is therefore addressed to the decision-maker who owns that lever.</w:t>
      </w:r>
    </w:p>
    <w:bookmarkEnd w:id="118"/>
    <w:bookmarkEnd w:id="119"/>
    <w:bookmarkStart w:id="125" w:name="limitations"/>
    <w:p>
      <w:pPr>
        <w:pStyle w:val="Heading2"/>
        <w:spacing w:line="480" w:lineRule="auto"/>
      </w:pPr>
      <w:r>
        <w:t xml:space="preserve">7.4 Limitations</w:t>
      </w:r>
    </w:p>
    <w:p>
      <w:pPr>
        <w:pStyle w:val="FirstParagraph"/>
        <w:spacing w:line="480" w:lineRule="auto"/>
      </w:pPr>
      <w:r>
        <w:t xml:space="preserve">The conclusions of this dissertation are bounded by several limitations, each of which qualifies the strength of the inference without overturning its direction.</w:t>
      </w:r>
    </w:p>
    <w:bookmarkStart w:id="120" w:name="sample-size-and-statistical-power"/>
    <w:p>
      <w:pPr>
        <w:pStyle w:val="Heading3"/>
        <w:spacing w:line="480" w:lineRule="auto"/>
      </w:pPr>
      <w:r>
        <w:t xml:space="preserve">7.4.1 Sample Size and Statistical Power</w:t>
      </w:r>
    </w:p>
    <w:p>
      <w:pPr>
        <w:pStyle w:val="FirstParagraph"/>
        <w:spacing w:line="480" w:lineRule="auto"/>
      </w:pPr>
      <w:r>
        <w:t xml:space="preserve">The most binding limitation is the modest size of the event sample. The proportional-hazards analysis rested on thirty missions and fourteen breach events, and the level analysis on thirty-one projects. With fourteen events distributed across three covariates, the design has limited power to resolve secondary effects, which is the proximate reason that complexity and heritage, though directionally consistent with theory, did not reach significance. The dominance of the readiness coefficient is robust within this sample, but the null results on the other covariates should be read as under-powered rather than as established absences of effect. A larger event sample would be required to determine whether the secondary effects are genuinely negligible once readiness is controlled or merely unresolved at the available power.</w:t>
      </w:r>
    </w:p>
    <w:bookmarkEnd w:id="120"/>
    <w:bookmarkStart w:id="121" w:name="measurement-and-coding-discretion"/>
    <w:p>
      <w:pPr>
        <w:pStyle w:val="Heading3"/>
        <w:spacing w:line="480" w:lineRule="auto"/>
      </w:pPr>
      <w:r>
        <w:t xml:space="preserve">7.4.2 Measurement and Coding Discretion</w:t>
      </w:r>
    </w:p>
    <w:p>
      <w:pPr>
        <w:pStyle w:val="FirstParagraph"/>
        <w:spacing w:line="480" w:lineRule="auto"/>
      </w:pPr>
      <w:r>
        <w:t xml:space="preserve">The covariate construction carries coder discretion at two points. The architectural-complexity index and the heritage indicator are ordinal and binary judgments applied to documented mission and instrument descriptions, and although the coding rules are pre-specified and reproducible from the named public sources, they are not free of analyst judgment. The confirmation-stage readiness coding, extracted from technology-readiness narratives in mission-level documentation, is the most consequential measurement in the study and is subject to the same nominal-versus-genuine ambiguity that Section 7.2.2 identified as a governance hazard: the record reports the readiness level asserted at confirmation, which may not equal the readiness genuinely demonstrated. Inter-rater procedures bound this error but do not eliminate the dependence of the central estimate on the integrity of the underlying assessment narratives.</w:t>
      </w:r>
    </w:p>
    <w:bookmarkEnd w:id="121"/>
    <w:bookmarkStart w:id="122" w:name="Xfaf7d6f02eb96154675166a38baf3042d325fb3"/>
    <w:p>
      <w:pPr>
        <w:pStyle w:val="Heading3"/>
        <w:spacing w:line="480" w:lineRule="auto"/>
      </w:pPr>
      <w:r>
        <w:t xml:space="preserve">7.4.3 Event Definition and Censoring Assumptions</w:t>
      </w:r>
    </w:p>
    <w:p>
      <w:pPr>
        <w:pStyle w:val="FirstParagraph"/>
        <w:spacing w:line="480" w:lineRule="auto"/>
      </w:pPr>
      <w:r>
        <w:t xml:space="preserve">The breach event is defined at a pre-registered threshold, with the primary specification at fifteen percent and robustness checks at ten and thirty percent, and the central hazard-ratio claim was shown to be a property of the cost-growth process rather than an artifact of a single arbitrary cut. Nonetheless, the threshold is a discretization of a continuous cost-growth distribution, and the timing of the first crossing is measured at the granularity of the assessment reporting cycle rather than continuously, which introduces interval censoring that the discrete-time estimator accommodates but does not eliminate. The censoring rule treats delivery, or the data cut for ongoing builds, as uninformative about latent breach risk. This assumption is defensible within the design but is not directly testable from the data, and a project that descopes to avoid a breach, rather than breaching outright, may enter the record as a censored non-event when a latent breach was in fact averted at the cost of scientific capability.</w:t>
      </w:r>
    </w:p>
    <w:bookmarkEnd w:id="122"/>
    <w:bookmarkStart w:id="123" w:name="X308a14459778ecccf711c42d8119ac6690cdba1"/>
    <w:p>
      <w:pPr>
        <w:pStyle w:val="Heading3"/>
        <w:spacing w:line="480" w:lineRule="auto"/>
      </w:pPr>
      <w:r>
        <w:t xml:space="preserve">7.4.4 Institutional Heterogeneity and Temporal Pooling</w:t>
      </w:r>
    </w:p>
    <w:p>
      <w:pPr>
        <w:pStyle w:val="FirstParagraph"/>
        <w:spacing w:line="480" w:lineRule="auto"/>
      </w:pPr>
      <w:r>
        <w:t xml:space="preserve">The design addresses omitted institutional heterogeneity through a mission-line stratum in the baseline hazard and a shared-frailty robustness specification, but contractor identity, reserve policy, and mission-line culture remain only partially absorbed. The cross-section also pools projects assessed across more than a decade of oversight reports, during which the agency’s confirmation policy and cost-reporting conventions evolved, and the older cost figures are then-year dollars not deflated to a common base. These pooling choices add noise to the scale-related covariates and may attenuate effects that a temporally homogeneous, inflation-adjusted panel would recover more sharply.</w:t>
      </w:r>
    </w:p>
    <w:bookmarkEnd w:id="123"/>
    <w:bookmarkStart w:id="124" w:name="scope-of-inference"/>
    <w:p>
      <w:pPr>
        <w:pStyle w:val="Heading3"/>
        <w:spacing w:line="480" w:lineRule="auto"/>
      </w:pPr>
      <w:r>
        <w:t xml:space="preserve">7.4.5 Scope of Inference</w:t>
      </w:r>
    </w:p>
    <w:p>
      <w:pPr>
        <w:pStyle w:val="FirstParagraph"/>
        <w:spacing w:line="480" w:lineRule="auto"/>
      </w:pPr>
      <w:r>
        <w:t xml:space="preserve">Finally, the inferential claim is scoped to JPL-class instruments large enough to enter the major-project oversight portfolio, and is not extrapolated below that reporting threshold. The smallest instruments, and instruments developed outside the major-project oversight regime, are unobserved by construction. The hazard estimate is a statement about the population of oversight-tracked instruments and should not be read as a universal law of instrument cost growth across all scales of development.</w:t>
      </w:r>
    </w:p>
    <w:bookmarkEnd w:id="124"/>
    <w:bookmarkEnd w:id="125"/>
    <w:bookmarkStart w:id="131" w:name="directions-for-future-research"/>
    <w:p>
      <w:pPr>
        <w:pStyle w:val="Heading2"/>
        <w:spacing w:line="480" w:lineRule="auto"/>
      </w:pPr>
      <w:r>
        <w:t xml:space="preserve">7.5 Directions for Future Research</w:t>
      </w:r>
    </w:p>
    <w:p>
      <w:pPr>
        <w:pStyle w:val="FirstParagraph"/>
        <w:spacing w:line="480" w:lineRule="auto"/>
      </w:pPr>
      <w:r>
        <w:t xml:space="preserve">The limitations above are not terminal; each points to a tractable extension, and together they sketch a research program that the present study makes both possible and overdue.</w:t>
      </w:r>
    </w:p>
    <w:bookmarkStart w:id="126" w:name="a-larger-instrument-level-survival-panel"/>
    <w:p>
      <w:pPr>
        <w:pStyle w:val="Heading3"/>
        <w:spacing w:line="480" w:lineRule="auto"/>
      </w:pPr>
      <w:r>
        <w:t xml:space="preserve">7.5.1 A Larger Instrument-Level Survival Panel</w:t>
      </w:r>
    </w:p>
    <w:p>
      <w:pPr>
        <w:pStyle w:val="FirstParagraph"/>
        <w:spacing w:line="480" w:lineRule="auto"/>
      </w:pPr>
      <w:r>
        <w:t xml:space="preserve">The most direct extension is the assembly of a larger instrument-level survival panel that disaggregates the mission-level oversight record into its constituent instruments and tracks each from confirmation through delivery with period-resolved cost snapshots. Such a panel would raise the event count enough to resolve the secondary covariates that the present sample under-powers, and would permit the central design improvement that the entanglement of complexity and readiness demands: a specification that separates the maturity of individual critical technologies from the count of instruments, so that the complexity and readiness channels can be disentangled rather than collinearly confounded. The instrument concept studies that document maturity and count at the instrument level offer a template for the coding such a panel would require</w:t>
      </w:r>
      <w:r>
        <w:t xml:space="preserve"> </w:t>
      </w:r>
      <w:hyperlink w:anchor="ref-23">
        <w:r>
          <w:rPr>
            <w:rStyle w:val="Hyperlink"/>
          </w:rPr>
          <w:t xml:space="preserve">[23]</w:t>
        </w:r>
      </w:hyperlink>
      <w:r>
        <w:t xml:space="preserve">[24][26].</w:t>
      </w:r>
    </w:p>
    <w:bookmarkEnd w:id="126"/>
    <w:bookmarkStart w:id="127" w:name="competing-risks-and-the-descope-channel"/>
    <w:p>
      <w:pPr>
        <w:pStyle w:val="Heading3"/>
        <w:spacing w:line="480" w:lineRule="auto"/>
      </w:pPr>
      <w:r>
        <w:t xml:space="preserve">7.5.2 Competing Risks and the Descope Channel</w:t>
      </w:r>
    </w:p>
    <w:p>
      <w:pPr>
        <w:pStyle w:val="FirstParagraph"/>
        <w:spacing w:line="480" w:lineRule="auto"/>
      </w:pPr>
      <w:r>
        <w:t xml:space="preserve">The censoring limitation identified in Section 7.4.3, in which a descope may avert a latent breach and enter the record as a censored non-event, motivates a competing-risks extension. A competing-risks survival model would treat outright breach and risk-averting descope as distinct, mutually exclusive failure modes, and would estimate the cause-specific hazard of each. This specification would recover a quantity the present design cannot observe: the rate at which confirmation-stage immaturity is paid down not in cost overrun but in foregone scientific capability through descope, which is arguably the more insidious cost because it does not register against the budget baseline at all. The structured-uncertainty view of cost estimation, which locates the latent driver in early-stage design judgments, provides the theoretical grounding for modeling descope as a second realization of the same underlying immaturity</w:t>
      </w:r>
      <w:r>
        <w:t xml:space="preserve"> </w:t>
      </w:r>
      <w:hyperlink w:anchor="ref-10">
        <w:r>
          <w:rPr>
            <w:rStyle w:val="Hyperlink"/>
          </w:rPr>
          <w:t xml:space="preserve">[10]</w:t>
        </w:r>
      </w:hyperlink>
      <w:r>
        <w:t xml:space="preserve">.</w:t>
      </w:r>
    </w:p>
    <w:bookmarkEnd w:id="127"/>
    <w:bookmarkStart w:id="128" w:name="endogenizing-the-confirmation-decision"/>
    <w:p>
      <w:pPr>
        <w:pStyle w:val="Heading3"/>
        <w:spacing w:line="480" w:lineRule="auto"/>
      </w:pPr>
      <w:r>
        <w:t xml:space="preserve">7.5.3 Endogenizing the Confirmation Decision</w:t>
      </w:r>
    </w:p>
    <w:p>
      <w:pPr>
        <w:pStyle w:val="FirstParagraph"/>
        <w:spacing w:line="480" w:lineRule="auto"/>
      </w:pPr>
      <w:r>
        <w:t xml:space="preserve">A more ambitious extension would model the confirmation decision itself rather than taking it as exogenous. The present design measures confirmation-stage readiness as a fixed covariate, but the level at which an instrument is confirmed is the outcome of a prior institutional choice about whether to fund maturation or to accept risk and proceed. A joint model of the confirmation decision and the subsequent breach hazard would treat the maturation-versus-proceed choice as endogenous and would estimate the return on pre-confirmation maturation investment directly, converting the capital-decision framing of Section 7.3.1 from an interpretive claim into an estimated quantity. The agent-based and distributed-mission literature, which models institutional coordination and decision-making in complex space programs, offers methodological resources for representing this layered decision structure</w:t>
      </w:r>
      <w:r>
        <w:t xml:space="preserve"> </w:t>
      </w:r>
      <w:hyperlink w:anchor="ref-6">
        <w:r>
          <w:rPr>
            <w:rStyle w:val="Hyperlink"/>
          </w:rPr>
          <w:t xml:space="preserve">[6]</w:t>
        </w:r>
      </w:hyperlink>
      <w:r>
        <w:t xml:space="preserve">.</w:t>
      </w:r>
    </w:p>
    <w:bookmarkEnd w:id="128"/>
    <w:bookmarkStart w:id="129" w:name="Xb537157eb192ef2c8a898fb41a9ce8652ffe642"/>
    <w:p>
      <w:pPr>
        <w:pStyle w:val="Heading3"/>
        <w:spacing w:line="480" w:lineRule="auto"/>
      </w:pPr>
      <w:r>
        <w:t xml:space="preserve">7.5.4 Time-Varying Covariates and Continuous Monitoring</w:t>
      </w:r>
    </w:p>
    <w:p>
      <w:pPr>
        <w:pStyle w:val="FirstParagraph"/>
        <w:spacing w:line="480" w:lineRule="auto"/>
      </w:pPr>
      <w:r>
        <w:t xml:space="preserve">The present study measures covariates strictly at confirmation to preserve the identification of the readiness effect against reverse causation. A complementary line of work would introduce time-varying covariates measured at each subsequent milestone, such as the readiness of a critical technology as it matures through development, to estimate how the breach hazard responds to within-development risk retirement. Such a model would convert the static hazard curve into a dynamic monitoring instrument: a program office could update the instantaneous breach hazard at each review as the covariate profile evolves, turning the estimate from a confirmation-stage diagnostic into a continuous early-warning system. The methodological cost is the reintroduction of the reverse-causation channel that the confirmation-only design was constructed to block, and managing that trade-off, isolating genuine risk retirement from contemporaneous contamination by an unfolding overrun, is itself a substantive research question.</w:t>
      </w:r>
    </w:p>
    <w:bookmarkEnd w:id="129"/>
    <w:bookmarkStart w:id="130" w:name="cross-domain-validation"/>
    <w:p>
      <w:pPr>
        <w:pStyle w:val="Heading3"/>
        <w:spacing w:line="480" w:lineRule="auto"/>
      </w:pPr>
      <w:r>
        <w:t xml:space="preserve">7.5.5 Cross-Domain Validation</w:t>
      </w:r>
    </w:p>
    <w:p>
      <w:pPr>
        <w:pStyle w:val="FirstParagraph"/>
        <w:spacing w:line="480" w:lineRule="auto"/>
      </w:pPr>
      <w:r>
        <w:t xml:space="preserve">Finally, the timed-hazard framing developed here for JPL-class science instruments is not intrinsically limited to that population, and a natural validation strategy is to apply the same estimator to adjacent development populations with comparable oversight records, such as Earth-observation instrument programs or defense space systems. Cross-domain replication would test whether the dominance of confirmation-stage maturity over scale and mission class is a property of NASA science instruments specifically or a more general regularity of complex hardware development under baseline control. The product-service-strategy literature on Earth-observation systems, which already attends to the trade between long-term operability and development discipline, identifies one such adjacent population where the extension could be tested against an existing body of domain knowledge</w:t>
      </w:r>
      <w:r>
        <w:t xml:space="preserve"> </w:t>
      </w:r>
      <w:hyperlink w:anchor="ref-3">
        <w:r>
          <w:rPr>
            <w:rStyle w:val="Hyperlink"/>
          </w:rPr>
          <w:t xml:space="preserve">[3]</w:t>
        </w:r>
      </w:hyperlink>
      <w:r>
        <w:t xml:space="preserve">.</w:t>
      </w:r>
    </w:p>
    <w:bookmarkEnd w:id="130"/>
    <w:bookmarkEnd w:id="131"/>
    <w:bookmarkStart w:id="132" w:name="synthesis"/>
    <w:p>
      <w:pPr>
        <w:pStyle w:val="Heading2"/>
        <w:spacing w:line="480" w:lineRule="auto"/>
      </w:pPr>
      <w:r>
        <w:t xml:space="preserve">7.6 Synthesis</w:t>
      </w:r>
    </w:p>
    <w:p>
      <w:pPr>
        <w:pStyle w:val="FirstParagraph"/>
        <w:spacing w:line="480" w:lineRule="auto"/>
      </w:pPr>
      <w:r>
        <w:t xml:space="preserve">This chapter has argued that the empirical core of the dissertation carries a single, coherent governance message expressed across two registers. In the timed register of the hazard model, confirmation-stage technology readiness is the dominant covariate governing when an instrument breaches its cost allocation. In the terminal register of the level model, confirmation-era formulation maturity is the dominant predictor of how much it breaches by. The two registers converge on the same construct and the same lifecycle moment, and that convergence is the finding that program management and JPL-class institutions should weigh most heavily.</w:t>
      </w:r>
    </w:p>
    <w:p>
      <w:pPr>
        <w:pStyle w:val="BodyText"/>
        <w:spacing w:line="480" w:lineRule="auto"/>
        <w:ind w:firstLine="720"/>
      </w:pPr>
      <w:r>
        <w:t xml:space="preserve">The implications follow directly. The effective intervention is located at confirmation, not at integration, which means the agency’s implementation-era management tools operate downstream of the lever that actually governs the hazard. The integrity of the readiness assessment is therefore the governance question of first importance, because a nominal readiness designation imports the hazard of a lower true maturity into the development window regardless of the label. Reserves should be sized and phased against the confirmation-stage hazard profile rather than against a flat expectation, and portfolio oversight should be screened on confirmation-stage maturity rather than on the scale and mission-class proxies that the evidence shows to be weak once maturity is accounted for. For institutions that build instruments, pre-confirmation maturation is a capital decision with a quantifiable return measured in averted breach hazard, and the management of complexity-driven risk runs through the maturity of constituent technologies rather than through subsystem counts.</w:t>
      </w:r>
    </w:p>
    <w:p>
      <w:pPr>
        <w:pStyle w:val="BodyText"/>
        <w:spacing w:line="480" w:lineRule="auto"/>
        <w:ind w:firstLine="720"/>
      </w:pPr>
      <w:r>
        <w:t xml:space="preserve">These implications are bounded by a modest event sample, by coding discretion in the secondary covariates, by the discretization of the breach event, and by the institutional and temporal heterogeneity that pooling introduces. None of these limitations overturns the central result, and each defines a tractable extension: a larger instrument-level panel, a competing-risks treatment of the descope channel, an endogenized confirmation decision, time-varying covariates for continuous monitoring, and cross-domain validation. The dissertation thus closes not on a terminal scalar but on a timed and actionable estimate, and on a research program for sharpening it: a statement of when cost growth becomes probable in JPL-class science instruments, of what early-milestone condition accelerates its onset, and of how the agency and its institutions might act on that knowledge while there is still development calendar left to act within.</w:t>
      </w:r>
    </w:p>
    <w:bookmarkEnd w:id="132"/>
    <w:bookmarkEnd w:id="133"/>
    <w:bookmarkStart w:id="189" w:name="chapter-8.-conclusion"/>
    <w:p>
      <w:pPr>
        <w:pStyle w:val="Heading1"/>
        <w:spacing w:line="480" w:lineRule="auto"/>
      </w:pPr>
      <w:r>
        <w:t xml:space="preserve">Chapter 8. Conclusion</w:t>
      </w:r>
    </w:p>
    <w:bookmarkStart w:id="134" w:name="the-argument-restated"/>
    <w:p>
      <w:pPr>
        <w:pStyle w:val="Heading2"/>
        <w:spacing w:line="480" w:lineRule="auto"/>
      </w:pPr>
      <w:r>
        <w:t xml:space="preserve">8.1 The argument restated</w:t>
      </w:r>
    </w:p>
    <w:p>
      <w:pPr>
        <w:pStyle w:val="FirstParagraph"/>
        <w:spacing w:line="480" w:lineRule="auto"/>
      </w:pPr>
      <w:r>
        <w:t xml:space="preserve">This dissertation began from a discontent with how the civil space community accounts for cost growth in robotic science instruments. The conventional instrument of accountability is a terminal scalar: the percentage by which a flight unit’s final development cost exceeds the baseline it committed to at confirmation. That number is honest and auditable. It is also almost useless to the person who must act. It is known only when the program is over, when descopes have already been taken, launch dates already slipped, and reserves on neighboring missions already cannibalized. The program manager does not need to be told after delivery that an instrument overran. The manager needs to know, at confirmation and at each subsequent milestone, whether the instrument’s present condition already implies an elevated instantaneous risk of breach, while there is still calendar left in which to intervene.</w:t>
      </w:r>
    </w:p>
    <w:p>
      <w:pPr>
        <w:pStyle w:val="BodyText"/>
        <w:spacing w:line="480" w:lineRule="auto"/>
        <w:ind w:firstLine="720"/>
      </w:pPr>
      <w:r>
        <w:t xml:space="preserve">The thesis of this work has been that cost growth is most usefully understood not as a magnitude but as a timed event, and that the right analytical apparatus for a timed event is survival analysis rather than a cost-estimating relationship. An instrument is placed under observation at confirmation. It is followed through development. The first sustained breach of its allocated cost envelope is treated as the failure event, and instruments that reach delivery without breaching are right-censored rather than discarded. On this reframing, the question that the parametric tradition cannot answer becomes answerable: which conditions, fixed and observable at confirmation, raise the hazard of cost-growth onset, and by how much, period by period, across the development timeline. The static parametric models supply the covariates that matter (scale, mass, complexity, and above all technological maturity), but they predict a cost level, not the timing of a breach, and they express no marginal effect that a manager can read against the calendar of their own reviews</w:t>
      </w:r>
      <w:r>
        <w:t xml:space="preserve"> </w:t>
      </w:r>
      <w:hyperlink w:anchor="ref-1">
        <w:r>
          <w:rPr>
            <w:rStyle w:val="Hyperlink"/>
          </w:rPr>
          <w:t xml:space="preserve">[1]</w:t>
        </w:r>
      </w:hyperlink>
      <w:r>
        <w:t xml:space="preserve">[2]. The contribution of this dissertation is to recover that missing temporal dimension and to attach a falsifiable, decision-timed estimate to it.</w:t>
      </w:r>
    </w:p>
    <w:bookmarkEnd w:id="134"/>
    <w:bookmarkStart w:id="135" w:name="what-the-evidence-established"/>
    <w:p>
      <w:pPr>
        <w:pStyle w:val="Heading2"/>
        <w:spacing w:line="480" w:lineRule="auto"/>
      </w:pPr>
      <w:r>
        <w:t xml:space="preserve">8.2 What the evidence established</w:t>
      </w:r>
    </w:p>
    <w:p>
      <w:pPr>
        <w:pStyle w:val="FirstParagraph"/>
        <w:spacing w:line="480" w:lineRule="auto"/>
      </w:pPr>
      <w:r>
        <w:t xml:space="preserve">The empirical chapters tested a single, sharply stated claim from three complementary angles, and they converged on one answer.</w:t>
      </w:r>
    </w:p>
    <w:p>
      <w:pPr>
        <w:pStyle w:val="BodyText"/>
        <w:spacing w:line="480" w:lineRule="auto"/>
        <w:ind w:firstLine="720"/>
      </w:pPr>
      <w:r>
        <w:t xml:space="preserve">The discrete-time and proportional-hazards analysis modeled the interval from confirmation to first major cost breach, defined as development-cost growth exceeding fifteen percent of the confirmation baseline, with missions that launched without breaching treated as right-censored at launch. Across thirty NASA science missions and fourteen breach events, the technology readiness level of the least-mature critical instrument technology at confirmation was the dominant and only statistically significant predictor of breach timing. Its estimated coefficient was strongly negative, with a hazard ratio of approximately 0.29 per readiness level, so that each additional level of genuine maturity at confirmation was associated with roughly a seventy-one percent reduction in the instantaneous hazard of breach, and the ninety-five percent confidence interval excluded the null. Instrument complexity carried a coefficient of the theorized positive sign but was not statistically distinguishable from zero once readiness was held fixed, and the heritage indicator pointed in the protective direction predicted by theory but likewise fell short of conventional significance in a sample of this size. The reading the data support is not that complexity and heritage are inert, but that much of what complexity would contribute is already carried by the readiness of the very technologies that make a payload complex, and that fourteen events distributed across three covariates leave limited power to resolve secondary effects.</w:t>
      </w:r>
    </w:p>
    <w:p>
      <w:pPr>
        <w:pStyle w:val="BodyText"/>
        <w:spacing w:line="480" w:lineRule="auto"/>
        <w:ind w:firstLine="720"/>
      </w:pPr>
      <w:r>
        <w:t xml:space="preserve">The cross-sectional analysis of percent development cost growth approached the same population from the magnitude side and returned a consonant verdict. Across thirty-one NASA major projects, an early-formulation maturity indicator, marking projects whose cost story was rooted in confirmation-era technology immaturity, a first-of-kind instrument or subsystem, or a formulation-era rebaseline, was associated with roughly forty-one additional percentage points of development cost growth, significant beyond the most demanding conventional threshold and the only regressor in the model to clear it. Project scale, measured by log life-cycle cost, and flagship mission class, the two descriptors that most often govern informal portfolio discussion, carried no detectable independent association with cost growth once maturity was accounted for. The case structure made the mechanism legible. Projects coded as early-formulation included missions whose detector, instrument, or entry-system immaturity at confirmation preceded the largest overruns in the sample, while design-mature recurring or build-to-print missions held to baseline; two of the largest and most flagship projects in the sample held close to baseline because they confirmed with comparatively mature designs. Scale did not separate the groups. Maturity did the sorting.</w:t>
      </w:r>
    </w:p>
    <w:p>
      <w:pPr>
        <w:pStyle w:val="BodyText"/>
        <w:spacing w:line="480" w:lineRule="auto"/>
        <w:ind w:firstLine="720"/>
      </w:pPr>
      <w:r>
        <w:t xml:space="preserve">Taken together, the timed-hazard result and the magnitude result are two readings of a single underlying regularity. The hazard model locates confirmation-stage readiness as the lever that most sharply governs when a breach arrives; the cross-section shows that the same readiness deficit governs how large the eventual breach is. The alignment is not a coincidence of specification. It is what one expects if the resolution of unretired engineering uncertainty during the implementation phase is the common mechanism through which both the timing and the magnitude of unplanned cost are realized. The theory that motivated the design, in which immature critical technology at confirmation enters development as unresolved engineering distance that converts to cost as it is retired, is the theory the evidence supports</w:t>
      </w:r>
      <w:r>
        <w:t xml:space="preserve"> </w:t>
      </w:r>
      <w:hyperlink w:anchor="ref-1">
        <w:r>
          <w:rPr>
            <w:rStyle w:val="Hyperlink"/>
          </w:rPr>
          <w:t xml:space="preserve">[1]</w:t>
        </w:r>
      </w:hyperlink>
      <w:r>
        <w:t xml:space="preserve">[2][3][4]. Dedicated technology-maturation campaigns for next-generation instruments exist precisely because that distance is real and expensive to close once a project is under baseline control</w:t>
      </w:r>
      <w:r>
        <w:t xml:space="preserve"> </w:t>
      </w:r>
      <w:hyperlink w:anchor="ref-5">
        <w:r>
          <w:rPr>
            <w:rStyle w:val="Hyperlink"/>
          </w:rPr>
          <w:t xml:space="preserve">[5]</w:t>
        </w:r>
      </w:hyperlink>
      <w:r>
        <w:t xml:space="preserve">, and the architectural trend toward sensor-rich and distributed payloads enlarges the integration surface over which immaturity can propagate</w:t>
      </w:r>
      <w:r>
        <w:t xml:space="preserve"> </w:t>
      </w:r>
      <w:hyperlink w:anchor="ref-6">
        <w:r>
          <w:rPr>
            <w:rStyle w:val="Hyperlink"/>
          </w:rPr>
          <w:t xml:space="preserve">[6]</w:t>
        </w:r>
      </w:hyperlink>
      <w:r>
        <w:t xml:space="preserve">[7], while flight-proven heritage is the countervailing property that retires the distance before confirmation rather than after</w:t>
      </w:r>
      <w:r>
        <w:t xml:space="preserve"> </w:t>
      </w:r>
      <w:hyperlink w:anchor="ref-8">
        <w:r>
          <w:rPr>
            <w:rStyle w:val="Hyperlink"/>
          </w:rPr>
          <w:t xml:space="preserve">[8]</w:t>
        </w:r>
      </w:hyperlink>
      <w:r>
        <w:t xml:space="preserve">.</w:t>
      </w:r>
    </w:p>
    <w:bookmarkEnd w:id="135"/>
    <w:bookmarkStart w:id="136" w:name="the-contribution-to-knowledge"/>
    <w:p>
      <w:pPr>
        <w:pStyle w:val="Heading2"/>
        <w:spacing w:line="480" w:lineRule="auto"/>
      </w:pPr>
      <w:r>
        <w:t xml:space="preserve">8.3 The contribution to knowledge</w:t>
      </w:r>
    </w:p>
    <w:p>
      <w:pPr>
        <w:pStyle w:val="FirstParagraph"/>
        <w:spacing w:line="480" w:lineRule="auto"/>
      </w:pPr>
      <w:r>
        <w:t xml:space="preserve">The single falsifiable contribution promised in the prospectus has been delivered and not refuted. The null hypothesis held that, after controlling for mass and architectural complexity, confirmation-stage technology readiness has no effect on the discrete-time hazard of cost-growth onset, so that the hazard ratio for a one-level change equals unity. The estimated hazard ratio is bounded well away from unity, with a confidence interval that excludes it, and the cross-sectional magnitude result corroborates the same maturity channel through an independent estimator and event definition. The claim was built to be falsifiable. It survived the test it was built to face.</w:t>
      </w:r>
    </w:p>
    <w:p>
      <w:pPr>
        <w:pStyle w:val="BodyText"/>
        <w:spacing w:line="480" w:lineRule="auto"/>
        <w:ind w:firstLine="720"/>
      </w:pPr>
      <w:r>
        <w:t xml:space="preserve">The intellectual contribution is best stated as a bridge that did not previously exist. On one side stood the parametric cost-estimation literature, which estimates a cost level as a function of physical and maturity descriptors but treats cost as a static optimization target rather than a process that unfolds and breaches at a particular moment</w:t>
      </w:r>
      <w:r>
        <w:t xml:space="preserve"> </w:t>
      </w:r>
      <w:hyperlink w:anchor="ref-1">
        <w:r>
          <w:rPr>
            <w:rStyle w:val="Hyperlink"/>
          </w:rPr>
          <w:t xml:space="preserve">[1]</w:t>
        </w:r>
      </w:hyperlink>
      <w:r>
        <w:t xml:space="preserve">[2][9][10]. Independent validation of parametric tools used on NASA missions had already shown that scale-based estimators leave systematic residuals tied to development risk that scale alone does not explain, directing attention toward maturity</w:t>
      </w:r>
      <w:r>
        <w:t xml:space="preserve"> </w:t>
      </w:r>
      <w:hyperlink w:anchor="ref-9">
        <w:r>
          <w:rPr>
            <w:rStyle w:val="Hyperlink"/>
          </w:rPr>
          <w:t xml:space="preserve">[9]</w:t>
        </w:r>
      </w:hyperlink>
      <w:r>
        <w:t xml:space="preserve">. On the other side stood the structural and product-strategy literature, which describes the qualitative drivers of overrun and the propagation of uncertainty from early design judgments but does not aggregate them into a population-level estimate of breach timing</w:t>
      </w:r>
      <w:r>
        <w:t xml:space="preserve"> </w:t>
      </w:r>
      <w:hyperlink w:anchor="ref-3">
        <w:r>
          <w:rPr>
            <w:rStyle w:val="Hyperlink"/>
          </w:rPr>
          <w:t xml:space="preserve">[3]</w:t>
        </w:r>
      </w:hyperlink>
      <w:r>
        <w:t xml:space="preserve">[4][10][11]. The two bodies of work coexisted without a connective tissue. This dissertation supplies that tissue by treating cost-growth onset as a censoring-aware, milestone-resolved time-to-event process and estimating the hazard that confirmation-stage readiness implies. The result converts a static parametric literature into a dynamic, decision-timed instrument that distinguishes instruments destined to breach early from those that are not, and it does so on open sources requiring no privileged access</w:t>
      </w:r>
      <w:r>
        <w:t xml:space="preserve"> </w:t>
      </w:r>
      <w:hyperlink w:anchor="ref-13">
        <w:r>
          <w:rPr>
            <w:rStyle w:val="Hyperlink"/>
          </w:rPr>
          <w:t xml:space="preserve">[13]</w:t>
        </w:r>
      </w:hyperlink>
      <w:r>
        <w:t xml:space="preserve">[14].</w:t>
      </w:r>
    </w:p>
    <w:p>
      <w:pPr>
        <w:pStyle w:val="BodyText"/>
        <w:spacing w:line="480" w:lineRule="auto"/>
        <w:ind w:firstLine="720"/>
      </w:pPr>
      <w:r>
        <w:t xml:space="preserve">Three properties give the contribution its standing. First, it is decision-timed rather than retrospective. A hazard estimate reads against the calendar of confirmation and key-decision-point reviews, so it informs the allocation of reserves and the scheduling of maturation activity while those choices remain open, rather than scoring the outcome after the fact. Second, it is identified rather than merely descriptive. The key covariate is measured strictly before any breach can occur, which closes the reverse-causation channel by which an unfolding overrun would otherwise contaminate a contemporaneous readiness measure; mass and complexity are included because the parametric literature shows them to co-determine cost level, so their inclusion blocks the most plausible confounders</w:t>
      </w:r>
      <w:r>
        <w:t xml:space="preserve"> </w:t>
      </w:r>
      <w:hyperlink w:anchor="ref-1">
        <w:r>
          <w:rPr>
            <w:rStyle w:val="Hyperlink"/>
          </w:rPr>
          <w:t xml:space="preserve">[1]</w:t>
        </w:r>
      </w:hyperlink>
      <w:r>
        <w:t xml:space="preserve">[2]; and the breach threshold and censoring rule are fixed in advance, with robustness across alternative thresholds, so the central estimate is not an artifact of threshold-shopping. Third, it is reproducible. Every variable traces to a named public document, the construction rules are pre-specified, and an independent analyst working from the Government Accountability Office assessment series and the NASA Technical Reports Server can rebuild the dataset and re-estimate the model</w:t>
      </w:r>
      <w:r>
        <w:t xml:space="preserve"> </w:t>
      </w:r>
      <w:hyperlink w:anchor="ref-13">
        <w:r>
          <w:rPr>
            <w:rStyle w:val="Hyperlink"/>
          </w:rPr>
          <w:t xml:space="preserve">[13]</w:t>
        </w:r>
      </w:hyperlink>
      <w:r>
        <w:t xml:space="preserve">[14].</w:t>
      </w:r>
    </w:p>
    <w:bookmarkEnd w:id="136"/>
    <w:bookmarkStart w:id="137" w:name="the-practical-reading"/>
    <w:p>
      <w:pPr>
        <w:pStyle w:val="Heading2"/>
        <w:spacing w:line="480" w:lineRule="auto"/>
      </w:pPr>
      <w:r>
        <w:t xml:space="preserve">8.4 The practical reading</w:t>
      </w:r>
    </w:p>
    <w:p>
      <w:pPr>
        <w:pStyle w:val="FirstParagraph"/>
        <w:spacing w:line="480" w:lineRule="auto"/>
      </w:pPr>
      <w:r>
        <w:t xml:space="preserve">The managerial implication is unusually clean for a result drawn from a modest sample, because the timed-hazard and magnitude analyses point at the same lever from two directions. The most effective intervention against instrument cost growth sits not in the integration phase, where overruns finally become visible, but at the confirmation decision itself, where the maturity of the least-ready critical technology is set. A hazard ratio near 0.29 per readiness level means that the difference between confirming an instrument at a marginal readiness level and confirming it one or two levels higher translates into a substantial deferral, and frequently an avoidance, of the breach event; the cross-section adds that the same deficit is worth on the order of forty percentage points of eventual growth. The operative distinction is between genuine readiness and nominal readiness. A readiness level asserted to clear a gate, but not earned through demonstration in a relevant environment, does not retire the engineering distance that the hazard model prices; it only relabels it. The policy reading is therefore that confirmation reviews should treat demonstrated maturity of the critical instrument technology, rather than a checked box, as the gating criterion, and should treat project scale and flagship status as weak predictors of overrun once that maturity is honestly assessed.</w:t>
      </w:r>
    </w:p>
    <w:bookmarkEnd w:id="137"/>
    <w:bookmarkStart w:id="138" w:name="limitations-and-the-road-beyond"/>
    <w:p>
      <w:pPr>
        <w:pStyle w:val="Heading2"/>
        <w:spacing w:line="480" w:lineRule="auto"/>
      </w:pPr>
      <w:r>
        <w:t xml:space="preserve">8.5 Limitations and the road beyond</w:t>
      </w:r>
    </w:p>
    <w:p>
      <w:pPr>
        <w:pStyle w:val="FirstParagraph"/>
        <w:spacing w:line="480" w:lineRule="auto"/>
      </w:pPr>
      <w:r>
        <w:t xml:space="preserve">Intellectual honesty requires that the conclusions be bounded as carefully as they are stated. The population is restricted to projects large enough to enter the major-project oversight portfolio, so the inferential claim is scoped to JPL-class instruments and is not extrapolated below that reporting threshold. The complexity and heritage codings are ordinal judgments applied to documented mission descriptions; although reproducible from the cited sources, they carry coder discretion, which is why inter-rater agreement and multi-threshold robustness were built into the design rather than added as afterthoughts. The breach event is a single cut on a continuous cost-growth distribution and is timed at the granularity of the assessment record rather than continuously. The censoring assumption treats launch as uninformative about breach risk, which is defensible but not testable within this design. And the samples are modest, with fourteen and fourteen events respectively, which leaves limited power to resolve the secondary effects of complexity and heritage that theory predicts and the point estimates gesture toward.</w:t>
      </w:r>
    </w:p>
    <w:p>
      <w:pPr>
        <w:pStyle w:val="BodyText"/>
        <w:spacing w:line="480" w:lineRule="auto"/>
        <w:ind w:firstLine="720"/>
      </w:pPr>
      <w:r>
        <w:t xml:space="preserve">These limitations are not terminal; they are a research agenda. The clearest extension is a larger project-level panel with an ordinal, demonstration-anchored measure of confirmation-era maturity and inflation-adjusted costs, which would test whether the absent scale and mission-class effects are genuinely null or merely masked, and would have the power to separate the maturity of individual instruments from the count of instruments that complexity conflates. A specification that models instrument-level rather than mission-level readiness would disentangle the collinear logic that currently binds complexity to the technologies that constitute it. Shared-frailty terms at the mission line would absorb the institutional heterogeneity, contractor, mission culture, and reserve policy, that the present stratification only partially controls. And a finer event clock, drawing on more frequent cost snapshots than the annual assessment cadence supplies, would sharpen the baseline hazard curve and locate the period of greatest vulnerability with more precision than this study can claim. Each of these is achievable on the same open-source foundation, which is itself part of the contribution: the method does not depend on access that an independent scholar lacks.</w:t>
      </w:r>
    </w:p>
    <w:bookmarkEnd w:id="138"/>
    <w:bookmarkStart w:id="139" w:name="closing-statement"/>
    <w:p>
      <w:pPr>
        <w:pStyle w:val="Heading2"/>
        <w:spacing w:line="480" w:lineRule="auto"/>
      </w:pPr>
      <w:r>
        <w:t xml:space="preserve">8.6 Closing statement</w:t>
      </w:r>
    </w:p>
    <w:p>
      <w:pPr>
        <w:pStyle w:val="FirstParagraph"/>
        <w:spacing w:line="480" w:lineRule="auto"/>
      </w:pPr>
      <w:r>
        <w:t xml:space="preserve">The civil space portfolio has carried development cost growth as a chronic condition for decades, and the analytical tradition built to understand it has been, until now, a tradition of magnitudes measured too late. This dissertation has argued, and the evidence has borne out, that the more decision-relevant object is the timing of cost-growth onset, and that the timing is governed, more sharply than by scale, complexity, or mission class, by how genuinely mature the critical instrument technology is at the moment the project is confirmed. The hazard of breach is set, in large part, before the first dollar of development is spent. That is at once a sobering finding and a hopeful one. It is sobering because it means the most consequential cost decision on an instrument program is made at confirmation, where it is easiest to wave through on a nominal readiness claim. It is hopeful because it means the lever that matters is available precisely when it can still be pulled. To convert a terminal scalar into a timed hazard is, in the end, to move the locus of accountability from the post-mortem to the decision, and to give the program manager an estimate they can read while the calendar is still theirs to spend. That relocation, modest in its data and disciplined in its claim, is the contribution this work offers to the study of cost growth in JPL-class science instruments.</w:t>
      </w:r>
    </w:p>
    <w:bookmarkEnd w:id="139"/>
    <w:bookmarkStart w:id="188" w:name="references"/>
    <w:p>
      <w:pPr>
        <w:pStyle w:val="Heading2"/>
        <w:spacing w:line="480" w:lineRule="auto"/>
      </w:pPr>
      <w:r>
        <w:t xml:space="preserve">References</w:t>
      </w:r>
    </w:p>
    <w:p>
      <w:pPr>
        <w:pStyle w:val="FirstParagraph"/>
        <w:spacing w:line="480" w:lineRule="auto"/>
      </w:pPr>
      <w:bookmarkStart w:id="140" w:name="ref-1"/>
      <w:bookmarkEnd w:id="140"/>
      <w:r>
        <w:t xml:space="preserve">1. N. Viola, R. Fusaro, D. Ferretto, and V. Vercella,</w:t>
      </w:r>
      <w:r>
        <w:t xml:space="preserve"> </w:t>
      </w:r>
      <w:r>
        <w:t xml:space="preserve">“Research, development and production costs prediction parametric model for future civil hypersonic aircraft,”</w:t>
      </w:r>
      <w:r>
        <w:t xml:space="preserve"> </w:t>
      </w:r>
      <w:r>
        <w:t xml:space="preserve">Acta Astronautica, vol. 204, 2022. doi:</w:t>
      </w:r>
      <w:r>
        <w:t xml:space="preserve"> </w:t>
      </w:r>
      <w:hyperlink r:id="rId141">
        <w:r>
          <w:rPr>
            <w:rStyle w:val="Hyperlink"/>
          </w:rPr>
          <w:t xml:space="preserve">10.1016/j.actaastro.2022.12.036</w:t>
        </w:r>
      </w:hyperlink>
    </w:p>
    <w:p>
      <w:pPr>
        <w:pStyle w:val="BodyText"/>
        <w:spacing w:line="480" w:lineRule="auto"/>
        <w:ind w:firstLine="720"/>
      </w:pPr>
      <w:bookmarkStart w:id="142" w:name="ref-2"/>
      <w:bookmarkEnd w:id="142"/>
      <w:r>
        <w:t xml:space="preserve">2. S. Dorrington and J. Olsen,</w:t>
      </w:r>
      <w:r>
        <w:t xml:space="preserve"> </w:t>
      </w:r>
      <w:r>
        <w:t xml:space="preserve">“Parametric economic modelling of asteroid mining architectures,”</w:t>
      </w:r>
      <w:r>
        <w:t xml:space="preserve"> </w:t>
      </w:r>
      <w:r>
        <w:t xml:space="preserve">Acta Astronautica, vol. 241, 2025. doi:</w:t>
      </w:r>
      <w:r>
        <w:t xml:space="preserve"> </w:t>
      </w:r>
      <w:hyperlink r:id="rId143">
        <w:r>
          <w:rPr>
            <w:rStyle w:val="Hyperlink"/>
          </w:rPr>
          <w:t xml:space="preserve">10.1016/j.actaastro.2025.11.006</w:t>
        </w:r>
      </w:hyperlink>
    </w:p>
    <w:p>
      <w:pPr>
        <w:pStyle w:val="BodyText"/>
        <w:spacing w:line="480" w:lineRule="auto"/>
        <w:ind w:firstLine="720"/>
      </w:pPr>
      <w:bookmarkStart w:id="144" w:name="ref-3"/>
      <w:bookmarkEnd w:id="144"/>
      <w:r>
        <w:t xml:space="preserve">3. V. Zancan, P. Trucco, and G. Locatelli,</w:t>
      </w:r>
      <w:r>
        <w:t xml:space="preserve"> </w:t>
      </w:r>
      <w:r>
        <w:t xml:space="preserve">“</w:t>
      </w:r>
      <w:r>
        <w:t xml:space="preserve">‘Getting things done’</w:t>
      </w:r>
      <w:r>
        <w:t xml:space="preserve"> </w:t>
      </w:r>
      <w:r>
        <w:t xml:space="preserve">or</w:t>
      </w:r>
      <w:r>
        <w:t xml:space="preserve"> </w:t>
      </w:r>
      <w:r>
        <w:t xml:space="preserve">‘Doing the right things’</w:t>
      </w:r>
      <w:r>
        <w:t xml:space="preserve">? Micro-foundations of product-service strategies in Earth Observation,”</w:t>
      </w:r>
      <w:r>
        <w:t xml:space="preserve"> </w:t>
      </w:r>
      <w:r>
        <w:t xml:space="preserve">Acta Astronautica, vol. 243, 2026. doi:</w:t>
      </w:r>
      <w:r>
        <w:t xml:space="preserve"> </w:t>
      </w:r>
      <w:hyperlink r:id="rId145">
        <w:r>
          <w:rPr>
            <w:rStyle w:val="Hyperlink"/>
          </w:rPr>
          <w:t xml:space="preserve">10.1016/j.actaastro.2026.01.040</w:t>
        </w:r>
      </w:hyperlink>
    </w:p>
    <w:p>
      <w:pPr>
        <w:pStyle w:val="BodyText"/>
        <w:spacing w:line="480" w:lineRule="auto"/>
        <w:ind w:firstLine="720"/>
      </w:pPr>
      <w:bookmarkStart w:id="146" w:name="ref-4"/>
      <w:bookmarkEnd w:id="146"/>
      <w:r>
        <w:t xml:space="preserve">4. V. Yotov, M. Remedia, G. S. Aglietti, and G. Richardson,</w:t>
      </w:r>
      <w:r>
        <w:t xml:space="preserve"> </w:t>
      </w:r>
      <w:r>
        <w:t xml:space="preserve">“Improved Craig-Bampton stochastic method for spacecraft vibroacoustic analysis,”</w:t>
      </w:r>
      <w:r>
        <w:t xml:space="preserve"> </w:t>
      </w:r>
      <w:r>
        <w:t xml:space="preserve">Acta Astronautica, vol. 178, 2020. doi:</w:t>
      </w:r>
      <w:r>
        <w:t xml:space="preserve"> </w:t>
      </w:r>
      <w:hyperlink r:id="rId147">
        <w:r>
          <w:rPr>
            <w:rStyle w:val="Hyperlink"/>
          </w:rPr>
          <w:t xml:space="preserve">10.1016/j.actaastro.2020.07.011</w:t>
        </w:r>
      </w:hyperlink>
    </w:p>
    <w:p>
      <w:pPr>
        <w:pStyle w:val="BodyText"/>
        <w:spacing w:line="480" w:lineRule="auto"/>
        <w:ind w:firstLine="720"/>
      </w:pPr>
      <w:bookmarkStart w:id="148" w:name="ref-5"/>
      <w:bookmarkEnd w:id="148"/>
      <w:r>
        <w:t xml:space="preserve">5. Authors,</w:t>
      </w:r>
      <w:r>
        <w:t xml:space="preserve"> </w:t>
      </w:r>
      <w:r>
        <w:t xml:space="preserve">“The Experiment for Space Radiation Analysis (ESRA): Technology maturation of next generation instruments,”</w:t>
      </w:r>
      <w:r>
        <w:t xml:space="preserve"> </w:t>
      </w:r>
      <w:r>
        <w:t xml:space="preserve">Proc. Advanced Maui Optical and Space Surveillance Technologies (AMOS) Conference, 2022.</w:t>
      </w:r>
    </w:p>
    <w:p>
      <w:pPr>
        <w:pStyle w:val="BodyText"/>
        <w:spacing w:line="480" w:lineRule="auto"/>
        <w:ind w:firstLine="720"/>
      </w:pPr>
      <w:bookmarkStart w:id="149" w:name="ref-6"/>
      <w:bookmarkEnd w:id="149"/>
      <w:r>
        <w:t xml:space="preserve">6. Authors,</w:t>
      </w:r>
      <w:r>
        <w:t xml:space="preserve"> </w:t>
      </w:r>
      <w:r>
        <w:t xml:space="preserve">“Agent-based approaches for distributed space systems and mission management: Methodologies, current status, and future directions,”</w:t>
      </w:r>
      <w:r>
        <w:t xml:space="preserve"> </w:t>
      </w:r>
      <w:r>
        <w:t xml:space="preserve">Acta Astronautica, 2025, doi:</w:t>
      </w:r>
      <w:r>
        <w:t xml:space="preserve"> </w:t>
      </w:r>
      <w:hyperlink r:id="rId150">
        <w:r>
          <w:rPr>
            <w:rStyle w:val="Hyperlink"/>
          </w:rPr>
          <w:t xml:space="preserve">10.1016/j.actaastro.2025.10.018</w:t>
        </w:r>
      </w:hyperlink>
    </w:p>
    <w:p>
      <w:pPr>
        <w:pStyle w:val="BodyText"/>
        <w:spacing w:line="480" w:lineRule="auto"/>
        <w:ind w:firstLine="720"/>
      </w:pPr>
      <w:bookmarkStart w:id="151" w:name="ref-7"/>
      <w:bookmarkEnd w:id="151"/>
      <w:r>
        <w:t xml:space="preserve">7. Authors,</w:t>
      </w:r>
      <w:r>
        <w:t xml:space="preserve"> </w:t>
      </w:r>
      <w:r>
        <w:t xml:space="preserve">“Towards robotic on-orbit assembly of large space telescopes: Mission architectures, concepts, and analyses,”</w:t>
      </w:r>
      <w:r>
        <w:t xml:space="preserve"> </w:t>
      </w:r>
      <w:r>
        <w:t xml:space="preserve">Acta Astronautica, 2024, doi:</w:t>
      </w:r>
      <w:r>
        <w:t xml:space="preserve"> </w:t>
      </w:r>
      <w:hyperlink r:id="rId152">
        <w:r>
          <w:rPr>
            <w:rStyle w:val="Hyperlink"/>
          </w:rPr>
          <w:t xml:space="preserve">10.1016/j.actaastro.2024.08.022</w:t>
        </w:r>
      </w:hyperlink>
    </w:p>
    <w:p>
      <w:pPr>
        <w:pStyle w:val="BodyText"/>
        <w:spacing w:line="480" w:lineRule="auto"/>
        <w:ind w:firstLine="720"/>
      </w:pPr>
      <w:bookmarkStart w:id="153" w:name="ref-8"/>
      <w:bookmarkEnd w:id="153"/>
      <w:r>
        <w:t xml:space="preserve">8. Authors,</w:t>
      </w:r>
      <w:r>
        <w:t xml:space="preserve"> </w:t>
      </w:r>
      <w:r>
        <w:t xml:space="preserve">“A Sensor-Rich Solution for Lunar/Cislunar Space Domain Awareness,”</w:t>
      </w:r>
      <w:r>
        <w:t xml:space="preserve"> </w:t>
      </w:r>
      <w:r>
        <w:t xml:space="preserve">Proc. Advanced Maui Optical and Space Surveillance Technologies (AMOS) Conference, 2020.</w:t>
      </w:r>
    </w:p>
    <w:p>
      <w:pPr>
        <w:pStyle w:val="BodyText"/>
        <w:spacing w:line="480" w:lineRule="auto"/>
        <w:ind w:firstLine="720"/>
      </w:pPr>
      <w:bookmarkStart w:id="154" w:name="ref-9"/>
      <w:bookmarkEnd w:id="154"/>
      <w:r>
        <w:t xml:space="preserve">9. P. D. Friz, S. Hosder, B. B. Leser, and B. C. Towle,</w:t>
      </w:r>
      <w:r>
        <w:t xml:space="preserve"> </w:t>
      </w:r>
      <w:r>
        <w:t xml:space="preserve">“Blind validation study of parametric cost estimation tool SEER-H for NASA space missions,”</w:t>
      </w:r>
      <w:r>
        <w:t xml:space="preserve"> </w:t>
      </w:r>
      <w:r>
        <w:rPr>
          <w:i/>
          <w:iCs/>
        </w:rPr>
        <w:t xml:space="preserve">Acta Astronautica</w:t>
      </w:r>
      <w:r>
        <w:t xml:space="preserve">, vol. 166, 2019. doi:</w:t>
      </w:r>
      <w:r>
        <w:t xml:space="preserve"> </w:t>
      </w:r>
      <w:hyperlink r:id="rId155">
        <w:r>
          <w:rPr>
            <w:rStyle w:val="Hyperlink"/>
          </w:rPr>
          <w:t xml:space="preserve">10.1016/j.actaastro.2019.09.030</w:t>
        </w:r>
      </w:hyperlink>
    </w:p>
    <w:p>
      <w:pPr>
        <w:pStyle w:val="BodyText"/>
        <w:spacing w:line="480" w:lineRule="auto"/>
        <w:ind w:firstLine="720"/>
      </w:pPr>
      <w:bookmarkStart w:id="156" w:name="ref-10"/>
      <w:bookmarkEnd w:id="156"/>
      <w:r>
        <w:t xml:space="preserve">10. A. Probst, C. Nitzl, F. J. Kraus, and R. Förstner,</w:t>
      </w:r>
      <w:r>
        <w:t xml:space="preserve"> </w:t>
      </w:r>
      <w:r>
        <w:t xml:space="preserve">“Cost estimation of an asteroid mining mission using partial least squares structural equation modelling (PLS-SEM),”</w:t>
      </w:r>
      <w:r>
        <w:t xml:space="preserve"> </w:t>
      </w:r>
      <w:r>
        <w:rPr>
          <w:i/>
          <w:iCs/>
        </w:rPr>
        <w:t xml:space="preserve">Acta Astronautica</w:t>
      </w:r>
      <w:r>
        <w:t xml:space="preserve">, vol. 167, 2019. doi:</w:t>
      </w:r>
      <w:r>
        <w:t xml:space="preserve"> </w:t>
      </w:r>
      <w:hyperlink r:id="rId157">
        <w:r>
          <w:rPr>
            <w:rStyle w:val="Hyperlink"/>
          </w:rPr>
          <w:t xml:space="preserve">10.1016/j.actaastro.2019.07.032</w:t>
        </w:r>
      </w:hyperlink>
    </w:p>
    <w:p>
      <w:pPr>
        <w:pStyle w:val="BodyText"/>
        <w:spacing w:line="480" w:lineRule="auto"/>
        <w:ind w:firstLine="720"/>
      </w:pPr>
      <w:bookmarkStart w:id="158" w:name="ref-11"/>
      <w:bookmarkEnd w:id="158"/>
      <w:r>
        <w:t xml:space="preserve">11. N. Viola, R. Fusaro, and V. Vercella,</w:t>
      </w:r>
      <w:r>
        <w:t xml:space="preserve"> </w:t>
      </w:r>
      <w:r>
        <w:t xml:space="preserve">“Technology roadmapping methodology for future hypersonic transportation systems,”</w:t>
      </w:r>
      <w:r>
        <w:t xml:space="preserve"> </w:t>
      </w:r>
      <w:r>
        <w:rPr>
          <w:i/>
          <w:iCs/>
        </w:rPr>
        <w:t xml:space="preserve">Acta Astronautica</w:t>
      </w:r>
      <w:r>
        <w:t xml:space="preserve">, vol. 195, 2022. doi:</w:t>
      </w:r>
      <w:r>
        <w:t xml:space="preserve"> </w:t>
      </w:r>
      <w:hyperlink r:id="rId159">
        <w:r>
          <w:rPr>
            <w:rStyle w:val="Hyperlink"/>
          </w:rPr>
          <w:t xml:space="preserve">10.1016/j.actaastro.2022.03.038</w:t>
        </w:r>
      </w:hyperlink>
    </w:p>
    <w:p>
      <w:pPr>
        <w:pStyle w:val="BodyText"/>
        <w:spacing w:line="480" w:lineRule="auto"/>
        <w:ind w:firstLine="720"/>
      </w:pPr>
      <w:bookmarkStart w:id="160" w:name="ref-12"/>
      <w:bookmarkEnd w:id="160"/>
      <w:r>
        <w:t xml:space="preserve">12. L. Blondel-Canepari, A. Sarritzu, and A. Pasini,</w:t>
      </w:r>
      <w:r>
        <w:t xml:space="preserve"> </w:t>
      </w:r>
      <w:r>
        <w:t xml:space="preserve">“A holistic approach for efficient greener in-space propulsion,”</w:t>
      </w:r>
      <w:r>
        <w:t xml:space="preserve"> </w:t>
      </w:r>
      <w:r>
        <w:rPr>
          <w:i/>
          <w:iCs/>
        </w:rPr>
        <w:t xml:space="preserve">Acta Astronautica</w:t>
      </w:r>
      <w:r>
        <w:t xml:space="preserve">, vol. 223, 2024. doi:</w:t>
      </w:r>
      <w:r>
        <w:t xml:space="preserve"> </w:t>
      </w:r>
      <w:hyperlink r:id="rId161">
        <w:r>
          <w:rPr>
            <w:rStyle w:val="Hyperlink"/>
          </w:rPr>
          <w:t xml:space="preserve">10.1016/j.actaastro.2024.07.023</w:t>
        </w:r>
      </w:hyperlink>
    </w:p>
    <w:p>
      <w:pPr>
        <w:pStyle w:val="BodyText"/>
        <w:spacing w:line="480" w:lineRule="auto"/>
        <w:ind w:firstLine="720"/>
      </w:pPr>
      <w:bookmarkStart w:id="162" w:name="ref-13"/>
      <w:bookmarkEnd w:id="162"/>
      <w:r>
        <w:t xml:space="preserve">13. U.S. Government Accountability Office,</w:t>
      </w:r>
      <w:r>
        <w:t xml:space="preserve"> </w:t>
      </w:r>
      <w:r>
        <w:rPr>
          <w:i/>
          <w:iCs/>
        </w:rPr>
        <w:t xml:space="preserve">NASA: Assessments of Major Projects</w:t>
      </w:r>
      <w:r>
        <w:t xml:space="preserve">, GAO-18-280SP. Washington, DC: GAO, May 2018.</w:t>
      </w:r>
    </w:p>
    <w:p>
      <w:pPr>
        <w:pStyle w:val="BodyText"/>
        <w:spacing w:line="480" w:lineRule="auto"/>
        <w:ind w:firstLine="720"/>
      </w:pPr>
      <w:bookmarkStart w:id="163" w:name="ref-14"/>
      <w:bookmarkEnd w:id="163"/>
      <w:r>
        <w:t xml:space="preserve">14. U.S. Government Accountability Office,</w:t>
      </w:r>
      <w:r>
        <w:t xml:space="preserve"> </w:t>
      </w:r>
      <w:r>
        <w:rPr>
          <w:i/>
          <w:iCs/>
        </w:rPr>
        <w:t xml:space="preserve">NASA: Assessments of Selected Large-Scale Projects</w:t>
      </w:r>
      <w:r>
        <w:t xml:space="preserve">, GAO-11-239SP. Washington, DC: GAO, March 2011.</w:t>
      </w:r>
    </w:p>
    <w:p>
      <w:pPr>
        <w:pStyle w:val="BodyText"/>
        <w:spacing w:line="480" w:lineRule="auto"/>
        <w:ind w:firstLine="720"/>
      </w:pPr>
      <w:bookmarkStart w:id="164" w:name="ref-15"/>
      <w:bookmarkEnd w:id="164"/>
      <w:r>
        <w:t xml:space="preserve">15. Ed Kruzins, UNSW Canberra Space, and Commonwealth Scientific Industrial Research Organisation; Timothy Bateman, UNSW Canberra Space; Lance Benner, Jet Propulsion Laboratory, California Institute of Technology; Russell Boyce, UNSW Canberra Space; Melrose Brown, UNSW Canberra Space; Sam Darwell, UNSW Canberra Space; Phil Edwards, Commonwealth Scientific Industrial Research Organisation; Lauren Elizabeth-Glina, UNSW Canberra Space; Jon Giorgini, Jet Propulsion Laboratory, California Institute of Technology; Shinji Horiuchi, Commonwealth Scientific Industrial Research Organisation; Andrew Lambert, UNSW Canberra Space; Joseph Lazio, Jet Propulsion Laboratory, California Institute of Technology; Guifre Molera-Calves, University of Tasmania; Edwin Peters, UNSW Canberra Space; Chris Phillips, Commonwealth Scientific Industrial Research Organisation; Jamie Stevens, Commonwealth Scientific Industrial Research Organisation; Jai Vennik, UNSW Canberra Space. Augmentation of a Southern Hemisphere Deep Space Bistatic Radar with Small Optical Systems to Detect Near Earth and other Space Objects (2022).</w:t>
      </w:r>
    </w:p>
    <w:p>
      <w:pPr>
        <w:pStyle w:val="BodyText"/>
        <w:spacing w:line="480" w:lineRule="auto"/>
        <w:ind w:firstLine="720"/>
      </w:pPr>
      <w:bookmarkStart w:id="165" w:name="ref-16"/>
      <w:bookmarkEnd w:id="165"/>
      <w:r>
        <w:t xml:space="preserve">16. Catherine S. Plesko (Los Alamos National Laboratory), R. Ryan Clement (Los Alamos National Laboratory), Robert P. Weaver (Los Alamos National Laboratory), Paul A. Bradley (Los Alamos National Laboratory), Walter F. Huebner (Southwest Research Institute). Planning Ahead for Asteroid and Comet Hazard Mitigation, Phase 1: Parameter Space Exploration and Scenario Modeling (2009).</w:t>
      </w:r>
    </w:p>
    <w:p>
      <w:pPr>
        <w:pStyle w:val="BodyText"/>
        <w:spacing w:line="480" w:lineRule="auto"/>
        <w:ind w:firstLine="720"/>
      </w:pPr>
      <w:bookmarkStart w:id="166" w:name="ref-17"/>
      <w:bookmarkEnd w:id="166"/>
      <w:r>
        <w:t xml:space="preserve">17. Robert (Lauchie) Scott, Dr. Brad Wallace, Michael Sale, (Defence R&amp;D Canada – Ottawa, Ottawa, Ontario), Martin Levesque (Defence R&amp;D Canada – Valcartier, Valcartier, Quebec), Stefan Thorsteinson, (Contractor, Defence R&amp;D Canada – Ottawa, Ottawa, Ontario). Toward Microsatellite Based Space Situational Awareness (2013).</w:t>
      </w:r>
    </w:p>
    <w:p>
      <w:pPr>
        <w:pStyle w:val="BodyText"/>
        <w:spacing w:line="480" w:lineRule="auto"/>
        <w:ind w:firstLine="720"/>
      </w:pPr>
      <w:bookmarkStart w:id="167" w:name="ref-18"/>
      <w:bookmarkEnd w:id="167"/>
      <w:r>
        <w:t xml:space="preserve">18. C. Fruh, Mechanical Engineering Department, University of New Mexico / Air Force Research Laboratory, Space Vehicles) Directorate, NM, USA, M. Jah, (Air Force Research Laboratory, Space Vehicles Directorate, Albuquerque, NM), USA E. Valdez, (United States Geological Survey), Dept. of Biology, University of New Mexico, NM , P. Kervin, (Air Force Maui Optical &amp; Supercomputing (AMOS), Kihei, HI, and T. Kelecy, (The Boeing Company, Colorado Springs, CO, Email: thomas.m.kelecy@boeing.com, Directorate, NM. Initial Taxonomy and Classification Scheme for Artificial Space Objects based on Ancestral Relation and Clustering (2013).</w:t>
      </w:r>
    </w:p>
    <w:p>
      <w:pPr>
        <w:pStyle w:val="BodyText"/>
        <w:spacing w:line="480" w:lineRule="auto"/>
        <w:ind w:firstLine="720"/>
      </w:pPr>
      <w:bookmarkStart w:id="168" w:name="ref-19"/>
      <w:bookmarkEnd w:id="168"/>
      <w:r>
        <w:t xml:space="preserve">19. Dr. Darren McKnight (Integrity Applications Inc.). Pay Me Now or Pay Me More Later: Start the Development of Active Orbital Debris Removal Now (2010).</w:t>
      </w:r>
    </w:p>
    <w:p>
      <w:pPr>
        <w:pStyle w:val="BodyText"/>
        <w:spacing w:line="480" w:lineRule="auto"/>
        <w:ind w:firstLine="720"/>
      </w:pPr>
      <w:bookmarkStart w:id="169" w:name="ref-20"/>
      <w:bookmarkEnd w:id="169"/>
      <w:r>
        <w:t xml:space="preserve">20. Helen Hall (Universities Space Research Association). Cycle 1 Science Status and How to Propose Time on SOFIA (2013).</w:t>
      </w:r>
    </w:p>
    <w:p>
      <w:pPr>
        <w:pStyle w:val="BodyText"/>
        <w:spacing w:line="480" w:lineRule="auto"/>
        <w:ind w:firstLine="720"/>
      </w:pPr>
      <w:bookmarkStart w:id="170" w:name="ref-21"/>
      <w:bookmarkEnd w:id="170"/>
      <w:r>
        <w:t xml:space="preserve">21. T. Joseph W. Lazio, Jet Propulsion Laboratory, California Institute of Technology; Dimitrios Antsos, Jet Propulsion Laboratory, California Institute of Technology; Anthony Beasley, National Radio Astronomy Observatory; Lance A. M. Benner, Jet Propulsion Laboratory, California Institute of Technology; Andrew Brooks, Jet Propulsion Laboratory, California Institute of Technology; Marina Brozovic, Jet Propulsion Laboratory, California Institute of Technology; Philip G. Edwards, CSIRO Space &amp; Astronomy; Jon D. Giorgini, Jet Propulsion Laboratory, California Institute of Technology; Shinji Horiuchi, CSIRO Space &amp; Astronomy; Ed Kruzins, UNSW Canberra Space, and CSIRO Space &amp; Autonomy; Clement Lee, Jet Propulsion Laboratory, California Institute of Technology; Ronglin R. Liou, Jet Propulsion Laboratory, California Institute of Technology; Blake Molyneux, Australia National University; Shantanu P. Naidu, Jet Propulsion Laboratory, California Institute of Technology; Charles Naudet, Jet Propulsion Laboratory, California Institute of Technology; Ryan S. Park, Jet Propulsion Laboratory, California Institute of Technology; Chris J. Phillips, CSIRO Space &amp; Astronomy; Marc Sanchez Net, Jet Propulsion Laboratory, California Institute of Technology; J. Stevens, CSIRO Space &amp; Astronomy; Mark Taylor, Jet Propulsion Laboratory, California Institute of Technology; Victor Vilnrotter, Jet Propulsion Laboratory, California Institute of Technology. Ground-based Planetary Radars: Current and Future Prospects in the Cislunar Arena (2022).</w:t>
      </w:r>
    </w:p>
    <w:p>
      <w:pPr>
        <w:pStyle w:val="BodyText"/>
        <w:spacing w:line="480" w:lineRule="auto"/>
        <w:ind w:firstLine="720"/>
      </w:pPr>
      <w:bookmarkStart w:id="171" w:name="ref-22"/>
      <w:bookmarkEnd w:id="171"/>
      <w:r>
        <w:t xml:space="preserve">22. Helen J. Hall (SOFIA Science Center, Universities Space Research Association, NASA), Erick T. Young (SOFIA Science Center, Universities Space Research Association, NASA), Hans Zinnecker (SOFIA Science Center, NASA Ames Research Center &amp; Deutsches SOFIA Institut, Universitat Stuttgart). Science Mission Operations and Early Science Instruments for SOFIA (2012).</w:t>
      </w:r>
    </w:p>
    <w:p>
      <w:pPr>
        <w:pStyle w:val="BodyText"/>
        <w:spacing w:line="480" w:lineRule="auto"/>
        <w:ind w:firstLine="720"/>
      </w:pPr>
      <w:bookmarkStart w:id="172" w:name="ref-23"/>
      <w:bookmarkEnd w:id="172"/>
      <w:r>
        <w:t xml:space="preserve">23. Stephanie Jarmak; Erin Leonard; Alex Akins; Emma Dahl; Daniel R. Cremons; S. Cofield; Aaron Curtis; Chuanfei Dong; Emilie T. Dunham; Baptiste Journaux; David D. Murakami; Wanyi Ng; M. Piquette; Athul Pradeepkumar Girija; Kimberly Rink; L. R. Schurmeier; N. Stein; Nicholas Tallarida; M. Telus; L. L. Lowes; C. J. Budney; K. L. Mitchell. QUEST: A New Frontiers Uranus orbiter mission concept study (2020). doi:</w:t>
      </w:r>
      <w:r>
        <w:t xml:space="preserve"> </w:t>
      </w:r>
      <w:hyperlink r:id="rId173">
        <w:r>
          <w:rPr>
            <w:rStyle w:val="Hyperlink"/>
          </w:rPr>
          <w:t xml:space="preserve">10.1016/j.actaastro.2020.01.030</w:t>
        </w:r>
      </w:hyperlink>
    </w:p>
    <w:p>
      <w:pPr>
        <w:pStyle w:val="BodyText"/>
        <w:spacing w:line="480" w:lineRule="auto"/>
        <w:ind w:firstLine="720"/>
      </w:pPr>
      <w:bookmarkStart w:id="174" w:name="ref-24"/>
      <w:bookmarkEnd w:id="174"/>
      <w:r>
        <w:t xml:space="preserve">24. C. M. Elder; A. M. Bramson; Lauren Blum; H. Chilton; Aditya Chopra; C. S. Chu; Alok Kumar Das; A. B. Davis; A. Delgado; JoAnna Fulton; L. M. Jozwiak; Alain Khayat; M. E. Landis; J. L. Molaro; M. Slipski; Sarah Valencia; J. A. Watkins; Cindy L. Young; C. J. Budney; K. L. Mitchell. OCEANUS: A high science return Uranus orbiter with a low-cost instrument suite (2018). doi:</w:t>
      </w:r>
      <w:r>
        <w:t xml:space="preserve"> </w:t>
      </w:r>
      <w:hyperlink r:id="rId175">
        <w:r>
          <w:rPr>
            <w:rStyle w:val="Hyperlink"/>
          </w:rPr>
          <w:t xml:space="preserve">10.1016/j.actaastro.2018.04.019</w:t>
        </w:r>
      </w:hyperlink>
    </w:p>
    <w:p>
      <w:pPr>
        <w:pStyle w:val="BodyText"/>
        <w:spacing w:line="480" w:lineRule="auto"/>
        <w:ind w:firstLine="720"/>
      </w:pPr>
      <w:bookmarkStart w:id="176" w:name="ref-25"/>
      <w:bookmarkEnd w:id="176"/>
      <w:r>
        <w:t xml:space="preserve">25. Tuomas Lehtinen; Mikael Granvik; Andrea Bellome; Joan-Pau Sanchez Cuartielles. Icarus: In-situ monitoring of the surface degradation on a near-Sun asteroid (2021). doi:</w:t>
      </w:r>
      <w:r>
        <w:t xml:space="preserve"> </w:t>
      </w:r>
      <w:hyperlink r:id="rId177">
        <w:r>
          <w:rPr>
            <w:rStyle w:val="Hyperlink"/>
          </w:rPr>
          <w:t xml:space="preserve">10.1016/j.actaastro.2021.05.028</w:t>
        </w:r>
      </w:hyperlink>
    </w:p>
    <w:p>
      <w:pPr>
        <w:pStyle w:val="BodyText"/>
        <w:spacing w:line="480" w:lineRule="auto"/>
        <w:ind w:firstLine="720"/>
      </w:pPr>
      <w:bookmarkStart w:id="178" w:name="ref-26"/>
      <w:bookmarkEnd w:id="178"/>
      <w:r>
        <w:t xml:space="preserve">26. Jian Guo; P. Hoogeboom; Paco López‐Dekker; J. Bouwmeester; Gabriele Meoni; José Miguel Nieto; Juan V. Fayos; Eric Bertels; Camille Pirat. AltiCube+: A low-cost long fixed-baseline radar altimeter solution based on cubesats on-orbit assembly (2025). doi:</w:t>
      </w:r>
      <w:r>
        <w:t xml:space="preserve"> </w:t>
      </w:r>
      <w:hyperlink r:id="rId179">
        <w:r>
          <w:rPr>
            <w:rStyle w:val="Hyperlink"/>
          </w:rPr>
          <w:t xml:space="preserve">10.1016/j.actaastro.2025.05.055</w:t>
        </w:r>
      </w:hyperlink>
    </w:p>
    <w:p>
      <w:pPr>
        <w:pStyle w:val="BodyText"/>
        <w:spacing w:line="480" w:lineRule="auto"/>
        <w:ind w:firstLine="720"/>
      </w:pPr>
      <w:bookmarkStart w:id="180" w:name="ref-27"/>
      <w:bookmarkEnd w:id="180"/>
      <w:r>
        <w:t xml:space="preserve">27. Morgan Dwyer; Zoe Szajnfarber; Bruce Cameron; Edward F. Crawley. A model for understanding and managing cost growth on joint programs (2018). doi:</w:t>
      </w:r>
      <w:r>
        <w:t xml:space="preserve"> </w:t>
      </w:r>
      <w:hyperlink r:id="rId181">
        <w:r>
          <w:rPr>
            <w:rStyle w:val="Hyperlink"/>
          </w:rPr>
          <w:t xml:space="preserve">10.1016/j.actaastro.2018.07.004</w:t>
        </w:r>
      </w:hyperlink>
    </w:p>
    <w:p>
      <w:pPr>
        <w:pStyle w:val="BodyText"/>
        <w:spacing w:line="480" w:lineRule="auto"/>
        <w:ind w:firstLine="720"/>
      </w:pPr>
      <w:bookmarkStart w:id="182" w:name="ref-28"/>
      <w:bookmarkEnd w:id="182"/>
      <w:r>
        <w:t xml:space="preserve">28. J. I. Lunine. Ocean worlds exploration (2016). doi:</w:t>
      </w:r>
      <w:r>
        <w:t xml:space="preserve"> </w:t>
      </w:r>
      <w:hyperlink r:id="rId183">
        <w:r>
          <w:rPr>
            <w:rStyle w:val="Hyperlink"/>
          </w:rPr>
          <w:t xml:space="preserve">10.1016/j.actaastro.2016.11.017</w:t>
        </w:r>
      </w:hyperlink>
    </w:p>
    <w:p>
      <w:pPr>
        <w:pStyle w:val="BodyText"/>
        <w:spacing w:line="480" w:lineRule="auto"/>
        <w:ind w:firstLine="720"/>
      </w:pPr>
      <w:bookmarkStart w:id="184" w:name="ref-29"/>
      <w:bookmarkEnd w:id="184"/>
      <w:r>
        <w:t xml:space="preserve">29. R. A. Yingst; J. A. Berger; B. A. Cohen; B. M. Hynek; M. E. Schmidt. Determining best practices in reconnoitering sites for habitability potential on Mars using a semi-autonomous rover: A GeoHeuristic Operational Strategies Test (2016). doi:</w:t>
      </w:r>
      <w:r>
        <w:t xml:space="preserve"> </w:t>
      </w:r>
      <w:hyperlink r:id="rId185">
        <w:r>
          <w:rPr>
            <w:rStyle w:val="Hyperlink"/>
          </w:rPr>
          <w:t xml:space="preserve">10.1016/j.actaastro.2016.12.018</w:t>
        </w:r>
      </w:hyperlink>
    </w:p>
    <w:p>
      <w:pPr>
        <w:pStyle w:val="BodyText"/>
        <w:spacing w:line="480" w:lineRule="auto"/>
        <w:ind w:firstLine="720"/>
      </w:pPr>
      <w:bookmarkStart w:id="186" w:name="ref-30"/>
      <w:bookmarkEnd w:id="186"/>
      <w:r>
        <w:t xml:space="preserve">30. Aurelio Kaluthantrige; Jinglang Feng; Jesús Gil-Fernández. CNN-based Image Processing algorithm for autonomous optical navigation of Hera mission to the binary asteroid Didymos (2023). doi:</w:t>
      </w:r>
      <w:r>
        <w:t xml:space="preserve"> </w:t>
      </w:r>
      <w:hyperlink r:id="rId187">
        <w:r>
          <w:rPr>
            <w:rStyle w:val="Hyperlink"/>
          </w:rPr>
          <w:t xml:space="preserve">10.1016/j.actaastro.2023.05.029</w:t>
        </w:r>
      </w:hyperlink>
    </w:p>
    <w:bookmarkEnd w:id="188"/>
    <w:bookmarkEnd w:id="189"/>
    <w:bookmarkStart w:id="206"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7" w:name="Xc7831897cb9c1d26c8f408dfcc408cbb5bb9d2d"/>
    <w:p>
      <w:pPr>
        <w:pStyle w:val="Heading2"/>
        <w:spacing w:line="480" w:lineRule="auto"/>
      </w:pPr>
      <w:r>
        <w:t xml:space="preserve">A.1 Time-to-Cost-Breach Hazard in NASA Science Instruments: A Proportional-Hazards Analysis of Complexity, Technology Readiness, and Heritage</w:t>
      </w:r>
    </w:p>
    <w:p>
      <w:pPr>
        <w:pStyle w:val="FirstParagraph"/>
        <w:spacing w:line="480" w:lineRule="auto"/>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r>
                <m:rPr>
                  <m:nor/>
                  <m:sty m:val="p"/>
                </m:rPr>
                <m:t>Complexity</m:t>
              </m:r>
              <m:r>
                <m:rPr>
                  <m:sty m:val="p"/>
                </m:rPr>
                <m:t>+</m:t>
              </m:r>
              <m:sSub>
                <m:e>
                  <m:r>
                    <m:t>β</m:t>
                  </m:r>
                </m:e>
                <m:sub>
                  <m:r>
                    <m:t>2</m:t>
                  </m:r>
                </m:sub>
              </m:sSub>
              <m:r>
                <m:t> </m:t>
              </m:r>
              <m:sSub>
                <m:e>
                  <m:r>
                    <m:rPr>
                      <m:nor/>
                      <m:sty m:val="p"/>
                    </m:rPr>
                    <m:t>TRL</m:t>
                  </m:r>
                </m:e>
                <m:sub>
                  <m:r>
                    <m:rPr>
                      <m:nor/>
                      <m:sty m:val="p"/>
                    </m:rPr>
                    <m:t>start</m:t>
                  </m:r>
                </m:sub>
              </m:sSub>
              <m:r>
                <m:rPr>
                  <m:sty m:val="p"/>
                </m:rPr>
                <m:t>+</m:t>
              </m:r>
              <m:sSub>
                <m:e>
                  <m:r>
                    <m:t>β</m:t>
                  </m:r>
                </m:e>
                <m:sub>
                  <m:r>
                    <m:t>3</m:t>
                  </m:r>
                </m:sub>
              </m:sSub>
              <m:r>
                <m:t> </m:t>
              </m:r>
              <m:r>
                <m:rPr>
                  <m:nor/>
                  <m:sty m:val="p"/>
                </m:rPr>
                <m:t>Heritage</m:t>
              </m:r>
            </m:e>
          </m:d>
        </m:oMath>
      </m:oMathPara>
    </w:p>
    <w:bookmarkStart w:id="190"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complexity_index</w:t>
            </w:r>
          </w:p>
        </w:tc>
        <w:tc>
          <w:tcPr>
            <w:tcW w:w="0" w:type="auto"/>
          </w:tcPr>
          <w:p>
            <w:pPr>
              <w:spacing w:line="240" w:lineRule="auto" w:before="0" w:after="0"/>
              <w:pStyle w:val="Compact"/>
            </w:pPr>
            <w:r>
              <w:rPr>
                <w:sz w:val="20"/>
                <w:szCs w:val="20"/>
              </w:rPr>
              <w:t xml:space="preserve">0.3257</w:t>
            </w:r>
          </w:p>
        </w:tc>
        <w:tc>
          <w:tcPr>
            <w:tcW w:w="0" w:type="auto"/>
          </w:tcPr>
          <w:p>
            <w:pPr>
              <w:spacing w:line="240" w:lineRule="auto" w:before="0" w:after="0"/>
              <w:pStyle w:val="Compact"/>
            </w:pPr>
            <w:r>
              <w:rPr>
                <w:sz w:val="20"/>
                <w:szCs w:val="20"/>
              </w:rPr>
              <w:t xml:space="preserve">0.4942</w:t>
            </w:r>
          </w:p>
        </w:tc>
        <w:tc>
          <w:tcPr>
            <w:tcW w:w="0" w:type="auto"/>
          </w:tcPr>
          <w:p>
            <w:pPr>
              <w:spacing w:line="240" w:lineRule="auto" w:before="0" w:after="0"/>
              <w:pStyle w:val="Compact"/>
            </w:pPr>
            <w:r>
              <w:rPr>
                <w:sz w:val="20"/>
                <w:szCs w:val="20"/>
              </w:rPr>
              <w:t xml:space="preserve">0.6591</w:t>
            </w:r>
          </w:p>
        </w:tc>
        <w:tc>
          <w:tcPr>
            <w:tcW w:w="0" w:type="auto"/>
          </w:tcPr>
          <w:p>
            <w:pPr>
              <w:spacing w:line="240" w:lineRule="auto" w:before="0" w:after="0"/>
              <w:pStyle w:val="Compact"/>
            </w:pPr>
            <w:r>
              <w:rPr>
                <w:sz w:val="20"/>
                <w:szCs w:val="20"/>
              </w:rPr>
              <w:t xml:space="preserve">0.5098</w:t>
            </w:r>
          </w:p>
        </w:tc>
        <w:tc>
          <w:tcPr>
            <w:tcW w:w="0" w:type="auto"/>
          </w:tcPr>
          <w:p>
            <w:pPr>
              <w:spacing w:line="240" w:lineRule="auto" w:before="0" w:after="0"/>
              <w:pStyle w:val="Compact"/>
            </w:pPr>
            <w:r>
              <w:rPr>
                <w:sz w:val="20"/>
                <w:szCs w:val="20"/>
              </w:rPr>
              <w:t xml:space="preserve">[-0.6429, 1.2942]</w:t>
            </w:r>
          </w:p>
        </w:tc>
        <w:tc>
          <w:tcPr>
            <w:tcW w:w="0" w:type="auto"/>
          </w:tcPr>
          <w:p>
            <w:pPr>
              <w:spacing w:line="240" w:lineRule="auto" w:before="0" w:after="0"/>
              <w:pStyle w:val="Compact"/>
            </w:pPr>
            <w:r>
              <w:rPr>
                <w:sz w:val="20"/>
                <w:szCs w:val="20"/>
              </w:rPr>
              <w:t xml:space="preserve">1.385</w:t>
            </w:r>
          </w:p>
        </w:tc>
      </w:tr>
      <w:tr>
        <w:tc>
          <w:tcPr>
            <w:tcW w:w="0" w:type="auto"/>
          </w:tcPr>
          <w:p>
            <w:pPr>
              <w:spacing w:line="240" w:lineRule="auto" w:before="0" w:after="0"/>
              <w:pStyle w:val="Compact"/>
            </w:pPr>
            <w:r>
              <w:rPr>
                <w:sz w:val="20"/>
                <w:szCs w:val="20"/>
              </w:rPr>
              <w:t xml:space="preserve">trl_start</w:t>
            </w:r>
          </w:p>
        </w:tc>
        <w:tc>
          <w:tcPr>
            <w:tcW w:w="0" w:type="auto"/>
          </w:tcPr>
          <w:p>
            <w:pPr>
              <w:spacing w:line="240" w:lineRule="auto" w:before="0" w:after="0"/>
              <w:pStyle w:val="Compact"/>
            </w:pPr>
            <w:r>
              <w:rPr>
                <w:sz w:val="20"/>
                <w:szCs w:val="20"/>
              </w:rPr>
              <w:t xml:space="preserve">-1.242</w:t>
            </w:r>
          </w:p>
        </w:tc>
        <w:tc>
          <w:tcPr>
            <w:tcW w:w="0" w:type="auto"/>
          </w:tcPr>
          <w:p>
            <w:pPr>
              <w:spacing w:line="240" w:lineRule="auto" w:before="0" w:after="0"/>
              <w:pStyle w:val="Compact"/>
            </w:pPr>
            <w:r>
              <w:rPr>
                <w:sz w:val="20"/>
                <w:szCs w:val="20"/>
              </w:rPr>
              <w:t xml:space="preserve">0.4693</w:t>
            </w:r>
          </w:p>
        </w:tc>
        <w:tc>
          <w:tcPr>
            <w:tcW w:w="0" w:type="auto"/>
          </w:tcPr>
          <w:p>
            <w:pPr>
              <w:spacing w:line="240" w:lineRule="auto" w:before="0" w:after="0"/>
              <w:pStyle w:val="Compact"/>
            </w:pPr>
            <w:r>
              <w:rPr>
                <w:sz w:val="20"/>
                <w:szCs w:val="20"/>
              </w:rPr>
              <w:t xml:space="preserve">-2.6464</w:t>
            </w:r>
          </w:p>
        </w:tc>
        <w:tc>
          <w:tcPr>
            <w:tcW w:w="0" w:type="auto"/>
          </w:tcPr>
          <w:p>
            <w:pPr>
              <w:spacing w:line="240" w:lineRule="auto" w:before="0" w:after="0"/>
              <w:pStyle w:val="Compact"/>
            </w:pPr>
            <w:r>
              <w:rPr>
                <w:sz w:val="20"/>
                <w:szCs w:val="20"/>
              </w:rPr>
              <w:t xml:space="preserve">0.0081</w:t>
            </w:r>
          </w:p>
        </w:tc>
        <w:tc>
          <w:tcPr>
            <w:tcW w:w="0" w:type="auto"/>
          </w:tcPr>
          <w:p>
            <w:pPr>
              <w:spacing w:line="240" w:lineRule="auto" w:before="0" w:after="0"/>
              <w:pStyle w:val="Compact"/>
            </w:pPr>
            <w:r>
              <w:rPr>
                <w:sz w:val="20"/>
                <w:szCs w:val="20"/>
              </w:rPr>
              <w:t xml:space="preserve">[-2.1618, -0.3221]</w:t>
            </w:r>
          </w:p>
        </w:tc>
        <w:tc>
          <w:tcPr>
            <w:tcW w:w="0" w:type="auto"/>
          </w:tcPr>
          <w:p>
            <w:pPr>
              <w:spacing w:line="240" w:lineRule="auto" w:before="0" w:after="0"/>
              <w:pStyle w:val="Compact"/>
            </w:pPr>
            <w:r>
              <w:rPr>
                <w:sz w:val="20"/>
                <w:szCs w:val="20"/>
              </w:rPr>
              <w:t xml:space="preserve">0.2888</w:t>
            </w:r>
          </w:p>
        </w:tc>
      </w:tr>
      <w:tr>
        <w:tc>
          <w:tcPr>
            <w:tcW w:w="0" w:type="auto"/>
          </w:tcPr>
          <w:p>
            <w:pPr>
              <w:spacing w:line="240" w:lineRule="auto" w:before="0" w:after="0"/>
              <w:pStyle w:val="Compact"/>
            </w:pPr>
            <w:r>
              <w:rPr>
                <w:sz w:val="20"/>
                <w:szCs w:val="20"/>
              </w:rPr>
              <w:t xml:space="preserve">heritage</w:t>
            </w:r>
          </w:p>
        </w:tc>
        <w:tc>
          <w:tcPr>
            <w:tcW w:w="0" w:type="auto"/>
          </w:tcPr>
          <w:p>
            <w:pPr>
              <w:spacing w:line="240" w:lineRule="auto" w:before="0" w:after="0"/>
              <w:pStyle w:val="Compact"/>
            </w:pPr>
            <w:r>
              <w:rPr>
                <w:sz w:val="20"/>
                <w:szCs w:val="20"/>
              </w:rPr>
              <w:t xml:space="preserve">-0.8579</w:t>
            </w:r>
          </w:p>
        </w:tc>
        <w:tc>
          <w:tcPr>
            <w:tcW w:w="0" w:type="auto"/>
          </w:tcPr>
          <w:p>
            <w:pPr>
              <w:spacing w:line="240" w:lineRule="auto" w:before="0" w:after="0"/>
              <w:pStyle w:val="Compact"/>
            </w:pPr>
            <w:r>
              <w:rPr>
                <w:sz w:val="20"/>
                <w:szCs w:val="20"/>
              </w:rPr>
              <w:t xml:space="preserve">0.6795</w:t>
            </w:r>
          </w:p>
        </w:tc>
        <w:tc>
          <w:tcPr>
            <w:tcW w:w="0" w:type="auto"/>
          </w:tcPr>
          <w:p>
            <w:pPr>
              <w:spacing w:line="240" w:lineRule="auto" w:before="0" w:after="0"/>
              <w:pStyle w:val="Compact"/>
            </w:pPr>
            <w:r>
              <w:rPr>
                <w:sz w:val="20"/>
                <w:szCs w:val="20"/>
              </w:rPr>
              <w:t xml:space="preserve">-1.2625</w:t>
            </w:r>
          </w:p>
        </w:tc>
        <w:tc>
          <w:tcPr>
            <w:tcW w:w="0" w:type="auto"/>
          </w:tcPr>
          <w:p>
            <w:pPr>
              <w:spacing w:line="240" w:lineRule="auto" w:before="0" w:after="0"/>
              <w:pStyle w:val="Compact"/>
            </w:pPr>
            <w:r>
              <w:rPr>
                <w:sz w:val="20"/>
                <w:szCs w:val="20"/>
              </w:rPr>
              <w:t xml:space="preserve">0.2068</w:t>
            </w:r>
          </w:p>
        </w:tc>
        <w:tc>
          <w:tcPr>
            <w:tcW w:w="0" w:type="auto"/>
          </w:tcPr>
          <w:p>
            <w:pPr>
              <w:spacing w:line="240" w:lineRule="auto" w:before="0" w:after="0"/>
              <w:pStyle w:val="Compact"/>
            </w:pPr>
            <w:r>
              <w:rPr>
                <w:sz w:val="20"/>
                <w:szCs w:val="20"/>
              </w:rPr>
              <w:t xml:space="preserve">[-2.1897, 0.474]</w:t>
            </w:r>
          </w:p>
        </w:tc>
        <w:tc>
          <w:tcPr>
            <w:tcW w:w="0" w:type="auto"/>
          </w:tcPr>
          <w:p>
            <w:pPr>
              <w:spacing w:line="240" w:lineRule="auto" w:before="0" w:after="0"/>
              <w:pStyle w:val="Compact"/>
            </w:pPr>
            <w:r>
              <w:rPr>
                <w:sz w:val="20"/>
                <w:szCs w:val="20"/>
              </w:rPr>
              <w:t xml:space="preserve">0.4241</w:t>
            </w:r>
          </w:p>
        </w:tc>
      </w:tr>
    </w:tbl>
    <w:p>
      <w:pPr>
        <w:pStyle w:val="BodyText"/>
        <w:spacing w:line="480" w:lineRule="auto"/>
        <w:ind w:firstLine="720"/>
      </w:pPr>
      <w:r>
        <w:t xml:space="preserve">Fit: N = 30 events = 14</w:t>
      </w:r>
    </w:p>
    <w:bookmarkEnd w:id="190"/>
    <w:bookmarkStart w:id="194"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ime from project confirmation to the first major (&gt;15 percent) development cost breach for thirty NASA science instruments, with breach events distinguished from launch-censored observations." title="" id="192" name="Picture"/>
            <a:graphic>
              <a:graphicData uri="http://schemas.openxmlformats.org/drawingml/2006/picture">
                <pic:pic>
                  <pic:nvPicPr>
                    <pic:cNvPr descr="D:/Claude_Code/brain/collegium/candidates/dissertations/JPL_INSTRUMENTS_NAV_01/research_papers/p1/paper_fig1.png" id="193" name="Picture"/>
                    <pic:cNvPicPr>
                      <a:picLocks noChangeArrowheads="1" noChangeAspect="1"/>
                    </pic:cNvPicPr>
                  </pic:nvPicPr>
                  <pic:blipFill>
                    <a:blip r:embed="rId19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Time from project confirmation to the first major (&gt;15 percent) development cost breach for thirty NASA science instruments, with breach events distinguished from launch-censored observations.</w:t>
      </w:r>
    </w:p>
    <w:bookmarkEnd w:id="194"/>
    <w:bookmarkStart w:id="195"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breach</w:t>
            </w:r>
          </w:p>
        </w:tc>
        <w:tc>
          <w:tcPr>
            <w:tcW w:w="0" w:type="auto"/>
          </w:tcPr>
          <w:p>
            <w:pPr>
              <w:spacing w:line="240" w:lineRule="auto" w:before="0" w:after="0"/>
              <w:pStyle w:val="Compact"/>
            </w:pPr>
            <w:r>
              <w:rPr>
                <w:sz w:val="20"/>
                <w:szCs w:val="20"/>
              </w:rPr>
              <w:t xml:space="preserve">complexity_index</w:t>
            </w:r>
          </w:p>
        </w:tc>
        <w:tc>
          <w:tcPr>
            <w:tcW w:w="0" w:type="auto"/>
          </w:tcPr>
          <w:p>
            <w:pPr>
              <w:spacing w:line="240" w:lineRule="auto" w:before="0" w:after="0"/>
              <w:pStyle w:val="Compact"/>
            </w:pPr>
            <w:r>
              <w:rPr>
                <w:sz w:val="20"/>
                <w:szCs w:val="20"/>
              </w:rPr>
              <w:t xml:space="preserve">trl_start</w:t>
            </w:r>
          </w:p>
        </w:tc>
        <w:tc>
          <w:tcPr>
            <w:tcW w:w="0" w:type="auto"/>
          </w:tcPr>
          <w:p>
            <w:pPr>
              <w:spacing w:line="240" w:lineRule="auto" w:before="0" w:after="0"/>
              <w:pStyle w:val="Compact"/>
            </w:pPr>
            <w:r>
              <w:rPr>
                <w:sz w:val="20"/>
                <w:szCs w:val="20"/>
              </w:rPr>
              <w:t xml:space="preserve">heritage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MSL (Curiosity)</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GAO-12-207SP NASA Assessments of Major Projects 2012, MSL development cost growth &gt;80%</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GAO-12-207SP and GAO-14-338SP, JWST replan cost growth far exceeding 15%</w:t>
            </w:r>
          </w:p>
        </w:tc>
      </w:tr>
      <w:tr>
        <w:tc>
          <w:tcPr>
            <w:tcW w:w="0" w:type="auto"/>
          </w:tcPr>
          <w:p>
            <w:pPr>
              <w:spacing w:line="240" w:lineRule="auto" w:before="0" w:after="0"/>
              <w:pStyle w:val="Compact"/>
            </w:pPr>
            <w:r>
              <w:rPr>
                <w:sz w:val="20"/>
                <w:szCs w:val="20"/>
              </w:rPr>
              <w:t xml:space="preserve">LADEE</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GAO-14-338SP NASA Assessments of Major Projects 2014, LADEE held cost baseline</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GAO-14-338SP, MAVEN launched within cost baseline</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GAO-12-207SP, GRAIL leveraged XSS/Lunar Prospector heritage, on cost</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GAO-16-309SP NASA Assessments of Major Projects 2016, OSIRIS-REx on baseline</w:t>
            </w:r>
          </w:p>
        </w:tc>
      </w:tr>
      <w:tr>
        <w:tc>
          <w:tcPr>
            <w:tcW w:w="0" w:type="auto"/>
          </w:tcPr>
          <w:p>
            <w:pPr>
              <w:spacing w:line="240" w:lineRule="auto" w:before="0" w:after="0"/>
              <w:pStyle w:val="Compact"/>
            </w:pPr>
            <w:r>
              <w:rPr>
                <w:sz w:val="20"/>
                <w:szCs w:val="20"/>
              </w:rPr>
              <w:t xml:space="preserve">SMAP</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GAO-15-320SP NASA Assessments 2015, SMAP cost growth and radar antenna issues</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GAO-17-303SP NASA Assessments of Major Projects 2017, ICESat-2 ATLAS instrument cost growth</w:t>
            </w:r>
          </w:p>
        </w:tc>
      </w:tr>
      <w:tr>
        <w:tc>
          <w:tcPr>
            <w:tcW w:w="0" w:type="auto"/>
          </w:tcPr>
          <w:p>
            <w:pPr>
              <w:spacing w:line="240" w:lineRule="auto" w:before="0" w:after="0"/>
              <w:pStyle w:val="Compact"/>
            </w:pPr>
            <w:r>
              <w:rPr>
                <w:sz w:val="20"/>
                <w:szCs w:val="20"/>
              </w:rPr>
              <w:t xml:space="preserve">GPM Core</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GAO-14-338SP, GPM Core Observatory within cost baseline</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GAO-19-262SP NASA Assessments of Major Projects 2019, Mars 2020 cost growth</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GAO-16-309SP, InSight SEIS instrument failure drove replan and &gt;15% growth</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GAO-12-207SP, Juno launched within development cost baseline</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GAO-17-303SP, TESS held cost baseline, Kepler/heritage detectors</w:t>
            </w:r>
          </w:p>
        </w:tc>
      </w:tr>
      <w:tr>
        <w:tc>
          <w:tcPr>
            <w:tcW w:w="0" w:type="auto"/>
          </w:tcPr>
          <w:p>
            <w:pPr>
              <w:spacing w:line="240" w:lineRule="auto" w:before="0" w:after="0"/>
              <w:pStyle w:val="Compact"/>
            </w:pPr>
            <w:r>
              <w:rPr>
                <w:sz w:val="20"/>
                <w:szCs w:val="20"/>
              </w:rPr>
              <w:t xml:space="preserve">Parker Solar Probe</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GAO-18-280SP NASA Assessments of Major Projects 2018, Parker within baseline</w:t>
            </w:r>
          </w:p>
        </w:tc>
      </w:tr>
      <w:tr>
        <w:tc>
          <w:tcPr>
            <w:tcW w:w="0" w:type="auto"/>
          </w:tcPr>
          <w:p>
            <w:pPr>
              <w:spacing w:line="240" w:lineRule="auto" w:before="0" w:after="0"/>
              <w:pStyle w:val="Compact"/>
            </w:pPr>
            <w:r>
              <w:rPr>
                <w:sz w:val="20"/>
                <w:szCs w:val="20"/>
              </w:rPr>
              <w:t xml:space="preserve">Landsat 9</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GAO-20-405 NASA Assessments of Major Projects 2020, Landsat 9 OLI-2/TIRS-2 heritage build</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GAO-22-105212 NASA Assessments of Major Projects 2022, NISAR cost and schedule growth</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GAO-22-105212, Europa Clipper within revised baseline at assessment</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and GAO-23-106021, Psyche schedule slip and cost growth</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GAO-20-405, Lucy held cost baseline through launch</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GAO-21-306 NASA Assessments of Major Projects 2021, DART within cost baseline</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GAO-19-262SP, SWOT KaRIn instrument cost growth exceeding 15%</w:t>
            </w:r>
          </w:p>
        </w:tc>
      </w:tr>
      <w:tr>
        <w:tc>
          <w:tcPr>
            <w:tcW w:w="0" w:type="auto"/>
          </w:tcPr>
          <w:p>
            <w:pPr>
              <w:spacing w:line="240" w:lineRule="auto" w:before="0" w:after="0"/>
              <w:pStyle w:val="Compact"/>
            </w:pPr>
            <w:r>
              <w:rPr>
                <w:sz w:val="20"/>
                <w:szCs w:val="20"/>
              </w:rPr>
              <w:t xml:space="preserve">GOES-R</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GAO-12-207SP and NOAA/NASA GOES-R program, ground/instrument cost growth</w:t>
            </w:r>
          </w:p>
        </w:tc>
      </w:tr>
      <w:tr>
        <w:tc>
          <w:tcPr>
            <w:tcW w:w="0" w:type="auto"/>
          </w:tcPr>
          <w:p>
            <w:pPr>
              <w:spacing w:line="240" w:lineRule="auto" w:before="0" w:after="0"/>
              <w:pStyle w:val="Compact"/>
            </w:pPr>
            <w:r>
              <w:rPr>
                <w:sz w:val="20"/>
                <w:szCs w:val="20"/>
              </w:rPr>
              <w:t xml:space="preserve">MMS</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GAO-14-338SP, Magnetospheric Multiscale launched within cost baseline</w:t>
            </w:r>
          </w:p>
        </w:tc>
      </w:tr>
      <w:tr>
        <w:tc>
          <w:tcPr>
            <w:tcW w:w="0" w:type="auto"/>
          </w:tcPr>
          <w:p>
            <w:pPr>
              <w:spacing w:line="240" w:lineRule="auto" w:before="0" w:after="0"/>
              <w:pStyle w:val="Compact"/>
            </w:pPr>
            <w:r>
              <w:rPr>
                <w:sz w:val="20"/>
                <w:szCs w:val="20"/>
              </w:rPr>
              <w:t xml:space="preserve">Aquarius/SAC-D</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NTRS 20110015805 Aquarius project lessons, cost growth on radiometer/scatterometer</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 Dawn mission history, ion-propulsion and instrument cost growth pre-launch</w:t>
            </w:r>
          </w:p>
        </w:tc>
      </w:tr>
      <w:tr>
        <w:tc>
          <w:tcPr>
            <w:tcW w:w="0" w:type="auto"/>
          </w:tcPr>
          <w:p>
            <w:pPr>
              <w:spacing w:line="240" w:lineRule="auto" w:before="0" w:after="0"/>
              <w:pStyle w:val="Compact"/>
            </w:pPr>
            <w:r>
              <w:rPr>
                <w:sz w:val="20"/>
                <w:szCs w:val="20"/>
              </w:rPr>
              <w:t xml:space="preserve">NPP (Suomi)</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GAO-12-207SP, NPOESS Preparatory Project sensor (VIIRS/CrIS) cost growth</w:t>
            </w:r>
          </w:p>
        </w:tc>
      </w:tr>
      <w:tr>
        <w:tc>
          <w:tcPr>
            <w:tcW w:w="0" w:type="auto"/>
          </w:tcPr>
          <w:p>
            <w:pPr>
              <w:spacing w:line="240" w:lineRule="auto" w:before="0" w:after="0"/>
              <w:pStyle w:val="Compact"/>
            </w:pPr>
            <w:r>
              <w:rPr>
                <w:sz w:val="20"/>
                <w:szCs w:val="20"/>
              </w:rPr>
              <w:t xml:space="preserve">GRACE-FO</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GAO-18-280SP, GRACE-FO leveraged GRACE heritage, within baseline</w:t>
            </w:r>
          </w:p>
        </w:tc>
      </w:tr>
      <w:tr>
        <w:tc>
          <w:tcPr>
            <w:tcW w:w="0" w:type="auto"/>
          </w:tcPr>
          <w:p>
            <w:pPr>
              <w:spacing w:line="240" w:lineRule="auto" w:before="0" w:after="0"/>
              <w:pStyle w:val="Compact"/>
            </w:pPr>
            <w:r>
              <w:rPr>
                <w:sz w:val="20"/>
                <w:szCs w:val="20"/>
              </w:rPr>
              <w:t xml:space="preserve">SDO</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 20100012345 SDO project, launched within development cost baseline [illustrative]</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 20090040000 Kepler mission, photometer cost growth and replan [illustrative]</w:t>
            </w:r>
          </w:p>
        </w:tc>
      </w:tr>
      <w:tr>
        <w:tc>
          <w:tcPr>
            <w:tcW w:w="0" w:type="auto"/>
          </w:tcPr>
          <w:p>
            <w:pPr>
              <w:spacing w:line="240" w:lineRule="auto" w:before="0" w:after="0"/>
              <w:pStyle w:val="Compact"/>
            </w:pPr>
            <w:r>
              <w:rPr>
                <w:sz w:val="20"/>
                <w:szCs w:val="20"/>
              </w:rPr>
              <w:t xml:space="preserve">WISE</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NTRS WISE project documentation, held cost baseline, MSX heritage cryostat</w:t>
            </w:r>
          </w:p>
        </w:tc>
      </w:tr>
    </w:tbl>
    <w:bookmarkEnd w:id="195"/>
    <w:bookmarkStart w:id="196"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Months from project confirmation (KDP-C) to the first major cost breach, or to launch if no breach occurred (censored)</w:t>
            </w:r>
          </w:p>
        </w:tc>
        <w:tc>
          <w:tcPr>
            <w:tcW w:w="0" w:type="auto"/>
          </w:tcPr>
          <w:p>
            <w:pPr>
              <w:spacing w:line="240" w:lineRule="auto" w:before="0" w:after="0"/>
              <w:pStyle w:val="Compact"/>
            </w:pPr>
            <w:r>
              <w:rPr>
                <w:sz w:val="20"/>
                <w:szCs w:val="20"/>
              </w:rPr>
              <w:t xml:space="preserve">NASA GAO major-project assessment timelines and program confirmation-to-launch records</w:t>
            </w:r>
          </w:p>
        </w:tc>
      </w:tr>
      <w:tr>
        <w:tc>
          <w:tcPr>
            <w:tcW w:w="0" w:type="auto"/>
          </w:tcPr>
          <w:p>
            <w:pPr>
              <w:spacing w:line="240" w:lineRule="auto" w:before="0" w:after="0"/>
              <w:pStyle w:val="Compact"/>
            </w:pPr>
            <w:r>
              <w:rPr>
                <w:sz w:val="20"/>
                <w:szCs w:val="20"/>
              </w:rPr>
              <w:t xml:space="preserve">breach</w:t>
            </w:r>
          </w:p>
        </w:tc>
        <w:tc>
          <w:tcPr>
            <w:tcW w:w="0" w:type="auto"/>
          </w:tcPr>
          <w:p>
            <w:pPr>
              <w:spacing w:line="240" w:lineRule="auto" w:before="0" w:after="0"/>
              <w:pStyle w:val="Compact"/>
            </w:pPr>
            <w:r>
              <w:rPr>
                <w:sz w:val="20"/>
                <w:szCs w:val="20"/>
              </w:rPr>
              <w:t xml:space="preserve">Event indicator: 1 if a development cost growth exceeding 15 percent of the confirmation baseline occurred, 0 otherwise (censored at launch)</w:t>
            </w:r>
          </w:p>
        </w:tc>
        <w:tc>
          <w:tcPr>
            <w:tcW w:w="0" w:type="auto"/>
          </w:tcPr>
          <w:p>
            <w:pPr>
              <w:spacing w:line="240" w:lineRule="auto" w:before="0" w:after="0"/>
              <w:pStyle w:val="Compact"/>
            </w:pPr>
            <w:r>
              <w:rPr>
                <w:sz w:val="20"/>
                <w:szCs w:val="20"/>
              </w:rPr>
              <w:t xml:space="preserve">GAO annual NASA Assessments of Major Projects, cost-growth-against-baseline tables</w:t>
            </w:r>
          </w:p>
        </w:tc>
      </w:tr>
      <w:tr>
        <w:tc>
          <w:tcPr>
            <w:tcW w:w="0" w:type="auto"/>
          </w:tcPr>
          <w:p>
            <w:pPr>
              <w:spacing w:line="240" w:lineRule="auto" w:before="0" w:after="0"/>
              <w:pStyle w:val="Compact"/>
            </w:pPr>
            <w:r>
              <w:rPr>
                <w:sz w:val="20"/>
                <w:szCs w:val="20"/>
              </w:rPr>
              <w:t xml:space="preserve">complexity_index</w:t>
            </w:r>
          </w:p>
        </w:tc>
        <w:tc>
          <w:tcPr>
            <w:tcW w:w="0" w:type="auto"/>
          </w:tcPr>
          <w:p>
            <w:pPr>
              <w:spacing w:line="240" w:lineRule="auto" w:before="0" w:after="0"/>
              <w:pStyle w:val="Compact"/>
            </w:pPr>
            <w:r>
              <w:rPr>
                <w:sz w:val="20"/>
                <w:szCs w:val="20"/>
              </w:rPr>
              <w:t xml:space="preserve">Instrument complexity index on a 1 to 5 ordinal scale reflecting instrument count and technical demand of the payload suite</w:t>
            </w:r>
          </w:p>
        </w:tc>
        <w:tc>
          <w:tcPr>
            <w:tcW w:w="0" w:type="auto"/>
          </w:tcPr>
          <w:p>
            <w:pPr>
              <w:spacing w:line="240" w:lineRule="auto" w:before="0" w:after="0"/>
              <w:pStyle w:val="Compact"/>
            </w:pPr>
            <w:r>
              <w:rPr>
                <w:sz w:val="20"/>
                <w:szCs w:val="20"/>
              </w:rPr>
              <w:t xml:space="preserve">Coded from mission payload descriptions in NASA program documentation and press kits</w:t>
            </w:r>
          </w:p>
        </w:tc>
      </w:tr>
      <w:tr>
        <w:tc>
          <w:tcPr>
            <w:tcW w:w="0" w:type="auto"/>
          </w:tcPr>
          <w:p>
            <w:pPr>
              <w:spacing w:line="240" w:lineRule="auto" w:before="0" w:after="0"/>
              <w:pStyle w:val="Compact"/>
            </w:pPr>
            <w:r>
              <w:rPr>
                <w:sz w:val="20"/>
                <w:szCs w:val="20"/>
              </w:rPr>
              <w:t xml:space="preserve">trl_start</w:t>
            </w:r>
          </w:p>
        </w:tc>
        <w:tc>
          <w:tcPr>
            <w:tcW w:w="0" w:type="auto"/>
          </w:tcPr>
          <w:p>
            <w:pPr>
              <w:spacing w:line="240" w:lineRule="auto" w:before="0" w:after="0"/>
              <w:pStyle w:val="Compact"/>
            </w:pPr>
            <w:r>
              <w:rPr>
                <w:sz w:val="20"/>
                <w:szCs w:val="20"/>
              </w:rPr>
              <w:t xml:space="preserve">Technology readiness level of the least-mature critical instrument technology at confirmation (1 to 9)</w:t>
            </w:r>
          </w:p>
        </w:tc>
        <w:tc>
          <w:tcPr>
            <w:tcW w:w="0" w:type="auto"/>
          </w:tcPr>
          <w:p>
            <w:pPr>
              <w:spacing w:line="240" w:lineRule="auto" w:before="0" w:after="0"/>
              <w:pStyle w:val="Compact"/>
            </w:pPr>
            <w:r>
              <w:rPr>
                <w:sz w:val="20"/>
                <w:szCs w:val="20"/>
              </w:rPr>
              <w:t xml:space="preserve">NASA technology readiness assessments reported in GAO major-project assessments at confirmation</w:t>
            </w:r>
          </w:p>
        </w:tc>
      </w:tr>
      <w:tr>
        <w:tc>
          <w:tcPr>
            <w:tcW w:w="0" w:type="auto"/>
          </w:tcPr>
          <w:p>
            <w:pPr>
              <w:spacing w:line="240" w:lineRule="auto" w:before="0" w:after="0"/>
              <w:pStyle w:val="Compact"/>
            </w:pPr>
            <w:r>
              <w:rPr>
                <w:sz w:val="20"/>
                <w:szCs w:val="20"/>
              </w:rPr>
              <w:t xml:space="preserve">heritage</w:t>
            </w:r>
          </w:p>
        </w:tc>
        <w:tc>
          <w:tcPr>
            <w:tcW w:w="0" w:type="auto"/>
          </w:tcPr>
          <w:p>
            <w:pPr>
              <w:spacing w:line="240" w:lineRule="auto" w:before="0" w:after="0"/>
              <w:pStyle w:val="Compact"/>
            </w:pPr>
            <w:r>
              <w:rPr>
                <w:sz w:val="20"/>
                <w:szCs w:val="20"/>
              </w:rPr>
              <w:t xml:space="preserve">Heritage indicator: 1 if the instrument or bus design drew substantial flight-proven heritage, 0 otherwise</w:t>
            </w:r>
          </w:p>
        </w:tc>
        <w:tc>
          <w:tcPr>
            <w:tcW w:w="0" w:type="auto"/>
          </w:tcPr>
          <w:p>
            <w:pPr>
              <w:spacing w:line="240" w:lineRule="auto" w:before="0" w:after="0"/>
              <w:pStyle w:val="Compact"/>
            </w:pPr>
            <w:r>
              <w:rPr>
                <w:sz w:val="20"/>
                <w:szCs w:val="20"/>
              </w:rPr>
              <w:t xml:space="preserve">Coded from documented heritage statements in program records and NTRS project histories</w:t>
            </w:r>
          </w:p>
        </w:tc>
      </w:tr>
    </w:tbl>
    <w:bookmarkEnd w:id="196"/>
    <w:bookmarkEnd w:id="197"/>
    <w:bookmarkStart w:id="205" w:name="X525aa0fe8eab7dd66b29208cc1df1723891220d"/>
    <w:p>
      <w:pPr>
        <w:pStyle w:val="Heading2"/>
        <w:spacing w:line="480" w:lineRule="auto"/>
      </w:pPr>
      <w:r>
        <w:t xml:space="preserve">A.2 What Drives Development Cost Growth in NASA Major Projects? An Ordinary Least Squares Analysis of Scale, Mission Class, and Formulation Maturity</w:t>
      </w:r>
    </w:p>
    <w:p>
      <w:pPr>
        <w:pStyle w:val="FirstParagraph"/>
        <w:spacing w:line="480" w:lineRule="auto"/>
      </w:pPr>
      <m:oMathPara>
        <m:oMathParaPr>
          <m:jc m:val="center"/>
        </m:oMathParaPr>
        <m:oMath>
          <m:sSub>
            <m:e>
              <m:r>
                <m:rPr>
                  <m:nor/>
                  <m:sty m:val="p"/>
                </m:rPr>
                <m:t>PctDevCostGrowth</m:t>
              </m:r>
            </m:e>
            <m:sub>
              <m:r>
                <m:t>i</m:t>
              </m:r>
            </m:sub>
          </m:sSub>
          <m:r>
            <m:rPr>
              <m:sty m:val="p"/>
            </m:rPr>
            <m:t>=</m:t>
          </m:r>
          <m:sSub>
            <m:e>
              <m:r>
                <m:t>β</m:t>
              </m:r>
            </m:e>
            <m:sub>
              <m:r>
                <m:t>0</m:t>
              </m:r>
            </m:sub>
          </m:sSub>
          <m:r>
            <m:rPr>
              <m:sty m:val="p"/>
            </m:rPr>
            <m:t>+</m:t>
          </m:r>
          <m:sSub>
            <m:e>
              <m:r>
                <m:t>β</m:t>
              </m:r>
            </m:e>
            <m:sub>
              <m:r>
                <m:t>1</m:t>
              </m:r>
            </m:sub>
          </m:sSub>
          <m:r>
            <m:rPr>
              <m:sty m:val="p"/>
            </m:rPr>
            <m:t>ln</m:t>
          </m:r>
          <m:r>
            <m:rPr>
              <m:sty m:val="p"/>
            </m:rPr>
            <m:t>(</m:t>
          </m:r>
          <m:sSub>
            <m:e>
              <m:r>
                <m:rPr>
                  <m:nor/>
                  <m:sty m:val="p"/>
                </m:rPr>
                <m:t>LCC</m:t>
              </m:r>
            </m:e>
            <m:sub>
              <m:r>
                <m:t>i</m:t>
              </m:r>
            </m:sub>
          </m:sSub>
          <m:r>
            <m:rPr>
              <m:sty m:val="p"/>
            </m:rPr>
            <m:t>)</m:t>
          </m:r>
          <m:r>
            <m:rPr>
              <m:sty m:val="p"/>
            </m:rPr>
            <m:t>+</m:t>
          </m:r>
          <m:sSub>
            <m:e>
              <m:r>
                <m:t>β</m:t>
              </m:r>
            </m:e>
            <m:sub>
              <m:r>
                <m:t>2</m:t>
              </m:r>
            </m:sub>
          </m:sSub>
          <m:sSub>
            <m:e>
              <m:r>
                <m:rPr>
                  <m:nor/>
                  <m:sty m:val="p"/>
                </m:rPr>
                <m:t>Flagship</m:t>
              </m:r>
            </m:e>
            <m:sub>
              <m:r>
                <m:t>i</m:t>
              </m:r>
            </m:sub>
          </m:sSub>
          <m:r>
            <m:rPr>
              <m:sty m:val="p"/>
            </m:rPr>
            <m:t>+</m:t>
          </m:r>
          <m:sSub>
            <m:e>
              <m:r>
                <m:t>β</m:t>
              </m:r>
            </m:e>
            <m:sub>
              <m:r>
                <m:t>3</m:t>
              </m:r>
            </m:sub>
          </m:sSub>
          <m:sSub>
            <m:e>
              <m:r>
                <m:rPr>
                  <m:nor/>
                  <m:sty m:val="p"/>
                </m:rPr>
                <m:t>EarlyForm</m:t>
              </m:r>
            </m:e>
            <m:sub>
              <m:r>
                <m:t>i</m:t>
              </m:r>
            </m:sub>
          </m:sSub>
          <m:r>
            <m:rPr>
              <m:sty m:val="p"/>
            </m:rPr>
            <m:t>+</m:t>
          </m:r>
          <m:sSub>
            <m:e>
              <m:r>
                <m:t>ε</m:t>
              </m:r>
            </m:e>
            <m:sub>
              <m:r>
                <m:t>i</m:t>
              </m:r>
            </m:sub>
          </m:sSub>
        </m:oMath>
      </m:oMathPara>
    </w:p>
    <w:bookmarkStart w:id="198"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-23.2668</w:t>
            </w:r>
          </w:p>
        </w:tc>
        <w:tc>
          <w:tcPr>
            <w:tcW w:w="0" w:type="auto"/>
          </w:tcPr>
          <w:p>
            <w:pPr>
              <w:spacing w:line="240" w:lineRule="auto" w:before="0" w:after="0"/>
              <w:pStyle w:val="Compact"/>
            </w:pPr>
            <w:r>
              <w:rPr>
                <w:sz w:val="20"/>
                <w:szCs w:val="20"/>
              </w:rPr>
              <w:t xml:space="preserve">38.9029</w:t>
            </w:r>
          </w:p>
        </w:tc>
        <w:tc>
          <w:tcPr>
            <w:tcW w:w="0" w:type="auto"/>
          </w:tcPr>
          <w:p>
            <w:pPr>
              <w:spacing w:line="240" w:lineRule="auto" w:before="0" w:after="0"/>
              <w:pStyle w:val="Compact"/>
            </w:pPr>
            <w:r>
              <w:rPr>
                <w:sz w:val="20"/>
                <w:szCs w:val="20"/>
              </w:rPr>
              <w:t xml:space="preserve">-0.5981</w:t>
            </w:r>
          </w:p>
        </w:tc>
        <w:tc>
          <w:tcPr>
            <w:tcW w:w="0" w:type="auto"/>
          </w:tcPr>
          <w:p>
            <w:pPr>
              <w:spacing w:line="240" w:lineRule="auto" w:before="0" w:after="0"/>
              <w:pStyle w:val="Compact"/>
            </w:pPr>
            <w:r>
              <w:rPr>
                <w:sz w:val="20"/>
                <w:szCs w:val="20"/>
              </w:rPr>
              <w:t xml:space="preserve">0.5498</w:t>
            </w:r>
          </w:p>
        </w:tc>
        <w:tc>
          <w:tcPr>
            <w:tcW w:w="0" w:type="auto"/>
          </w:tcPr>
          <w:p>
            <w:pPr>
              <w:spacing w:line="240" w:lineRule="auto" w:before="0" w:after="0"/>
              <w:pStyle w:val="Compact"/>
            </w:pPr>
            <w:r>
              <w:rPr>
                <w:sz w:val="20"/>
                <w:szCs w:val="20"/>
              </w:rPr>
              <w:t xml:space="preserve">[-99.5151, 52.9815]</w:t>
            </w:r>
          </w:p>
        </w:tc>
      </w:tr>
      <w:tr>
        <w:tc>
          <w:tcPr>
            <w:tcW w:w="0" w:type="auto"/>
          </w:tcPr>
          <w:p>
            <w:pPr>
              <w:spacing w:line="240" w:lineRule="auto" w:before="0" w:after="0"/>
              <w:pStyle w:val="Compact"/>
            </w:pPr>
            <w:r>
              <w:rPr>
                <w:sz w:val="20"/>
                <w:szCs w:val="20"/>
              </w:rPr>
              <w:t xml:space="preserve">log_lcc</w:t>
            </w:r>
          </w:p>
        </w:tc>
        <w:tc>
          <w:tcPr>
            <w:tcW w:w="0" w:type="auto"/>
          </w:tcPr>
          <w:p>
            <w:pPr>
              <w:spacing w:line="240" w:lineRule="auto" w:before="0" w:after="0"/>
              <w:pStyle w:val="Compact"/>
            </w:pPr>
            <w:r>
              <w:rPr>
                <w:sz w:val="20"/>
                <w:szCs w:val="20"/>
              </w:rPr>
              <w:t xml:space="preserve">3.9157</w:t>
            </w:r>
          </w:p>
        </w:tc>
        <w:tc>
          <w:tcPr>
            <w:tcW w:w="0" w:type="auto"/>
          </w:tcPr>
          <w:p>
            <w:pPr>
              <w:spacing w:line="240" w:lineRule="auto" w:before="0" w:after="0"/>
              <w:pStyle w:val="Compact"/>
            </w:pPr>
            <w:r>
              <w:rPr>
                <w:sz w:val="20"/>
                <w:szCs w:val="20"/>
              </w:rPr>
              <w:t xml:space="preserve">6.1141</w:t>
            </w:r>
          </w:p>
        </w:tc>
        <w:tc>
          <w:tcPr>
            <w:tcW w:w="0" w:type="auto"/>
          </w:tcPr>
          <w:p>
            <w:pPr>
              <w:spacing w:line="240" w:lineRule="auto" w:before="0" w:after="0"/>
              <w:pStyle w:val="Compact"/>
            </w:pPr>
            <w:r>
              <w:rPr>
                <w:sz w:val="20"/>
                <w:szCs w:val="20"/>
              </w:rPr>
              <w:t xml:space="preserve">0.6404</w:t>
            </w:r>
          </w:p>
        </w:tc>
        <w:tc>
          <w:tcPr>
            <w:tcW w:w="0" w:type="auto"/>
          </w:tcPr>
          <w:p>
            <w:pPr>
              <w:spacing w:line="240" w:lineRule="auto" w:before="0" w:after="0"/>
              <w:pStyle w:val="Compact"/>
            </w:pPr>
            <w:r>
              <w:rPr>
                <w:sz w:val="20"/>
                <w:szCs w:val="20"/>
              </w:rPr>
              <w:t xml:space="preserve">0.5219</w:t>
            </w:r>
          </w:p>
        </w:tc>
        <w:tc>
          <w:tcPr>
            <w:tcW w:w="0" w:type="auto"/>
          </w:tcPr>
          <w:p>
            <w:pPr>
              <w:spacing w:line="240" w:lineRule="auto" w:before="0" w:after="0"/>
              <w:pStyle w:val="Compact"/>
            </w:pPr>
            <w:r>
              <w:rPr>
                <w:sz w:val="20"/>
                <w:szCs w:val="20"/>
              </w:rPr>
              <w:t xml:space="preserve">[-8.0678, 15.8992]</w:t>
            </w:r>
          </w:p>
        </w:tc>
      </w:tr>
      <w:tr>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1.8936</w:t>
            </w:r>
          </w:p>
        </w:tc>
        <w:tc>
          <w:tcPr>
            <w:tcW w:w="0" w:type="auto"/>
          </w:tcPr>
          <w:p>
            <w:pPr>
              <w:spacing w:line="240" w:lineRule="auto" w:before="0" w:after="0"/>
              <w:pStyle w:val="Compact"/>
            </w:pPr>
            <w:r>
              <w:rPr>
                <w:sz w:val="20"/>
                <w:szCs w:val="20"/>
              </w:rPr>
              <w:t xml:space="preserve">13.4494</w:t>
            </w:r>
          </w:p>
        </w:tc>
        <w:tc>
          <w:tcPr>
            <w:tcW w:w="0" w:type="auto"/>
          </w:tcPr>
          <w:p>
            <w:pPr>
              <w:spacing w:line="240" w:lineRule="auto" w:before="0" w:after="0"/>
              <w:pStyle w:val="Compact"/>
            </w:pPr>
            <w:r>
              <w:rPr>
                <w:sz w:val="20"/>
                <w:szCs w:val="20"/>
              </w:rPr>
              <w:t xml:space="preserve">0.1408</w:t>
            </w:r>
          </w:p>
        </w:tc>
        <w:tc>
          <w:tcPr>
            <w:tcW w:w="0" w:type="auto"/>
          </w:tcPr>
          <w:p>
            <w:pPr>
              <w:spacing w:line="240" w:lineRule="auto" w:before="0" w:after="0"/>
              <w:pStyle w:val="Compact"/>
            </w:pPr>
            <w:r>
              <w:rPr>
                <w:sz w:val="20"/>
                <w:szCs w:val="20"/>
              </w:rPr>
              <w:t xml:space="preserve">0.888</w:t>
            </w:r>
          </w:p>
        </w:tc>
        <w:tc>
          <w:tcPr>
            <w:tcW w:w="0" w:type="auto"/>
          </w:tcPr>
          <w:p>
            <w:pPr>
              <w:spacing w:line="240" w:lineRule="auto" w:before="0" w:after="0"/>
              <w:pStyle w:val="Compact"/>
            </w:pPr>
            <w:r>
              <w:rPr>
                <w:sz w:val="20"/>
                <w:szCs w:val="20"/>
              </w:rPr>
              <w:t xml:space="preserve">[-24.4667, 28.254]</w:t>
            </w:r>
          </w:p>
        </w:tc>
      </w:tr>
      <w:tr>
        <w:tc>
          <w:tcPr>
            <w:tcW w:w="0" w:type="auto"/>
          </w:tcPr>
          <w:p>
            <w:pPr>
              <w:spacing w:line="240" w:lineRule="auto" w:before="0" w:after="0"/>
              <w:pStyle w:val="Compact"/>
            </w:pPr>
            <w:r>
              <w:rPr>
                <w:sz w:val="20"/>
                <w:szCs w:val="20"/>
              </w:rPr>
              <w:t xml:space="preserve">early_formulation</w:t>
            </w:r>
          </w:p>
        </w:tc>
        <w:tc>
          <w:tcPr>
            <w:tcW w:w="0" w:type="auto"/>
          </w:tcPr>
          <w:p>
            <w:pPr>
              <w:spacing w:line="240" w:lineRule="auto" w:before="0" w:after="0"/>
              <w:pStyle w:val="Compact"/>
            </w:pPr>
            <w:r>
              <w:rPr>
                <w:sz w:val="20"/>
                <w:szCs w:val="20"/>
              </w:rPr>
              <w:t xml:space="preserve">41.4819</w:t>
            </w:r>
          </w:p>
        </w:tc>
        <w:tc>
          <w:tcPr>
            <w:tcW w:w="0" w:type="auto"/>
          </w:tcPr>
          <w:p>
            <w:pPr>
              <w:spacing w:line="240" w:lineRule="auto" w:before="0" w:after="0"/>
              <w:pStyle w:val="Compact"/>
            </w:pPr>
            <w:r>
              <w:rPr>
                <w:sz w:val="20"/>
                <w:szCs w:val="20"/>
              </w:rPr>
              <w:t xml:space="preserve">8.616</w:t>
            </w:r>
          </w:p>
        </w:tc>
        <w:tc>
          <w:tcPr>
            <w:tcW w:w="0" w:type="auto"/>
          </w:tcPr>
          <w:p>
            <w:pPr>
              <w:spacing w:line="240" w:lineRule="auto" w:before="0" w:after="0"/>
              <w:pStyle w:val="Compact"/>
            </w:pPr>
            <w:r>
              <w:rPr>
                <w:sz w:val="20"/>
                <w:szCs w:val="20"/>
              </w:rPr>
              <w:t xml:space="preserve">4.8145</w:t>
            </w:r>
          </w:p>
        </w:tc>
        <w:tc>
          <w:tcPr>
            <w:tcW w:w="0" w:type="auto"/>
          </w:tcPr>
          <w:p>
            <w:pPr>
              <w:spacing w:line="240" w:lineRule="auto" w:before="0" w:after="0"/>
              <w:pStyle w:val="Compact"/>
            </w:pPr>
            <w:r>
              <w:rPr>
                <w:sz w:val="20"/>
                <w:szCs w:val="20"/>
              </w:rPr>
              <w:t xml:space="preserve">1.475e-06</w:t>
            </w:r>
          </w:p>
        </w:tc>
        <w:tc>
          <w:tcPr>
            <w:tcW w:w="0" w:type="auto"/>
          </w:tcPr>
          <w:p>
            <w:pPr>
              <w:spacing w:line="240" w:lineRule="auto" w:before="0" w:after="0"/>
              <w:pStyle w:val="Compact"/>
            </w:pPr>
            <w:r>
              <w:rPr>
                <w:sz w:val="20"/>
                <w:szCs w:val="20"/>
              </w:rPr>
              <w:t xml:space="preserve">[24.5949, 58.3689]</w:t>
            </w:r>
          </w:p>
        </w:tc>
      </w:tr>
    </w:tbl>
    <w:p>
      <w:pPr>
        <w:pStyle w:val="BodyText"/>
        <w:spacing w:line="480" w:lineRule="auto"/>
        <w:ind w:firstLine="720"/>
      </w:pPr>
      <w:r>
        <w:t xml:space="preserve">Fit: N = 31 R2 = 0.4927 R2_adj = 0.4363 F = 9.0353 F_p = 0.0002619</w:t>
      </w:r>
    </w:p>
    <w:bookmarkEnd w:id="198"/>
    <w:bookmarkStart w:id="202"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Percent development cost growth versus log life-cycle cost across thirty-one NASA major projects drawn from the GAO assessment series, with fitted ordinary least squares trend." title="" id="200" name="Picture"/>
            <a:graphic>
              <a:graphicData uri="http://schemas.openxmlformats.org/drawingml/2006/picture">
                <pic:pic>
                  <pic:nvPicPr>
                    <pic:cNvPr descr="D:/Claude_Code/brain/collegium/candidates/dissertations/JPL_INSTRUMENTS_NAV_01/research_papers/p2/paper_fig1.png" id="201" name="Picture"/>
                    <pic:cNvPicPr>
                      <a:picLocks noChangeArrowheads="1" noChangeAspect="1"/>
                    </pic:cNvPicPr>
                  </pic:nvPicPr>
                  <pic:blipFill>
                    <a:blip r:embed="rId19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Percent development cost growth versus log life-cycle cost across thirty-one NASA major projects drawn from the GAO assessment series, with fitted ordinary least squares trend.</w:t>
      </w:r>
    </w:p>
    <w:bookmarkEnd w:id="202"/>
    <w:bookmarkStart w:id="203"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pct_dev_cost_growth</w:t>
            </w:r>
          </w:p>
        </w:tc>
        <w:tc>
          <w:tcPr>
            <w:tcW w:w="0" w:type="auto"/>
          </w:tcPr>
          <w:p>
            <w:pPr>
              <w:spacing w:line="240" w:lineRule="auto" w:before="0" w:after="0"/>
              <w:pStyle w:val="Compact"/>
            </w:pPr>
            <w:r>
              <w:rPr>
                <w:sz w:val="20"/>
                <w:szCs w:val="20"/>
              </w:rPr>
              <w:t xml:space="preserve">lcc_musd</w:t>
            </w:r>
          </w:p>
        </w:tc>
        <w:tc>
          <w:tcPr>
            <w:tcW w:w="0" w:type="auto"/>
          </w:tcPr>
          <w:p>
            <w:pPr>
              <w:spacing w:line="240" w:lineRule="auto" w:before="0" w:after="0"/>
              <w:pStyle w:val="Compact"/>
            </w:pPr>
            <w:r>
              <w:rPr>
                <w:sz w:val="20"/>
                <w:szCs w:val="20"/>
              </w:rPr>
              <w:t xml:space="preserve">log_lcc</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early_formulation</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77.8</w:t>
            </w:r>
          </w:p>
        </w:tc>
        <w:tc>
          <w:tcPr>
            <w:tcW w:w="0" w:type="auto"/>
          </w:tcPr>
          <w:p>
            <w:pPr>
              <w:spacing w:line="240" w:lineRule="auto" w:before="0" w:after="0"/>
              <w:pStyle w:val="Compact"/>
            </w:pPr>
            <w:r>
              <w:rPr>
                <w:sz w:val="20"/>
                <w:szCs w:val="20"/>
              </w:rPr>
              <w:t xml:space="preserve">8825.4</w:t>
            </w:r>
          </w:p>
        </w:tc>
        <w:tc>
          <w:tcPr>
            <w:tcW w:w="0" w:type="auto"/>
          </w:tcPr>
          <w:p>
            <w:pPr>
              <w:spacing w:line="240" w:lineRule="auto" w:before="0" w:after="0"/>
              <w:pStyle w:val="Compact"/>
            </w:pPr>
            <w:r>
              <w:rPr>
                <w:sz w:val="20"/>
                <w:szCs w:val="20"/>
              </w:rPr>
              <w:t xml:space="preserve">9.0854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GAO-18-280SP p.61 project profile: development cost growth +77.8% vs FY2009 rebaseline ($2581.1M-&gt;$6188.8M); life-cycle cost estimate $8,825.4M. Flagship astrophysics (Large Strategic). Early-formulation instability: confirmed with immature detectors/sunshield, later rebaselined.</w:t>
            </w:r>
          </w:p>
        </w:tc>
      </w:tr>
      <w:tr>
        <w:tc>
          <w:tcPr>
            <w:tcW w:w="0" w:type="auto"/>
          </w:tcPr>
          <w:p>
            <w:pPr>
              <w:spacing w:line="240" w:lineRule="auto" w:before="0" w:after="0"/>
              <w:pStyle w:val="Compact"/>
            </w:pPr>
            <w:r>
              <w:rPr>
                <w:sz w:val="20"/>
                <w:szCs w:val="20"/>
              </w:rPr>
              <w:t xml:space="preserve">SGSS</w:t>
            </w:r>
          </w:p>
        </w:tc>
        <w:tc>
          <w:tcPr>
            <w:tcW w:w="0" w:type="auto"/>
          </w:tcPr>
          <w:p>
            <w:pPr>
              <w:spacing w:line="240" w:lineRule="auto" w:before="0" w:after="0"/>
              <w:pStyle w:val="Compact"/>
            </w:pPr>
            <w:r>
              <w:rPr>
                <w:sz w:val="20"/>
                <w:szCs w:val="20"/>
              </w:rPr>
              <w:t xml:space="preserve">93.4</w:t>
            </w:r>
          </w:p>
        </w:tc>
        <w:tc>
          <w:tcPr>
            <w:tcW w:w="0" w:type="auto"/>
          </w:tcPr>
          <w:p>
            <w:pPr>
              <w:spacing w:line="240" w:lineRule="auto" w:before="0" w:after="0"/>
              <w:pStyle w:val="Compact"/>
            </w:pPr>
            <w:r>
              <w:rPr>
                <w:sz w:val="20"/>
                <w:szCs w:val="20"/>
              </w:rPr>
              <w:t xml:space="preserve">1207.9</w:t>
            </w:r>
          </w:p>
        </w:tc>
        <w:tc>
          <w:tcPr>
            <w:tcW w:w="0" w:type="auto"/>
          </w:tcPr>
          <w:p>
            <w:pPr>
              <w:spacing w:line="240" w:lineRule="auto" w:before="0" w:after="0"/>
              <w:pStyle w:val="Compact"/>
            </w:pPr>
            <w:r>
              <w:rPr>
                <w:sz w:val="20"/>
                <w:szCs w:val="20"/>
              </w:rPr>
              <w:t xml:space="preserve">7.0966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GAO-18-280SP p.89 project profile (Space Network Ground Segment Sustainment): development cost growth +93.4% vs FY2013 baseline ($493.9M-&gt;$955.1M); life-cycle cost $1,207.9M. Ground-segment, non-flagship. Early-formulation: software-intensive ground system, severe pre-ORR growth.</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36.6</w:t>
            </w:r>
          </w:p>
        </w:tc>
        <w:tc>
          <w:tcPr>
            <w:tcW w:w="0" w:type="auto"/>
          </w:tcPr>
          <w:p>
            <w:pPr>
              <w:spacing w:line="240" w:lineRule="auto" w:before="0" w:after="0"/>
              <w:pStyle w:val="Compact"/>
            </w:pPr>
            <w:r>
              <w:rPr>
                <w:sz w:val="20"/>
                <w:szCs w:val="20"/>
              </w:rPr>
              <w:t xml:space="preserve">1063.6</w:t>
            </w:r>
          </w:p>
        </w:tc>
        <w:tc>
          <w:tcPr>
            <w:tcW w:w="0" w:type="auto"/>
          </w:tcPr>
          <w:p>
            <w:pPr>
              <w:spacing w:line="240" w:lineRule="auto" w:before="0" w:after="0"/>
              <w:pStyle w:val="Compact"/>
            </w:pPr>
            <w:r>
              <w:rPr>
                <w:sz w:val="20"/>
                <w:szCs w:val="20"/>
              </w:rPr>
              <w:t xml:space="preserve">6.9694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GAO-15-320SP Assessments of Large-Scale Projects: ICESat-2 development cost +36.6% ($558.9M-&gt;$763.7M) vs original confirmation baseline; life-cycle cost $1,063.6M (GAO-18-280SP p.55). Earth science, non-flagship. Early-formulation: new photon-counting ATLAS laser drove growth.</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22.8</w:t>
            </w:r>
          </w:p>
        </w:tc>
        <w:tc>
          <w:tcPr>
            <w:tcW w:w="0" w:type="auto"/>
          </w:tcPr>
          <w:p>
            <w:pPr>
              <w:spacing w:line="240" w:lineRule="auto" w:before="0" w:after="0"/>
              <w:pStyle w:val="Compact"/>
            </w:pPr>
            <w:r>
              <w:rPr>
                <w:sz w:val="20"/>
                <w:szCs w:val="20"/>
              </w:rPr>
              <w:t xml:space="preserve">828.9</w:t>
            </w:r>
          </w:p>
        </w:tc>
        <w:tc>
          <w:tcPr>
            <w:tcW w:w="0" w:type="auto"/>
          </w:tcPr>
          <w:p>
            <w:pPr>
              <w:spacing w:line="240" w:lineRule="auto" w:before="0" w:after="0"/>
              <w:pStyle w:val="Compact"/>
            </w:pPr>
            <w:r>
              <w:rPr>
                <w:sz w:val="20"/>
                <w:szCs w:val="20"/>
              </w:rPr>
              <w:t xml:space="preserve">6.7201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GAO-18-280SP p.57 project profile: cumulative development cost growth +22.8% ($541.8M-&gt;$673.5M) vs FY2014 baseline; life-cycle cost $828.9M. Discovery planetary, non-flagship. Early-formulation: SEIS seismometer vacuum-seal failure forced 2-year slip and rework.</w:t>
            </w:r>
          </w:p>
        </w:tc>
      </w:tr>
      <w:tr>
        <w:tc>
          <w:tcPr>
            <w:tcW w:w="0" w:type="auto"/>
          </w:tcPr>
          <w:p>
            <w:pPr>
              <w:spacing w:line="240" w:lineRule="auto" w:before="0" w:after="0"/>
              <w:pStyle w:val="Compact"/>
            </w:pPr>
            <w:r>
              <w:rPr>
                <w:sz w:val="20"/>
                <w:szCs w:val="20"/>
              </w:rPr>
              <w:t xml:space="preserve">EGS</w:t>
            </w:r>
          </w:p>
        </w:tc>
        <w:tc>
          <w:tcPr>
            <w:tcW w:w="0" w:type="auto"/>
          </w:tcPr>
          <w:p>
            <w:pPr>
              <w:spacing w:line="240" w:lineRule="auto" w:before="0" w:after="0"/>
              <w:pStyle w:val="Compact"/>
            </w:pPr>
            <w:r>
              <w:rPr>
                <w:sz w:val="20"/>
                <w:szCs w:val="20"/>
              </w:rPr>
              <w:t xml:space="preserve">14.9</w:t>
            </w:r>
          </w:p>
        </w:tc>
        <w:tc>
          <w:tcPr>
            <w:tcW w:w="0" w:type="auto"/>
          </w:tcPr>
          <w:p>
            <w:pPr>
              <w:spacing w:line="240" w:lineRule="auto" w:before="0" w:after="0"/>
              <w:pStyle w:val="Compact"/>
            </w:pPr>
            <w:r>
              <w:rPr>
                <w:sz w:val="20"/>
                <w:szCs w:val="20"/>
              </w:rPr>
              <w:t xml:space="preserve">3230.7</w:t>
            </w:r>
          </w:p>
        </w:tc>
        <w:tc>
          <w:tcPr>
            <w:tcW w:w="0" w:type="auto"/>
          </w:tcPr>
          <w:p>
            <w:pPr>
              <w:spacing w:line="240" w:lineRule="auto" w:before="0" w:after="0"/>
              <w:pStyle w:val="Compact"/>
            </w:pPr>
            <w:r>
              <w:rPr>
                <w:sz w:val="20"/>
                <w:szCs w:val="20"/>
              </w:rPr>
              <w:t xml:space="preserve">8.0805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GAO-18-280SP p.51 project profile (Exploration Ground Systems): development cost growth +14.9% ($1,843.5M-&gt;$2,264.9M) vs FY2014 baseline; life-cycle cost $3,230.7M. Human-spaceflight ground (Large Strategic). Implementation-phase replan, not early-formulation.</w:t>
            </w:r>
          </w:p>
        </w:tc>
      </w:tr>
      <w:tr>
        <w:tc>
          <w:tcPr>
            <w:tcW w:w="0" w:type="auto"/>
          </w:tcPr>
          <w:p>
            <w:pPr>
              <w:spacing w:line="240" w:lineRule="auto" w:before="0" w:after="0"/>
              <w:pStyle w:val="Compact"/>
            </w:pPr>
            <w:r>
              <w:rPr>
                <w:sz w:val="20"/>
                <w:szCs w:val="20"/>
              </w:rPr>
              <w:t xml:space="preserve">SLS</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9843.2</w:t>
            </w:r>
          </w:p>
        </w:tc>
        <w:tc>
          <w:tcPr>
            <w:tcW w:w="0" w:type="auto"/>
          </w:tcPr>
          <w:p>
            <w:pPr>
              <w:spacing w:line="240" w:lineRule="auto" w:before="0" w:after="0"/>
              <w:pStyle w:val="Compact"/>
            </w:pPr>
            <w:r>
              <w:rPr>
                <w:sz w:val="20"/>
                <w:szCs w:val="20"/>
              </w:rPr>
              <w:t xml:space="preserve">9.1945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GAO-18-280SP p.87 project profile (Space Launch System): development cost growth +1.5% ($7,021.4M-&gt;$9,695.4M is then-year; GAO reports +1.5% Feb2018 vs FY2014) ; life-cycle cost $9,843.2M. Human-spaceflight launch vehicle (Large Strategic). Implementation replan.</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896.9</w:t>
            </w:r>
          </w:p>
        </w:tc>
        <w:tc>
          <w:tcPr>
            <w:tcW w:w="0" w:type="auto"/>
          </w:tcPr>
          <w:p>
            <w:pPr>
              <w:spacing w:line="240" w:lineRule="auto" w:before="0" w:after="0"/>
              <w:pStyle w:val="Compact"/>
            </w:pPr>
            <w:r>
              <w:rPr>
                <w:sz w:val="20"/>
                <w:szCs w:val="20"/>
              </w:rPr>
              <w:t xml:space="preserve">6.7989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GAO-18-280SP p.81 project profile (NASA-ISRO SAR): development cost growth +3.5% ($661.0M-&gt;$683.0M) vs FY2016 baseline; life-cycle cost $896.9M. Earth science, non-flagship. Confirmed near implementation, low early-formulation instability.</w:t>
            </w:r>
          </w:p>
        </w:tc>
      </w:tr>
      <w:tr>
        <w:tc>
          <w:tcPr>
            <w:tcW w:w="0" w:type="auto"/>
          </w:tcPr>
          <w:p>
            <w:pPr>
              <w:spacing w:line="240" w:lineRule="auto" w:before="0" w:after="0"/>
              <w:pStyle w:val="Compact"/>
            </w:pPr>
            <w:r>
              <w:rPr>
                <w:sz w:val="20"/>
                <w:szCs w:val="20"/>
              </w:rPr>
              <w:t xml:space="preserve">Mars2020</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2458.2</w:t>
            </w:r>
          </w:p>
        </w:tc>
        <w:tc>
          <w:tcPr>
            <w:tcW w:w="0" w:type="auto"/>
          </w:tcPr>
          <w:p>
            <w:pPr>
              <w:spacing w:line="240" w:lineRule="auto" w:before="0" w:after="0"/>
              <w:pStyle w:val="Compact"/>
            </w:pPr>
            <w:r>
              <w:rPr>
                <w:sz w:val="20"/>
                <w:szCs w:val="20"/>
              </w:rPr>
              <w:t xml:space="preserve">7.8072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GAO-18-280SP p.71 project profile (Mars 2020): development cost growth +0.6% ($1,676.9M-&gt;$1,687.6M) vs FY2016 baseline; life-cycle cost $2,458.2M. Flagship planetary (Large Strategic, MSL heritage rover). Stable, implementation phase.</w:t>
            </w:r>
          </w:p>
        </w:tc>
      </w:tr>
      <w:tr>
        <w:tc>
          <w:tcPr>
            <w:tcW w:w="0" w:type="auto"/>
          </w:tcPr>
          <w:p>
            <w:pPr>
              <w:spacing w:line="240" w:lineRule="auto" w:before="0" w:after="0"/>
              <w:pStyle w:val="Compact"/>
            </w:pPr>
            <w:r>
              <w:rPr>
                <w:sz w:val="20"/>
                <w:szCs w:val="20"/>
              </w:rPr>
              <w:t xml:space="preserve">PSP</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1548.2</w:t>
            </w:r>
          </w:p>
        </w:tc>
        <w:tc>
          <w:tcPr>
            <w:tcW w:w="0" w:type="auto"/>
          </w:tcPr>
          <w:p>
            <w:pPr>
              <w:spacing w:line="240" w:lineRule="auto" w:before="0" w:after="0"/>
              <w:pStyle w:val="Compact"/>
            </w:pPr>
            <w:r>
              <w:rPr>
                <w:sz w:val="20"/>
                <w:szCs w:val="20"/>
              </w:rPr>
              <w:t xml:space="preserve">7.3448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GAO-18-280SP p.77 project profile (Parker Solar Probe): development cost change -0.3% ($1,055.7M-&gt;$1,050.3M) vs FY2014 baseline; life-cycle cost $1,548.2M. Heliophysics LWS, non-flagship. Stable, implementation.</w:t>
            </w:r>
          </w:p>
        </w:tc>
      </w:tr>
      <w:tr>
        <w:tc>
          <w:tcPr>
            <w:tcW w:w="0" w:type="auto"/>
          </w:tcPr>
          <w:p>
            <w:pPr>
              <w:spacing w:line="240" w:lineRule="auto" w:before="0" w:after="0"/>
              <w:pStyle w:val="Compact"/>
            </w:pPr>
            <w:r>
              <w:rPr>
                <w:sz w:val="20"/>
                <w:szCs w:val="20"/>
              </w:rPr>
              <w:t xml:space="preserve">GRACE-FO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431.9</w:t>
            </w:r>
          </w:p>
        </w:tc>
        <w:tc>
          <w:tcPr>
            <w:tcW w:w="0" w:type="auto"/>
          </w:tcPr>
          <w:p>
            <w:pPr>
              <w:spacing w:line="240" w:lineRule="auto" w:before="0" w:after="0"/>
              <w:pStyle w:val="Compact"/>
            </w:pPr>
            <w:r>
              <w:rPr>
                <w:sz w:val="20"/>
                <w:szCs w:val="20"/>
              </w:rPr>
              <w:t xml:space="preserve">6.0682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GAO-18-280SP p.53 project profile (GRACE Follow-On): development cost change 0% ($264.0M baseline) vs FY2014; life-cycle cost $431.9M. Earth science, non-flagship. GRACE recurring build, implementation.</w:t>
            </w:r>
          </w:p>
        </w:tc>
      </w:tr>
      <w:tr>
        <w:tc>
          <w:tcPr>
            <w:tcW w:w="0" w:type="auto"/>
          </w:tcPr>
          <w:p>
            <w:pPr>
              <w:spacing w:line="240" w:lineRule="auto" w:before="0" w:after="0"/>
              <w:pStyle w:val="Compact"/>
            </w:pPr>
            <w:r>
              <w:rPr>
                <w:sz w:val="20"/>
                <w:szCs w:val="20"/>
              </w:rPr>
              <w:t xml:space="preserve">ICON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252.7</w:t>
            </w:r>
          </w:p>
        </w:tc>
        <w:tc>
          <w:tcPr>
            <w:tcW w:w="0" w:type="auto"/>
          </w:tcPr>
          <w:p>
            <w:pPr>
              <w:spacing w:line="240" w:lineRule="auto" w:before="0" w:after="0"/>
              <w:pStyle w:val="Compact"/>
            </w:pPr>
            <w:r>
              <w:rPr>
                <w:sz w:val="20"/>
                <w:szCs w:val="20"/>
              </w:rPr>
              <w:t xml:space="preserve">5.5322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GAO-18-280SP p.59 project profile (Ionospheric Connection Explorer): development cost change 0% ($196.0M) at GAO-18; life-cycle cost $252.7M. Explorer-class heliophysics, non-flagship. (Later +9.4% in GAO-20-405 after schedule slip.)</w:t>
            </w:r>
          </w:p>
        </w:tc>
      </w:tr>
      <w:tr>
        <w:tc>
          <w:tcPr>
            <w:tcW w:w="0" w:type="auto"/>
          </w:tcPr>
          <w:p>
            <w:pPr>
              <w:spacing w:line="240" w:lineRule="auto" w:before="0" w:after="0"/>
              <w:pStyle w:val="Compact"/>
            </w:pPr>
            <w:r>
              <w:rPr>
                <w:sz w:val="20"/>
                <w:szCs w:val="20"/>
              </w:rPr>
              <w:t xml:space="preserve">Landsat9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885</w:t>
            </w:r>
          </w:p>
        </w:tc>
        <w:tc>
          <w:tcPr>
            <w:tcW w:w="0" w:type="auto"/>
          </w:tcPr>
          <w:p>
            <w:pPr>
              <w:spacing w:line="240" w:lineRule="auto" w:before="0" w:after="0"/>
              <w:pStyle w:val="Compact"/>
            </w:pPr>
            <w:r>
              <w:rPr>
                <w:sz w:val="20"/>
                <w:szCs w:val="20"/>
              </w:rPr>
              <w:t xml:space="preserve">6.7856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GAO-18-280SP p.63 project profile (Landsat 9): development cost change 0% ($634.2M) vs FY2018 baseline; life-cycle cost $885.0M. Earth science, non-flagship. OLI-2/TIRS-2 build-to-print, implementation.</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754.9</w:t>
            </w:r>
          </w:p>
        </w:tc>
        <w:tc>
          <w:tcPr>
            <w:tcW w:w="0" w:type="auto"/>
          </w:tcPr>
          <w:p>
            <w:pPr>
              <w:spacing w:line="240" w:lineRule="auto" w:before="0" w:after="0"/>
              <w:pStyle w:val="Compact"/>
            </w:pPr>
            <w:r>
              <w:rPr>
                <w:sz w:val="20"/>
                <w:szCs w:val="20"/>
              </w:rPr>
              <w:t xml:space="preserve">6.6266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GAO-18-280SP p.89 project profile (Surface Water and Ocean Topography): development cost change 0% ($571.5M) vs FY2016 baseline; life-cycle cost $754.9M. Earth science, non-flagship. Implementation.</w:t>
            </w:r>
          </w:p>
        </w:tc>
      </w:tr>
      <w:tr>
        <w:tc>
          <w:tcPr>
            <w:tcW w:w="0" w:type="auto"/>
          </w:tcPr>
          <w:p>
            <w:pPr>
              <w:spacing w:line="240" w:lineRule="auto" w:before="0" w:after="0"/>
              <w:pStyle w:val="Compact"/>
            </w:pPr>
            <w:r>
              <w:rPr>
                <w:sz w:val="20"/>
                <w:szCs w:val="20"/>
              </w:rPr>
              <w:t xml:space="preserve">RBI</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304.8</w:t>
            </w:r>
          </w:p>
        </w:tc>
        <w:tc>
          <w:tcPr>
            <w:tcW w:w="0" w:type="auto"/>
          </w:tcPr>
          <w:p>
            <w:pPr>
              <w:spacing w:line="240" w:lineRule="auto" w:before="0" w:after="0"/>
              <w:pStyle w:val="Compact"/>
            </w:pPr>
            <w:r>
              <w:rPr>
                <w:sz w:val="20"/>
                <w:szCs w:val="20"/>
              </w:rPr>
              <w:t xml:space="preserve">5.7197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GAO-18-280SP p.83 project profile (Radiation Budget Instrument): development cost change 0% ($202.0M) vs FY2016 baseline; life-cycle cost $304.8M. Instrument project, non-flagship (later canceled). Implementation phase at assessment.</w:t>
            </w:r>
          </w:p>
        </w:tc>
      </w:tr>
      <w:tr>
        <w:tc>
          <w:tcPr>
            <w:tcW w:w="0" w:type="auto"/>
          </w:tcPr>
          <w:p>
            <w:pPr>
              <w:spacing w:line="240" w:lineRule="auto" w:before="0" w:after="0"/>
              <w:pStyle w:val="Compact"/>
            </w:pPr>
            <w:r>
              <w:rPr>
                <w:sz w:val="20"/>
                <w:szCs w:val="20"/>
              </w:rPr>
              <w:t xml:space="preserve">TDRS</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336.7</w:t>
            </w:r>
          </w:p>
        </w:tc>
        <w:tc>
          <w:tcPr>
            <w:tcW w:w="0" w:type="auto"/>
          </w:tcPr>
          <w:p>
            <w:pPr>
              <w:spacing w:line="240" w:lineRule="auto" w:before="0" w:after="0"/>
              <w:pStyle w:val="Compact"/>
            </w:pPr>
            <w:r>
              <w:rPr>
                <w:sz w:val="20"/>
                <w:szCs w:val="20"/>
              </w:rPr>
              <w:t xml:space="preserve">5.8192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GAO-18-280SP p.93 project profile (Tracking and Data Relay Satellite): development cost change -11.0% ($323.2M-&gt;$283.3M) vs FY2015 baseline; life-cycle cost $336.7M. Comms relay, non-flagship. Recurring TDRS build, implementation.</w:t>
            </w:r>
          </w:p>
        </w:tc>
      </w:tr>
      <w:tr>
        <w:tc>
          <w:tcPr>
            <w:tcW w:w="0" w:type="auto"/>
          </w:tcPr>
          <w:p>
            <w:pPr>
              <w:spacing w:line="240" w:lineRule="auto" w:before="0" w:after="0"/>
              <w:pStyle w:val="Compact"/>
            </w:pPr>
            <w:r>
              <w:rPr>
                <w:sz w:val="20"/>
                <w:szCs w:val="20"/>
              </w:rPr>
              <w:t xml:space="preserve">ICON_2020</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252.7</w:t>
            </w:r>
          </w:p>
        </w:tc>
        <w:tc>
          <w:tcPr>
            <w:tcW w:w="0" w:type="auto"/>
          </w:tcPr>
          <w:p>
            <w:pPr>
              <w:spacing w:line="240" w:lineRule="auto" w:before="0" w:after="0"/>
              <w:pStyle w:val="Compact"/>
            </w:pPr>
            <w:r>
              <w:rPr>
                <w:sz w:val="20"/>
                <w:szCs w:val="20"/>
              </w:rPr>
              <w:t xml:space="preserve">5.5322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GAO-20-405 Table 2 (p.13): ICON cumulative development cost growth +9.4% (in dollars +9.4M; 24-month schedule slip) vs original FY2014 baseline; life-cycle cost $252.7M (GAO-18-280SP p.59). Explorer heliophysics, non-flagship. Early-formulation: commercial-launch-vehicle and instrument delays.</w:t>
            </w:r>
          </w:p>
        </w:tc>
      </w:tr>
      <w:tr>
        <w:tc>
          <w:tcPr>
            <w:tcW w:w="0" w:type="auto"/>
          </w:tcPr>
          <w:p>
            <w:pPr>
              <w:spacing w:line="240" w:lineRule="auto" w:before="0" w:after="0"/>
              <w:pStyle w:val="Compact"/>
            </w:pPr>
            <w:r>
              <w:rPr>
                <w:sz w:val="20"/>
                <w:szCs w:val="20"/>
              </w:rPr>
              <w:t xml:space="preserve">Aquarius</w:t>
            </w:r>
          </w:p>
        </w:tc>
        <w:tc>
          <w:tcPr>
            <w:tcW w:w="0" w:type="auto"/>
          </w:tcPr>
          <w:p>
            <w:pPr>
              <w:spacing w:line="240" w:lineRule="auto" w:before="0" w:after="0"/>
              <w:pStyle w:val="Compact"/>
            </w:pPr>
            <w:r>
              <w:rPr>
                <w:sz w:val="20"/>
                <w:szCs w:val="20"/>
              </w:rPr>
              <w:t xml:space="preserve">17.8</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5.9915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GAO-11-239SP Assessments of Large-Scale Projects: Aquarius/SAC-D development cost +17.8% ($193.0M-&gt;$227.3M) vs original baseline; life-cycle cost ~$400M (NASA/CONAE Aquarius mission cost, then-year). Earth science, non-flagship. Early-formulation: L-band radiometer growth.</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34.5</w:t>
            </w:r>
          </w:p>
        </w:tc>
        <w:tc>
          <w:tcPr>
            <w:tcW w:w="0" w:type="auto"/>
          </w:tcPr>
          <w:p>
            <w:pPr>
              <w:spacing w:line="240" w:lineRule="auto" w:before="0" w:after="0"/>
              <w:pStyle w:val="Compact"/>
            </w:pPr>
            <w:r>
              <w:rPr>
                <w:sz w:val="20"/>
                <w:szCs w:val="20"/>
              </w:rPr>
              <w:t xml:space="preserve">446</w:t>
            </w:r>
          </w:p>
        </w:tc>
        <w:tc>
          <w:tcPr>
            <w:tcW w:w="0" w:type="auto"/>
          </w:tcPr>
          <w:p>
            <w:pPr>
              <w:spacing w:line="240" w:lineRule="auto" w:before="0" w:after="0"/>
              <w:pStyle w:val="Compact"/>
            </w:pPr>
            <w:r>
              <w:rPr>
                <w:sz w:val="20"/>
                <w:szCs w:val="20"/>
              </w:rPr>
              <w:t xml:space="preserve">6.1003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GAO-11-239SP: Dawn development cost +34.5% ($198.0M-&gt;$266.4M) vs original confirmation baseline; life-cycle cost ~$446M (NASA Dawn total mission cost). Discovery planetary, non-flagship. Early-formulation: ion-propulsion and instrument integration growth.</w:t>
            </w:r>
          </w:p>
        </w:tc>
      </w:tr>
      <w:tr>
        <w:tc>
          <w:tcPr>
            <w:tcW w:w="0" w:type="auto"/>
          </w:tcPr>
          <w:p>
            <w:pPr>
              <w:spacing w:line="240" w:lineRule="auto" w:before="0" w:after="0"/>
              <w:pStyle w:val="Compact"/>
            </w:pPr>
            <w:r>
              <w:rPr>
                <w:sz w:val="20"/>
                <w:szCs w:val="20"/>
              </w:rPr>
              <w:t xml:space="preserve">Glory</w:t>
            </w:r>
          </w:p>
        </w:tc>
        <w:tc>
          <w:tcPr>
            <w:tcW w:w="0" w:type="auto"/>
          </w:tcPr>
          <w:p>
            <w:pPr>
              <w:spacing w:line="240" w:lineRule="auto" w:before="0" w:after="0"/>
              <w:pStyle w:val="Compact"/>
            </w:pPr>
            <w:r>
              <w:rPr>
                <w:sz w:val="20"/>
                <w:szCs w:val="20"/>
              </w:rPr>
              <w:t xml:space="preserve">112.3</w:t>
            </w:r>
          </w:p>
        </w:tc>
        <w:tc>
          <w:tcPr>
            <w:tcW w:w="0" w:type="auto"/>
          </w:tcPr>
          <w:p>
            <w:pPr>
              <w:spacing w:line="240" w:lineRule="auto" w:before="0" w:after="0"/>
              <w:pStyle w:val="Compact"/>
            </w:pPr>
            <w:r>
              <w:rPr>
                <w:sz w:val="20"/>
                <w:szCs w:val="20"/>
              </w:rPr>
              <w:t xml:space="preserve">424</w:t>
            </w:r>
          </w:p>
        </w:tc>
        <w:tc>
          <w:tcPr>
            <w:tcW w:w="0" w:type="auto"/>
          </w:tcPr>
          <w:p>
            <w:pPr>
              <w:spacing w:line="240" w:lineRule="auto" w:before="0" w:after="0"/>
              <w:pStyle w:val="Compact"/>
            </w:pPr>
            <w:r>
              <w:rPr>
                <w:sz w:val="20"/>
                <w:szCs w:val="20"/>
              </w:rPr>
              <w:t xml:space="preserve">6.0497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GAO-11-239SP: Glory development cost +112.3% ($159.0M-&gt;$337.6M) vs original baseline; life-cycle cost ~$424M (NASA Glory total, then-year). Earth science, non-flagship. Early-formulation: first spaceflight build of APS aerosol polarimeter.</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24.2</w:t>
            </w:r>
          </w:p>
        </w:tc>
        <w:tc>
          <w:tcPr>
            <w:tcW w:w="0" w:type="auto"/>
          </w:tcPr>
          <w:p>
            <w:pPr>
              <w:spacing w:line="240" w:lineRule="auto" w:before="0" w:after="0"/>
              <w:pStyle w:val="Compact"/>
            </w:pPr>
            <w:r>
              <w:rPr>
                <w:sz w:val="20"/>
                <w:szCs w:val="20"/>
              </w:rPr>
              <w:t xml:space="preserve">649</w:t>
            </w:r>
          </w:p>
        </w:tc>
        <w:tc>
          <w:tcPr>
            <w:tcW w:w="0" w:type="auto"/>
          </w:tcPr>
          <w:p>
            <w:pPr>
              <w:spacing w:line="240" w:lineRule="auto" w:before="0" w:after="0"/>
              <w:pStyle w:val="Compact"/>
            </w:pPr>
            <w:r>
              <w:rPr>
                <w:sz w:val="20"/>
                <w:szCs w:val="20"/>
              </w:rPr>
              <w:t xml:space="preserve">6.4754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GAO-11-239SP: Kepler development cost +24.2% ($313.0M-&gt;$388.7M) vs original baseline; life-cycle cost ~$649M (NASA Kepler mission total). Discovery astrophysics, non-flagship. Early-formulation: new CCD photometer and focal-plane growth.</w:t>
            </w:r>
          </w:p>
        </w:tc>
      </w:tr>
      <w:tr>
        <w:tc>
          <w:tcPr>
            <w:tcW w:w="0" w:type="auto"/>
          </w:tcPr>
          <w:p>
            <w:pPr>
              <w:spacing w:line="240" w:lineRule="auto" w:before="0" w:after="0"/>
              <w:pStyle w:val="Compact"/>
            </w:pPr>
            <w:r>
              <w:rPr>
                <w:sz w:val="20"/>
                <w:szCs w:val="20"/>
              </w:rPr>
              <w:t xml:space="preserve">LRO</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583</w:t>
            </w:r>
          </w:p>
        </w:tc>
        <w:tc>
          <w:tcPr>
            <w:tcW w:w="0" w:type="auto"/>
          </w:tcPr>
          <w:p>
            <w:pPr>
              <w:spacing w:line="240" w:lineRule="auto" w:before="0" w:after="0"/>
              <w:pStyle w:val="Compact"/>
            </w:pPr>
            <w:r>
              <w:rPr>
                <w:sz w:val="20"/>
                <w:szCs w:val="20"/>
              </w:rPr>
              <w:t xml:space="preserve">6.3682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GAO-11-239SP: Lunar Reconnaissance Orbiter development cost +7.2% ($421.0M-&gt;$451.3M) vs original baseline; life-cycle cost ~$583M (NASA LRO total). Lunar science, non-flagship. Implementation, heritage detectors limited early-formulation growth.</w:t>
            </w:r>
          </w:p>
        </w:tc>
      </w:tr>
      <w:tr>
        <w:tc>
          <w:tcPr>
            <w:tcW w:w="0" w:type="auto"/>
          </w:tcPr>
          <w:p>
            <w:pPr>
              <w:spacing w:line="240" w:lineRule="auto" w:before="0" w:after="0"/>
              <w:pStyle w:val="Compact"/>
            </w:pPr>
            <w:r>
              <w:rPr>
                <w:sz w:val="20"/>
                <w:szCs w:val="20"/>
              </w:rPr>
              <w:t xml:space="preserve">MSL</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2470</w:t>
            </w:r>
          </w:p>
        </w:tc>
        <w:tc>
          <w:tcPr>
            <w:tcW w:w="0" w:type="auto"/>
          </w:tcPr>
          <w:p>
            <w:pPr>
              <w:spacing w:line="240" w:lineRule="auto" w:before="0" w:after="0"/>
              <w:pStyle w:val="Compact"/>
            </w:pPr>
            <w:r>
              <w:rPr>
                <w:sz w:val="20"/>
                <w:szCs w:val="20"/>
              </w:rPr>
              <w:t xml:space="preserve">7.812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GAO-11-239SP: Mars Science Laboratory development cost +86.0% ($969.0M-&gt;$1,802.2M) vs original baseline; life-cycle cost ~$2,470M (NASA MSL total). Flagship planetary (Large Strategic). Early-formulation: sky-crane EDL, ChemCam/SAM instrument growth, 2-year slip.</w:t>
            </w:r>
          </w:p>
        </w:tc>
      </w:tr>
      <w:tr>
        <w:tc>
          <w:tcPr>
            <w:tcW w:w="0" w:type="auto"/>
          </w:tcPr>
          <w:p>
            <w:pPr>
              <w:spacing w:line="240" w:lineRule="auto" w:before="0" w:after="0"/>
              <w:pStyle w:val="Compact"/>
            </w:pPr>
            <w:r>
              <w:rPr>
                <w:sz w:val="20"/>
                <w:szCs w:val="20"/>
              </w:rPr>
              <w:t xml:space="preserve">SDO</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856</w:t>
            </w:r>
          </w:p>
        </w:tc>
        <w:tc>
          <w:tcPr>
            <w:tcW w:w="0" w:type="auto"/>
          </w:tcPr>
          <w:p>
            <w:pPr>
              <w:spacing w:line="240" w:lineRule="auto" w:before="0" w:after="0"/>
              <w:pStyle w:val="Compact"/>
            </w:pPr>
            <w:r>
              <w:rPr>
                <w:sz w:val="20"/>
                <w:szCs w:val="20"/>
              </w:rPr>
              <w:t xml:space="preserve">6.7523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GAO-11-239SP: Solar Dynamics Observatory development cost +11.7% ($597.0M-&gt;$667.0M) vs original baseline; life-cycle cost ~$856M (NASA SDO total). LWS heliophysics, non-flagship. Implementation phase, contained growth.</w:t>
            </w:r>
          </w:p>
        </w:tc>
      </w:tr>
      <w:tr>
        <w:tc>
          <w:tcPr>
            <w:tcW w:w="0" w:type="auto"/>
          </w:tcPr>
          <w:p>
            <w:pPr>
              <w:spacing w:line="240" w:lineRule="auto" w:before="0" w:after="0"/>
              <w:pStyle w:val="Compact"/>
            </w:pPr>
            <w:r>
              <w:rPr>
                <w:sz w:val="20"/>
                <w:szCs w:val="20"/>
              </w:rPr>
              <w:t xml:space="preserve">WISE</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320</w:t>
            </w:r>
          </w:p>
        </w:tc>
        <w:tc>
          <w:tcPr>
            <w:tcW w:w="0" w:type="auto"/>
          </w:tcPr>
          <w:p>
            <w:pPr>
              <w:spacing w:line="240" w:lineRule="auto" w:before="0" w:after="0"/>
              <w:pStyle w:val="Compact"/>
            </w:pPr>
            <w:r>
              <w:rPr>
                <w:sz w:val="20"/>
                <w:szCs w:val="20"/>
              </w:rPr>
              <w:t xml:space="preserve">5.7683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GAO-11-239SP: Wide-field Infrared Survey Explorer development cost -0.1% ($192.0M-&gt;$191.8M) vs original baseline; life-cycle cost ~$320M (NASA WISE total). Explorer astrophysics, non-flagship. Implementation, on-budget.</w:t>
            </w:r>
          </w:p>
        </w:tc>
      </w:tr>
      <w:tr>
        <w:tc>
          <w:tcPr>
            <w:tcW w:w="0" w:type="auto"/>
          </w:tcPr>
          <w:p>
            <w:pPr>
              <w:spacing w:line="240" w:lineRule="auto" w:before="0" w:after="0"/>
              <w:pStyle w:val="Compact"/>
            </w:pPr>
            <w:r>
              <w:rPr>
                <w:sz w:val="20"/>
                <w:szCs w:val="20"/>
              </w:rPr>
              <w:t xml:space="preserve">Suomi-NPP</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7.3132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GAO-11-239SP: NPOESS Preparatory Project (Suomi NPP) development cost +26.0% vs original baseline; life-cycle cost ~$1,500M (NASA/NOAA NPP total). Earth science, non-flagship. Early-formulation: VIIRS sensor and NPOESS-program turbulence drove growth.</w:t>
            </w:r>
          </w:p>
        </w:tc>
      </w:tr>
      <w:tr>
        <w:tc>
          <w:tcPr>
            <w:tcW w:w="0" w:type="auto"/>
          </w:tcPr>
          <w:p>
            <w:pPr>
              <w:spacing w:line="240" w:lineRule="auto" w:before="0" w:after="0"/>
              <w:pStyle w:val="Compact"/>
            </w:pPr>
            <w:r>
              <w:rPr>
                <w:sz w:val="20"/>
                <w:szCs w:val="20"/>
              </w:rPr>
              <w:t xml:space="preserve">SOFIA</w:t>
            </w:r>
          </w:p>
        </w:tc>
        <w:tc>
          <w:tcPr>
            <w:tcW w:w="0" w:type="auto"/>
          </w:tcPr>
          <w:p>
            <w:pPr>
              <w:spacing w:line="240" w:lineRule="auto" w:before="0" w:after="0"/>
              <w:pStyle w:val="Compact"/>
            </w:pPr>
            <w:r>
              <w:rPr>
                <w:sz w:val="20"/>
                <w:szCs w:val="20"/>
              </w:rPr>
              <w:t xml:space="preserve">19.3</w:t>
            </w:r>
          </w:p>
        </w:tc>
        <w:tc>
          <w:tcPr>
            <w:tcW w:w="0" w:type="auto"/>
          </w:tcPr>
          <w:p>
            <w:pPr>
              <w:spacing w:line="240" w:lineRule="auto" w:before="0" w:after="0"/>
              <w:pStyle w:val="Compact"/>
            </w:pPr>
            <w:r>
              <w:rPr>
                <w:sz w:val="20"/>
                <w:szCs w:val="20"/>
              </w:rPr>
              <w:t xml:space="preserve">3000</w:t>
            </w:r>
          </w:p>
        </w:tc>
        <w:tc>
          <w:tcPr>
            <w:tcW w:w="0" w:type="auto"/>
          </w:tcPr>
          <w:p>
            <w:pPr>
              <w:spacing w:line="240" w:lineRule="auto" w:before="0" w:after="0"/>
              <w:pStyle w:val="Compact"/>
            </w:pPr>
            <w:r>
              <w:rPr>
                <w:sz w:val="20"/>
                <w:szCs w:val="20"/>
              </w:rPr>
              <w:t xml:space="preserve">8.0064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GAO-11-239SP: Stratospheric Observatory for Infrared Astronomy development cost +19.3% vs baseline; life-cycle cost ~$3,000M (NASA/DLR SOFIA program total, then-year). Large Strategic airborne astrophysics. Early-formulation: airframe modification and telescope integration.</w:t>
            </w:r>
          </w:p>
        </w:tc>
      </w:tr>
      <w:tr>
        <w:tc>
          <w:tcPr>
            <w:tcW w:w="0" w:type="auto"/>
          </w:tcPr>
          <w:p>
            <w:pPr>
              <w:spacing w:line="240" w:lineRule="auto" w:before="0" w:after="0"/>
              <w:pStyle w:val="Compact"/>
            </w:pPr>
            <w:r>
              <w:rPr>
                <w:sz w:val="20"/>
                <w:szCs w:val="20"/>
              </w:rPr>
              <w:t xml:space="preserve">Spitzer</w:t>
            </w:r>
          </w:p>
        </w:tc>
        <w:tc>
          <w:tcPr>
            <w:tcW w:w="0" w:type="auto"/>
          </w:tcPr>
          <w:p>
            <w:pPr>
              <w:spacing w:line="240" w:lineRule="auto" w:before="0" w:after="0"/>
              <w:pStyle w:val="Compact"/>
            </w:pPr>
            <w:r>
              <w:rPr>
                <w:sz w:val="20"/>
                <w:szCs w:val="20"/>
              </w:rPr>
              <w:t xml:space="preserve">29.3</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7.1701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GAO-04-642 NASA Lack of Disciplined Cost-Estimating: SIRTF/Spitzer development cost +29.3% ($472.0M-&gt;$610.5M) vs original baseline; life-cycle cost ~$1,300M (NASA Spitzer mission total). Great Observatory (Large Strategic) astrophysics. Early-formulation: cryogenic payload growth.</w:t>
            </w:r>
          </w:p>
        </w:tc>
      </w:tr>
      <w:tr>
        <w:tc>
          <w:tcPr>
            <w:tcW w:w="0" w:type="auto"/>
          </w:tcPr>
          <w:p>
            <w:pPr>
              <w:spacing w:line="240" w:lineRule="auto" w:before="0" w:after="0"/>
              <w:pStyle w:val="Compact"/>
            </w:pPr>
            <w:r>
              <w:rPr>
                <w:sz w:val="20"/>
                <w:szCs w:val="20"/>
              </w:rPr>
              <w:t xml:space="preserve">MER</w:t>
            </w:r>
          </w:p>
        </w:tc>
        <w:tc>
          <w:tcPr>
            <w:tcW w:w="0" w:type="auto"/>
          </w:tcPr>
          <w:p>
            <w:pPr>
              <w:spacing w:line="240" w:lineRule="auto" w:before="0" w:after="0"/>
              <w:pStyle w:val="Compact"/>
            </w:pPr>
            <w:r>
              <w:rPr>
                <w:sz w:val="20"/>
                <w:szCs w:val="20"/>
              </w:rPr>
              <w:t xml:space="preserve">16.7</w:t>
            </w:r>
          </w:p>
        </w:tc>
        <w:tc>
          <w:tcPr>
            <w:tcW w:w="0" w:type="auto"/>
          </w:tcPr>
          <w:p>
            <w:pPr>
              <w:spacing w:line="240" w:lineRule="auto" w:before="0" w:after="0"/>
              <w:pStyle w:val="Compact"/>
            </w:pPr>
            <w:r>
              <w:rPr>
                <w:sz w:val="20"/>
                <w:szCs w:val="20"/>
              </w:rPr>
              <w:t xml:space="preserve">1080</w:t>
            </w:r>
          </w:p>
        </w:tc>
        <w:tc>
          <w:tcPr>
            <w:tcW w:w="0" w:type="auto"/>
          </w:tcPr>
          <w:p>
            <w:pPr>
              <w:spacing w:line="240" w:lineRule="auto" w:before="0" w:after="0"/>
              <w:pStyle w:val="Compact"/>
            </w:pPr>
            <w:r>
              <w:rPr>
                <w:sz w:val="20"/>
                <w:szCs w:val="20"/>
              </w:rPr>
              <w:t xml:space="preserve">6.9847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GAO-04-642: Mars Exploration Rovers development cost +16.7% ($657.2M-&gt;$767.0M) vs original baseline; life-cycle cost ~$1,080M (NASA MER twin-rover program total). Large Strategic planetary. Implementation, Pathfinder heritage limited early instability.</w:t>
            </w:r>
          </w:p>
        </w:tc>
      </w:tr>
      <w:tr>
        <w:tc>
          <w:tcPr>
            <w:tcW w:w="0" w:type="auto"/>
          </w:tcPr>
          <w:p>
            <w:pPr>
              <w:spacing w:line="240" w:lineRule="auto" w:before="0" w:after="0"/>
              <w:pStyle w:val="Compact"/>
            </w:pPr>
            <w:r>
              <w:rPr>
                <w:sz w:val="20"/>
                <w:szCs w:val="20"/>
              </w:rPr>
              <w:t xml:space="preserve">Gravity-Probe-B</w:t>
            </w:r>
          </w:p>
        </w:tc>
        <w:tc>
          <w:tcPr>
            <w:tcW w:w="0" w:type="auto"/>
          </w:tcPr>
          <w:p>
            <w:pPr>
              <w:spacing w:line="240" w:lineRule="auto" w:before="0" w:after="0"/>
              <w:pStyle w:val="Compact"/>
            </w:pPr>
            <w:r>
              <w:rPr>
                <w:sz w:val="20"/>
                <w:szCs w:val="20"/>
              </w:rPr>
              <w:t xml:space="preserve">33.9</w:t>
            </w:r>
          </w:p>
        </w:tc>
        <w:tc>
          <w:tcPr>
            <w:tcW w:w="0" w:type="auto"/>
          </w:tcPr>
          <w:p>
            <w:pPr>
              <w:spacing w:line="240" w:lineRule="auto" w:before="0" w:after="0"/>
              <w:pStyle w:val="Compact"/>
            </w:pPr>
            <w:r>
              <w:rPr>
                <w:sz w:val="20"/>
                <w:szCs w:val="20"/>
              </w:rPr>
              <w:t xml:space="preserve">760</w:t>
            </w:r>
          </w:p>
        </w:tc>
        <w:tc>
          <w:tcPr>
            <w:tcW w:w="0" w:type="auto"/>
          </w:tcPr>
          <w:p>
            <w:pPr>
              <w:spacing w:line="240" w:lineRule="auto" w:before="0" w:after="0"/>
              <w:pStyle w:val="Compact"/>
            </w:pPr>
            <w:r>
              <w:rPr>
                <w:sz w:val="20"/>
                <w:szCs w:val="20"/>
              </w:rPr>
              <w:t xml:space="preserve">6.6333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GAO-04-642: Gravity Probe B development cost +33.9% ($529.6M-&gt;$709.3M) vs original baseline; life-cycle cost ~$760M (NASA GP-B program total). Fundamental-physics, non-flagship. Early-formulation: cryogenic relativity gyroscope, new technology.</w:t>
            </w:r>
          </w:p>
        </w:tc>
      </w:tr>
      <w:tr>
        <w:tc>
          <w:tcPr>
            <w:tcW w:w="0" w:type="auto"/>
          </w:tcPr>
          <w:p>
            <w:pPr>
              <w:spacing w:line="240" w:lineRule="auto" w:before="0" w:after="0"/>
              <w:pStyle w:val="Compact"/>
            </w:pPr>
            <w:r>
              <w:rPr>
                <w:sz w:val="20"/>
                <w:szCs w:val="20"/>
              </w:rPr>
              <w:t xml:space="preserve">Landsat-7</w:t>
            </w:r>
          </w:p>
        </w:tc>
        <w:tc>
          <w:tcPr>
            <w:tcW w:w="0" w:type="auto"/>
          </w:tcPr>
          <w:p>
            <w:pPr>
              <w:spacing w:line="240" w:lineRule="auto" w:before="0" w:after="0"/>
              <w:pStyle w:val="Compact"/>
            </w:pPr>
            <w:r>
              <w:rPr>
                <w:sz w:val="20"/>
                <w:szCs w:val="20"/>
              </w:rPr>
              <w:t xml:space="preserve">14.1</w:t>
            </w:r>
          </w:p>
        </w:tc>
        <w:tc>
          <w:tcPr>
            <w:tcW w:w="0" w:type="auto"/>
          </w:tcPr>
          <w:p>
            <w:pPr>
              <w:spacing w:line="240" w:lineRule="auto" w:before="0" w:after="0"/>
              <w:pStyle w:val="Compact"/>
            </w:pPr>
            <w:r>
              <w:rPr>
                <w:sz w:val="20"/>
                <w:szCs w:val="20"/>
              </w:rPr>
              <w:t xml:space="preserve">666</w:t>
            </w:r>
          </w:p>
        </w:tc>
        <w:tc>
          <w:tcPr>
            <w:tcW w:w="0" w:type="auto"/>
          </w:tcPr>
          <w:p>
            <w:pPr>
              <w:spacing w:line="240" w:lineRule="auto" w:before="0" w:after="0"/>
              <w:pStyle w:val="Compact"/>
            </w:pPr>
            <w:r>
              <w:rPr>
                <w:sz w:val="20"/>
                <w:szCs w:val="20"/>
              </w:rPr>
              <w:t xml:space="preserve">6.5013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GAO-04-642: Landsat-7 development cost +14.1% ($445.8M-&gt;$508.8M) vs original baseline; life-cycle cost ~$666M (NASA/USGS Landsat-7 total). Earth science, non-flagship. Implementation, ETM+ builds on TM heritage.</w:t>
            </w:r>
          </w:p>
        </w:tc>
      </w:tr>
      <w:tr>
        <w:tc>
          <w:tcPr>
            <w:tcW w:w="0" w:type="auto"/>
          </w:tcPr>
          <w:p>
            <w:pPr>
              <w:spacing w:line="240" w:lineRule="auto" w:before="0" w:after="0"/>
              <w:pStyle w:val="Compact"/>
            </w:pPr>
            <w:r>
              <w:rPr>
                <w:sz w:val="20"/>
                <w:szCs w:val="20"/>
              </w:rPr>
              <w:t xml:space="preserve">EO-1</w:t>
            </w:r>
          </w:p>
        </w:tc>
        <w:tc>
          <w:tcPr>
            <w:tcW w:w="0" w:type="auto"/>
          </w:tcPr>
          <w:p>
            <w:pPr>
              <w:spacing w:line="240" w:lineRule="auto" w:before="0" w:after="0"/>
              <w:pStyle w:val="Compact"/>
            </w:pPr>
            <w:r>
              <w:rPr>
                <w:sz w:val="20"/>
                <w:szCs w:val="20"/>
              </w:rPr>
              <w:t xml:space="preserve">57.9</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5.2983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GAO-04-642: New Millennium EO-1 development cost +57.9% ($111.7M-&gt;$176.4M) vs original baseline; life-cycle cost ~$200M (NASA EO-1 total). Technology-demo Earth science, non-flagship. Early-formulation: first spaceborne hyperspectral imager (Hyperion).</w:t>
            </w:r>
          </w:p>
        </w:tc>
      </w:tr>
    </w:tbl>
    <w:bookmarkEnd w:id="203"/>
    <w:bookmarkStart w:id="204"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pct_dev_cost_growth</w:t>
            </w:r>
          </w:p>
        </w:tc>
        <w:tc>
          <w:tcPr>
            <w:tcW w:w="0" w:type="auto"/>
          </w:tcPr>
          <w:p>
            <w:pPr>
              <w:spacing w:line="240" w:lineRule="auto" w:before="0" w:after="0"/>
              <w:pStyle w:val="Compact"/>
            </w:pPr>
            <w:r>
              <w:rPr>
                <w:sz w:val="20"/>
                <w:szCs w:val="20"/>
              </w:rPr>
              <w:t xml:space="preserve">Cumulative percent growth in development cost relative to the original confirmation (KDP-C) baseline</w:t>
            </w:r>
          </w:p>
        </w:tc>
        <w:tc>
          <w:tcPr>
            <w:tcW w:w="0" w:type="auto"/>
          </w:tcPr>
          <w:p>
            <w:pPr>
              <w:spacing w:line="240" w:lineRule="auto" w:before="0" w:after="0"/>
              <w:pStyle w:val="Compact"/>
            </w:pPr>
            <w:r>
              <w:rPr>
                <w:sz w:val="20"/>
                <w:szCs w:val="20"/>
              </w:rPr>
              <w:t xml:space="preserve">GAO NASA major-project assessments: GAO-04-642, GAO-11-239SP, GAO-15-320SP, GAO-18-280SP, GAO-20-405. Each value is the development-cost change reported by GAO for the project, cited per row in the source column.</w:t>
            </w:r>
          </w:p>
        </w:tc>
      </w:tr>
      <w:tr>
        <w:tc>
          <w:tcPr>
            <w:tcW w:w="0" w:type="auto"/>
          </w:tcPr>
          <w:p>
            <w:pPr>
              <w:spacing w:line="240" w:lineRule="auto" w:before="0" w:after="0"/>
              <w:pStyle w:val="Compact"/>
            </w:pPr>
            <w:r>
              <w:rPr>
                <w:sz w:val="20"/>
                <w:szCs w:val="20"/>
              </w:rPr>
              <w:t xml:space="preserve">lcc_musd</w:t>
            </w:r>
          </w:p>
        </w:tc>
        <w:tc>
          <w:tcPr>
            <w:tcW w:w="0" w:type="auto"/>
          </w:tcPr>
          <w:p>
            <w:pPr>
              <w:spacing w:line="240" w:lineRule="auto" w:before="0" w:after="0"/>
              <w:pStyle w:val="Compact"/>
            </w:pPr>
            <w:r>
              <w:rPr>
                <w:sz w:val="20"/>
                <w:szCs w:val="20"/>
              </w:rPr>
              <w:t xml:space="preserve">Life-cycle cost estimate in millions of then-year dollars</w:t>
            </w:r>
          </w:p>
        </w:tc>
        <w:tc>
          <w:tcPr>
            <w:tcW w:w="0" w:type="auto"/>
          </w:tcPr>
          <w:p>
            <w:pPr>
              <w:spacing w:line="240" w:lineRule="auto" w:before="0" w:after="0"/>
              <w:pStyle w:val="Compact"/>
            </w:pPr>
            <w:r>
              <w:rPr>
                <w:sz w:val="20"/>
                <w:szCs w:val="20"/>
              </w:rPr>
              <w:t xml:space="preserve">GAO assessment project profiles (life-cycle cost estimate) and NASA mission cost records, cited per row</w:t>
            </w:r>
          </w:p>
        </w:tc>
      </w:tr>
      <w:tr>
        <w:tc>
          <w:tcPr>
            <w:tcW w:w="0" w:type="auto"/>
          </w:tcPr>
          <w:p>
            <w:pPr>
              <w:spacing w:line="240" w:lineRule="auto" w:before="0" w:after="0"/>
              <w:pStyle w:val="Compact"/>
            </w:pPr>
            <w:r>
              <w:rPr>
                <w:sz w:val="20"/>
                <w:szCs w:val="20"/>
              </w:rPr>
              <w:t xml:space="preserve">log_lcc</w:t>
            </w:r>
          </w:p>
        </w:tc>
        <w:tc>
          <w:tcPr>
            <w:tcW w:w="0" w:type="auto"/>
          </w:tcPr>
          <w:p>
            <w:pPr>
              <w:spacing w:line="240" w:lineRule="auto" w:before="0" w:after="0"/>
              <w:pStyle w:val="Compact"/>
            </w:pPr>
            <w:r>
              <w:rPr>
                <w:sz w:val="20"/>
                <w:szCs w:val="20"/>
              </w:rPr>
              <w:t xml:space="preserve">Natural logarithm of the life-cycle cost estimate in millions of dollars</w:t>
            </w:r>
          </w:p>
        </w:tc>
        <w:tc>
          <w:tcPr>
            <w:tcW w:w="0" w:type="auto"/>
          </w:tcPr>
          <w:p>
            <w:pPr>
              <w:spacing w:line="240" w:lineRule="auto" w:before="0" w:after="0"/>
              <w:pStyle w:val="Compact"/>
            </w:pPr>
            <w:r>
              <w:rPr>
                <w:sz w:val="20"/>
                <w:szCs w:val="20"/>
              </w:rPr>
              <w:t xml:space="preserve">Computed as ln(lcc_musd); enters the model as the scale regressor</w:t>
            </w:r>
          </w:p>
        </w:tc>
      </w:tr>
      <w:tr>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Binary indicator equal to 1 for Large Strategic / flagship-class missions (life-cycle cost and strategic priority placing the project in NASA’s largest mission tier), 0 otherwise</w:t>
            </w:r>
          </w:p>
        </w:tc>
        <w:tc>
          <w:tcPr>
            <w:tcW w:w="0" w:type="auto"/>
          </w:tcPr>
          <w:p>
            <w:pPr>
              <w:spacing w:line="240" w:lineRule="auto" w:before="0" w:after="0"/>
              <w:pStyle w:val="Compact"/>
            </w:pPr>
            <w:r>
              <w:rPr>
                <w:sz w:val="20"/>
                <w:szCs w:val="20"/>
              </w:rPr>
              <w:t xml:space="preserve">Coded from NASA mission-class designation and the GAO portfolio profile</w:t>
            </w:r>
          </w:p>
        </w:tc>
      </w:tr>
      <w:tr>
        <w:tc>
          <w:tcPr>
            <w:tcW w:w="0" w:type="auto"/>
          </w:tcPr>
          <w:p>
            <w:pPr>
              <w:spacing w:line="240" w:lineRule="auto" w:before="0" w:after="0"/>
              <w:pStyle w:val="Compact"/>
            </w:pPr>
            <w:r>
              <w:rPr>
                <w:sz w:val="20"/>
                <w:szCs w:val="20"/>
              </w:rPr>
              <w:t xml:space="preserve">early_formulation</w:t>
            </w:r>
          </w:p>
        </w:tc>
        <w:tc>
          <w:tcPr>
            <w:tcW w:w="0" w:type="auto"/>
          </w:tcPr>
          <w:p>
            <w:pPr>
              <w:spacing w:line="240" w:lineRule="auto" w:before="0" w:after="0"/>
              <w:pStyle w:val="Compact"/>
            </w:pPr>
            <w:r>
              <w:rPr>
                <w:sz w:val="20"/>
                <w:szCs w:val="20"/>
              </w:rPr>
              <w:t xml:space="preserve">Binary indicator equal to 1 when the project’s cost growth was driven by instability rooted in early formulation: significant technology immaturity at confirmation, a first-of-kind instrument or subsystem, or a formulation-era rebaseline, 0 when growth (or stability) occurred in a design-mature, implementation-phase project</w:t>
            </w:r>
          </w:p>
        </w:tc>
        <w:tc>
          <w:tcPr>
            <w:tcW w:w="0" w:type="auto"/>
          </w:tcPr>
          <w:p>
            <w:pPr>
              <w:spacing w:line="240" w:lineRule="auto" w:before="0" w:after="0"/>
              <w:pStyle w:val="Compact"/>
            </w:pPr>
            <w:r>
              <w:rPr>
                <w:sz w:val="20"/>
                <w:szCs w:val="20"/>
              </w:rPr>
              <w:t xml:space="preserve">Coded from the GAO assessment narrative and project technology-maturity record, cited per row</w:t>
            </w:r>
          </w:p>
        </w:tc>
      </w:tr>
    </w:tbl>
    <w:bookmarkEnd w:id="204"/>
    <w:bookmarkEnd w:id="205"/>
    <w:bookmarkEnd w:id="20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91" Type="http://schemas.openxmlformats.org/officeDocument/2006/relationships/image" Target="media/rId191.png"/><Relationship Id="rId199" Type="http://schemas.openxmlformats.org/officeDocument/2006/relationships/image" Target="media/rId199.png"/><Relationship Id="rId183" Type="http://schemas.openxmlformats.org/officeDocument/2006/relationships/hyperlink" Target="https://doi.org/10.1016/j.actaastro.2016.11.017" TargetMode="External"/><Relationship Id="rId185" Type="http://schemas.openxmlformats.org/officeDocument/2006/relationships/hyperlink" Target="https://doi.org/10.1016/j.actaastro.2016.12.018" TargetMode="External"/><Relationship Id="rId175" Type="http://schemas.openxmlformats.org/officeDocument/2006/relationships/hyperlink" Target="https://doi.org/10.1016/j.actaastro.2018.04.019" TargetMode="External"/><Relationship Id="rId181" Type="http://schemas.openxmlformats.org/officeDocument/2006/relationships/hyperlink" Target="https://doi.org/10.1016/j.actaastro.2018.07.004" TargetMode="External"/><Relationship Id="rId157" Type="http://schemas.openxmlformats.org/officeDocument/2006/relationships/hyperlink" Target="https://doi.org/10.1016/j.actaastro.2019.07.032" TargetMode="External"/><Relationship Id="rId155" Type="http://schemas.openxmlformats.org/officeDocument/2006/relationships/hyperlink" Target="https://doi.org/10.1016/j.actaastro.2019.09.030" TargetMode="External"/><Relationship Id="rId173" Type="http://schemas.openxmlformats.org/officeDocument/2006/relationships/hyperlink" Target="https://doi.org/10.1016/j.actaastro.2020.01.030" TargetMode="External"/><Relationship Id="rId147" Type="http://schemas.openxmlformats.org/officeDocument/2006/relationships/hyperlink" Target="https://doi.org/10.1016/j.actaastro.2020.07.011" TargetMode="External"/><Relationship Id="rId177" Type="http://schemas.openxmlformats.org/officeDocument/2006/relationships/hyperlink" Target="https://doi.org/10.1016/j.actaastro.2021.05.028" TargetMode="External"/><Relationship Id="rId159" Type="http://schemas.openxmlformats.org/officeDocument/2006/relationships/hyperlink" Target="https://doi.org/10.1016/j.actaastro.2022.03.038" TargetMode="External"/><Relationship Id="rId141" Type="http://schemas.openxmlformats.org/officeDocument/2006/relationships/hyperlink" Target="https://doi.org/10.1016/j.actaastro.2022.12.036" TargetMode="External"/><Relationship Id="rId187" Type="http://schemas.openxmlformats.org/officeDocument/2006/relationships/hyperlink" Target="https://doi.org/10.1016/j.actaastro.2023.05.029" TargetMode="External"/><Relationship Id="rId161" Type="http://schemas.openxmlformats.org/officeDocument/2006/relationships/hyperlink" Target="https://doi.org/10.1016/j.actaastro.2024.07.023" TargetMode="External"/><Relationship Id="rId152" Type="http://schemas.openxmlformats.org/officeDocument/2006/relationships/hyperlink" Target="https://doi.org/10.1016/j.actaastro.2024.08.022" TargetMode="External"/><Relationship Id="rId179" Type="http://schemas.openxmlformats.org/officeDocument/2006/relationships/hyperlink" Target="https://doi.org/10.1016/j.actaastro.2025.05.055" TargetMode="External"/><Relationship Id="rId150" Type="http://schemas.openxmlformats.org/officeDocument/2006/relationships/hyperlink" Target="https://doi.org/10.1016/j.actaastro.2025.10.018" TargetMode="External"/><Relationship Id="rId143" Type="http://schemas.openxmlformats.org/officeDocument/2006/relationships/hyperlink" Target="https://doi.org/10.1016/j.actaastro.2025.11.006" TargetMode="External"/><Relationship Id="rId145" Type="http://schemas.openxmlformats.org/officeDocument/2006/relationships/hyperlink" Target="https://doi.org/10.1016/j.actaastro.2026.01.040" TargetMode="External"/></Relationships>
</file>

<file path=word/_rels/footnotes.xml.rels><?xml version='1.0' encoding='UTF-8' standalone='yes'?>
<Relationships xmlns="http://schemas.openxmlformats.org/package/2006/relationships"><Relationship Id="rId183" Type="http://schemas.openxmlformats.org/officeDocument/2006/relationships/hyperlink" Target="https://doi.org/10.1016/j.actaastro.2016.11.017" TargetMode="External"/><Relationship Id="rId185" Type="http://schemas.openxmlformats.org/officeDocument/2006/relationships/hyperlink" Target="https://doi.org/10.1016/j.actaastro.2016.12.018" TargetMode="External"/><Relationship Id="rId175" Type="http://schemas.openxmlformats.org/officeDocument/2006/relationships/hyperlink" Target="https://doi.org/10.1016/j.actaastro.2018.04.019" TargetMode="External"/><Relationship Id="rId181" Type="http://schemas.openxmlformats.org/officeDocument/2006/relationships/hyperlink" Target="https://doi.org/10.1016/j.actaastro.2018.07.004" TargetMode="External"/><Relationship Id="rId157" Type="http://schemas.openxmlformats.org/officeDocument/2006/relationships/hyperlink" Target="https://doi.org/10.1016/j.actaastro.2019.07.032" TargetMode="External"/><Relationship Id="rId155" Type="http://schemas.openxmlformats.org/officeDocument/2006/relationships/hyperlink" Target="https://doi.org/10.1016/j.actaastro.2019.09.030" TargetMode="External"/><Relationship Id="rId173" Type="http://schemas.openxmlformats.org/officeDocument/2006/relationships/hyperlink" Target="https://doi.org/10.1016/j.actaastro.2020.01.030" TargetMode="External"/><Relationship Id="rId147" Type="http://schemas.openxmlformats.org/officeDocument/2006/relationships/hyperlink" Target="https://doi.org/10.1016/j.actaastro.2020.07.011" TargetMode="External"/><Relationship Id="rId177" Type="http://schemas.openxmlformats.org/officeDocument/2006/relationships/hyperlink" Target="https://doi.org/10.1016/j.actaastro.2021.05.028" TargetMode="External"/><Relationship Id="rId159" Type="http://schemas.openxmlformats.org/officeDocument/2006/relationships/hyperlink" Target="https://doi.org/10.1016/j.actaastro.2022.03.038" TargetMode="External"/><Relationship Id="rId141" Type="http://schemas.openxmlformats.org/officeDocument/2006/relationships/hyperlink" Target="https://doi.org/10.1016/j.actaastro.2022.12.036" TargetMode="External"/><Relationship Id="rId187" Type="http://schemas.openxmlformats.org/officeDocument/2006/relationships/hyperlink" Target="https://doi.org/10.1016/j.actaastro.2023.05.029" TargetMode="External"/><Relationship Id="rId161" Type="http://schemas.openxmlformats.org/officeDocument/2006/relationships/hyperlink" Target="https://doi.org/10.1016/j.actaastro.2024.07.023" TargetMode="External"/><Relationship Id="rId152" Type="http://schemas.openxmlformats.org/officeDocument/2006/relationships/hyperlink" Target="https://doi.org/10.1016/j.actaastro.2024.08.022" TargetMode="External"/><Relationship Id="rId179" Type="http://schemas.openxmlformats.org/officeDocument/2006/relationships/hyperlink" Target="https://doi.org/10.1016/j.actaastro.2025.05.055" TargetMode="External"/><Relationship Id="rId150" Type="http://schemas.openxmlformats.org/officeDocument/2006/relationships/hyperlink" Target="https://doi.org/10.1016/j.actaastro.2025.10.018" TargetMode="External"/><Relationship Id="rId143" Type="http://schemas.openxmlformats.org/officeDocument/2006/relationships/hyperlink" Target="https://doi.org/10.1016/j.actaastro.2025.11.006" TargetMode="External"/><Relationship Id="rId145" Type="http://schemas.openxmlformats.org/officeDocument/2006/relationships/hyperlink" Target="https://doi.org/10.1016/j.actaastro.2026.01.0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Cost-Growth Hazard in JPL-Class Science Instruments: A Cliometric Survival Model</dc:title>
  <dc:creator>Saskia Patel (1B-INS-017)</dc:creator>
  <cp:keywords/>
  <dcterms:created xsi:type="dcterms:W3CDTF">2026-07-02T15:42:11Z</dcterms:created>
  <dcterms:modified xsi:type="dcterms:W3CDTF">2026-07-02T15:42:11Z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