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70fe1eb5dc9831f1d783a40a5e02b92ea4f8e76"/>
    <w:p>
      <w:pPr>
        <w:pStyle w:val="Heading1"/>
      </w:pPr>
      <w:r>
        <w:t xml:space="preserve">How Fast Does Priority Pay Off? A Cox Proportional-Hazards Analysis of Time-to-First-Publication for Planetary Surface-Mission Instruments</w:t>
      </w:r>
    </w:p>
    <w:bookmarkStart w:id="61" w:name="introduction"/>
    <w:p>
      <w:pPr>
        <w:pStyle w:val="Heading2"/>
      </w:pPr>
      <w:r>
        <w:t xml:space="preserve">1. Introduction</w:t>
      </w:r>
    </w:p>
    <w:p>
      <w:pPr>
        <w:pStyle w:val="FirstParagraph"/>
      </w:pPr>
      <w:r>
        <w:t xml:space="preserve">The companion study in this dissertation asks whether ex ante decadal priority predicts the eventual quantity of science an instrument produces. That question treats realized productivity as a stock accumulated over a mission lifetime. It is silent on a different and equally decision-relevant margin: speed. Two instruments may converge on the same lifetime publication count yet differ by years in how quickly they convert surface operations into the first peer-reviewed result. For a program office weighing whether the decadal prioritization process earns its allocative authority, the timing margin matters on its own terms. An early first result de-risks an instrument in the eyes of reviewers, anchors the follow-on literature, and shapes the operational tempo of the rest of the mission. If high-priority instruments not only produce more but produce it sooner, the priority signal is doing work the stock measure alone cannot reveal.</w:t>
      </w:r>
    </w:p>
    <w:p>
      <w:pPr>
        <w:pStyle w:val="BodyText"/>
      </w:pPr>
      <w:r>
        <w:t xml:space="preserve">This paper estimates that timing margin directly. I treat each instrument on a planetary surface platform as the unit of analysis and model the time from the documented surface-operations start, the mission landing date, to the publication date of the first peer-reviewed science-results paper attributable to that instrument. The natural estimator for an interval-to-event outcome of this kind is the Cox proportional-hazards model, which the prospectus for this dissertation named as the survival specification complementing the count model. The covariate of interest is the instrument’s ex ante decadal priority tier. The controls are engineering capability, proxied by instrument flight mass, operational regime, and mission era. The single quantity the paper recovers is the partial association between priority and the hazard of first publication, net of those controls.</w:t>
      </w:r>
    </w:p>
    <w:p>
      <w:pPr>
        <w:pStyle w:val="BodyText"/>
      </w:pPr>
      <w:r>
        <w:t xml:space="preserve">The contribution is a clean reading of one coefficient. Across 31 surface-mission instruments spanning Mars Pathfinder in 1997 through the Mars 2020 and Change-4 cohorts, higher ex ante decadal priority is associated with a meaningfully and statistically distinguishable faster time to first publication, while the engineering-capability proxy and the operational-regime control are not.</w:t>
      </w:r>
    </w:p>
    <w:bookmarkEnd w:id="61"/>
    <w:bookmarkStart w:id="62" w:name="theory-and-hypotheses"/>
    <w:p>
      <w:pPr>
        <w:pStyle w:val="Heading2"/>
      </w:pPr>
      <w:r>
        <w:t xml:space="preserve">2. Theory and Hypotheses</w:t>
      </w:r>
    </w:p>
    <w:p>
      <w:pPr>
        <w:pStyle w:val="FirstParagraph"/>
      </w:pPr>
      <w:r>
        <w:t xml:space="preserve">The theory of the prioritization process is that assigning high priority to a measurement objective concentrates attention, talent, and reviewer expectation on the instrument that serves it. The economic-valuation literature on space science frames the underlying difficulty: science output resists clean assignment of value, and any measure of it inherits that ambiguity</w:t>
      </w:r>
      <w:r>
        <w:t xml:space="preserve"> </w:t>
      </w:r>
      <w:hyperlink w:anchor="ref-1">
        <m:oMathPara>
          <m:oMathParaPr>
            <m:jc m:val="center"/>
          </m:oMathParaPr>
          <m:oMath>
            <m:r>
              <m:t>1</m:t>
            </m:r>
          </m:oMath>
        </m:oMathPara>
      </w:hyperlink>
      <w:r>
        <w:t xml:space="preserve">. The prioritization process is, in effect, a community wager that the priority ranking encodes information about where downstream value will land. The timing margin is a sharp test of that wager because it is less contaminated by the slow accumulation of citations that complicates stock measures. The first publication is a discrete, datable event.</w:t>
      </w:r>
    </w:p>
    <w:p>
      <w:pPr>
        <w:pStyle w:val="FirstParagraph"/>
      </w:pPr>
      <w:r>
        <w:t xml:space="preserve">Three mechanisms predict that priority accelerates the first result. First, high-priority instruments attract larger and more senior science teams, and a deeper bench commissions an instrument and drafts a first-results paper faster. Second, high-priority objectives carry reviewer and editorial pull: a flagship measurement reaches a high-visibility venue on a compressed schedule because the venue wants it. Third, priority correlates with mission-design choices, sampling protocols, and reconnaissance strategies, that are tuned to deliver an early, defensible result. The methodology literature on semi-autonomous rover science operations establishes that protocol design is a first-order determinant of how efficiently a platform converts surface time into a defensible scientific decision</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These mechanisms motivate a positive priority effect on the hazard of first publication.</w:t>
      </w:r>
    </w:p>
    <w:p>
      <w:pPr>
        <w:pStyle w:val="FirstParagraph"/>
      </w:pPr>
      <w:r>
        <w:t xml:space="preserve">Against them stands the entanglement that the prospectus identified. Priority and capability move together. A high-priority instrument tends to be larger, more complex, and more capable, and complexity can slow rather than speed the first result, since a larger instrument takes longer to commission and a richer dataset takes longer to interpret. The engineering literature on what determines whether a surface instrument reaches and survives its target, from pit-access architecture for exposed lunar strata</w:t>
      </w:r>
      <w:r>
        <w:t xml:space="preserve"> </w:t>
      </w:r>
      <w:hyperlink w:anchor="ref-5">
        <m:oMathPara>
          <m:oMathParaPr>
            <m:jc m:val="center"/>
          </m:oMathParaPr>
          <m:oMath>
            <m:r>
              <m:t>5</m:t>
            </m:r>
          </m:oMath>
        </m:oMathPara>
      </w:hyperlink>
      <w:r>
        <w:t xml:space="preserve"> </w:t>
      </w:r>
      <w:r>
        <w:t xml:space="preserve">to night-survival energy budgets for small lunar systems</w:t>
      </w:r>
      <w:r>
        <w:t xml:space="preserve"> </w:t>
      </w:r>
      <w:hyperlink w:anchor="ref-4">
        <m:oMathPara>
          <m:oMathParaPr>
            <m:jc m:val="center"/>
          </m:oMathParaPr>
          <m:oMath>
            <m:r>
              <m:t>4</m:t>
            </m:r>
          </m:oMath>
        </m:oMathPara>
      </w:hyperlink>
      <w:r>
        <w:t xml:space="preserve">, shows that capability and operational exposure are themselves heavy determinants of outcomes, independent of priority. Conditioning on capability is therefore essential: without it, the priority coefficient absorbs the speed penalty or premium that mass alone carries.</w:t>
      </w:r>
    </w:p>
    <w:p>
      <w:pPr>
        <w:pStyle w:val="FirstParagraph"/>
      </w:pPr>
      <w:r>
        <w:rPr>
          <w:b/>
          <w:bCs/>
        </w:rPr>
        <w:t xml:space="preserve">H0 (null):</w:t>
      </w:r>
      <w:r>
        <w:t xml:space="preserve"> </w:t>
      </w:r>
      <w:r>
        <w:t xml:space="preserve">Conditional on engineering capability, operational regime, and mission era, ex ante decadal priority has no association with the hazard of first publication. The priority coefficient is zero and the hazard ratio is one.</w:t>
      </w:r>
    </w:p>
    <w:p>
      <w:pPr>
        <w:pStyle w:val="BodyText"/>
      </w:pPr>
      <w:r>
        <w:rPr>
          <w:b/>
          <w:bCs/>
        </w:rPr>
        <w:t xml:space="preserve">H1 (alternative):</w:t>
      </w:r>
      <w:r>
        <w:t xml:space="preserve"> </w:t>
      </w:r>
      <w:r>
        <w:t xml:space="preserve">Conditional on the same controls, higher ex ante decadal priority raises the hazard of first publication, so higher-priority instruments reach their first peer-reviewed result sooner. The priority coefficient is positive and the hazard ratio exceeds one.</w:t>
      </w:r>
    </w:p>
    <w:bookmarkEnd w:id="62"/>
    <w:bookmarkStart w:id="63" w:name="data"/>
    <w:p>
      <w:pPr>
        <w:pStyle w:val="Heading2"/>
      </w:pPr>
      <w:r>
        <w:t xml:space="preserve">3. Data</w:t>
      </w:r>
    </w:p>
    <w:p>
      <w:pPr>
        <w:pStyle w:val="FirstParagraph"/>
      </w:pPr>
      <w:r>
        <w:t xml:space="preserve">The unit of analysis is the instrument on a planetary surface platform. The assembled set contains 31 instruments drawn from nine surface missions: Mars Pathfinder, the two Mars Exploration Rovers, Phoenix, Mars Science Laboratory, InSight, Mars 2020, Change-3, and Change-4. The Mars 2020 caching instruments sit inside the multi-element Mars Sample Return campaign architecture, whose early instrument and sampling decisions propagate through the entire return chain</w:t>
      </w:r>
      <w:r>
        <w:t xml:space="preserve"> </w:t>
      </w:r>
      <w:hyperlink w:anchor="ref-3">
        <m:oMathPara>
          <m:oMathParaPr>
            <m:jc m:val="center"/>
          </m:oMathParaPr>
          <m:oMath>
            <m:r>
              <m:t>3</m:t>
            </m:r>
          </m:oMath>
        </m:oMathPara>
      </w:hyperlink>
      <w:r>
        <w:t xml:space="preserve">, which is part of why their first-results timing is of program interest. Each row records the instrument, its host mission, the documented landing date that starts the analysis clock, and the publication date of the first peer-reviewed science-results paper attributable to the instrument.</w:t>
      </w:r>
    </w:p>
    <w:p>
      <w:pPr>
        <w:pStyle w:val="FirstParagraph"/>
      </w:pPr>
      <w:r>
        <w:t xml:space="preserve">The analysis time, duration in months, is computed from the landing date to the first-publication date. Landing dates are public mission record. Every first-publication date was verified against Crossref on 2026-06-22, and the resolving DOI is recorded in the source column of each row, so the timing of every observation can be reconstructed from public metadata without proprietary access. The verified first-results papers are the landmark mission-science publications, for example the Science 341 Mars Science Laboratory set for ChemCam and SAM, the Nature Geoscience first-seismicity paper for InSight SEIS, and the Nature 569 farside mantle-material paper for the Change-4 VNIS. The priority tier is coded from the published NASA planetary decadal surveys on the same ordinal rubric used by the companion paper, ranging from tier 2 for atmospheric and meteorological monitoring to tier 5 for astrobiology, geochemistry, habitability, and interior structure. Instrument flight mass, the capability proxy, is taken from the per-instrument mission papers cited in each row source. Operational regime distinguishes fixed landers from in-situ mobile rovers and from sample-caching or return-context rovers, with the regime taxonomy drawn from the GeoHeuristic Operational Strategies Test methodology</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The mission-era indicator flags the 2018 to 2021 surface-operations cohort.</w:t>
      </w:r>
    </w:p>
    <w:p>
      <w:pPr>
        <w:pStyle w:val="FirstParagraph"/>
      </w:pPr>
      <w:r>
        <w:t xml:space="preserve">The event indicator is one for every instrument in the set, because each verified instrument did eventually publish a first result. The specification retains the indicator so that right-censored instruments, those lost to operational failure before producing science, can be appended without changing the model. The prospectus motivates that extension through the night-survival failure mode for small lunar systems</w:t>
      </w:r>
      <w:r>
        <w:t xml:space="preserve"> </w:t>
      </w:r>
      <w:hyperlink w:anchor="ref-4">
        <m:oMathPara>
          <m:oMathParaPr>
            <m:jc m:val="center"/>
          </m:oMathParaPr>
          <m:oMath>
            <m:r>
              <m:t>4</m:t>
            </m:r>
          </m:oMath>
        </m:oMathPara>
      </w:hyperlink>
      <w:r>
        <w:t xml:space="preserve">; the present set is confined to instruments with a Crossref-verifiable first-results date, which by construction excludes the unpublished-failure tail. The Findings section returns to what that boundary means for the estimate.</w:t>
      </w:r>
    </w:p>
    <w:bookmarkEnd w:id="63"/>
    <w:bookmarkStart w:id="64" w:name="method"/>
    <w:p>
      <w:pPr>
        <w:pStyle w:val="Heading2"/>
      </w:pPr>
      <w:r>
        <w:t xml:space="preserve">4. Method</w:t>
      </w:r>
    </w:p>
    <w:p>
      <w:pPr>
        <w:pStyle w:val="FirstParagraph"/>
      </w:pPr>
      <w:r>
        <w:t xml:space="preserve">The estimator is the Cox proportional-hazards model. It specifies the hazard of first publication at analysis time t as a baseline hazard multiplied by an exponential function of the covariates, so each coefficient reports a log-hazard ratio and its exponential reports the multiplicative shift in the instantaneous probability of first publication. The model is semiparametric: it leaves the baseline hazard unspecified and estimates only the covariate effects, which suits a small, heterogeneous cross-mission sample where the shape of the underlying time-to-publication curve is unknown.</w:t>
      </w:r>
    </w:p>
    <w:p>
      <w:pPr>
        <w:pStyle w:val="BodyText"/>
      </w:pPr>
      <w:r>
        <w:t xml:space="preserve">The covariate of interest is the priority tier. The capability control is the natural log of instrument mass, which enters in logs because mass spans nearly two orders of magnitude across the set, from sub-kilogram spectrometers to the forty-kilogram SAM suite. The regime control enters as an ordered index of operational complexity between landing and first result. The mission-era indicator absorbs the secular shift toward longer, more selective first-results papers in the most recent cohort. The aerospace-output forecasting literature motivates including an era term to capture period effects in publication behavior that no instrument-level covariate would otherwise carry</w:t>
      </w:r>
      <w:r>
        <w:t xml:space="preserve"> </w:t>
      </w:r>
      <w:hyperlink w:anchor="ref-2">
        <m:oMathPara>
          <m:oMathParaPr>
            <m:jc m:val="center"/>
          </m:oMathParaPr>
          <m:oMath>
            <m:r>
              <m:t>2</m:t>
            </m:r>
          </m:oMath>
        </m:oMathPara>
      </w:hyperlink>
      <w:r>
        <w:t xml:space="preserve">. A positive priority coefficient, with a hazard ratio above one and a confidence interval excluding one, rejects H0 in favor of H1. Reported significance uses the Wald z statistic from the model’s standard errors.</w:t>
      </w:r>
    </w:p>
    <w:bookmarkEnd w:id="64"/>
    <w:bookmarkStart w:id="65" w:name="findings"/>
    <w:p>
      <w:pPr>
        <w:pStyle w:val="Heading2"/>
      </w:pPr>
      <w:r>
        <w:t xml:space="preserve">5. Findings</w:t>
      </w:r>
    </w:p>
    <w:p>
      <w:pPr>
        <w:pStyle w:val="FirstParagraph"/>
      </w:pPr>
      <w:r>
        <w:t xml:space="preserve">The model is estimated on all 31 instruments, every one of which is an observed first-publication event. The coefficient on decadal priority is positive and statistically distinguishable from zero: the log-hazard ratio is 0.4495 with a standard error of 0.2213, giving a Wald p value of 0.0422 and a hazard ratio of 1.5675. The point estimate says that each one-tier increase in ex ante decadal priority is associated with roughly a 57 percent increase in the instantaneous hazard of first publication. Read on the timing margin, higher-priority instruments reach their first peer-reviewed result sooner, and the effect is large enough to matter operationally. Moving an instrument from the meteorological-monitoring tier to the habitability-and-interior tier, a three-tier shift, compounds that hazard multiplier across the interval and corresponds to a substantial compression of time-to-first-result. The data reject H0 and support H1.</w:t>
      </w:r>
    </w:p>
    <w:p>
      <w:pPr>
        <w:pStyle w:val="BodyText"/>
      </w:pPr>
      <w:r>
        <w:t xml:space="preserve">The engineering-capability proxy carries essentially no independent association with publication speed. The log-mass coefficient is 0.0404 with a standard error of 0.1932 and a p value of 0.8346, a hazard ratio of 1.0412 that is statistically indistinguishable from one. This is the result that gives the priority finding its weight. Because mass is the dimension most entangled with priority, a null mass coefficient means the priority effect is not a capability effect wearing a priority label. Within strata of comparable instrument scale, the priority signal still moves the timing of the first result. The operational-regime control is likewise null: its coefficient is 0.183 with a standard error of 0.2955 and a p value of 0.5357, a hazard ratio of 1.2009 whose confidence interval comfortably spans one. The transition from fixed lander to mobile rover to caching rover does not, by itself, systematically speed or slow the first publication once priority and capability are held fixed.</w:t>
      </w:r>
    </w:p>
    <w:p>
      <w:pPr>
        <w:pStyle w:val="BodyText"/>
      </w:pPr>
      <w:r>
        <w:t xml:space="preserve">The mission-era indicator is negative and statistically distinguishable from zero: its coefficient is -0.8719 with a standard error of 0.4192 and a p value of 0.0375, a hazard ratio of 0.4182. Instruments whose surface operations began in the 2018 to 2021 cohort, the InSight, Mars 2020, and Change-4 farside platforms, faced a markedly lower hazard of early first publication than the earlier cohorts, with the instantaneous probability cut by roughly 58 percent at a given analysis time. This is consistent with a documented shift in the most recent missions toward longer, more selective, and more heavily peer-reviewed first-results papers, and it is exactly the period effect the era term was included to absorb. Crucially, the priority coefficient survives the inclusion of that era control, so the priority effect is not an artifact of the earlier cohorts simply publishing faster on average.</w:t>
      </w:r>
    </w:p>
    <w:p>
      <w:pPr>
        <w:pStyle w:val="BodyText"/>
      </w:pPr>
      <w:r>
        <w:t xml:space="preserve">Two features of the estimate bound its interpretation. First, the sample is all events, which means the model is identified off variation in the timing of publication rather than off any contrast between publishers and non-publishers. The priority effect should therefore be read as an effect on speed among instruments that do eventually publish, not as an effect on the probability of ever publishing. Second, the confidence interval on the priority hazard ratio, while excluding one, is wide given the 31-observation sample, so the point estimate of a 57 percent hazard increase per tier is the center of a range that a larger sample would tighten. The direction and the rejection of the null are robust within this set; the precise magnitude is provisional.</w:t>
      </w:r>
    </w:p>
    <w:bookmarkEnd w:id="65"/>
    <w:bookmarkStart w:id="66" w:name="discussion"/>
    <w:p>
      <w:pPr>
        <w:pStyle w:val="Heading2"/>
      </w:pPr>
      <w:r>
        <w:t xml:space="preserve">6. Discussion</w:t>
      </w:r>
    </w:p>
    <w:p>
      <w:pPr>
        <w:pStyle w:val="FirstParagraph"/>
      </w:pPr>
      <w:r>
        <w:t xml:space="preserve">The finding is that ex ante decadal priority predicts the speed of the first scientific result, net of the instrument capability with which priority is entangled. That is a different and complementary claim to the companion paper’s question about the stock of output. Even where two instruments might converge on similar lifetime productivity, the high-priority instrument banks its first result sooner, and the timing margin carries real institutional value: it de-risks the instrument early, anchors the downstream literature, and validates the prioritization wager on a fast clock. For a program office, the result is evidence that the decadal process is encoding information that shows up not only in eventual yield but in tempo.</w:t>
      </w:r>
    </w:p>
    <w:p>
      <w:pPr>
        <w:pStyle w:val="BodyText"/>
      </w:pPr>
      <w:r>
        <w:t xml:space="preserve">The null on capability is the load-bearing part of the result. Critics of prioritization argue that priority is merely a proxy for resources and engineering quality, so that any apparent priority effect is capability in disguise. The statistically indistinguishable mass coefficient is direct evidence against that reading on the timing margin. The priority signal moves the first-publication clock within strata of comparable instrument scale. The null on regime, similarly, means the timing effect is not an operational-architecture artifact: caching rovers, which run the most elaborate science-operations protocols between landing and result</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do not pay a systematic timing penalty once priority and capability are fixed.</w:t>
      </w:r>
    </w:p>
    <w:p>
      <w:pPr>
        <w:pStyle w:val="FirstParagraph"/>
      </w:pPr>
      <w:r>
        <w:t xml:space="preserve">The strong negative era effect is itself informative and cautionary. The most recent cohort publishes its first results more slowly, which means cross-era comparisons of raw time-to-publication would badly mislead, and it underscores why the era control belongs in the specification. It also flags a live question for the prioritization community: if the bar for a first-results publication is rising over time, the timing value of priority may be partly offset by a secular slowdown that no instrument-level decision controls.</w:t>
      </w:r>
    </w:p>
    <w:p>
      <w:pPr>
        <w:pStyle w:val="BodyText"/>
      </w:pPr>
      <w:r>
        <w:t xml:space="preserve">Three limitations frame the contribution. The sample excludes the unpublished-failure tail by construction, since an instrument with no Crossref-verifiable first-results date cannot enter a time-to-event set keyed on that date; the prospectus’s night-survival failure mode for small lunar systems</w:t>
      </w:r>
      <w:r>
        <w:t xml:space="preserve"> </w:t>
      </w:r>
      <w:hyperlink w:anchor="ref-4">
        <m:oMathPara>
          <m:oMathParaPr>
            <m:jc m:val="center"/>
          </m:oMathParaPr>
          <m:oMath>
            <m:r>
              <m:t>4</m:t>
            </m:r>
          </m:oMath>
        </m:oMathPara>
      </w:hyperlink>
      <w:r>
        <w:t xml:space="preserve"> </w:t>
      </w:r>
      <w:r>
        <w:t xml:space="preserve">and the access-architecture determinants for difficult-terrain targets</w:t>
      </w:r>
      <w:r>
        <w:t xml:space="preserve"> </w:t>
      </w:r>
      <w:hyperlink w:anchor="ref-5">
        <m:oMathPara>
          <m:oMathParaPr>
            <m:jc m:val="center"/>
          </m:oMathParaPr>
          <m:oMath>
            <m:r>
              <m:t>5</m:t>
            </m:r>
          </m:oMath>
        </m:oMathPara>
      </w:hyperlink>
      <w:r>
        <w:t xml:space="preserve"> </w:t>
      </w:r>
      <w:r>
        <w:t xml:space="preserve">sit in that excluded tail, and incorporating them through formal right-censoring is the natural next step. Attribution of a first paper to a single instrument is imperfect where multi-instrument papers open a mission’s science record, and the analysis assigns the landmark first-results paper conservatively. And the 31-observation sample yields a wide interval on the magnitude even as it pins the sign. The valuation literature’s caution that science output resists clean measurement applies here as elsewhere</w:t>
      </w:r>
      <w:r>
        <w:t xml:space="preserve"> </w:t>
      </w:r>
      <w:hyperlink w:anchor="ref-1">
        <m:oMathPara>
          <m:oMathParaPr>
            <m:jc m:val="center"/>
          </m:oMathParaPr>
          <m:oMath>
            <m:r>
              <m:t>1</m:t>
            </m:r>
          </m:oMath>
        </m:oMathPara>
      </w:hyperlink>
      <w:r>
        <w:t xml:space="preserve">; the response is the same as the companion paper’s, to report the estimate transparently with its provenance auditable to public sources, and to treat the rejection of the null as the firmer result and the magnitude as provisional.</w:t>
      </w:r>
    </w:p>
    <w:bookmarkEnd w:id="66"/>
    <w:bookmarkStart w:id="79" w:name="references"/>
    <w:p>
      <w:pPr>
        <w:pStyle w:val="Heading2"/>
      </w:pPr>
      <w:r>
        <w:t xml:space="preserve">References</w:t>
      </w:r>
    </w:p>
    <w:p>
      <w:pPr>
        <w:pStyle w:val="FirstParagraph"/>
      </w:pPr>
      <w:bookmarkStart w:id="67" w:name="ref-1"/>
      <w:bookmarkEnd w:id="67"/>
      <w:r>
        <w:t xml:space="preserve">1. M. Weinzierl,</w:t>
      </w:r>
      <w:r>
        <w:t xml:space="preserve"> </w:t>
      </w:r>
      <w:r>
        <w:t xml:space="preserve">“Space, the Final Economic Frontier,”</w:t>
      </w:r>
      <w:r>
        <w:t xml:space="preserve"> </w:t>
      </w:r>
      <w:r>
        <w:t xml:space="preserve">Space Economy Papers corpus, source key SD18.</w:t>
      </w:r>
    </w:p>
    <w:p>
      <w:pPr>
        <w:pStyle w:val="BodyText"/>
      </w:pPr>
      <w:bookmarkStart w:id="68" w:name="ref-2"/>
      <w:bookmarkEnd w:id="68"/>
      <w:r>
        <w:t xml:space="preserve">2.</w:t>
      </w:r>
      <w:r>
        <w:t xml:space="preserve"> </w:t>
      </w:r>
      <w:r>
        <w:t xml:space="preserve">“OCEA Forecasting the Space Economy,”</w:t>
      </w:r>
      <w:r>
        <w:t xml:space="preserve"> </w:t>
      </w:r>
      <w:r>
        <w:t xml:space="preserve">Space Economy Papers corpus, source key SD08.</w:t>
      </w:r>
    </w:p>
    <w:p>
      <w:pPr>
        <w:pStyle w:val="BodyText"/>
      </w:pPr>
      <w:bookmarkStart w:id="69" w:name="ref-3"/>
      <w:bookmarkEnd w:id="69"/>
      <w:r>
        <w:t xml:space="preserve">3. B. Muirhead, A. Nicholas, J. W. Umland, O. Sutherland, and S. Vijendran,</w:t>
      </w:r>
      <w:r>
        <w:t xml:space="preserve"> </w:t>
      </w:r>
      <w:r>
        <w:t xml:space="preserve">“Mars Sample Return Campaign Concept Status,”</w:t>
      </w:r>
      <w:r>
        <w:t xml:space="preserve"> </w:t>
      </w:r>
      <w:r>
        <w:rPr>
          <w:i/>
          <w:iCs/>
        </w:rPr>
        <w:t xml:space="preserve">Acta Astronautica</w:t>
      </w:r>
      <w:r>
        <w:t xml:space="preserve">, vol. 176, 2020. doi:</w:t>
      </w:r>
      <w:r>
        <w:t xml:space="preserve"> </w:t>
      </w:r>
      <w:hyperlink r:id="rId70">
        <w:r>
          <w:rPr>
            <w:rStyle w:val="Hyperlink"/>
          </w:rPr>
          <w:t xml:space="preserve">10.1016/j.actaastro.2020.06.026</w:t>
        </w:r>
      </w:hyperlink>
      <w:r>
        <w:t xml:space="preserve">.</w:t>
      </w:r>
    </w:p>
    <w:p>
      <w:pPr>
        <w:pStyle w:val="BodyText"/>
      </w:pPr>
      <w:bookmarkStart w:id="71" w:name="ref-4"/>
      <w:bookmarkEnd w:id="71"/>
      <w:r>
        <w:t xml:space="preserve">4. J. Biswas, P. Queiroga Malzone, and F. Rößler,</w:t>
      </w:r>
      <w:r>
        <w:t xml:space="preserve"> </w:t>
      </w:r>
      <w:r>
        <w:t xml:space="preserve">“Energy storage selection and operation for night-time survival of small lunar surface systems,”</w:t>
      </w:r>
      <w:r>
        <w:t xml:space="preserve"> </w:t>
      </w:r>
      <w:r>
        <w:rPr>
          <w:i/>
          <w:iCs/>
        </w:rPr>
        <w:t xml:space="preserve">Acta Astronautica</w:t>
      </w:r>
      <w:r>
        <w:t xml:space="preserve">, vol. 185, 2021. doi:</w:t>
      </w:r>
      <w:r>
        <w:t xml:space="preserve"> </w:t>
      </w:r>
      <w:hyperlink r:id="rId72">
        <w:r>
          <w:rPr>
            <w:rStyle w:val="Hyperlink"/>
          </w:rPr>
          <w:t xml:space="preserve">10.1016/j.actaastro.2021.04.042</w:t>
        </w:r>
      </w:hyperlink>
      <w:r>
        <w:t xml:space="preserve">.</w:t>
      </w:r>
    </w:p>
    <w:p>
      <w:pPr>
        <w:pStyle w:val="BodyText"/>
      </w:pPr>
      <w:bookmarkStart w:id="73" w:name="ref-5"/>
      <w:bookmarkEnd w:id="73"/>
      <w:r>
        <w:t xml:space="preserve">5. I. Nesnas, L. Kerber, G. Sellar, T. S. Balint, B. W. Denevi, A. Parness, R. P. Kornfeld, et al.,</w:t>
      </w:r>
      <w:r>
        <w:t xml:space="preserve"> </w:t>
      </w:r>
      <w:r>
        <w:t xml:space="preserve">“Moon Diver: Exploring a pit’s exposed strata to understand lunar volcanism,”</w:t>
      </w:r>
      <w:r>
        <w:t xml:space="preserve"> </w:t>
      </w:r>
      <w:r>
        <w:rPr>
          <w:i/>
          <w:iCs/>
        </w:rPr>
        <w:t xml:space="preserve">Acta Astronautica</w:t>
      </w:r>
      <w:r>
        <w:t xml:space="preserve">, vol. 211, 2023. doi:</w:t>
      </w:r>
      <w:r>
        <w:t xml:space="preserve"> </w:t>
      </w:r>
      <w:hyperlink r:id="rId74">
        <w:r>
          <w:rPr>
            <w:rStyle w:val="Hyperlink"/>
          </w:rPr>
          <w:t xml:space="preserve">10.1016/j.actaastro.2023.05.042</w:t>
        </w:r>
      </w:hyperlink>
      <w:r>
        <w:t xml:space="preserve">.</w:t>
      </w:r>
    </w:p>
    <w:p>
      <w:pPr>
        <w:pStyle w:val="BodyText"/>
      </w:pPr>
      <w:bookmarkStart w:id="75" w:name="ref-6"/>
      <w:bookmarkEnd w:id="75"/>
      <w:r>
        <w:t xml:space="preserve">6.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rPr>
          <w:i/>
          <w:iCs/>
        </w:rPr>
        <w:t xml:space="preserve">Acta Astronautica</w:t>
      </w:r>
      <w:r>
        <w:t xml:space="preserve">, vol. 132, 2016. doi:</w:t>
      </w:r>
      <w:r>
        <w:t xml:space="preserve"> </w:t>
      </w:r>
      <w:hyperlink r:id="rId76">
        <w:r>
          <w:rPr>
            <w:rStyle w:val="Hyperlink"/>
          </w:rPr>
          <w:t xml:space="preserve">10.1016/j.actaastro.2016.12.018</w:t>
        </w:r>
      </w:hyperlink>
      <w:r>
        <w:t xml:space="preserve">.</w:t>
      </w:r>
    </w:p>
    <w:p>
      <w:pPr>
        <w:pStyle w:val="BodyText"/>
      </w:pPr>
      <w:bookmarkStart w:id="77" w:name="ref-7"/>
      <w:bookmarkEnd w:id="77"/>
      <w:r>
        <w:t xml:space="preserve">7. R. A. Yingst, J. K. Bartley, T. C. Chidsey, B. A. Cohen, G. J. Gilleaudeau, B. M. Hynek, et al.,</w:t>
      </w:r>
      <w:r>
        <w:t xml:space="preserve"> </w:t>
      </w:r>
      <w:r>
        <w:t xml:space="preserve">“Testing the efficiency of rover science protocols for robotic sample selection: A GeoHeuristic Operational Strategies Test,”</w:t>
      </w:r>
      <w:r>
        <w:t xml:space="preserve"> </w:t>
      </w:r>
      <w:r>
        <w:rPr>
          <w:i/>
          <w:iCs/>
        </w:rPr>
        <w:t xml:space="preserve">Acta Astronautica</w:t>
      </w:r>
      <w:r>
        <w:t xml:space="preserve">, vol. 146, 2018. doi:</w:t>
      </w:r>
      <w:r>
        <w:t xml:space="preserve"> </w:t>
      </w:r>
      <w:hyperlink r:id="rId78">
        <w:r>
          <w:rPr>
            <w:rStyle w:val="Hyperlink"/>
          </w:rPr>
          <w:t xml:space="preserve">10.1016/j.actaastro.2018.02.029</w:t>
        </w:r>
      </w:hyperlink>
      <w:r>
        <w:t xml:space="preserve">.</w:t>
      </w:r>
    </w:p>
    <w:bookmarkEnd w:id="79"/>
    <w:bookmarkStart w:id="80"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priority</m:t>
              </m:r>
              <m:r>
                <m:rPr>
                  <m:sty m:val="p"/>
                </m:rPr>
                <m:t>+</m:t>
              </m:r>
              <m:sSub>
                <m:e>
                  <m:r>
                    <m:t>β</m:t>
                  </m:r>
                </m:e>
                <m:sub>
                  <m:r>
                    <m:t>2</m:t>
                  </m:r>
                </m:sub>
              </m:sSub>
              <m:r>
                <m:t> </m:t>
              </m:r>
              <m:r>
                <m:rPr>
                  <m:sty m:val="p"/>
                </m:rPr>
                <m:t>log</m:t>
              </m:r>
              <m:r>
                <m:rPr>
                  <m:sty m:val="p"/>
                </m:rPr>
                <m:t>(</m:t>
              </m:r>
              <m:r>
                <m:rPr>
                  <m:nor/>
                  <m:sty m:val="p"/>
                </m:rPr>
                <m:t>mass</m:t>
              </m:r>
              <m:r>
                <m:rPr>
                  <m:sty m:val="p"/>
                </m:rPr>
                <m:t>)</m:t>
              </m:r>
              <m:r>
                <m:rPr>
                  <m:sty m:val="p"/>
                </m:rPr>
                <m:t>+</m:t>
              </m:r>
              <m:sSub>
                <m:e>
                  <m:r>
                    <m:t>β</m:t>
                  </m:r>
                </m:e>
                <m:sub>
                  <m:r>
                    <m:t>3</m:t>
                  </m:r>
                </m:sub>
              </m:sSub>
              <m:r>
                <m:t> </m:t>
              </m:r>
              <m:r>
                <m:rPr>
                  <m:nor/>
                  <m:sty m:val="p"/>
                </m:rPr>
                <m:t>regime</m:t>
              </m:r>
              <m:r>
                <m:rPr>
                  <m:sty m:val="p"/>
                </m:rPr>
                <m:t>+</m:t>
              </m:r>
              <m:sSub>
                <m:e>
                  <m:r>
                    <m:t>β</m:t>
                  </m:r>
                </m:e>
                <m:sub>
                  <m:r>
                    <m:t>4</m:t>
                  </m:r>
                </m:sub>
              </m:sSub>
              <m:r>
                <m:t> </m:t>
              </m:r>
              <m:r>
                <m:rPr>
                  <m:nor/>
                  <m:sty m:val="p"/>
                </m:rPr>
                <m:t>era3</m:t>
              </m:r>
            </m:e>
          </m:d>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0.4495</w:t>
            </w:r>
          </w:p>
        </w:tc>
        <w:tc>
          <w:tcPr>
            <w:tcW w:w="0" w:type="auto"/>
          </w:tcPr>
          <w:p>
            <w:pPr>
              <w:spacing w:line="240" w:lineRule="auto" w:before="0" w:after="0"/>
              <w:pStyle w:val="Compact"/>
            </w:pPr>
            <w:r>
              <w:rPr>
                <w:sz w:val="20"/>
                <w:szCs w:val="20"/>
              </w:rPr>
              <w:t xml:space="preserve">0.2213</w:t>
            </w:r>
          </w:p>
        </w:tc>
        <w:tc>
          <w:tcPr>
            <w:tcW w:w="0" w:type="auto"/>
          </w:tcPr>
          <w:p>
            <w:pPr>
              <w:spacing w:line="240" w:lineRule="auto" w:before="0" w:after="0"/>
              <w:pStyle w:val="Compact"/>
            </w:pPr>
            <w:r>
              <w:rPr>
                <w:sz w:val="20"/>
                <w:szCs w:val="20"/>
              </w:rPr>
              <w:t xml:space="preserve">2.0314</w:t>
            </w:r>
          </w:p>
        </w:tc>
        <w:tc>
          <w:tcPr>
            <w:tcW w:w="0" w:type="auto"/>
          </w:tcPr>
          <w:p>
            <w:pPr>
              <w:spacing w:line="240" w:lineRule="auto" w:before="0" w:after="0"/>
              <w:pStyle w:val="Compact"/>
            </w:pPr>
            <w:r>
              <w:rPr>
                <w:sz w:val="20"/>
                <w:szCs w:val="20"/>
              </w:rPr>
              <w:t xml:space="preserve">0.0422</w:t>
            </w:r>
          </w:p>
        </w:tc>
        <w:tc>
          <w:tcPr>
            <w:tcW w:w="0" w:type="auto"/>
          </w:tcPr>
          <w:p>
            <w:pPr>
              <w:spacing w:line="240" w:lineRule="auto" w:before="0" w:after="0"/>
              <w:pStyle w:val="Compact"/>
            </w:pPr>
            <w:r>
              <w:rPr>
                <w:sz w:val="20"/>
                <w:szCs w:val="20"/>
              </w:rPr>
              <w:t xml:space="preserve">[0.0158, 0.8831]</w:t>
            </w:r>
          </w:p>
        </w:tc>
        <w:tc>
          <w:tcPr>
            <w:tcW w:w="0" w:type="auto"/>
          </w:tcPr>
          <w:p>
            <w:pPr>
              <w:spacing w:line="240" w:lineRule="auto" w:before="0" w:after="0"/>
              <w:pStyle w:val="Compact"/>
            </w:pPr>
            <w:r>
              <w:rPr>
                <w:sz w:val="20"/>
                <w:szCs w:val="20"/>
              </w:rPr>
              <w:t xml:space="preserve">1.5675</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0.0404</w:t>
            </w:r>
          </w:p>
        </w:tc>
        <w:tc>
          <w:tcPr>
            <w:tcW w:w="0" w:type="auto"/>
          </w:tcPr>
          <w:p>
            <w:pPr>
              <w:spacing w:line="240" w:lineRule="auto" w:before="0" w:after="0"/>
              <w:pStyle w:val="Compact"/>
            </w:pPr>
            <w:r>
              <w:rPr>
                <w:sz w:val="20"/>
                <w:szCs w:val="20"/>
              </w:rPr>
              <w:t xml:space="preserve">0.1932</w:t>
            </w:r>
          </w:p>
        </w:tc>
        <w:tc>
          <w:tcPr>
            <w:tcW w:w="0" w:type="auto"/>
          </w:tcPr>
          <w:p>
            <w:pPr>
              <w:spacing w:line="240" w:lineRule="auto" w:before="0" w:after="0"/>
              <w:pStyle w:val="Compact"/>
            </w:pPr>
            <w:r>
              <w:rPr>
                <w:sz w:val="20"/>
                <w:szCs w:val="20"/>
              </w:rPr>
              <w:t xml:space="preserve">0.2089</w:t>
            </w:r>
          </w:p>
        </w:tc>
        <w:tc>
          <w:tcPr>
            <w:tcW w:w="0" w:type="auto"/>
          </w:tcPr>
          <w:p>
            <w:pPr>
              <w:spacing w:line="240" w:lineRule="auto" w:before="0" w:after="0"/>
              <w:pStyle w:val="Compact"/>
            </w:pPr>
            <w:r>
              <w:rPr>
                <w:sz w:val="20"/>
                <w:szCs w:val="20"/>
              </w:rPr>
              <w:t xml:space="preserve">0.8346</w:t>
            </w:r>
          </w:p>
        </w:tc>
        <w:tc>
          <w:tcPr>
            <w:tcW w:w="0" w:type="auto"/>
          </w:tcPr>
          <w:p>
            <w:pPr>
              <w:spacing w:line="240" w:lineRule="auto" w:before="0" w:after="0"/>
              <w:pStyle w:val="Compact"/>
            </w:pPr>
            <w:r>
              <w:rPr>
                <w:sz w:val="20"/>
                <w:szCs w:val="20"/>
              </w:rPr>
              <w:t xml:space="preserve">[-0.3384, 0.4191]</w:t>
            </w:r>
          </w:p>
        </w:tc>
        <w:tc>
          <w:tcPr>
            <w:tcW w:w="0" w:type="auto"/>
          </w:tcPr>
          <w:p>
            <w:pPr>
              <w:spacing w:line="240" w:lineRule="auto" w:before="0" w:after="0"/>
              <w:pStyle w:val="Compact"/>
            </w:pPr>
            <w:r>
              <w:rPr>
                <w:sz w:val="20"/>
                <w:szCs w:val="20"/>
              </w:rPr>
              <w:t xml:space="preserve">1.0412</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0.2955</w:t>
            </w:r>
          </w:p>
        </w:tc>
        <w:tc>
          <w:tcPr>
            <w:tcW w:w="0" w:type="auto"/>
          </w:tcPr>
          <w:p>
            <w:pPr>
              <w:spacing w:line="240" w:lineRule="auto" w:before="0" w:after="0"/>
              <w:pStyle w:val="Compact"/>
            </w:pPr>
            <w:r>
              <w:rPr>
                <w:sz w:val="20"/>
                <w:szCs w:val="20"/>
              </w:rPr>
              <w:t xml:space="preserve">0.6194</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[-0.3962, 0.7623]</w:t>
            </w:r>
          </w:p>
        </w:tc>
        <w:tc>
          <w:tcPr>
            <w:tcW w:w="0" w:type="auto"/>
          </w:tcPr>
          <w:p>
            <w:pPr>
              <w:spacing w:line="240" w:lineRule="auto" w:before="0" w:after="0"/>
              <w:pStyle w:val="Compact"/>
            </w:pPr>
            <w:r>
              <w:rPr>
                <w:sz w:val="20"/>
                <w:szCs w:val="20"/>
              </w:rPr>
              <w:t xml:space="preserve">1.2009</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-0.8719</w:t>
            </w:r>
          </w:p>
        </w:tc>
        <w:tc>
          <w:tcPr>
            <w:tcW w:w="0" w:type="auto"/>
          </w:tcPr>
          <w:p>
            <w:pPr>
              <w:spacing w:line="240" w:lineRule="auto" w:before="0" w:after="0"/>
              <w:pStyle w:val="Compact"/>
            </w:pPr>
            <w:r>
              <w:rPr>
                <w:sz w:val="20"/>
                <w:szCs w:val="20"/>
              </w:rPr>
              <w:t xml:space="preserve">0.4192</w:t>
            </w:r>
          </w:p>
        </w:tc>
        <w:tc>
          <w:tcPr>
            <w:tcW w:w="0" w:type="auto"/>
          </w:tcPr>
          <w:p>
            <w:pPr>
              <w:spacing w:line="240" w:lineRule="auto" w:before="0" w:after="0"/>
              <w:pStyle w:val="Compact"/>
            </w:pPr>
            <w:r>
              <w:rPr>
                <w:sz w:val="20"/>
                <w:szCs w:val="20"/>
              </w:rPr>
              <w:t xml:space="preserve">-2.0799</w:t>
            </w:r>
          </w:p>
        </w:tc>
        <w:tc>
          <w:tcPr>
            <w:tcW w:w="0" w:type="auto"/>
          </w:tcPr>
          <w:p>
            <w:pPr>
              <w:spacing w:line="240" w:lineRule="auto" w:before="0" w:after="0"/>
              <w:pStyle w:val="Compact"/>
            </w:pPr>
            <w:r>
              <w:rPr>
                <w:sz w:val="20"/>
                <w:szCs w:val="20"/>
              </w:rPr>
              <w:t xml:space="preserve">0.0375</w:t>
            </w:r>
          </w:p>
        </w:tc>
        <w:tc>
          <w:tcPr>
            <w:tcW w:w="0" w:type="auto"/>
          </w:tcPr>
          <w:p>
            <w:pPr>
              <w:spacing w:line="240" w:lineRule="auto" w:before="0" w:after="0"/>
              <w:pStyle w:val="Compact"/>
            </w:pPr>
            <w:r>
              <w:rPr>
                <w:sz w:val="20"/>
                <w:szCs w:val="20"/>
              </w:rPr>
              <w:t xml:space="preserve">[-1.6935, -0.0503]</w:t>
            </w:r>
          </w:p>
        </w:tc>
        <w:tc>
          <w:tcPr>
            <w:tcW w:w="0" w:type="auto"/>
          </w:tcPr>
          <w:p>
            <w:pPr>
              <w:spacing w:line="240" w:lineRule="auto" w:before="0" w:after="0"/>
              <w:pStyle w:val="Compact"/>
            </w:pPr>
            <w:r>
              <w:rPr>
                <w:sz w:val="20"/>
                <w:szCs w:val="20"/>
              </w:rPr>
              <w:t xml:space="preserve">0.4182</w:t>
            </w:r>
          </w:p>
        </w:tc>
      </w:tr>
    </w:tbl>
    <w:p>
      <w:pPr>
        <w:pStyle w:val="BodyText"/>
      </w:pPr>
      <w:r>
        <w:t xml:space="preserve">Fit: N = 31 events = 31</w:t>
      </w:r>
    </w:p>
    <w:p>
      <w:pPr>
        <w:pStyle w:val="CaptionedFigure"/>
      </w:pPr>
      <w:r>
        <w:drawing>
          <wp:inline>
            <wp:extent cx="5669280" cy="3657600"/>
            <wp:effectExtent b="0" l="0" r="0" t="0"/>
            <wp:docPr descr="Figure 1. Time from surface-operations start to first peer-reviewed science-results publication against ex ante decadal priority tier across 31 surface-mission instruments, 1997 to 2023. The Cox model partitions this gradient against instrument capability, operational regime, and mission era." title="" id="82" name="Picture"/>
            <a:graphic>
              <a:graphicData uri="http://schemas.openxmlformats.org/drawingml/2006/picture">
                <pic:pic>
                  <pic:nvPicPr>
                    <pic:cNvPr descr="D:\Claude_Code\brain\collegium\candidates\dissertations\JPL_AUTONOMY_EDL_11\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surface-operations start to first peer-reviewed science-results publication against ex ante decadal priority tier across 31 surface-mission instruments, 1997 to 2023. The Cox model partitions this gradient against instrument capability, operational regime, and mission era.</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landing_date</w:t>
            </w:r>
          </w:p>
        </w:tc>
        <w:tc>
          <w:tcPr>
            <w:tcW w:w="0" w:type="auto"/>
          </w:tcPr>
          <w:p>
            <w:pPr>
              <w:spacing w:line="240" w:lineRule="auto" w:before="0" w:after="0"/>
              <w:pStyle w:val="Compact"/>
            </w:pPr>
            <w:r>
              <w:rPr>
                <w:sz w:val="20"/>
                <w:szCs w:val="20"/>
              </w:rPr>
              <w:t xml:space="preserve">first_pub_date</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Pathfinder APXS</w:t>
            </w:r>
          </w:p>
        </w:tc>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1997-07-04</w:t>
            </w:r>
          </w:p>
        </w:tc>
        <w:tc>
          <w:tcPr>
            <w:tcW w:w="0" w:type="auto"/>
          </w:tcPr>
          <w:p>
            <w:pPr>
              <w:spacing w:line="240" w:lineRule="auto" w:before="0" w:after="0"/>
              <w:pStyle w:val="Compact"/>
            </w:pPr>
            <w:r>
              <w:rPr>
                <w:sz w:val="20"/>
                <w:szCs w:val="20"/>
              </w:rPr>
              <w:t xml:space="preserve">1997-12-05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-0.562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1997-07-04 (NASA Mars Pathfinder); first results Rieder et al., Science 278:1771, 1997-12-05, doi:10.1126/science.278.5344.1771 (Crossref, retrieved 2026-06-22)</w:t>
            </w:r>
          </w:p>
        </w:tc>
      </w:tr>
      <w:tr>
        <w:tc>
          <w:tcPr>
            <w:tcW w:w="0" w:type="auto"/>
          </w:tcPr>
          <w:p>
            <w:pPr>
              <w:spacing w:line="240" w:lineRule="auto" w:before="0" w:after="0"/>
              <w:pStyle w:val="Compact"/>
            </w:pPr>
            <w:r>
              <w:rPr>
                <w:sz w:val="20"/>
                <w:szCs w:val="20"/>
              </w:rPr>
              <w:t xml:space="preserve">Pathfinder IMP</w:t>
            </w:r>
          </w:p>
        </w:tc>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1997-07-04</w:t>
            </w:r>
          </w:p>
        </w:tc>
        <w:tc>
          <w:tcPr>
            <w:tcW w:w="0" w:type="auto"/>
          </w:tcPr>
          <w:p>
            <w:pPr>
              <w:spacing w:line="240" w:lineRule="auto" w:before="0" w:after="0"/>
              <w:pStyle w:val="Compact"/>
            </w:pPr>
            <w:r>
              <w:rPr>
                <w:sz w:val="20"/>
                <w:szCs w:val="20"/>
              </w:rPr>
              <w:t xml:space="preserve">1997-12-05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1997-07-04; first results Smith et al., Science 278:1765, 1997-12-05, doi:10.1126/science.278.5344.1765 (Crossref)</w:t>
            </w:r>
          </w:p>
        </w:tc>
      </w:tr>
      <w:tr>
        <w:tc>
          <w:tcPr>
            <w:tcW w:w="0" w:type="auto"/>
          </w:tcPr>
          <w:p>
            <w:pPr>
              <w:spacing w:line="240" w:lineRule="auto" w:before="0" w:after="0"/>
              <w:pStyle w:val="Compact"/>
            </w:pPr>
            <w:r>
              <w:rPr>
                <w:sz w:val="20"/>
                <w:szCs w:val="20"/>
              </w:rPr>
              <w:t xml:space="preserve">MER-Opportunity Pancam</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2004-01-25</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2004-01-25; Opportunity Meridiani campaign results Squyres et al., Science 306:1698, 2004-12-03, doi:10.1126/science.1104559 (Crossref)</w:t>
            </w:r>
          </w:p>
        </w:tc>
      </w:tr>
      <w:tr>
        <w:tc>
          <w:tcPr>
            <w:tcW w:w="0" w:type="auto"/>
          </w:tcPr>
          <w:p>
            <w:pPr>
              <w:spacing w:line="240" w:lineRule="auto" w:before="0" w:after="0"/>
              <w:pStyle w:val="Compact"/>
            </w:pPr>
            <w:r>
              <w:rPr>
                <w:sz w:val="20"/>
                <w:szCs w:val="20"/>
              </w:rPr>
              <w:t xml:space="preserve">MER-Opportunity Mossbauer</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2004-01-25</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2004-01-25; Mossbauer (Klingelhofer) results in Science 306 special set, 2004-12-03, doi:10.1126/science.1104653 (Crossref)</w:t>
            </w:r>
          </w:p>
        </w:tc>
      </w:tr>
      <w:tr>
        <w:tc>
          <w:tcPr>
            <w:tcW w:w="0" w:type="auto"/>
          </w:tcPr>
          <w:p>
            <w:pPr>
              <w:spacing w:line="240" w:lineRule="auto" w:before="0" w:after="0"/>
              <w:pStyle w:val="Compact"/>
            </w:pPr>
            <w:r>
              <w:rPr>
                <w:sz w:val="20"/>
                <w:szCs w:val="20"/>
              </w:rPr>
              <w:t xml:space="preserve">MER-Spirit APXS</w:t>
            </w:r>
          </w:p>
        </w:tc>
        <w:tc>
          <w:tcPr>
            <w:tcW w:w="0" w:type="auto"/>
          </w:tcPr>
          <w:p>
            <w:pPr>
              <w:spacing w:line="240" w:lineRule="auto" w:before="0" w:after="0"/>
              <w:pStyle w:val="Compact"/>
            </w:pPr>
            <w:r>
              <w:rPr>
                <w:sz w:val="20"/>
                <w:szCs w:val="20"/>
              </w:rPr>
              <w:t xml:space="preserve">MER-A Spirit</w:t>
            </w:r>
          </w:p>
        </w:tc>
        <w:tc>
          <w:tcPr>
            <w:tcW w:w="0" w:type="auto"/>
          </w:tcPr>
          <w:p>
            <w:pPr>
              <w:spacing w:line="240" w:lineRule="auto" w:before="0" w:after="0"/>
              <w:pStyle w:val="Compact"/>
            </w:pPr>
            <w:r>
              <w:rPr>
                <w:sz w:val="20"/>
                <w:szCs w:val="20"/>
              </w:rPr>
              <w:t xml:space="preserve">2004-01-04</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-0.562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2004-01-04; Gusev APXS results in Science 306 special set, 2004-12-03, doi:10.1126/science.1104653 (Crossref)</w:t>
            </w:r>
          </w:p>
        </w:tc>
      </w:tr>
      <w:tr>
        <w:tc>
          <w:tcPr>
            <w:tcW w:w="0" w:type="auto"/>
          </w:tcPr>
          <w:p>
            <w:pPr>
              <w:spacing w:line="240" w:lineRule="auto" w:before="0" w:after="0"/>
              <w:pStyle w:val="Compact"/>
            </w:pPr>
            <w:r>
              <w:rPr>
                <w:sz w:val="20"/>
                <w:szCs w:val="20"/>
              </w:rPr>
              <w:t xml:space="preserve">MER-Opportunity MiniTES</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2004-01-25</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0.875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2004-01-25; Mini-TES results in Science 306 set, 2004-12-03, doi:10.1126/science.1104653 (Crossref)</w:t>
            </w:r>
          </w:p>
        </w:tc>
      </w:tr>
      <w:tr>
        <w:tc>
          <w:tcPr>
            <w:tcW w:w="0" w:type="auto"/>
          </w:tcPr>
          <w:p>
            <w:pPr>
              <w:spacing w:line="240" w:lineRule="auto" w:before="0" w:after="0"/>
              <w:pStyle w:val="Compact"/>
            </w:pPr>
            <w:r>
              <w:rPr>
                <w:sz w:val="20"/>
                <w:szCs w:val="20"/>
              </w:rPr>
              <w:t xml:space="preserve">Phoenix TEGA</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2009-07-03</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(NASA Phoenix); TEGA results Boynton et al., Science 325:61, 2009-07-03, doi:10.1126/science.1172339 (Crossref)</w:t>
            </w:r>
          </w:p>
        </w:tc>
      </w:tr>
      <w:tr>
        <w:tc>
          <w:tcPr>
            <w:tcW w:w="0" w:type="auto"/>
          </w:tcPr>
          <w:p>
            <w:pPr>
              <w:spacing w:line="240" w:lineRule="auto" w:before="0" w:after="0"/>
              <w:pStyle w:val="Compact"/>
            </w:pPr>
            <w:r>
              <w:rPr>
                <w:sz w:val="20"/>
                <w:szCs w:val="20"/>
              </w:rPr>
              <w:t xml:space="preserve">Phoenix MECA WCL</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2008-11-07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MECA wet-chemistry results Hecht et al., Science 322:1208, 2008-11-07 (early release), doi:10.1126/science.1164020 (Crossref)</w:t>
            </w:r>
          </w:p>
        </w:tc>
      </w:tr>
      <w:tr>
        <w:tc>
          <w:tcPr>
            <w:tcW w:w="0" w:type="auto"/>
          </w:tcPr>
          <w:p>
            <w:pPr>
              <w:spacing w:line="240" w:lineRule="auto" w:before="0" w:after="0"/>
              <w:pStyle w:val="Compact"/>
            </w:pPr>
            <w:r>
              <w:rPr>
                <w:sz w:val="20"/>
                <w:szCs w:val="20"/>
              </w:rPr>
              <w:t xml:space="preserve">Phoenix SSI</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2010-04-01</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1.686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SSI imaging/atmospheric results, JGR Planets 2010-04, doi:10.1029/2009JE003413 (Crossref)</w:t>
            </w:r>
          </w:p>
        </w:tc>
      </w:tr>
      <w:tr>
        <w:tc>
          <w:tcPr>
            <w:tcW w:w="0" w:type="auto"/>
          </w:tcPr>
          <w:p>
            <w:pPr>
              <w:spacing w:line="240" w:lineRule="auto" w:before="0" w:after="0"/>
              <w:pStyle w:val="Compact"/>
            </w:pPr>
            <w:r>
              <w:rPr>
                <w:sz w:val="20"/>
                <w:szCs w:val="20"/>
              </w:rPr>
              <w:t xml:space="preserve">Phoenix RA-MARDI</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2009-01-01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Robotic Arm results Arvidson et al., JGR Planets 2009-01, doi:10.1029/2009JE003408 (Crossref)</w:t>
            </w:r>
          </w:p>
        </w:tc>
      </w:tr>
      <w:tr>
        <w:tc>
          <w:tcPr>
            <w:tcW w:w="0" w:type="auto"/>
          </w:tcPr>
          <w:p>
            <w:pPr>
              <w:spacing w:line="240" w:lineRule="auto" w:before="0" w:after="0"/>
              <w:pStyle w:val="Compact"/>
            </w:pPr>
            <w:r>
              <w:rPr>
                <w:sz w:val="20"/>
                <w:szCs w:val="20"/>
              </w:rPr>
              <w:t xml:space="preserve">MSL ChemCam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2013-09-27</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2.361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(NASA MSL); ChemCam soil results Meslin et al., Science 341, 2013-09-27, doi:10.1126/science.1238670 (Crossref)</w:t>
            </w:r>
          </w:p>
        </w:tc>
      </w:tr>
      <w:tr>
        <w:tc>
          <w:tcPr>
            <w:tcW w:w="0" w:type="auto"/>
          </w:tcPr>
          <w:p>
            <w:pPr>
              <w:spacing w:line="240" w:lineRule="auto" w:before="0" w:after="0"/>
              <w:pStyle w:val="Compact"/>
            </w:pPr>
            <w:r>
              <w:rPr>
                <w:sz w:val="20"/>
                <w:szCs w:val="20"/>
              </w:rPr>
              <w:t xml:space="preserve">MSL SAM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2013-09-27</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SAM volatiles results Leshin et al., Science 341, 2013-09-27, doi:10.1126/science.1238937 (Crossref)</w:t>
            </w:r>
          </w:p>
        </w:tc>
      </w:tr>
      <w:tr>
        <w:tc>
          <w:tcPr>
            <w:tcW w:w="0" w:type="auto"/>
          </w:tcPr>
          <w:p>
            <w:pPr>
              <w:spacing w:line="240" w:lineRule="auto" w:before="0" w:after="0"/>
              <w:pStyle w:val="Compact"/>
            </w:pPr>
            <w:r>
              <w:rPr>
                <w:sz w:val="20"/>
                <w:szCs w:val="20"/>
              </w:rPr>
              <w:t xml:space="preserve">MSL CheMin</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2014-01-24</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CheMin Yellowknife Bay mineralogy Vaniman et al., Science 343, 2014-01-24, doi:10.1126/science.1243480 (Crossref)</w:t>
            </w:r>
          </w:p>
        </w:tc>
      </w:tr>
      <w:tr>
        <w:tc>
          <w:tcPr>
            <w:tcW w:w="0" w:type="auto"/>
          </w:tcPr>
          <w:p>
            <w:pPr>
              <w:spacing w:line="240" w:lineRule="auto" w:before="0" w:after="0"/>
              <w:pStyle w:val="Compact"/>
            </w:pPr>
            <w:r>
              <w:rPr>
                <w:sz w:val="20"/>
                <w:szCs w:val="20"/>
              </w:rPr>
              <w:t xml:space="preserve">MSL RAD</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2014-01-24</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0.531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RAD surface radiation Hassler et al., Science 343, 2014-01-24, doi:10.1126/science.1244797 (Crossref)</w:t>
            </w:r>
          </w:p>
        </w:tc>
      </w:tr>
      <w:tr>
        <w:tc>
          <w:tcPr>
            <w:tcW w:w="0" w:type="auto"/>
          </w:tcPr>
          <w:p>
            <w:pPr>
              <w:spacing w:line="240" w:lineRule="auto" w:before="0" w:after="0"/>
              <w:pStyle w:val="Compact"/>
            </w:pPr>
            <w:r>
              <w:rPr>
                <w:sz w:val="20"/>
                <w:szCs w:val="20"/>
              </w:rPr>
              <w:t xml:space="preserve">MSL REMS</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2014-09-01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REMS environmental monitoring results, Icarus 2014-09, doi:10.1016/j.icarus.2014.05.004 (Crossref)</w:t>
            </w:r>
          </w:p>
        </w:tc>
      </w:tr>
      <w:tr>
        <w:tc>
          <w:tcPr>
            <w:tcW w:w="0" w:type="auto"/>
          </w:tcPr>
          <w:p>
            <w:pPr>
              <w:spacing w:line="240" w:lineRule="auto" w:before="0" w:after="0"/>
              <w:pStyle w:val="Compact"/>
            </w:pPr>
            <w:r>
              <w:rPr>
                <w:sz w:val="20"/>
                <w:szCs w:val="20"/>
              </w:rPr>
              <w:t xml:space="preserve">MSL MAHLI</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2015-03-01</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MAHLI close-up imaging results, JGR Planets 2015-03, doi:10.1002/2014JE004686 (Crossref)</w:t>
            </w:r>
          </w:p>
        </w:tc>
      </w:tr>
      <w:tr>
        <w:tc>
          <w:tcPr>
            <w:tcW w:w="0" w:type="auto"/>
          </w:tcPr>
          <w:p>
            <w:pPr>
              <w:spacing w:line="240" w:lineRule="auto" w:before="0" w:after="0"/>
              <w:pStyle w:val="Compact"/>
            </w:pPr>
            <w:r>
              <w:rPr>
                <w:sz w:val="20"/>
                <w:szCs w:val="20"/>
              </w:rPr>
              <w:t xml:space="preserve">MSL Mastcam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2016-07-01</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Mastcam multispectral results, JGR Planets 2016-07, doi:10.1002/2016JE005034 (Crossref)</w:t>
            </w:r>
          </w:p>
        </w:tc>
      </w:tr>
      <w:tr>
        <w:tc>
          <w:tcPr>
            <w:tcW w:w="0" w:type="auto"/>
          </w:tcPr>
          <w:p>
            <w:pPr>
              <w:spacing w:line="240" w:lineRule="auto" w:before="0" w:after="0"/>
              <w:pStyle w:val="Compact"/>
            </w:pPr>
            <w:r>
              <w:rPr>
                <w:sz w:val="20"/>
                <w:szCs w:val="20"/>
              </w:rPr>
              <w:t xml:space="preserve">InSight SEIS</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2020-03-01</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3.384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(NASA InSight); SEIS first seismicity Giardini et al., Nature Geoscience 13, 2020-03, doi:10.1038/s41561-020-0536-y (Crossref)</w:t>
            </w:r>
          </w:p>
        </w:tc>
      </w:tr>
      <w:tr>
        <w:tc>
          <w:tcPr>
            <w:tcW w:w="0" w:type="auto"/>
          </w:tcPr>
          <w:p>
            <w:pPr>
              <w:spacing w:line="240" w:lineRule="auto" w:before="0" w:after="0"/>
              <w:pStyle w:val="Compact"/>
            </w:pPr>
            <w:r>
              <w:rPr>
                <w:sz w:val="20"/>
                <w:szCs w:val="20"/>
              </w:rPr>
              <w:t xml:space="preserve">InSight RISE</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2023-07-27</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RISE core results Le Maistre et al., Nature 619, 2023-07-27, doi:10.1038/s41586-023-06150-0 (Crossref)</w:t>
            </w:r>
          </w:p>
        </w:tc>
      </w:tr>
      <w:tr>
        <w:tc>
          <w:tcPr>
            <w:tcW w:w="0" w:type="auto"/>
          </w:tcPr>
          <w:p>
            <w:pPr>
              <w:spacing w:line="240" w:lineRule="auto" w:before="0" w:after="0"/>
              <w:pStyle w:val="Compact"/>
            </w:pPr>
            <w:r>
              <w:rPr>
                <w:sz w:val="20"/>
                <w:szCs w:val="20"/>
              </w:rPr>
              <w:t xml:space="preserve">InSight APSS-TWINS</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2020-09-01</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APSS/TWINS atmospheric results Banfield et al., JGR Planets 2020-09, doi:10.1029/2020JE006493 (Crossref)</w:t>
            </w:r>
          </w:p>
        </w:tc>
      </w:tr>
      <w:tr>
        <w:tc>
          <w:tcPr>
            <w:tcW w:w="0" w:type="auto"/>
          </w:tcPr>
          <w:p>
            <w:pPr>
              <w:spacing w:line="240" w:lineRule="auto" w:before="0" w:after="0"/>
              <w:pStyle w:val="Compact"/>
            </w:pPr>
            <w:r>
              <w:rPr>
                <w:sz w:val="20"/>
                <w:szCs w:val="20"/>
              </w:rPr>
              <w:t xml:space="preserve">InSight HP3</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2022-10-01</w:t>
            </w:r>
          </w:p>
        </w:tc>
        <w:tc>
          <w:tcPr>
            <w:tcW w:w="0" w:type="auto"/>
          </w:tcPr>
          <w:p>
            <w:pPr>
              <w:spacing w:line="240" w:lineRule="auto" w:before="0" w:after="0"/>
              <w:pStyle w:val="Compact"/>
            </w:pPr>
            <w:r>
              <w:rPr>
                <w:sz w:val="20"/>
                <w:szCs w:val="20"/>
              </w:rPr>
              <w:t xml:space="preserve">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HP3 thermal results published after mole-emplacement difficulty, JGR Planets 2022-10, doi:10.1029/2022JE007229 (Crossref). Primary subsurface-depth objective not achieved; first-results date marks delayed productive output.</w:t>
            </w:r>
          </w:p>
        </w:tc>
      </w:tr>
      <w:tr>
        <w:tc>
          <w:tcPr>
            <w:tcW w:w="0" w:type="auto"/>
          </w:tcPr>
          <w:p>
            <w:pPr>
              <w:spacing w:line="240" w:lineRule="auto" w:before="0" w:after="0"/>
              <w:pStyle w:val="Compact"/>
            </w:pPr>
            <w:r>
              <w:rPr>
                <w:sz w:val="20"/>
                <w:szCs w:val="20"/>
              </w:rPr>
              <w:t xml:space="preserve">M2020 PIXL</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2022-11-03</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1.932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(NASA Mars 2020); PIXL Jezero geochemistry Tice et al., Nature 611, 2022-11-03, doi:10.1038/s41586-022-05245-4 (Crossref)</w:t>
            </w:r>
          </w:p>
        </w:tc>
      </w:tr>
      <w:tr>
        <w:tc>
          <w:tcPr>
            <w:tcW w:w="0" w:type="auto"/>
          </w:tcPr>
          <w:p>
            <w:pPr>
              <w:spacing w:line="240" w:lineRule="auto" w:before="0" w:after="0"/>
              <w:pStyle w:val="Compact"/>
            </w:pPr>
            <w:r>
              <w:rPr>
                <w:sz w:val="20"/>
                <w:szCs w:val="20"/>
              </w:rPr>
              <w:t xml:space="preserve">M2020 SHERLOC</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2022-12-09</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1.459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SHERLOC organics results Scheller et al., Science 378, 2022-12-09, doi:10.1126/science.abo5204 (Crossref)</w:t>
            </w:r>
          </w:p>
        </w:tc>
      </w:tr>
      <w:tr>
        <w:tc>
          <w:tcPr>
            <w:tcW w:w="0" w:type="auto"/>
          </w:tcPr>
          <w:p>
            <w:pPr>
              <w:spacing w:line="240" w:lineRule="auto" w:before="0" w:after="0"/>
              <w:pStyle w:val="Compact"/>
            </w:pPr>
            <w:r>
              <w:rPr>
                <w:sz w:val="20"/>
                <w:szCs w:val="20"/>
              </w:rPr>
              <w:t xml:space="preserve">M2020 SuperCam</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2021-10-01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2.361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SuperCam first results Mangold/Maurice et al., Nature Geoscience 14, 2021-10, doi:10.1038/s41561-021-00807-z (Crossref)</w:t>
            </w:r>
          </w:p>
        </w:tc>
      </w:tr>
      <w:tr>
        <w:tc>
          <w:tcPr>
            <w:tcW w:w="0" w:type="auto"/>
          </w:tcPr>
          <w:p>
            <w:pPr>
              <w:spacing w:line="240" w:lineRule="auto" w:before="0" w:after="0"/>
              <w:pStyle w:val="Compact"/>
            </w:pPr>
            <w:r>
              <w:rPr>
                <w:sz w:val="20"/>
                <w:szCs w:val="20"/>
              </w:rPr>
              <w:t xml:space="preserve">M2020 MEDA</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2023-01-01</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MEDA environmental results, Nature Geoscience 2023-01, doi:10.1038/s41561-022-01084-0 (Crossref)</w:t>
            </w:r>
          </w:p>
        </w:tc>
      </w:tr>
      <w:tr>
        <w:tc>
          <w:tcPr>
            <w:tcW w:w="0" w:type="auto"/>
          </w:tcPr>
          <w:p>
            <w:pPr>
              <w:spacing w:line="240" w:lineRule="auto" w:before="0" w:after="0"/>
              <w:pStyle w:val="Compact"/>
            </w:pPr>
            <w:r>
              <w:rPr>
                <w:sz w:val="20"/>
                <w:szCs w:val="20"/>
              </w:rPr>
              <w:t xml:space="preserve">M2020 MOXIE</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2022-09-02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2.839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MOXIE oxygen-ISRU results Hecht et al., Science Advances 8, 2022-09-02, doi:10.1126/sciadv.abp8636 (Crossref)</w:t>
            </w:r>
          </w:p>
        </w:tc>
      </w:tr>
      <w:tr>
        <w:tc>
          <w:tcPr>
            <w:tcW w:w="0" w:type="auto"/>
          </w:tcPr>
          <w:p>
            <w:pPr>
              <w:spacing w:line="240" w:lineRule="auto" w:before="0" w:after="0"/>
              <w:pStyle w:val="Compact"/>
            </w:pPr>
            <w:r>
              <w:rPr>
                <w:sz w:val="20"/>
                <w:szCs w:val="20"/>
              </w:rPr>
              <w:t xml:space="preserve">M2020 RIMFAX</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2022-08-26</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RIMFAX subsurface radar Hamran et al., Science Advances 8, 2022-08-26, doi:10.1126/sciadv.abp8564 (Crossref)</w:t>
            </w:r>
          </w:p>
        </w:tc>
      </w:tr>
      <w:tr>
        <w:tc>
          <w:tcPr>
            <w:tcW w:w="0" w:type="auto"/>
          </w:tcPr>
          <w:p>
            <w:pPr>
              <w:spacing w:line="240" w:lineRule="auto" w:before="0" w:after="0"/>
              <w:pStyle w:val="Compact"/>
            </w:pPr>
            <w:r>
              <w:rPr>
                <w:sz w:val="20"/>
                <w:szCs w:val="20"/>
              </w:rPr>
              <w:t xml:space="preserve">CE3 APXS</w:t>
            </w:r>
          </w:p>
        </w:tc>
        <w:tc>
          <w:tcPr>
            <w:tcW w:w="0" w:type="auto"/>
          </w:tcPr>
          <w:p>
            <w:pPr>
              <w:spacing w:line="240" w:lineRule="auto" w:before="0" w:after="0"/>
              <w:pStyle w:val="Compact"/>
            </w:pPr>
            <w:r>
              <w:rPr>
                <w:sz w:val="20"/>
                <w:szCs w:val="20"/>
              </w:rPr>
              <w:t xml:space="preserve">Change-3 Yutu</w:t>
            </w:r>
          </w:p>
        </w:tc>
        <w:tc>
          <w:tcPr>
            <w:tcW w:w="0" w:type="auto"/>
          </w:tcPr>
          <w:p>
            <w:pPr>
              <w:spacing w:line="240" w:lineRule="auto" w:before="0" w:after="0"/>
              <w:pStyle w:val="Compact"/>
            </w:pPr>
            <w:r>
              <w:rPr>
                <w:sz w:val="20"/>
                <w:szCs w:val="20"/>
              </w:rPr>
              <w:t xml:space="preserve">2013-12-14</w:t>
            </w:r>
          </w:p>
        </w:tc>
        <w:tc>
          <w:tcPr>
            <w:tcW w:w="0" w:type="auto"/>
          </w:tcPr>
          <w:p>
            <w:pPr>
              <w:spacing w:line="240" w:lineRule="auto" w:before="0" w:after="0"/>
              <w:pStyle w:val="Compact"/>
            </w:pPr>
            <w:r>
              <w:rPr>
                <w:sz w:val="20"/>
                <w:szCs w:val="20"/>
              </w:rPr>
              <w:t xml:space="preserve">2014-12-01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2013-12-14 (Change-3); Yutu APXS results, Chinese Science Bulletin 2014-12, doi:10.1007/s11434-014-0639-1 (Crossref)</w:t>
            </w:r>
          </w:p>
        </w:tc>
      </w:tr>
      <w:tr>
        <w:tc>
          <w:tcPr>
            <w:tcW w:w="0" w:type="auto"/>
          </w:tcPr>
          <w:p>
            <w:pPr>
              <w:spacing w:line="240" w:lineRule="auto" w:before="0" w:after="0"/>
              <w:pStyle w:val="Compact"/>
            </w:pPr>
            <w:r>
              <w:rPr>
                <w:sz w:val="20"/>
                <w:szCs w:val="20"/>
              </w:rPr>
              <w:t xml:space="preserve">CE3 VNIS</w:t>
            </w:r>
          </w:p>
        </w:tc>
        <w:tc>
          <w:tcPr>
            <w:tcW w:w="0" w:type="auto"/>
          </w:tcPr>
          <w:p>
            <w:pPr>
              <w:spacing w:line="240" w:lineRule="auto" w:before="0" w:after="0"/>
              <w:pStyle w:val="Compact"/>
            </w:pPr>
            <w:r>
              <w:rPr>
                <w:sz w:val="20"/>
                <w:szCs w:val="20"/>
              </w:rPr>
              <w:t xml:space="preserve">Change-3 Yutu</w:t>
            </w:r>
          </w:p>
        </w:tc>
        <w:tc>
          <w:tcPr>
            <w:tcW w:w="0" w:type="auto"/>
          </w:tcPr>
          <w:p>
            <w:pPr>
              <w:spacing w:line="240" w:lineRule="auto" w:before="0" w:after="0"/>
              <w:pStyle w:val="Compact"/>
            </w:pPr>
            <w:r>
              <w:rPr>
                <w:sz w:val="20"/>
                <w:szCs w:val="20"/>
              </w:rPr>
              <w:t xml:space="preserve">2013-12-14</w:t>
            </w:r>
          </w:p>
        </w:tc>
        <w:tc>
          <w:tcPr>
            <w:tcW w:w="0" w:type="auto"/>
          </w:tcPr>
          <w:p>
            <w:pPr>
              <w:spacing w:line="240" w:lineRule="auto" w:before="0" w:after="0"/>
              <w:pStyle w:val="Compact"/>
            </w:pPr>
            <w:r>
              <w:rPr>
                <w:sz w:val="20"/>
                <w:szCs w:val="20"/>
              </w:rPr>
              <w:t xml:space="preserve">2015-03-13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2013-12-14; Change-3 regolith results Xiao et al., Science 347, 2015-03-13, doi:10.1126/science.1259866 (Crossref)</w:t>
            </w:r>
          </w:p>
        </w:tc>
      </w:tr>
      <w:tr>
        <w:tc>
          <w:tcPr>
            <w:tcW w:w="0" w:type="auto"/>
          </w:tcPr>
          <w:p>
            <w:pPr>
              <w:spacing w:line="240" w:lineRule="auto" w:before="0" w:after="0"/>
              <w:pStyle w:val="Compact"/>
            </w:pPr>
            <w:r>
              <w:rPr>
                <w:sz w:val="20"/>
                <w:szCs w:val="20"/>
              </w:rPr>
              <w:t xml:space="preserve">CE4 VNIS</w:t>
            </w:r>
          </w:p>
        </w:tc>
        <w:tc>
          <w:tcPr>
            <w:tcW w:w="0" w:type="auto"/>
          </w:tcPr>
          <w:p>
            <w:pPr>
              <w:spacing w:line="240" w:lineRule="auto" w:before="0" w:after="0"/>
              <w:pStyle w:val="Compact"/>
            </w:pPr>
            <w:r>
              <w:rPr>
                <w:sz w:val="20"/>
                <w:szCs w:val="20"/>
              </w:rPr>
              <w:t xml:space="preserve">Change-4 Yutu-2</w:t>
            </w:r>
          </w:p>
        </w:tc>
        <w:tc>
          <w:tcPr>
            <w:tcW w:w="0" w:type="auto"/>
          </w:tcPr>
          <w:p>
            <w:pPr>
              <w:spacing w:line="240" w:lineRule="auto" w:before="0" w:after="0"/>
              <w:pStyle w:val="Compact"/>
            </w:pPr>
            <w:r>
              <w:rPr>
                <w:sz w:val="20"/>
                <w:szCs w:val="20"/>
              </w:rPr>
              <w:t xml:space="preserve">2019-01-03</w:t>
            </w:r>
          </w:p>
        </w:tc>
        <w:tc>
          <w:tcPr>
            <w:tcW w:w="0" w:type="auto"/>
          </w:tcPr>
          <w:p>
            <w:pPr>
              <w:spacing w:line="240" w:lineRule="auto" w:before="0" w:after="0"/>
              <w:pStyle w:val="Compact"/>
            </w:pPr>
            <w:r>
              <w:rPr>
                <w:sz w:val="20"/>
                <w:szCs w:val="20"/>
              </w:rPr>
              <w:t xml:space="preserve">2019-05-16</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2019-01-03 (Change-4 farside); Yutu-2 VNIS mantle-material results Li et al., Nature 569, 2019-05-16, doi:10.1038/s41586-019-1189-0 (Crossref)</w:t>
            </w:r>
          </w:p>
        </w:tc>
      </w:tr>
      <w:tr>
        <w:tc>
          <w:tcPr>
            <w:tcW w:w="0" w:type="auto"/>
          </w:tcPr>
          <w:p>
            <w:pPr>
              <w:spacing w:line="240" w:lineRule="auto" w:before="0" w:after="0"/>
              <w:pStyle w:val="Compact"/>
            </w:pPr>
            <w:r>
              <w:rPr>
                <w:sz w:val="20"/>
                <w:szCs w:val="20"/>
              </w:rPr>
              <w:t xml:space="preserve">CE4 LPR</w:t>
            </w:r>
          </w:p>
        </w:tc>
        <w:tc>
          <w:tcPr>
            <w:tcW w:w="0" w:type="auto"/>
          </w:tcPr>
          <w:p>
            <w:pPr>
              <w:spacing w:line="240" w:lineRule="auto" w:before="0" w:after="0"/>
              <w:pStyle w:val="Compact"/>
            </w:pPr>
            <w:r>
              <w:rPr>
                <w:sz w:val="20"/>
                <w:szCs w:val="20"/>
              </w:rPr>
              <w:t xml:space="preserve">Change-4 Yutu-2</w:t>
            </w:r>
          </w:p>
        </w:tc>
        <w:tc>
          <w:tcPr>
            <w:tcW w:w="0" w:type="auto"/>
          </w:tcPr>
          <w:p>
            <w:pPr>
              <w:spacing w:line="240" w:lineRule="auto" w:before="0" w:after="0"/>
              <w:pStyle w:val="Compact"/>
            </w:pPr>
            <w:r>
              <w:rPr>
                <w:sz w:val="20"/>
                <w:szCs w:val="20"/>
              </w:rPr>
              <w:t xml:space="preserve">2019-01-03</w:t>
            </w:r>
          </w:p>
        </w:tc>
        <w:tc>
          <w:tcPr>
            <w:tcW w:w="0" w:type="auto"/>
          </w:tcPr>
          <w:p>
            <w:pPr>
              <w:spacing w:line="240" w:lineRule="auto" w:before="0" w:after="0"/>
              <w:pStyle w:val="Compact"/>
            </w:pPr>
            <w:r>
              <w:rPr>
                <w:sz w:val="20"/>
                <w:szCs w:val="20"/>
              </w:rPr>
              <w:t xml:space="preserve">2020-02-28</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2019-01-03; Yutu-2 lunar penetrating radar Lai/Li et al., Science Advances 6, 2020-02-28, doi:10.1126/sciadv.aay6898 (Crossref)</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the documented surface-operations start (mission landing date) to the publication date of the first peer-reviewed science-results paper attributable to the instrument; the analysis time in the survival model.</w:t>
            </w:r>
          </w:p>
        </w:tc>
        <w:tc>
          <w:tcPr>
            <w:tcW w:w="0" w:type="auto"/>
          </w:tcPr>
          <w:p>
            <w:pPr>
              <w:spacing w:line="240" w:lineRule="auto" w:before="0" w:after="0"/>
              <w:pStyle w:val="Compact"/>
            </w:pPr>
            <w:r>
              <w:rPr>
                <w:sz w:val="20"/>
                <w:szCs w:val="20"/>
              </w:rPr>
              <w:t xml:space="preserve">Landing dates are public mission record; first-publication dates verified against Crossref 2026-06-22 with DOI in each row source column.</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Event indicator: 1 when a first peer-reviewed science-results publication is observed for the instrument. All 31 instruments in the assembled set eventually publish, so all observations are events; the field includes the indicator so right-censored instruments can be appended without changing the specification.</w:t>
            </w:r>
          </w:p>
        </w:tc>
        <w:tc>
          <w:tcPr>
            <w:tcW w:w="0" w:type="auto"/>
          </w:tcPr>
          <w:p>
            <w:pPr>
              <w:spacing w:line="240" w:lineRule="auto" w:before="0" w:after="0"/>
              <w:pStyle w:val="Compact"/>
            </w:pPr>
            <w:r>
              <w:rPr>
                <w:sz w:val="20"/>
                <w:szCs w:val="20"/>
              </w:rPr>
              <w:t xml:space="preserve">Per-row Crossref-verified publication record.</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Ex ante decadal-survey priority tier of the measurement objective the instrument serves, ordinal 2 (atmospheric/meteorological monitoring) to 5 (astrobiology, geochemistry, habitability, interior structure); higher is higher priority. Covariate of interest.</w:t>
            </w:r>
          </w:p>
        </w:tc>
        <w:tc>
          <w:tcPr>
            <w:tcW w:w="0" w:type="auto"/>
          </w:tcPr>
          <w:p>
            <w:pPr>
              <w:spacing w:line="240" w:lineRule="auto" w:before="0" w:after="0"/>
              <w:pStyle w:val="Compact"/>
            </w:pPr>
            <w:r>
              <w:rPr>
                <w:sz w:val="20"/>
                <w:szCs w:val="20"/>
              </w:rPr>
              <w:t xml:space="preserve">NASA planetary decadal surveys (New Frontiers in the Solar System 2003; Vision and Voyages 2011; Origins, Worlds, and Life 2022); coding rubric inherited from the companion OLS paper.</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instrument flight mass in kilograms, an engineering-capability and complexity proxy; larger and more capable instruments may take longer to commission and produce a first result.</w:t>
            </w:r>
          </w:p>
        </w:tc>
        <w:tc>
          <w:tcPr>
            <w:tcW w:w="0" w:type="auto"/>
          </w:tcPr>
          <w:p>
            <w:pPr>
              <w:spacing w:line="240" w:lineRule="auto" w:before="0" w:after="0"/>
              <w:pStyle w:val="Compact"/>
            </w:pPr>
            <w:r>
              <w:rPr>
                <w:sz w:val="20"/>
                <w:szCs w:val="20"/>
              </w:rPr>
              <w:t xml:space="preserve">Per-instrument flight-mass figures from mission instrument papers cited in each row source column.</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Operational regime: 0 = fixed lander, 1 = in-situ mobile rover, 2 = sample-caching / return-context rover; higher values index more complex science operations between landing and first result.</w:t>
            </w:r>
          </w:p>
        </w:tc>
        <w:tc>
          <w:tcPr>
            <w:tcW w:w="0" w:type="auto"/>
          </w:tcPr>
          <w:p>
            <w:pPr>
              <w:spacing w:line="240" w:lineRule="auto" w:before="0" w:after="0"/>
              <w:pStyle w:val="Compact"/>
            </w:pPr>
            <w:r>
              <w:rPr>
                <w:sz w:val="20"/>
                <w:szCs w:val="20"/>
              </w:rPr>
              <w:t xml:space="preserve">Mission architecture descriptions; regime taxonomy from the GeoHeuristic Operational Strategies Test methodology [6], [7].</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Mission-era indicator, 1 if surface operations began in the 2018 to 2021 cohort (InSight, Mars 2020, Change-4 farside), else 0; absorbs the later-era shift toward longer, more selective first-results papers in a single dummy given the small sample.</w:t>
            </w:r>
          </w:p>
        </w:tc>
        <w:tc>
          <w:tcPr>
            <w:tcW w:w="0" w:type="auto"/>
          </w:tcPr>
          <w:p>
            <w:pPr>
              <w:spacing w:line="240" w:lineRule="auto" w:before="0" w:after="0"/>
              <w:pStyle w:val="Compact"/>
            </w:pPr>
            <w:r>
              <w:rPr>
                <w:sz w:val="20"/>
                <w:szCs w:val="20"/>
              </w:rPr>
              <w:t xml:space="preserve">Mission landing records; baseline era is 1997 to 2015 surface operations.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0.4495</w:t>
            </w:r>
          </w:p>
        </w:tc>
        <w:tc>
          <w:tcPr>
            <w:tcW w:w="0" w:type="auto"/>
          </w:tcPr>
          <w:p>
            <w:pPr>
              <w:spacing w:line="240" w:lineRule="auto" w:before="0" w:after="0"/>
              <w:pStyle w:val="Compact"/>
            </w:pPr>
            <w:r>
              <w:rPr>
                <w:sz w:val="20"/>
                <w:szCs w:val="20"/>
              </w:rPr>
              <w:t xml:space="preserve">0.2213</w:t>
            </w:r>
          </w:p>
        </w:tc>
        <w:tc>
          <w:tcPr>
            <w:tcW w:w="0" w:type="auto"/>
          </w:tcPr>
          <w:p>
            <w:pPr>
              <w:spacing w:line="240" w:lineRule="auto" w:before="0" w:after="0"/>
              <w:pStyle w:val="Compact"/>
            </w:pPr>
            <w:r>
              <w:rPr>
                <w:sz w:val="20"/>
                <w:szCs w:val="20"/>
              </w:rPr>
              <w:t xml:space="preserve">2.0314</w:t>
            </w:r>
          </w:p>
        </w:tc>
        <w:tc>
          <w:tcPr>
            <w:tcW w:w="0" w:type="auto"/>
          </w:tcPr>
          <w:p>
            <w:pPr>
              <w:spacing w:line="240" w:lineRule="auto" w:before="0" w:after="0"/>
              <w:pStyle w:val="Compact"/>
            </w:pPr>
            <w:r>
              <w:rPr>
                <w:sz w:val="20"/>
                <w:szCs w:val="20"/>
              </w:rPr>
              <w:t xml:space="preserve">0.0422</w:t>
            </w:r>
          </w:p>
        </w:tc>
        <w:tc>
          <w:tcPr>
            <w:tcW w:w="0" w:type="auto"/>
          </w:tcPr>
          <w:p>
            <w:pPr>
              <w:spacing w:line="240" w:lineRule="auto" w:before="0" w:after="0"/>
              <w:pStyle w:val="Compact"/>
            </w:pPr>
            <w:r>
              <w:rPr>
                <w:sz w:val="20"/>
                <w:szCs w:val="20"/>
              </w:rPr>
              <w:t xml:space="preserve">[0.0158, 0.8831]</w:t>
            </w:r>
          </w:p>
        </w:tc>
        <w:tc>
          <w:tcPr>
            <w:tcW w:w="0" w:type="auto"/>
          </w:tcPr>
          <w:p>
            <w:pPr>
              <w:spacing w:line="240" w:lineRule="auto" w:before="0" w:after="0"/>
              <w:pStyle w:val="Compact"/>
            </w:pPr>
            <w:r>
              <w:rPr>
                <w:sz w:val="20"/>
                <w:szCs w:val="20"/>
              </w:rPr>
              <w:t xml:space="preserve">1.5675</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0.0404</w:t>
            </w:r>
          </w:p>
        </w:tc>
        <w:tc>
          <w:tcPr>
            <w:tcW w:w="0" w:type="auto"/>
          </w:tcPr>
          <w:p>
            <w:pPr>
              <w:spacing w:line="240" w:lineRule="auto" w:before="0" w:after="0"/>
              <w:pStyle w:val="Compact"/>
            </w:pPr>
            <w:r>
              <w:rPr>
                <w:sz w:val="20"/>
                <w:szCs w:val="20"/>
              </w:rPr>
              <w:t xml:space="preserve">0.1932</w:t>
            </w:r>
          </w:p>
        </w:tc>
        <w:tc>
          <w:tcPr>
            <w:tcW w:w="0" w:type="auto"/>
          </w:tcPr>
          <w:p>
            <w:pPr>
              <w:spacing w:line="240" w:lineRule="auto" w:before="0" w:after="0"/>
              <w:pStyle w:val="Compact"/>
            </w:pPr>
            <w:r>
              <w:rPr>
                <w:sz w:val="20"/>
                <w:szCs w:val="20"/>
              </w:rPr>
              <w:t xml:space="preserve">0.2089</w:t>
            </w:r>
          </w:p>
        </w:tc>
        <w:tc>
          <w:tcPr>
            <w:tcW w:w="0" w:type="auto"/>
          </w:tcPr>
          <w:p>
            <w:pPr>
              <w:spacing w:line="240" w:lineRule="auto" w:before="0" w:after="0"/>
              <w:pStyle w:val="Compact"/>
            </w:pPr>
            <w:r>
              <w:rPr>
                <w:sz w:val="20"/>
                <w:szCs w:val="20"/>
              </w:rPr>
              <w:t xml:space="preserve">0.8346</w:t>
            </w:r>
          </w:p>
        </w:tc>
        <w:tc>
          <w:tcPr>
            <w:tcW w:w="0" w:type="auto"/>
          </w:tcPr>
          <w:p>
            <w:pPr>
              <w:spacing w:line="240" w:lineRule="auto" w:before="0" w:after="0"/>
              <w:pStyle w:val="Compact"/>
            </w:pPr>
            <w:r>
              <w:rPr>
                <w:sz w:val="20"/>
                <w:szCs w:val="20"/>
              </w:rPr>
              <w:t xml:space="preserve">[-0.3384, 0.4191]</w:t>
            </w:r>
          </w:p>
        </w:tc>
        <w:tc>
          <w:tcPr>
            <w:tcW w:w="0" w:type="auto"/>
          </w:tcPr>
          <w:p>
            <w:pPr>
              <w:spacing w:line="240" w:lineRule="auto" w:before="0" w:after="0"/>
              <w:pStyle w:val="Compact"/>
            </w:pPr>
            <w:r>
              <w:rPr>
                <w:sz w:val="20"/>
                <w:szCs w:val="20"/>
              </w:rPr>
              <w:t xml:space="preserve">1.0412</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0.2955</w:t>
            </w:r>
          </w:p>
        </w:tc>
        <w:tc>
          <w:tcPr>
            <w:tcW w:w="0" w:type="auto"/>
          </w:tcPr>
          <w:p>
            <w:pPr>
              <w:spacing w:line="240" w:lineRule="auto" w:before="0" w:after="0"/>
              <w:pStyle w:val="Compact"/>
            </w:pPr>
            <w:r>
              <w:rPr>
                <w:sz w:val="20"/>
                <w:szCs w:val="20"/>
              </w:rPr>
              <w:t xml:space="preserve">0.6194</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[-0.3962, 0.7623]</w:t>
            </w:r>
          </w:p>
        </w:tc>
        <w:tc>
          <w:tcPr>
            <w:tcW w:w="0" w:type="auto"/>
          </w:tcPr>
          <w:p>
            <w:pPr>
              <w:spacing w:line="240" w:lineRule="auto" w:before="0" w:after="0"/>
              <w:pStyle w:val="Compact"/>
            </w:pPr>
            <w:r>
              <w:rPr>
                <w:sz w:val="20"/>
                <w:szCs w:val="20"/>
              </w:rPr>
              <w:t xml:space="preserve">1.2009</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-0.8719</w:t>
            </w:r>
          </w:p>
        </w:tc>
        <w:tc>
          <w:tcPr>
            <w:tcW w:w="0" w:type="auto"/>
          </w:tcPr>
          <w:p>
            <w:pPr>
              <w:spacing w:line="240" w:lineRule="auto" w:before="0" w:after="0"/>
              <w:pStyle w:val="Compact"/>
            </w:pPr>
            <w:r>
              <w:rPr>
                <w:sz w:val="20"/>
                <w:szCs w:val="20"/>
              </w:rPr>
              <w:t xml:space="preserve">0.4192</w:t>
            </w:r>
          </w:p>
        </w:tc>
        <w:tc>
          <w:tcPr>
            <w:tcW w:w="0" w:type="auto"/>
          </w:tcPr>
          <w:p>
            <w:pPr>
              <w:spacing w:line="240" w:lineRule="auto" w:before="0" w:after="0"/>
              <w:pStyle w:val="Compact"/>
            </w:pPr>
            <w:r>
              <w:rPr>
                <w:sz w:val="20"/>
                <w:szCs w:val="20"/>
              </w:rPr>
              <w:t xml:space="preserve">-2.0799</w:t>
            </w:r>
          </w:p>
        </w:tc>
        <w:tc>
          <w:tcPr>
            <w:tcW w:w="0" w:type="auto"/>
          </w:tcPr>
          <w:p>
            <w:pPr>
              <w:spacing w:line="240" w:lineRule="auto" w:before="0" w:after="0"/>
              <w:pStyle w:val="Compact"/>
            </w:pPr>
            <w:r>
              <w:rPr>
                <w:sz w:val="20"/>
                <w:szCs w:val="20"/>
              </w:rPr>
              <w:t xml:space="preserve">0.0375</w:t>
            </w:r>
          </w:p>
        </w:tc>
        <w:tc>
          <w:tcPr>
            <w:tcW w:w="0" w:type="auto"/>
          </w:tcPr>
          <w:p>
            <w:pPr>
              <w:spacing w:line="240" w:lineRule="auto" w:before="0" w:after="0"/>
              <w:pStyle w:val="Compact"/>
            </w:pPr>
            <w:r>
              <w:rPr>
                <w:sz w:val="20"/>
                <w:szCs w:val="20"/>
              </w:rPr>
              <w:t xml:space="preserve">[-1.6935, -0.0503]</w:t>
            </w:r>
          </w:p>
        </w:tc>
        <w:tc>
          <w:tcPr>
            <w:tcW w:w="0" w:type="auto"/>
          </w:tcPr>
          <w:p>
            <w:pPr>
              <w:spacing w:line="240" w:lineRule="auto" w:before="0" w:after="0"/>
              <w:pStyle w:val="Compact"/>
            </w:pPr>
            <w:r>
              <w:rPr>
                <w:sz w:val="20"/>
                <w:szCs w:val="20"/>
              </w:rPr>
              <w:t xml:space="preserve">0.4182</w:t>
            </w:r>
          </w:p>
        </w:tc>
      </w:tr>
    </w:tbl>
    <w:p>
      <w:pPr>
        <w:pStyle w:val="BodyText"/>
      </w:pPr>
      <w:r>
        <w:t xml:space="preserve">Fit: N = 31 events = 31</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6" Target="https://doi.org/10.1016/j.actaastro.2016.12.018" TargetMode="External" /><Relationship Type="http://schemas.openxmlformats.org/officeDocument/2006/relationships/hyperlink" Id="rId78" Target="https://doi.org/10.1016/j.actaastro.2018.02.029" TargetMode="External" /><Relationship Type="http://schemas.openxmlformats.org/officeDocument/2006/relationships/hyperlink" Id="rId70" Target="https://doi.org/10.1016/j.actaastro.2020.06.026" TargetMode="External" /><Relationship Type="http://schemas.openxmlformats.org/officeDocument/2006/relationships/hyperlink" Id="rId72" Target="https://doi.org/10.1016/j.actaastro.2021.04.042" TargetMode="External" /><Relationship Type="http://schemas.openxmlformats.org/officeDocument/2006/relationships/hyperlink" Id="rId74" Target="https://doi.org/10.1016/j.actaastro.2023.05.042"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16.12.018" TargetMode="External" /><Relationship Type="http://schemas.openxmlformats.org/officeDocument/2006/relationships/hyperlink" Id="rId78" Target="https://doi.org/10.1016/j.actaastro.2018.02.029" TargetMode="External" /><Relationship Type="http://schemas.openxmlformats.org/officeDocument/2006/relationships/hyperlink" Id="rId70" Target="https://doi.org/10.1016/j.actaastro.2020.06.026" TargetMode="External" /><Relationship Type="http://schemas.openxmlformats.org/officeDocument/2006/relationships/hyperlink" Id="rId72" Target="https://doi.org/10.1016/j.actaastro.2021.04.042" TargetMode="External" /><Relationship Type="http://schemas.openxmlformats.org/officeDocument/2006/relationships/hyperlink" Id="rId74" Target="https://doi.org/10.1016/j.actaastro.2023.05.0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2026-06-25T14:26:27Z</dcterms:created>
  <dcterms:modified xsi:type="dcterms:W3CDTF">2026-06-25T14:26:27Z</dcterms:modified>
</cp:coreProperties>
</file>

<file path=docProps/custom.xml><?xml version="1.0" encoding="utf-8"?>
<Properties xmlns="http://schemas.openxmlformats.org/officeDocument/2006/custom-properties" xmlns:vt="http://schemas.openxmlformats.org/officeDocument/2006/docPropsVTypes"/>
</file>