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7b792c6cc728dc8ccbd7fb2b5a7039ad22daf17"/>
    <w:p>
      <w:pPr>
        <w:pStyle w:val="Heading1"/>
      </w:pPr>
      <w:r>
        <w:t xml:space="preserve">Does Decadal Priority Predict Realized Surface-Instrument Science Productivity? A Cross-Mission Fixed-Effects Estimate</w:t>
      </w:r>
    </w:p>
    <w:bookmarkStart w:id="61" w:name="introduction"/>
    <w:p>
      <w:pPr>
        <w:pStyle w:val="Heading2"/>
      </w:pPr>
      <w:r>
        <w:t xml:space="preserve">1. Introduction</w:t>
      </w:r>
    </w:p>
    <w:p>
      <w:pPr>
        <w:pStyle w:val="FirstParagraph"/>
      </w:pPr>
      <w:r>
        <w:t xml:space="preserve">Planetary surface missions carry a fixed instrument complement selected years before launch, and the selection is shaped by the priorities articulated in decadal-survey consensus. The implicit theory of that process is that assigning high priority to a measurement objective causes the eventual instrument to deliver more science. The theory is rarely tested against the observable record of what instruments actually produced once they reached the surface. This paper assembles that record for thirty instruments flown on United States planetary surface platforms between 1996 and 2020 and estimates the partial association between an instrument’s ex ante decadal priority and its realized, publication-weighted scientific output, holding engineering capability, resource allocation, operational regime, and mission era fixed.</w:t>
      </w:r>
    </w:p>
    <w:p>
      <w:pPr>
        <w:pStyle w:val="BodyText"/>
      </w:pPr>
      <w:r>
        <w:t xml:space="preserve">The exercise matters because decadal surveys consume substantial community effort and carry real allocative authority. If assigned priority does not predict realized output once capability and resources are controlled, the prioritization process is allocating attention on a signal with no measured downstream validity. If priority does predict output net of resources, that is direct evidence the consensus process encodes information beyond willingness to fund, which would itself justify its cost. The two outcomes are equally decision-relevant, and the study is built so that the data can speak to either.</w:t>
      </w:r>
    </w:p>
    <w:p>
      <w:pPr>
        <w:pStyle w:val="BodyText"/>
      </w:pPr>
      <w:r>
        <w:t xml:space="preserve">The contribution is a single estimate: the coefficient on decadal priority in a regression of log instrument productivity on priority and a set of controls that the prior literature identifies as first-order confounders. The central analytic difficulty is that priority and resources are entangled, since high-priority instruments attract larger budgets</w:t>
      </w:r>
      <w:r>
        <w:t xml:space="preserve"> </w:t>
      </w:r>
      <w:hyperlink w:anchor="ref-2">
        <m:oMathPara>
          <m:oMathParaPr>
            <m:jc m:val="center"/>
          </m:oMathParaPr>
          <m:oMath>
            <m:r>
              <m:t>2</m:t>
            </m:r>
          </m:oMath>
        </m:oMathPara>
      </w:hyperlink>
      <w:r>
        <w:t xml:space="preserve">. The design addresses that entanglement by entering resource allocation and engineering capability as explicit controls, so that the priority coefficient is identified within strata of comparable resourcing and comparable engineering quality.</w:t>
      </w:r>
    </w:p>
    <w:bookmarkEnd w:id="61"/>
    <w:bookmarkStart w:id="62" w:name="theory-and-hypotheses"/>
    <w:p>
      <w:pPr>
        <w:pStyle w:val="Heading2"/>
      </w:pPr>
      <w:r>
        <w:t xml:space="preserve">2. Theory and Hypotheses</w:t>
      </w:r>
    </w:p>
    <w:p>
      <w:pPr>
        <w:pStyle w:val="FirstParagraph"/>
      </w:pPr>
      <w:r>
        <w:t xml:space="preserve">Three strands of prior work frame the question. The first is the valuation of space science as economic output. Weinzierl’s treatment of space as an economic frontier engages directly with the problem of assigning value to science produced on research platforms, and surfaces the difficulty of valuation itself</w:t>
      </w:r>
      <w:r>
        <w:t xml:space="preserve"> </w:t>
      </w:r>
      <w:hyperlink w:anchor="ref-1">
        <m:oMathPara>
          <m:oMathParaPr>
            <m:jc m:val="center"/>
          </m:oMathParaPr>
          <m:oMath>
            <m:r>
              <m:t>1</m:t>
            </m:r>
          </m:oMath>
        </m:oMathPara>
      </w:hyperlink>
      <w:r>
        <w:t xml:space="preserve">. Program-level regression evidence relates architecture decisions to overall program cost across a set of programs, and supplies the functional vocabulary for entering resource variables as controls</w:t>
      </w:r>
      <w:r>
        <w:t xml:space="preserve"> </w:t>
      </w:r>
      <w:hyperlink w:anchor="ref-2">
        <m:oMathPara>
          <m:oMathParaPr>
            <m:jc m:val="center"/>
          </m:oMathParaPr>
          <m:oMath>
            <m:r>
              <m:t>2</m:t>
            </m:r>
          </m:oMath>
        </m:oMathPara>
      </w:hyperlink>
      <w:r>
        <w:t xml:space="preserve">. This strand establishes that resource allocation carries measurable explanatory weight, which is precisely why a regression of output on priority alone would recover a combined priority-plus-resources effect rather than the priority signal in isolation.</w:t>
      </w:r>
    </w:p>
    <w:p>
      <w:pPr>
        <w:pStyle w:val="FirstParagraph"/>
      </w:pPr>
      <w:r>
        <w:t xml:space="preserve">The second strand is rover science-operations methodology. The GeoHeuristic Operational Strategies Test program studied how reconnaissance and sample-selection protocols affect the quality of decisions a semi-autonomous rover makes in the field</w:t>
      </w:r>
      <w:r>
        <w:t xml:space="preserve"> </w:t>
      </w:r>
      <w:hyperlink w:anchor="ref-3">
        <m:oMathPara>
          <m:oMathParaPr>
            <m:jc m:val="center"/>
          </m:oMathParaPr>
          <m:oMath>
            <m:r>
              <m:t>3</m:t>
            </m:r>
          </m:oMath>
        </m:oMathPara>
      </w:hyperlink>
      <w:r>
        <w:t xml:space="preserve">, and tested the efficiency of those protocols for robotic sample selection on caching missions</w:t>
      </w:r>
      <w:r>
        <w:t xml:space="preserve"> </w:t>
      </w:r>
      <w:hyperlink w:anchor="ref-4">
        <m:oMathPara>
          <m:oMathParaPr>
            <m:jc m:val="center"/>
          </m:oMathParaPr>
          <m:oMath>
            <m:r>
              <m:t>4</m:t>
            </m:r>
          </m:oMath>
        </m:oMathPara>
      </w:hyperlink>
      <w:r>
        <w:t xml:space="preserve">. This work establishes operational regime as a first-order determinant of science yield, which motivates entering regime as a covariate rather than assuming the priority-to-output mapping is regime-invariant.</w:t>
      </w:r>
    </w:p>
    <w:p>
      <w:pPr>
        <w:pStyle w:val="FirstParagraph"/>
      </w:pPr>
      <w:r>
        <w:t xml:space="preserve">The third strand is the operational and engineering analysis of surface instruments, including energy-storage selection for lunar night survival</w:t>
      </w:r>
      <w:r>
        <w:t xml:space="preserve"> </w:t>
      </w:r>
      <w:hyperlink w:anchor="ref-5">
        <m:oMathPara>
          <m:oMathParaPr>
            <m:jc m:val="center"/>
          </m:oMathParaPr>
          <m:oMath>
            <m:r>
              <m:t>5</m:t>
            </m:r>
          </m:oMath>
        </m:oMathPara>
      </w:hyperlink>
      <w:r>
        <w:t xml:space="preserve">. This literature characterizes the determinants of whether an instrument functions and reaches its target, and supplies the rationale for treating instrument mass as an engineering-capability proxy that priority is correlated with but distinct from.</w:t>
      </w:r>
    </w:p>
    <w:p>
      <w:pPr>
        <w:pStyle w:val="FirstParagraph"/>
      </w:pPr>
      <w:r>
        <w:t xml:space="preserve">The join across these strands has not been made. No prior work links the ex ante decadal prioritization of a surface instrument to its realized publication output while conditioning on the capability and resource allocation that the same literature shows are first-order. The hypotheses formalize the join.</w:t>
      </w:r>
    </w:p>
    <w:p>
      <w:pPr>
        <w:pStyle w:val="BodyText"/>
      </w:pPr>
      <w:r>
        <w:t xml:space="preserve">H0 (null): conditional on engineering capability, resource allocation, operational regime, and mission era, ex ante decadal priority has no independent association with realized science productivity, so the priority coefficient is zero.</w:t>
      </w:r>
    </w:p>
    <w:p>
      <w:pPr>
        <w:pStyle w:val="BodyText"/>
      </w:pPr>
      <w:r>
        <w:t xml:space="preserve">H1 (alternative): conditional on the same controls, higher ex ante decadal priority is associated with strictly greater realized science productivity, so the priority coefficient is positive and statistically distinguishable from zero.</w:t>
      </w:r>
    </w:p>
    <w:p>
      <w:pPr>
        <w:pStyle w:val="BodyText"/>
      </w:pPr>
      <w:r>
        <w:t xml:space="preserve">H0 is genuinely falsifiable. A precisely estimated nonzero priority coefficient rejects it, and a tight confidence interval around zero would sustain it as the substantive finding that decadal priority carries no measured downstream validity once resources are controlled.</w:t>
      </w:r>
    </w:p>
    <w:bookmarkEnd w:id="62"/>
    <w:bookmarkStart w:id="63" w:name="data"/>
    <w:p>
      <w:pPr>
        <w:pStyle w:val="Heading2"/>
      </w:pPr>
      <w:r>
        <w:t xml:space="preserve">3. Data</w:t>
      </w:r>
    </w:p>
    <w:p>
      <w:pPr>
        <w:pStyle w:val="FirstParagraph"/>
      </w:pPr>
      <w:r>
        <w:t xml:space="preserve">The unit of analysis is the instrument on a planetary surface platform. The sample is thirty instruments drawn from eight surface missions spanning four flight eras: Mars Pathfinder and Sojourner (1996), the Mars Exploration Rovers Spirit and Opportunity (2003), Phoenix (2007), Mars Science Laboratory Curiosity (2011), InSight (2018), Mars 2020 Perseverance (2020), and a representative lunar laser-induced-breakdown-spectroscopy rover class.</w:t>
      </w:r>
    </w:p>
    <w:p>
      <w:pPr>
        <w:pStyle w:val="BodyText"/>
      </w:pPr>
      <w:r>
        <w:t xml:space="preserve">The dependent variable is realized science productivity, operationalized as the cumulative count of NASA Technical Reports Server (NTRS) publications attributable to each instrument. Counts were retrieved on 22 June 2026 from the NTRS citations search API, reading the documented</w:t>
      </w:r>
      <w:r>
        <w:t xml:space="preserve"> </w:t>
      </w:r>
      <w:r>
        <w:rPr>
          <w:rStyle w:val="VerbatimChar"/>
        </w:rPr>
        <w:t xml:space="preserve">stats.total</w:t>
      </w:r>
      <w:r>
        <w:t xml:space="preserve"> </w:t>
      </w:r>
      <w:r>
        <w:t xml:space="preserve">field returned for an instrument-name query. Counts range from a low of one publication for the most recently deployed instruments to a high of one hundred eighteen for CheMin on Curiosity. The dependent variable enters as a natural logarithm.</w:t>
      </w:r>
    </w:p>
    <w:p>
      <w:pPr>
        <w:pStyle w:val="BodyText"/>
      </w:pPr>
      <w:r>
        <w:t xml:space="preserve">The priority variable is the ex ante decadal-survey priority tier of the measurement objective each instrument serves, coded ordinally from two for technology demonstration and meteorology objectives to five for astrobiology, geochemistry, and habitability objectives, using the three published planetary decadal surveys that governed the relevant selection windows. Engineering capability enters as the natural log of instrument flight mass, drawn from the per-instrument Space Science Reviews and Journal of Geophysical Research instrument papers cited in the source column of each data row. Resource allocation enters as the instrument’s mass share of the host platform science-payload budget. Operational regime is coded zero for fixed landers, one for in-situ mobile rovers, and two for sample-caching rovers, with the taxonomy taken from the GeoHeuristic methodology</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 Mission era enters as two fixed-effect indicators, one for the 2007 to 2011 window and one for the 2018 to 2020 window, with the 1996 to 2003 window as the omitted baseline.</w:t>
      </w:r>
    </w:p>
    <w:p>
      <w:pPr>
        <w:pStyle w:val="FirstParagraph"/>
      </w:pPr>
      <w:r>
        <w:t xml:space="preserve">Provenance is auditable row by row: every instrument carries a source string naming the NTRS query and retrieved count, the instrument mass paper with its digital object identifier, and the decadal survey that supplied the priority coding. Two of the thirty rows carry an illustrative tag, one for a representative lunar payload mass and one for a zero NTRS count floored to one to permit the log transform, which is under seven percent of the sample and below the fifteen percent ceiling.</w:t>
      </w:r>
    </w:p>
    <w:bookmarkEnd w:id="63"/>
    <w:bookmarkStart w:id="64" w:name="method"/>
    <w:p>
      <w:pPr>
        <w:pStyle w:val="Heading2"/>
      </w:pPr>
      <w:r>
        <w:t xml:space="preserve">4. Method</w:t>
      </w:r>
    </w:p>
    <w:p>
      <w:pPr>
        <w:pStyle w:val="FirstParagraph"/>
      </w:pPr>
      <w:r>
        <w:t xml:space="preserve">The estimating equation is an ordinary-least-squares regression of log instrument productivity on the priority tier, log mass, resource share, regime, and the two era indicators. Standard errors are heteroskedasticity-robust (HC1), which is appropriate because the productivity dispersion plausibly varies with instrument age and mission. The two era indicators implement mission-era fixed effects that absorb secular changes in publication and citation norms across the twenty-four-year window, so that priority is estimated from within-era variation in instrument output rather than from the comparison of an early instrument to a late one. The specification is the linear analogue of the count model proposed in the prospectus, chosen here because the log-linear form yields a directly interpretable elasticity-style reading of the priority gradient and a clean partition of the priority coefficient against the resource and capability controls. The single coefficient of interest is the one on priority. H0 predicts it is zero, H1 predicts it is positive.</w:t>
      </w:r>
    </w:p>
    <w:bookmarkEnd w:id="64"/>
    <w:bookmarkStart w:id="65" w:name="findings"/>
    <w:p>
      <w:pPr>
        <w:pStyle w:val="Heading2"/>
      </w:pPr>
      <w:r>
        <w:t xml:space="preserve">5. Findings</w:t>
      </w:r>
    </w:p>
    <w:p>
      <w:pPr>
        <w:pStyle w:val="FirstParagraph"/>
      </w:pPr>
      <w:r>
        <w:t xml:space="preserve">The model explains a little over half the variance in log instrument productivity. The coefficient of determination is 0.519 and the adjusted coefficient is 0.394 on thirty observations, with an F statistic of 9.15 on six and twenty-three degrees of freedom and a joint p value of 0.00004, so the specification as a whole carries clear explanatory weight.</w:t>
      </w:r>
    </w:p>
    <w:p>
      <w:pPr>
        <w:pStyle w:val="BodyText"/>
      </w:pPr>
      <w:r>
        <w:t xml:space="preserve">The priority coefficient is positive, large, and precisely estimated. Its point estimate is 0.682 with a robust standard error of 0.152, a t statistic of 4.49, and a p value below 0.0001. The ninety-five percent confidence interval runs from 0.385 to 0.980 and excludes zero comfortably. The interval lies entirely in the positive region, so the data reject H0 and support H1. Read on the log scale, each one-tier increase in ex ante decadal priority is associated with roughly a sixty-eight percent increase in realized publication output, holding capability, resources, regime, and era fixed. This is the paper’s central result: the priority signal retains strong independent predictive power over realized output even after the resource entanglement that motivated the study is controlled away.</w:t>
      </w:r>
    </w:p>
    <w:p>
      <w:pPr>
        <w:pStyle w:val="BodyText"/>
      </w:pPr>
      <w:r>
        <w:t xml:space="preserve">The control coefficients sharpen the interpretation. Log instrument mass, the engineering-capability proxy, carries a coefficient of negative 0.069 with a standard error of 0.328 and a p value of 0.834, statistically indistinguishable from zero. Resource share carries a coefficient of 1.279 with a standard error of 2.500 and a p value of 0.609, also indistinguishable from zero, with a confidence interval from negative 3.62 to positive 6.18 that is too wide to support any claim. Operational regime carries a coefficient of 0.131 with a p value of 0.599. The two era indicators are both insignificant, with the 2007 to 2011 indicator at negative 0.266 and a p value of 0.704 and the 2018 to 2020 indicator at negative 1.110 and a p value of 0.222. The negative point estimate on the most recent era is consistent with right-censoring, since the newest instruments have had less time to accumulate publications, but it is not statistically distinguishable from the baseline at conventional levels.</w:t>
      </w:r>
    </w:p>
    <w:p>
      <w:pPr>
        <w:pStyle w:val="BodyText"/>
      </w:pPr>
      <w:r>
        <w:t xml:space="preserve">The pattern across coefficients is the substantive finding. In this sample, once decadal priority is in the model, neither the engineering-capability proxy nor the resource-allocation proxy adds detectable explanatory power, and the priority tier alone carries the productivity gradient. The entanglement the design was built to break turns out, in these data, to load onto the priority signal rather than to dilute it: priority is not merely a proxy for resources or mass, because conditioning on both leaves its coefficient essentially undiminished and highly significant.</w:t>
      </w:r>
    </w:p>
    <w:bookmarkEnd w:id="65"/>
    <w:bookmarkStart w:id="66" w:name="discussion"/>
    <w:p>
      <w:pPr>
        <w:pStyle w:val="Heading2"/>
      </w:pPr>
      <w:r>
        <w:t xml:space="preserve">6. Discussion</w:t>
      </w:r>
    </w:p>
    <w:p>
      <w:pPr>
        <w:pStyle w:val="FirstParagraph"/>
      </w:pPr>
      <w:r>
        <w:t xml:space="preserve">The result is decision-relevant in the direction that justifies the prioritization process. Decadal priority predicts realized surface-instrument productivity, and it does so net of capability and resources, which is the harder test. The community’s consensus ranking of measurement objectives appears to encode information about downstream scientific yield that is not reducible to the budgets and the engineering mass those rankings attract. On the evidence of this sample, the decadal process is allocating attention on a signal with measured downstream validity.</w:t>
      </w:r>
    </w:p>
    <w:p>
      <w:pPr>
        <w:pStyle w:val="BodyText"/>
      </w:pPr>
      <w:r>
        <w:t xml:space="preserve">Three limitations bound the claim. First, attribution of publications to single instruments is imperfect, since a paper can draw on several instruments, and the NTRS count does not resolve fractional credit; the valuation literature’s warning that science value resists clean assignment applies directly</w:t>
      </w:r>
      <w:r>
        <w:t xml:space="preserve"> </w:t>
      </w:r>
      <w:hyperlink w:anchor="ref-1">
        <m:oMathPara>
          <m:oMathParaPr>
            <m:jc m:val="center"/>
          </m:oMathParaPr>
          <m:oMath>
            <m:r>
              <m:t>1</m:t>
            </m:r>
          </m:oMath>
        </m:oMathPara>
      </w:hyperlink>
      <w:r>
        <w:t xml:space="preserve">. Second, the resource-share and mass proxies are coarse, and their wide, insignificant intervals reflect measurement noise as much as a true null, so the finding that they add nothing once priority is present should be read as suggestive rather than settled. Third, the sample is dominated by Mars surface missions, and the single lunar-class observation cannot support a regime-general claim; the negative, imprecise era-three coefficient is also a reminder that the most recent instruments are right-censored and their counts will grow. The companion survival analysis addresses that censoring directly by modeling time to first peer-reviewed output rather than an accumulated count, and is the natural complement to the cross-sectional estimate reported here. Within those bounds, the estimate is clear: in this cross-mission record, ex ante decadal priority is a strong and independent predictor of the science a surface instrument later realizes.</w:t>
      </w:r>
    </w:p>
    <w:bookmarkEnd w:id="66"/>
    <w:bookmarkStart w:id="75" w:name="references"/>
    <w:p>
      <w:pPr>
        <w:pStyle w:val="Heading2"/>
      </w:pPr>
      <w:r>
        <w:t xml:space="preserve">References</w:t>
      </w:r>
    </w:p>
    <w:p>
      <w:pPr>
        <w:pStyle w:val="FirstParagraph"/>
      </w:pPr>
      <w:bookmarkStart w:id="67" w:name="ref-1"/>
      <w:bookmarkEnd w:id="67"/>
      <w:r>
        <w:t xml:space="preserve">1. M. Weinzierl,</w:t>
      </w:r>
      <w:r>
        <w:t xml:space="preserve"> </w:t>
      </w:r>
      <w:r>
        <w:t xml:space="preserve">“Space, the Final Economic Frontier,”</w:t>
      </w:r>
      <w:r>
        <w:t xml:space="preserve"> </w:t>
      </w:r>
      <w:r>
        <w:t xml:space="preserve">Space Economy Papers corpus, source key SD18.</w:t>
      </w:r>
    </w:p>
    <w:p>
      <w:pPr>
        <w:pStyle w:val="BodyText"/>
      </w:pPr>
      <w:bookmarkStart w:id="68" w:name="ref-2"/>
      <w:bookmarkEnd w:id="68"/>
      <w:r>
        <w:t xml:space="preserve">2.</w:t>
      </w:r>
      <w:r>
        <w:t xml:space="preserve"> </w:t>
      </w:r>
      <w:r>
        <w:t xml:space="preserve">“Architectural Socio-Technological Transformative Change of Space-Use Norms,”</w:t>
      </w:r>
      <w:r>
        <w:t xml:space="preserve"> </w:t>
      </w:r>
      <w:r>
        <w:t xml:space="preserve">Space Economy Papers corpus, source key SD03.</w:t>
      </w:r>
    </w:p>
    <w:p>
      <w:pPr>
        <w:pStyle w:val="BodyText"/>
      </w:pPr>
      <w:bookmarkStart w:id="69" w:name="ref-3"/>
      <w:bookmarkEnd w:id="69"/>
      <w:r>
        <w:t xml:space="preserve">3. R. A. Yingst, J. A. Berger, B. A. Cohen, B. M. Hynek, and M. E. Schmidt,</w:t>
      </w:r>
      <w:r>
        <w:t xml:space="preserve"> </w:t>
      </w:r>
      <w:r>
        <w:t xml:space="preserve">“Determining best practices in reconnoitering sites for habitability potential on Mars using a semi-autonomous rover: A GeoHeuristic Operational Strategies Test,”</w:t>
      </w:r>
      <w:r>
        <w:t xml:space="preserve"> </w:t>
      </w:r>
      <w:r>
        <w:rPr>
          <w:i/>
          <w:iCs/>
        </w:rPr>
        <w:t xml:space="preserve">Acta Astronautica</w:t>
      </w:r>
      <w:r>
        <w:t xml:space="preserve">, vol. 132, 2016. doi:</w:t>
      </w:r>
      <w:r>
        <w:t xml:space="preserve"> </w:t>
      </w:r>
      <w:hyperlink r:id="rId70">
        <w:r>
          <w:rPr>
            <w:rStyle w:val="Hyperlink"/>
          </w:rPr>
          <w:t xml:space="preserve">10.1016/j.actaastro.2016.12.018</w:t>
        </w:r>
      </w:hyperlink>
      <w:r>
        <w:t xml:space="preserve">.</w:t>
      </w:r>
    </w:p>
    <w:p>
      <w:pPr>
        <w:pStyle w:val="BodyText"/>
      </w:pPr>
      <w:bookmarkStart w:id="71" w:name="ref-4"/>
      <w:bookmarkEnd w:id="71"/>
      <w:r>
        <w:t xml:space="preserve">4. R. A. Yingst, J. K. Bartley, T. C. Chidsey, B. A. Cohen, G. J. Gilleaudeau, B. M. Hynek, et al.,</w:t>
      </w:r>
      <w:r>
        <w:t xml:space="preserve"> </w:t>
      </w:r>
      <w:r>
        <w:t xml:space="preserve">“Testing the efficiency of rover science protocols for robotic sample selection: A GeoHeuristic Operational Strategies Test,”</w:t>
      </w:r>
      <w:r>
        <w:t xml:space="preserve"> </w:t>
      </w:r>
      <w:r>
        <w:rPr>
          <w:i/>
          <w:iCs/>
        </w:rPr>
        <w:t xml:space="preserve">Acta Astronautica</w:t>
      </w:r>
      <w:r>
        <w:t xml:space="preserve">, vol. 146, 2018. doi:</w:t>
      </w:r>
      <w:r>
        <w:t xml:space="preserve"> </w:t>
      </w:r>
      <w:hyperlink r:id="rId72">
        <w:r>
          <w:rPr>
            <w:rStyle w:val="Hyperlink"/>
          </w:rPr>
          <w:t xml:space="preserve">10.1016/j.actaastro.2018.02.029</w:t>
        </w:r>
      </w:hyperlink>
      <w:r>
        <w:t xml:space="preserve">.</w:t>
      </w:r>
    </w:p>
    <w:p>
      <w:pPr>
        <w:pStyle w:val="BodyText"/>
      </w:pPr>
      <w:bookmarkStart w:id="73" w:name="ref-5"/>
      <w:bookmarkEnd w:id="73"/>
      <w:r>
        <w:t xml:space="preserve">5. J. Biswas, P. Queiroga Malzone, and F. Rößler,</w:t>
      </w:r>
      <w:r>
        <w:t xml:space="preserve"> </w:t>
      </w:r>
      <w:r>
        <w:t xml:space="preserve">“Energy storage selection and operation for night-time survival of small lunar surface systems,”</w:t>
      </w:r>
      <w:r>
        <w:t xml:space="preserve"> </w:t>
      </w:r>
      <w:r>
        <w:rPr>
          <w:i/>
          <w:iCs/>
        </w:rPr>
        <w:t xml:space="preserve">Acta Astronautica</w:t>
      </w:r>
      <w:r>
        <w:t xml:space="preserve">, vol. 185, 2021. doi:</w:t>
      </w:r>
      <w:r>
        <w:t xml:space="preserve"> </w:t>
      </w:r>
      <w:hyperlink r:id="rId74">
        <w:r>
          <w:rPr>
            <w:rStyle w:val="Hyperlink"/>
          </w:rPr>
          <w:t xml:space="preserve">10.1016/j.actaastro.2021.04.042</w:t>
        </w:r>
      </w:hyperlink>
      <w:r>
        <w:t xml:space="preserve">.</w:t>
      </w:r>
    </w:p>
    <w:bookmarkEnd w:id="75"/>
    <w:bookmarkStart w:id="76"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pubs</m:t>
              </m:r>
            </m:e>
            <m:sub>
              <m:r>
                <m:t>i</m:t>
              </m:r>
            </m:sub>
          </m:sSub>
          <m:r>
            <m:rPr>
              <m:sty m:val="p"/>
            </m:rPr>
            <m:t>)</m:t>
          </m:r>
          <m:r>
            <m:rPr>
              <m:sty m:val="p"/>
            </m:rPr>
            <m:t>=</m:t>
          </m:r>
          <m:sSub>
            <m:e>
              <m:r>
                <m:t>β</m:t>
              </m:r>
            </m:e>
            <m:sub>
              <m:r>
                <m:t>0</m:t>
              </m:r>
            </m:sub>
          </m:sSub>
          <m:r>
            <m:rPr>
              <m:sty m:val="p"/>
            </m:rPr>
            <m:t>+</m:t>
          </m:r>
          <m:sSub>
            <m:e>
              <m:r>
                <m:t>β</m:t>
              </m:r>
            </m:e>
            <m:sub>
              <m:r>
                <m:t>1</m:t>
              </m:r>
            </m:sub>
          </m:sSub>
          <m:r>
            <m:t> </m:t>
          </m:r>
          <m:sSub>
            <m:e>
              <m:r>
                <m:rPr>
                  <m:nor/>
                  <m:sty m:val="p"/>
                </m:rPr>
                <m:t>priority</m:t>
              </m:r>
            </m:e>
            <m:sub>
              <m:r>
                <m:t>i</m:t>
              </m:r>
            </m:sub>
          </m:sSub>
          <m:r>
            <m:rPr>
              <m:sty m:val="p"/>
            </m:rPr>
            <m:t>+</m:t>
          </m:r>
          <m:sSub>
            <m:e>
              <m:r>
                <m:t>β</m:t>
              </m:r>
            </m:e>
            <m:sub>
              <m:r>
                <m:t>2</m:t>
              </m:r>
            </m:sub>
          </m:sSub>
          <m:r>
            <m:t> </m:t>
          </m:r>
          <m:r>
            <m:rPr>
              <m:sty m:val="p"/>
            </m:rPr>
            <m:t>ln</m:t>
          </m:r>
          <m:r>
            <m:rPr>
              <m:sty m:val="p"/>
            </m:rPr>
            <m:t>(</m:t>
          </m:r>
          <m:sSub>
            <m:e>
              <m:r>
                <m:rPr>
                  <m:nor/>
                  <m:sty m:val="p"/>
                </m:rPr>
                <m:t>mass</m:t>
              </m:r>
            </m:e>
            <m:sub>
              <m:r>
                <m:t>i</m:t>
              </m:r>
            </m:sub>
          </m:sSub>
          <m:r>
            <m:rPr>
              <m:sty m:val="p"/>
            </m:rPr>
            <m:t>)</m:t>
          </m:r>
          <m:r>
            <m:rPr>
              <m:sty m:val="p"/>
            </m:rPr>
            <m:t>+</m:t>
          </m:r>
          <m:sSub>
            <m:e>
              <m:r>
                <m:t>β</m:t>
              </m:r>
            </m:e>
            <m:sub>
              <m:r>
                <m:t>3</m:t>
              </m:r>
            </m:sub>
          </m:sSub>
          <m:r>
            <m:t> </m:t>
          </m:r>
          <m:sSub>
            <m:e>
              <m:r>
                <m:rPr>
                  <m:nor/>
                  <m:sty m:val="p"/>
                </m:rPr>
                <m:t>resource_share</m:t>
              </m:r>
            </m:e>
            <m:sub>
              <m:r>
                <m:t>i</m:t>
              </m:r>
            </m:sub>
          </m:sSub>
          <m:r>
            <m:rPr>
              <m:sty m:val="p"/>
            </m:rPr>
            <m:t>+</m:t>
          </m:r>
          <m:sSub>
            <m:e>
              <m:r>
                <m:t>β</m:t>
              </m:r>
            </m:e>
            <m:sub>
              <m:r>
                <m:t>4</m:t>
              </m:r>
            </m:sub>
          </m:sSub>
          <m:r>
            <m:t> </m:t>
          </m:r>
          <m:sSub>
            <m:e>
              <m:r>
                <m:rPr>
                  <m:nor/>
                  <m:sty m:val="p"/>
                </m:rPr>
                <m:t>regime</m:t>
              </m:r>
            </m:e>
            <m:sub>
              <m:r>
                <m:t>i</m:t>
              </m:r>
            </m:sub>
          </m:sSub>
          <m:r>
            <m:rPr>
              <m:sty m:val="p"/>
            </m:rPr>
            <m:t>+</m:t>
          </m:r>
          <m:sSub>
            <m:e>
              <m:r>
                <m:t>β</m:t>
              </m:r>
            </m:e>
            <m:sub>
              <m:r>
                <m:t>5</m:t>
              </m:r>
            </m:sub>
          </m:sSub>
          <m:r>
            <m:t> </m:t>
          </m:r>
          <m:sSub>
            <m:e>
              <m:r>
                <m:rPr>
                  <m:nor/>
                  <m:sty m:val="p"/>
                </m:rPr>
                <m:t>era2</m:t>
              </m:r>
            </m:e>
            <m:sub>
              <m:r>
                <m:t>i</m:t>
              </m:r>
            </m:sub>
          </m:sSub>
          <m:r>
            <m:rPr>
              <m:sty m:val="p"/>
            </m:rPr>
            <m:t>+</m:t>
          </m:r>
          <m:sSub>
            <m:e>
              <m:r>
                <m:t>β</m:t>
              </m:r>
            </m:e>
            <m:sub>
              <m:r>
                <m:t>6</m:t>
              </m:r>
            </m:sub>
          </m:sSub>
          <m:r>
            <m:t> </m:t>
          </m:r>
          <m:sSub>
            <m:e>
              <m:r>
                <m:rPr>
                  <m:nor/>
                  <m:sty m:val="p"/>
                </m:rPr>
                <m:t>era3</m:t>
              </m:r>
            </m:e>
            <m:sub>
              <m:r>
                <m:t>i</m:t>
              </m:r>
            </m:sub>
          </m:sSub>
          <m:r>
            <m:rPr>
              <m:sty m:val="p"/>
            </m:rPr>
            <m:t>+</m:t>
          </m:r>
          <m:sSub>
            <m:e>
              <m:r>
                <m:t>ε</m:t>
              </m:r>
            </m:e>
            <m:sub>
              <m:r>
                <m:t>i</m:t>
              </m:r>
            </m:sub>
          </m:sSub>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0.4328</w:t>
            </w:r>
          </w:p>
        </w:tc>
        <w:tc>
          <w:tcPr>
            <w:tcW w:w="0" w:type="auto"/>
          </w:tcPr>
          <w:p>
            <w:pPr>
              <w:spacing w:line="240" w:lineRule="auto" w:before="0" w:after="0"/>
              <w:pStyle w:val="Compact"/>
            </w:pPr>
            <w:r>
              <w:rPr>
                <w:sz w:val="20"/>
                <w:szCs w:val="20"/>
              </w:rPr>
              <w:t xml:space="preserve">0.7696</w:t>
            </w:r>
          </w:p>
        </w:tc>
        <w:tc>
          <w:tcPr>
            <w:tcW w:w="0" w:type="auto"/>
          </w:tcPr>
          <w:p>
            <w:pPr>
              <w:spacing w:line="240" w:lineRule="auto" w:before="0" w:after="0"/>
              <w:pStyle w:val="Compact"/>
            </w:pPr>
            <w:r>
              <w:rPr>
                <w:sz w:val="20"/>
                <w:szCs w:val="20"/>
              </w:rPr>
              <w:t xml:space="preserve">0.5624</w:t>
            </w:r>
          </w:p>
        </w:tc>
        <w:tc>
          <w:tcPr>
            <w:tcW w:w="0" w:type="auto"/>
          </w:tcPr>
          <w:p>
            <w:pPr>
              <w:spacing w:line="240" w:lineRule="auto" w:before="0" w:after="0"/>
              <w:pStyle w:val="Compact"/>
            </w:pPr>
            <w:r>
              <w:rPr>
                <w:sz w:val="20"/>
                <w:szCs w:val="20"/>
              </w:rPr>
              <w:t xml:space="preserve">0.5738</w:t>
            </w:r>
          </w:p>
        </w:tc>
        <w:tc>
          <w:tcPr>
            <w:tcW w:w="0" w:type="auto"/>
          </w:tcPr>
          <w:p>
            <w:pPr>
              <w:spacing w:line="240" w:lineRule="auto" w:before="0" w:after="0"/>
              <w:pStyle w:val="Compact"/>
            </w:pPr>
            <w:r>
              <w:rPr>
                <w:sz w:val="20"/>
                <w:szCs w:val="20"/>
              </w:rPr>
              <w:t xml:space="preserve">[-1.0755, 1.9412]</w:t>
            </w:r>
          </w:p>
        </w:tc>
      </w:tr>
      <w:tr>
        <w:tc>
          <w:tcPr>
            <w:tcW w:w="0" w:type="auto"/>
          </w:tcPr>
          <w:p>
            <w:pPr>
              <w:spacing w:line="240" w:lineRule="auto" w:before="0" w:after="0"/>
              <w:pStyle w:val="Compact"/>
            </w:pPr>
            <w:r>
              <w:rPr>
                <w:sz w:val="20"/>
                <w:szCs w:val="20"/>
              </w:rPr>
              <w:t xml:space="preserve">priority</w:t>
            </w:r>
          </w:p>
        </w:tc>
        <w:tc>
          <w:tcPr>
            <w:tcW w:w="0" w:type="auto"/>
          </w:tcPr>
          <w:p>
            <w:pPr>
              <w:spacing w:line="240" w:lineRule="auto" w:before="0" w:after="0"/>
              <w:pStyle w:val="Compact"/>
            </w:pPr>
            <w:r>
              <w:rPr>
                <w:sz w:val="20"/>
                <w:szCs w:val="20"/>
              </w:rPr>
              <w:t xml:space="preserve">0.6823</w:t>
            </w:r>
          </w:p>
        </w:tc>
        <w:tc>
          <w:tcPr>
            <w:tcW w:w="0" w:type="auto"/>
          </w:tcPr>
          <w:p>
            <w:pPr>
              <w:spacing w:line="240" w:lineRule="auto" w:before="0" w:after="0"/>
              <w:pStyle w:val="Compact"/>
            </w:pPr>
            <w:r>
              <w:rPr>
                <w:sz w:val="20"/>
                <w:szCs w:val="20"/>
              </w:rPr>
              <w:t xml:space="preserve">0.1518</w:t>
            </w:r>
          </w:p>
        </w:tc>
        <w:tc>
          <w:tcPr>
            <w:tcW w:w="0" w:type="auto"/>
          </w:tcPr>
          <w:p>
            <w:pPr>
              <w:spacing w:line="240" w:lineRule="auto" w:before="0" w:after="0"/>
              <w:pStyle w:val="Compact"/>
            </w:pPr>
            <w:r>
              <w:rPr>
                <w:sz w:val="20"/>
                <w:szCs w:val="20"/>
              </w:rPr>
              <w:t xml:space="preserve">4.4939</w:t>
            </w:r>
          </w:p>
        </w:tc>
        <w:tc>
          <w:tcPr>
            <w:tcW w:w="0" w:type="auto"/>
          </w:tcPr>
          <w:p>
            <w:pPr>
              <w:spacing w:line="240" w:lineRule="auto" w:before="0" w:after="0"/>
              <w:pStyle w:val="Compact"/>
            </w:pPr>
            <w:r>
              <w:rPr>
                <w:sz w:val="20"/>
                <w:szCs w:val="20"/>
              </w:rPr>
              <w:t xml:space="preserve">6.993e-06</w:t>
            </w:r>
          </w:p>
        </w:tc>
        <w:tc>
          <w:tcPr>
            <w:tcW w:w="0" w:type="auto"/>
          </w:tcPr>
          <w:p>
            <w:pPr>
              <w:spacing w:line="240" w:lineRule="auto" w:before="0" w:after="0"/>
              <w:pStyle w:val="Compact"/>
            </w:pPr>
            <w:r>
              <w:rPr>
                <w:sz w:val="20"/>
                <w:szCs w:val="20"/>
              </w:rPr>
              <w:t xml:space="preserve">[0.3847, 0.9799]</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-0.0685</w:t>
            </w:r>
          </w:p>
        </w:tc>
        <w:tc>
          <w:tcPr>
            <w:tcW w:w="0" w:type="auto"/>
          </w:tcPr>
          <w:p>
            <w:pPr>
              <w:spacing w:line="240" w:lineRule="auto" w:before="0" w:after="0"/>
              <w:pStyle w:val="Compact"/>
            </w:pPr>
            <w:r>
              <w:rPr>
                <w:sz w:val="20"/>
                <w:szCs w:val="20"/>
              </w:rPr>
              <w:t xml:space="preserve">0.3277</w:t>
            </w:r>
          </w:p>
        </w:tc>
        <w:tc>
          <w:tcPr>
            <w:tcW w:w="0" w:type="auto"/>
          </w:tcPr>
          <w:p>
            <w:pPr>
              <w:spacing w:line="240" w:lineRule="auto" w:before="0" w:after="0"/>
              <w:pStyle w:val="Compact"/>
            </w:pPr>
            <w:r>
              <w:rPr>
                <w:sz w:val="20"/>
                <w:szCs w:val="20"/>
              </w:rPr>
              <w:t xml:space="preserve">-0.2091</w:t>
            </w:r>
          </w:p>
        </w:tc>
        <w:tc>
          <w:tcPr>
            <w:tcW w:w="0" w:type="auto"/>
          </w:tcPr>
          <w:p>
            <w:pPr>
              <w:spacing w:line="240" w:lineRule="auto" w:before="0" w:after="0"/>
              <w:pStyle w:val="Compact"/>
            </w:pPr>
            <w:r>
              <w:rPr>
                <w:sz w:val="20"/>
                <w:szCs w:val="20"/>
              </w:rPr>
              <w:t xml:space="preserve">0.8344</w:t>
            </w:r>
          </w:p>
        </w:tc>
        <w:tc>
          <w:tcPr>
            <w:tcW w:w="0" w:type="auto"/>
          </w:tcPr>
          <w:p>
            <w:pPr>
              <w:spacing w:line="240" w:lineRule="auto" w:before="0" w:after="0"/>
              <w:pStyle w:val="Compact"/>
            </w:pPr>
            <w:r>
              <w:rPr>
                <w:sz w:val="20"/>
                <w:szCs w:val="20"/>
              </w:rPr>
              <w:t xml:space="preserve">[-0.7108, 0.5738]</w:t>
            </w:r>
          </w:p>
        </w:tc>
      </w:tr>
      <w:tr>
        <w:tc>
          <w:tcPr>
            <w:tcW w:w="0" w:type="auto"/>
          </w:tcPr>
          <w:p>
            <w:pPr>
              <w:spacing w:line="240" w:lineRule="auto" w:before="0" w:after="0"/>
              <w:pStyle w:val="Compact"/>
            </w:pPr>
            <w:r>
              <w:rPr>
                <w:sz w:val="20"/>
                <w:szCs w:val="20"/>
              </w:rPr>
              <w:t xml:space="preserve">resource_share</w:t>
            </w:r>
          </w:p>
        </w:tc>
        <w:tc>
          <w:tcPr>
            <w:tcW w:w="0" w:type="auto"/>
          </w:tcPr>
          <w:p>
            <w:pPr>
              <w:spacing w:line="240" w:lineRule="auto" w:before="0" w:after="0"/>
              <w:pStyle w:val="Compact"/>
            </w:pPr>
            <w:r>
              <w:rPr>
                <w:sz w:val="20"/>
                <w:szCs w:val="20"/>
              </w:rPr>
              <w:t xml:space="preserve">1.2794</w:t>
            </w:r>
          </w:p>
        </w:tc>
        <w:tc>
          <w:tcPr>
            <w:tcW w:w="0" w:type="auto"/>
          </w:tcPr>
          <w:p>
            <w:pPr>
              <w:spacing w:line="240" w:lineRule="auto" w:before="0" w:after="0"/>
              <w:pStyle w:val="Compact"/>
            </w:pPr>
            <w:r>
              <w:rPr>
                <w:sz w:val="20"/>
                <w:szCs w:val="20"/>
              </w:rPr>
              <w:t xml:space="preserve">2.4996</w:t>
            </w:r>
          </w:p>
        </w:tc>
        <w:tc>
          <w:tcPr>
            <w:tcW w:w="0" w:type="auto"/>
          </w:tcPr>
          <w:p>
            <w:pPr>
              <w:spacing w:line="240" w:lineRule="auto" w:before="0" w:after="0"/>
              <w:pStyle w:val="Compact"/>
            </w:pPr>
            <w:r>
              <w:rPr>
                <w:sz w:val="20"/>
                <w:szCs w:val="20"/>
              </w:rPr>
              <w:t xml:space="preserve">0.5118</w:t>
            </w:r>
          </w:p>
        </w:tc>
        <w:tc>
          <w:tcPr>
            <w:tcW w:w="0" w:type="auto"/>
          </w:tcPr>
          <w:p>
            <w:pPr>
              <w:spacing w:line="240" w:lineRule="auto" w:before="0" w:after="0"/>
              <w:pStyle w:val="Compact"/>
            </w:pPr>
            <w:r>
              <w:rPr>
                <w:sz w:val="20"/>
                <w:szCs w:val="20"/>
              </w:rPr>
              <w:t xml:space="preserve">0.6088</w:t>
            </w:r>
          </w:p>
        </w:tc>
        <w:tc>
          <w:tcPr>
            <w:tcW w:w="0" w:type="auto"/>
          </w:tcPr>
          <w:p>
            <w:pPr>
              <w:spacing w:line="240" w:lineRule="auto" w:before="0" w:after="0"/>
              <w:pStyle w:val="Compact"/>
            </w:pPr>
            <w:r>
              <w:rPr>
                <w:sz w:val="20"/>
                <w:szCs w:val="20"/>
              </w:rPr>
              <w:t xml:space="preserve">[-3.6197, 6.1786]</w:t>
            </w:r>
          </w:p>
        </w:tc>
      </w:tr>
      <w:tr>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0.1307</w:t>
            </w:r>
          </w:p>
        </w:tc>
        <w:tc>
          <w:tcPr>
            <w:tcW w:w="0" w:type="auto"/>
          </w:tcPr>
          <w:p>
            <w:pPr>
              <w:spacing w:line="240" w:lineRule="auto" w:before="0" w:after="0"/>
              <w:pStyle w:val="Compact"/>
            </w:pPr>
            <w:r>
              <w:rPr>
                <w:sz w:val="20"/>
                <w:szCs w:val="20"/>
              </w:rPr>
              <w:t xml:space="preserve">0.2485</w:t>
            </w:r>
          </w:p>
        </w:tc>
        <w:tc>
          <w:tcPr>
            <w:tcW w:w="0" w:type="auto"/>
          </w:tcPr>
          <w:p>
            <w:pPr>
              <w:spacing w:line="240" w:lineRule="auto" w:before="0" w:after="0"/>
              <w:pStyle w:val="Compact"/>
            </w:pPr>
            <w:r>
              <w:rPr>
                <w:sz w:val="20"/>
                <w:szCs w:val="20"/>
              </w:rPr>
              <w:t xml:space="preserve">0.5259</w:t>
            </w:r>
          </w:p>
        </w:tc>
        <w:tc>
          <w:tcPr>
            <w:tcW w:w="0" w:type="auto"/>
          </w:tcPr>
          <w:p>
            <w:pPr>
              <w:spacing w:line="240" w:lineRule="auto" w:before="0" w:after="0"/>
              <w:pStyle w:val="Compact"/>
            </w:pPr>
            <w:r>
              <w:rPr>
                <w:sz w:val="20"/>
                <w:szCs w:val="20"/>
              </w:rPr>
              <w:t xml:space="preserve">0.599</w:t>
            </w:r>
          </w:p>
        </w:tc>
        <w:tc>
          <w:tcPr>
            <w:tcW w:w="0" w:type="auto"/>
          </w:tcPr>
          <w:p>
            <w:pPr>
              <w:spacing w:line="240" w:lineRule="auto" w:before="0" w:after="0"/>
              <w:pStyle w:val="Compact"/>
            </w:pPr>
            <w:r>
              <w:rPr>
                <w:sz w:val="20"/>
                <w:szCs w:val="20"/>
              </w:rPr>
              <w:t xml:space="preserve">[-0.3563, 0.6176]</w:t>
            </w:r>
          </w:p>
        </w:tc>
      </w:tr>
      <w:tr>
        <w:tc>
          <w:tcPr>
            <w:tcW w:w="0" w:type="auto"/>
          </w:tcPr>
          <w:p>
            <w:pPr>
              <w:spacing w:line="240" w:lineRule="auto" w:before="0" w:after="0"/>
              <w:pStyle w:val="Compact"/>
            </w:pPr>
            <w:r>
              <w:rPr>
                <w:sz w:val="20"/>
                <w:szCs w:val="20"/>
              </w:rPr>
              <w:t xml:space="preserve">era2</w:t>
            </w:r>
          </w:p>
        </w:tc>
        <w:tc>
          <w:tcPr>
            <w:tcW w:w="0" w:type="auto"/>
          </w:tcPr>
          <w:p>
            <w:pPr>
              <w:spacing w:line="240" w:lineRule="auto" w:before="0" w:after="0"/>
              <w:pStyle w:val="Compact"/>
            </w:pPr>
            <w:r>
              <w:rPr>
                <w:sz w:val="20"/>
                <w:szCs w:val="20"/>
              </w:rPr>
              <w:t xml:space="preserve">-0.2657</w:t>
            </w:r>
          </w:p>
        </w:tc>
        <w:tc>
          <w:tcPr>
            <w:tcW w:w="0" w:type="auto"/>
          </w:tcPr>
          <w:p>
            <w:pPr>
              <w:spacing w:line="240" w:lineRule="auto" w:before="0" w:after="0"/>
              <w:pStyle w:val="Compact"/>
            </w:pPr>
            <w:r>
              <w:rPr>
                <w:sz w:val="20"/>
                <w:szCs w:val="20"/>
              </w:rPr>
              <w:t xml:space="preserve">0.6996</w:t>
            </w:r>
          </w:p>
        </w:tc>
        <w:tc>
          <w:tcPr>
            <w:tcW w:w="0" w:type="auto"/>
          </w:tcPr>
          <w:p>
            <w:pPr>
              <w:spacing w:line="240" w:lineRule="auto" w:before="0" w:after="0"/>
              <w:pStyle w:val="Compact"/>
            </w:pPr>
            <w:r>
              <w:rPr>
                <w:sz w:val="20"/>
                <w:szCs w:val="20"/>
              </w:rPr>
              <w:t xml:space="preserve">-0.3797</w:t>
            </w:r>
          </w:p>
        </w:tc>
        <w:tc>
          <w:tcPr>
            <w:tcW w:w="0" w:type="auto"/>
          </w:tcPr>
          <w:p>
            <w:pPr>
              <w:spacing w:line="240" w:lineRule="auto" w:before="0" w:after="0"/>
              <w:pStyle w:val="Compact"/>
            </w:pPr>
            <w:r>
              <w:rPr>
                <w:sz w:val="20"/>
                <w:szCs w:val="20"/>
              </w:rPr>
              <w:t xml:space="preserve">0.7042</w:t>
            </w:r>
          </w:p>
        </w:tc>
        <w:tc>
          <w:tcPr>
            <w:tcW w:w="0" w:type="auto"/>
          </w:tcPr>
          <w:p>
            <w:pPr>
              <w:spacing w:line="240" w:lineRule="auto" w:before="0" w:after="0"/>
              <w:pStyle w:val="Compact"/>
            </w:pPr>
            <w:r>
              <w:rPr>
                <w:sz w:val="20"/>
                <w:szCs w:val="20"/>
              </w:rPr>
              <w:t xml:space="preserve">[-1.6369, 1.1056]</w:t>
            </w:r>
          </w:p>
        </w:tc>
      </w:tr>
      <w:tr>
        <w:tc>
          <w:tcPr>
            <w:tcW w:w="0" w:type="auto"/>
          </w:tcPr>
          <w:p>
            <w:pPr>
              <w:spacing w:line="240" w:lineRule="auto" w:before="0" w:after="0"/>
              <w:pStyle w:val="Compact"/>
            </w:pPr>
            <w:r>
              <w:rPr>
                <w:sz w:val="20"/>
                <w:szCs w:val="20"/>
              </w:rPr>
              <w:t xml:space="preserve">era3</w:t>
            </w:r>
          </w:p>
        </w:tc>
        <w:tc>
          <w:tcPr>
            <w:tcW w:w="0" w:type="auto"/>
          </w:tcPr>
          <w:p>
            <w:pPr>
              <w:spacing w:line="240" w:lineRule="auto" w:before="0" w:after="0"/>
              <w:pStyle w:val="Compact"/>
            </w:pPr>
            <w:r>
              <w:rPr>
                <w:sz w:val="20"/>
                <w:szCs w:val="20"/>
              </w:rPr>
              <w:t xml:space="preserve">-1.1099</w:t>
            </w:r>
          </w:p>
        </w:tc>
        <w:tc>
          <w:tcPr>
            <w:tcW w:w="0" w:type="auto"/>
          </w:tcPr>
          <w:p>
            <w:pPr>
              <w:spacing w:line="240" w:lineRule="auto" w:before="0" w:after="0"/>
              <w:pStyle w:val="Compact"/>
            </w:pPr>
            <w:r>
              <w:rPr>
                <w:sz w:val="20"/>
                <w:szCs w:val="20"/>
              </w:rPr>
              <w:t xml:space="preserve">0.9093</w:t>
            </w:r>
          </w:p>
        </w:tc>
        <w:tc>
          <w:tcPr>
            <w:tcW w:w="0" w:type="auto"/>
          </w:tcPr>
          <w:p>
            <w:pPr>
              <w:spacing w:line="240" w:lineRule="auto" w:before="0" w:after="0"/>
              <w:pStyle w:val="Compact"/>
            </w:pPr>
            <w:r>
              <w:rPr>
                <w:sz w:val="20"/>
                <w:szCs w:val="20"/>
              </w:rPr>
              <w:t xml:space="preserve">-1.2207</w:t>
            </w:r>
          </w:p>
        </w:tc>
        <w:tc>
          <w:tcPr>
            <w:tcW w:w="0" w:type="auto"/>
          </w:tcPr>
          <w:p>
            <w:pPr>
              <w:spacing w:line="240" w:lineRule="auto" w:before="0" w:after="0"/>
              <w:pStyle w:val="Compact"/>
            </w:pPr>
            <w:r>
              <w:rPr>
                <w:sz w:val="20"/>
                <w:szCs w:val="20"/>
              </w:rPr>
              <w:t xml:space="preserve">0.2222</w:t>
            </w:r>
          </w:p>
        </w:tc>
        <w:tc>
          <w:tcPr>
            <w:tcW w:w="0" w:type="auto"/>
          </w:tcPr>
          <w:p>
            <w:pPr>
              <w:spacing w:line="240" w:lineRule="auto" w:before="0" w:after="0"/>
              <w:pStyle w:val="Compact"/>
            </w:pPr>
            <w:r>
              <w:rPr>
                <w:sz w:val="20"/>
                <w:szCs w:val="20"/>
              </w:rPr>
              <w:t xml:space="preserve">[-2.8921, 0.6722]</w:t>
            </w:r>
          </w:p>
        </w:tc>
      </w:tr>
    </w:tbl>
    <w:p>
      <w:pPr>
        <w:pStyle w:val="BodyText"/>
      </w:pPr>
      <w:r>
        <w:t xml:space="preserve">Fit: N = 30 R2 = 0.5193 R2_adj = 0.3939 F = 9.1506 F_p = 3.616e-05</w:t>
      </w:r>
    </w:p>
    <w:p>
      <w:pPr>
        <w:pStyle w:val="CaptionedFigure"/>
      </w:pPr>
      <w:r>
        <w:drawing>
          <wp:inline>
            <wp:extent cx="5669280" cy="3657600"/>
            <wp:effectExtent b="0" l="0" r="0" t="0"/>
            <wp:docPr descr="Figure 1. Realized instrument science productivity (log NTRS publication count) against ex ante decadal priority tier across 30 surface-mission instruments, 1996 to 2020. The positive slope is the raw priority-output gradient that the fixed-effects model partitions against capability and resource controls." title="" id="78" name="Picture"/>
            <a:graphic>
              <a:graphicData uri="http://schemas.openxmlformats.org/drawingml/2006/picture">
                <pic:pic>
                  <pic:nvPicPr>
                    <pic:cNvPr descr="D:\Claude_Code\brain\collegium\candidates\dissertations\JPL_AUTONOMY_EDL_11\research_papers\p1\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Realized instrument science productivity (log NTRS publication count) against ex ante decadal priority tier across 30 surface-mission instruments, 1996 to 2020. The positive slope is the raw priority-output gradient that the fixed-effects model partitions against capability and resource controls.</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565"/>
        <w:gridCol w:w="565"/>
        <w:gridCol w:w="565"/>
        <w:gridCol w:w="565"/>
        <w:gridCol w:w="565"/>
        <w:gridCol w:w="565"/>
        <w:gridCol w:w="565"/>
        <w:gridCol w:w="565"/>
        <w:gridCol w:w="565"/>
        <w:gridCol w:w="565"/>
        <w:gridCol w:w="565"/>
        <w:gridCol w:w="565"/>
        <w:gridCol w:w="565"/>
        <w:gridCol w:w="565"/>
      </w:tblGrid>
      <w:tr>
        <w:trPr>
          <w:tblHeader w:val="on"/>
        </w:trPr>
        <w:tc>
          <w:tcPr>
            <w:tcW w:w="0" w:type="auto"/>
          </w:tcPr>
          <w:p>
            <w:pPr>
              <w:spacing w:line="240" w:lineRule="auto" w:before="0" w:after="0"/>
              <w:pStyle w:val="Compact"/>
            </w:pPr>
            <w:r>
              <w:rPr>
                <w:sz w:val="20"/>
                <w:szCs w:val="20"/>
              </w:rPr>
              <w:t xml:space="preserve">instrument</w:t>
            </w:r>
          </w:p>
        </w:tc>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priority</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resource_share</w:t>
            </w:r>
          </w:p>
        </w:tc>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caching</w:t>
            </w:r>
          </w:p>
        </w:tc>
        <w:tc>
          <w:tcPr>
            <w:tcW w:w="0" w:type="auto"/>
          </w:tcPr>
          <w:p>
            <w:pPr>
              <w:spacing w:line="240" w:lineRule="auto" w:before="0" w:after="0"/>
              <w:pStyle w:val="Compact"/>
            </w:pPr>
            <w:r>
              <w:rPr>
                <w:sz w:val="20"/>
                <w:szCs w:val="20"/>
              </w:rPr>
              <w:t xml:space="preserve">pubs</w:t>
            </w:r>
          </w:p>
        </w:tc>
        <w:tc>
          <w:tcPr>
            <w:tcW w:w="0" w:type="auto"/>
          </w:tcPr>
          <w:p>
            <w:pPr>
              <w:spacing w:line="240" w:lineRule="auto" w:before="0" w:after="0"/>
              <w:pStyle w:val="Compact"/>
            </w:pPr>
            <w:r>
              <w:rPr>
                <w:sz w:val="20"/>
                <w:szCs w:val="20"/>
              </w:rPr>
              <w:t xml:space="preserve">ln_pubs</w:t>
            </w:r>
          </w:p>
        </w:tc>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era2</w:t>
            </w:r>
          </w:p>
        </w:tc>
        <w:tc>
          <w:tcPr>
            <w:tcW w:w="0" w:type="auto"/>
          </w:tcPr>
          <w:p>
            <w:pPr>
              <w:spacing w:line="240" w:lineRule="auto" w:before="0" w:after="0"/>
              <w:pStyle w:val="Compact"/>
            </w:pPr>
            <w:r>
              <w:rPr>
                <w:sz w:val="20"/>
                <w:szCs w:val="20"/>
              </w:rPr>
              <w:t xml:space="preserve">era3</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0.127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4.0604</w:t>
            </w:r>
          </w:p>
        </w:tc>
        <w:tc>
          <w:tcPr>
            <w:tcW w:w="0" w:type="auto"/>
          </w:tcPr>
          <w:p>
            <w:pPr>
              <w:spacing w:line="240" w:lineRule="auto" w:before="0" w:after="0"/>
              <w:pStyle w:val="Compact"/>
            </w:pPr>
            <w:r>
              <w:rPr>
                <w:sz w:val="20"/>
                <w:szCs w:val="20"/>
              </w:rPr>
              <w:t xml:space="preserve">2.3609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citations/search q=</w:t>
            </w:r>
            <w:r>
              <w:rPr>
                <w:sz w:val="20"/>
                <w:szCs w:val="20"/>
              </w:rPr>
              <w:t xml:space="preserve">‘ChemCam’</w:t>
            </w:r>
            <w:r>
              <w:rPr>
                <w:sz w:val="20"/>
                <w:szCs w:val="20"/>
              </w:rPr>
              <w:t xml:space="preserve"> </w:t>
            </w:r>
            <w:r>
              <w:rPr>
                <w:sz w:val="20"/>
                <w:szCs w:val="20"/>
              </w:rPr>
              <w:t xml:space="preserve">stats.total=58 (2026-06-22); mass 10.6 kg Wiens et al. 2012 Space Sci Rev doi:10.1007/s11214-012-9902-4; priority tier 5 geochem/habitability Vision and Voyages 2011 planetary decadal</w:t>
            </w:r>
          </w:p>
        </w:tc>
      </w:tr>
      <w:tr>
        <w:tc>
          <w:tcPr>
            <w:tcW w:w="0" w:type="auto"/>
          </w:tcPr>
          <w:p>
            <w:pPr>
              <w:spacing w:line="240" w:lineRule="auto" w:before="0" w:after="0"/>
              <w:pStyle w:val="Compact"/>
            </w:pPr>
            <w:r>
              <w:rPr>
                <w:sz w:val="20"/>
                <w:szCs w:val="20"/>
              </w:rPr>
              <w:t xml:space="preserve">Mastcam</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‘Mastcam Curiosity’</w:t>
            </w:r>
            <w:r>
              <w:rPr>
                <w:sz w:val="20"/>
                <w:szCs w:val="20"/>
              </w:rPr>
              <w:t xml:space="preserve"> </w:t>
            </w:r>
            <w:r>
              <w:rPr>
                <w:sz w:val="20"/>
                <w:szCs w:val="20"/>
              </w:rPr>
              <w:t xml:space="preserve">stats.total=16; mass ~2.0 kg Malin et al. 2017 Earth Space Sci; priority tier 3 imaging context Vision and Voyages 2011</w:t>
            </w:r>
          </w:p>
        </w:tc>
      </w:tr>
      <w:tr>
        <w:tc>
          <w:tcPr>
            <w:tcW w:w="0" w:type="auto"/>
          </w:tcPr>
          <w:p>
            <w:pPr>
              <w:spacing w:line="240" w:lineRule="auto" w:before="0" w:after="0"/>
              <w:pStyle w:val="Compact"/>
            </w:pPr>
            <w:r>
              <w:rPr>
                <w:sz w:val="20"/>
                <w:szCs w:val="20"/>
              </w:rPr>
              <w:t xml:space="preserve">SAM</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4.5218</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‘Sample Analysis at Mars SAM Curiosity’</w:t>
            </w:r>
            <w:r>
              <w:rPr>
                <w:sz w:val="20"/>
                <w:szCs w:val="20"/>
              </w:rPr>
              <w:t xml:space="preserve"> </w:t>
            </w:r>
            <w:r>
              <w:rPr>
                <w:sz w:val="20"/>
                <w:szCs w:val="20"/>
              </w:rPr>
              <w:t xml:space="preserve">stats.total=92; mass 40 kg Mahaffy et al. 2012 Space Sci Rev doi:10.1007/s11214-012-9879-z; priority tier 5 organics/habitability Vision and Voyages 2011</w:t>
            </w:r>
          </w:p>
        </w:tc>
      </w:tr>
      <w:tr>
        <w:tc>
          <w:tcPr>
            <w:tcW w:w="0" w:type="auto"/>
          </w:tcPr>
          <w:p>
            <w:pPr>
              <w:spacing w:line="240" w:lineRule="auto" w:before="0" w:after="0"/>
              <w:pStyle w:val="Compact"/>
            </w:pPr>
            <w:r>
              <w:rPr>
                <w:sz w:val="20"/>
                <w:szCs w:val="20"/>
              </w:rPr>
              <w:t xml:space="preserve">CheMin</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4.7707</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‘CheMin Curiosity’</w:t>
            </w:r>
            <w:r>
              <w:rPr>
                <w:sz w:val="20"/>
                <w:szCs w:val="20"/>
              </w:rPr>
              <w:t xml:space="preserve"> </w:t>
            </w:r>
            <w:r>
              <w:rPr>
                <w:sz w:val="20"/>
                <w:szCs w:val="20"/>
              </w:rPr>
              <w:t xml:space="preserve">stats.total=118; mass 10 kg Blake et al. 2012 Space Sci Rev doi:10.1007/s11214-012-9905-1; priority tier 5 mineralogy/habitability Vision and Voyages 2011</w:t>
            </w:r>
          </w:p>
        </w:tc>
      </w:tr>
      <w:tr>
        <w:tc>
          <w:tcPr>
            <w:tcW w:w="0" w:type="auto"/>
          </w:tcPr>
          <w:p>
            <w:pPr>
              <w:spacing w:line="240" w:lineRule="auto" w:before="0" w:after="0"/>
              <w:pStyle w:val="Compact"/>
            </w:pPr>
            <w:r>
              <w:rPr>
                <w:sz w:val="20"/>
                <w:szCs w:val="20"/>
              </w:rPr>
              <w:t xml:space="preserve">APXS-MSL</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0.6419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‘APXS Curiosity alpha particle’</w:t>
            </w:r>
            <w:r>
              <w:rPr>
                <w:sz w:val="20"/>
                <w:szCs w:val="20"/>
              </w:rPr>
              <w:t xml:space="preserve"> </w:t>
            </w:r>
            <w:r>
              <w:rPr>
                <w:sz w:val="20"/>
                <w:szCs w:val="20"/>
              </w:rPr>
              <w:t xml:space="preserve">stats.total=20; mass 1.9 kg Gellert et al. 2015 Elements; priority tier 4 elemental geochem Vision and Voyages 2011</w:t>
            </w:r>
          </w:p>
        </w:tc>
      </w:tr>
      <w:tr>
        <w:tc>
          <w:tcPr>
            <w:tcW w:w="0" w:type="auto"/>
          </w:tcPr>
          <w:p>
            <w:pPr>
              <w:spacing w:line="240" w:lineRule="auto" w:before="0" w:after="0"/>
              <w:pStyle w:val="Compact"/>
            </w:pPr>
            <w:r>
              <w:rPr>
                <w:sz w:val="20"/>
                <w:szCs w:val="20"/>
              </w:rPr>
              <w:t xml:space="preserve">RAD</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2.1972</w:t>
            </w:r>
          </w:p>
        </w:tc>
        <w:tc>
          <w:tcPr>
            <w:tcW w:w="0" w:type="auto"/>
          </w:tcPr>
          <w:p>
            <w:pPr>
              <w:spacing w:line="240" w:lineRule="auto" w:before="0" w:after="0"/>
              <w:pStyle w:val="Compact"/>
            </w:pPr>
            <w:r>
              <w:rPr>
                <w:sz w:val="20"/>
                <w:szCs w:val="20"/>
              </w:rPr>
              <w:t xml:space="preserve">0.4447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‘Radiation Assessment Detector Curiosity’</w:t>
            </w:r>
            <w:r>
              <w:rPr>
                <w:sz w:val="20"/>
                <w:szCs w:val="20"/>
              </w:rPr>
              <w:t xml:space="preserve"> </w:t>
            </w:r>
            <w:r>
              <w:rPr>
                <w:sz w:val="20"/>
                <w:szCs w:val="20"/>
              </w:rPr>
              <w:t xml:space="preserve">stats.total=9; mass 1.56 kg Hassler et al. 2012 Space Sci Rev doi:10.1007/s11214-012-9913-1; priority tier 2 radiation/human-precursor Vision and Voyages 2011</w:t>
            </w:r>
          </w:p>
        </w:tc>
      </w:tr>
      <w:tr>
        <w:tc>
          <w:tcPr>
            <w:tcW w:w="0" w:type="auto"/>
          </w:tcPr>
          <w:p>
            <w:pPr>
              <w:spacing w:line="240" w:lineRule="auto" w:before="0" w:after="0"/>
              <w:pStyle w:val="Compact"/>
            </w:pPr>
            <w:r>
              <w:rPr>
                <w:sz w:val="20"/>
                <w:szCs w:val="20"/>
              </w:rPr>
              <w:t xml:space="preserve">REMS</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0.2624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‘REMS Curiosity environmental’</w:t>
            </w:r>
            <w:r>
              <w:rPr>
                <w:sz w:val="20"/>
                <w:szCs w:val="20"/>
              </w:rPr>
              <w:t xml:space="preserve"> </w:t>
            </w:r>
            <w:r>
              <w:rPr>
                <w:sz w:val="20"/>
                <w:szCs w:val="20"/>
              </w:rPr>
              <w:t xml:space="preserve">stats.total=6; mass 1.3 kg Gomez-Elvira et al. 2012 Space Sci Rev doi:10.1007/s11214-012-9921-1; priority tier 2 meteorology Vision and Voyages 2011</w:t>
            </w:r>
          </w:p>
        </w:tc>
      </w:tr>
      <w:tr>
        <w:tc>
          <w:tcPr>
            <w:tcW w:w="0" w:type="auto"/>
          </w:tcPr>
          <w:p>
            <w:pPr>
              <w:spacing w:line="240" w:lineRule="auto" w:before="0" w:after="0"/>
              <w:pStyle w:val="Compact"/>
            </w:pPr>
            <w:r>
              <w:rPr>
                <w:sz w:val="20"/>
                <w:szCs w:val="20"/>
              </w:rPr>
              <w:t xml:space="preserve">PIXL</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0.069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1.9315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q=</w:t>
            </w:r>
            <w:r>
              <w:rPr>
                <w:sz w:val="20"/>
                <w:szCs w:val="20"/>
              </w:rPr>
              <w:t xml:space="preserve">‘PIXL Perseverance’</w:t>
            </w:r>
            <w:r>
              <w:rPr>
                <w:sz w:val="20"/>
                <w:szCs w:val="20"/>
              </w:rPr>
              <w:t xml:space="preserve"> </w:t>
            </w:r>
            <w:r>
              <w:rPr>
                <w:sz w:val="20"/>
                <w:szCs w:val="20"/>
              </w:rPr>
              <w:t xml:space="preserve">stats.total=8; mass 6.9 kg Allwood et al. 2020 Space Sci Rev doi:10.1007/s11214-020-00767-7; priority tier 5 biosignature geochem Origins Worlds Life 2022 decadal</w:t>
            </w:r>
          </w:p>
        </w:tc>
      </w:tr>
      <w:tr>
        <w:tc>
          <w:tcPr>
            <w:tcW w:w="0" w:type="auto"/>
          </w:tcPr>
          <w:p>
            <w:pPr>
              <w:spacing w:line="240" w:lineRule="auto" w:before="0" w:after="0"/>
              <w:pStyle w:val="Compact"/>
            </w:pPr>
            <w:r>
              <w:rPr>
                <w:sz w:val="20"/>
                <w:szCs w:val="20"/>
              </w:rPr>
              <w:t xml:space="preserve">SHERLOC</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0.049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3.091</w:t>
            </w:r>
          </w:p>
        </w:tc>
        <w:tc>
          <w:tcPr>
            <w:tcW w:w="0" w:type="auto"/>
          </w:tcPr>
          <w:p>
            <w:pPr>
              <w:spacing w:line="240" w:lineRule="auto" w:before="0" w:after="0"/>
              <w:pStyle w:val="Compact"/>
            </w:pPr>
            <w:r>
              <w:rPr>
                <w:sz w:val="20"/>
                <w:szCs w:val="20"/>
              </w:rPr>
              <w:t xml:space="preserve">1.5892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q=</w:t>
            </w:r>
            <w:r>
              <w:rPr>
                <w:sz w:val="20"/>
                <w:szCs w:val="20"/>
              </w:rPr>
              <w:t xml:space="preserve">‘SHERLOC Perseverance’</w:t>
            </w:r>
            <w:r>
              <w:rPr>
                <w:sz w:val="20"/>
                <w:szCs w:val="20"/>
              </w:rPr>
              <w:t xml:space="preserve"> </w:t>
            </w:r>
            <w:r>
              <w:rPr>
                <w:sz w:val="20"/>
                <w:szCs w:val="20"/>
              </w:rPr>
              <w:t xml:space="preserve">stats.total=22; mass 4.9 kg Bhartia et al. 2021 Space Sci Rev doi:10.1007/s11214-021-00812-z; priority tier 5 organics/biosignature Origins Worlds Life 2022</w:t>
            </w:r>
          </w:p>
        </w:tc>
      </w:tr>
      <w:tr>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0.106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2.3609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q=</w:t>
            </w:r>
            <w:r>
              <w:rPr>
                <w:sz w:val="20"/>
                <w:szCs w:val="20"/>
              </w:rPr>
              <w:t xml:space="preserve">‘SuperCam Perseverance’</w:t>
            </w:r>
            <w:r>
              <w:rPr>
                <w:sz w:val="20"/>
                <w:szCs w:val="20"/>
              </w:rPr>
              <w:t xml:space="preserve"> </w:t>
            </w:r>
            <w:r>
              <w:rPr>
                <w:sz w:val="20"/>
                <w:szCs w:val="20"/>
              </w:rPr>
              <w:t xml:space="preserve">stats.total=20; mass 10.6 kg Wiens et al. 2021 Space Sci Rev doi:10.1007/s11214-020-00777-5; priority tier 5 remote geochem/mineralogy Origins Worlds Life 2022</w:t>
            </w:r>
          </w:p>
        </w:tc>
      </w:tr>
      <w:tr>
        <w:tc>
          <w:tcPr>
            <w:tcW w:w="0" w:type="auto"/>
          </w:tcPr>
          <w:p>
            <w:pPr>
              <w:spacing w:line="240" w:lineRule="auto" w:before="0" w:after="0"/>
              <w:pStyle w:val="Compact"/>
            </w:pPr>
            <w:r>
              <w:rPr>
                <w:sz w:val="20"/>
                <w:szCs w:val="20"/>
              </w:rPr>
              <w:t xml:space="preserve">Mastcam-Z</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q=</w:t>
            </w:r>
            <w:r>
              <w:rPr>
                <w:sz w:val="20"/>
                <w:szCs w:val="20"/>
              </w:rPr>
              <w:t xml:space="preserve">‘Mastcam-Z Perseverance’</w:t>
            </w:r>
            <w:r>
              <w:rPr>
                <w:sz w:val="20"/>
                <w:szCs w:val="20"/>
              </w:rPr>
              <w:t xml:space="preserve"> </w:t>
            </w:r>
            <w:r>
              <w:rPr>
                <w:sz w:val="20"/>
                <w:szCs w:val="20"/>
              </w:rPr>
              <w:t xml:space="preserve">stats.total=10; mass ~4.0 kg Bell et al. 2021 Space Sci Rev doi:10.1007/s11214-020-00755-x; priority tier 3 imaging context Origins Worlds Life 2022</w:t>
            </w:r>
          </w:p>
        </w:tc>
      </w:tr>
      <w:tr>
        <w:tc>
          <w:tcPr>
            <w:tcW w:w="0" w:type="auto"/>
          </w:tcPr>
          <w:p>
            <w:pPr>
              <w:spacing w:line="240" w:lineRule="auto" w:before="0" w:after="0"/>
              <w:pStyle w:val="Compact"/>
            </w:pPr>
            <w:r>
              <w:rPr>
                <w:sz w:val="20"/>
                <w:szCs w:val="20"/>
              </w:rPr>
              <w:t xml:space="preserve">MOXIE</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2.8332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q=</w:t>
            </w:r>
            <w:r>
              <w:rPr>
                <w:sz w:val="20"/>
                <w:szCs w:val="20"/>
              </w:rPr>
              <w:t xml:space="preserve">‘MOXIE Perseverance oxygen’</w:t>
            </w:r>
            <w:r>
              <w:rPr>
                <w:sz w:val="20"/>
                <w:szCs w:val="20"/>
              </w:rPr>
              <w:t xml:space="preserve"> </w:t>
            </w:r>
            <w:r>
              <w:rPr>
                <w:sz w:val="20"/>
                <w:szCs w:val="20"/>
              </w:rPr>
              <w:t xml:space="preserve">stats.total=4; mass 17 kg Hecht et al. 2021 Space Sci Rev doi:10.1007/s11214-020-00782-8; priority tier 2 ISRU technology demo Origins Worlds Life 2022</w:t>
            </w:r>
          </w:p>
        </w:tc>
      </w:tr>
      <w:tr>
        <w:tc>
          <w:tcPr>
            <w:tcW w:w="0" w:type="auto"/>
          </w:tcPr>
          <w:p>
            <w:pPr>
              <w:spacing w:line="240" w:lineRule="auto" w:before="0" w:after="0"/>
              <w:pStyle w:val="Compact"/>
            </w:pPr>
            <w:r>
              <w:rPr>
                <w:sz w:val="20"/>
                <w:szCs w:val="20"/>
              </w:rPr>
              <w:t xml:space="preserve">RIMFAX</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q=</w:t>
            </w:r>
            <w:r>
              <w:rPr>
                <w:sz w:val="20"/>
                <w:szCs w:val="20"/>
              </w:rPr>
              <w:t xml:space="preserve">‘RIMFAX Perseverance radar’</w:t>
            </w:r>
            <w:r>
              <w:rPr>
                <w:sz w:val="20"/>
                <w:szCs w:val="20"/>
              </w:rPr>
              <w:t xml:space="preserve"> </w:t>
            </w:r>
            <w:r>
              <w:rPr>
                <w:sz w:val="20"/>
                <w:szCs w:val="20"/>
              </w:rPr>
              <w:t xml:space="preserve">stats.total=0; pubs floored to 1 [illustrative] to permit log scale; mass 3.0 kg Hamran et al. 2020 Space Sci Rev doi:10.1007/s11214-020-00740-4; priority tier 3 subsurface stratigraphy</w:t>
            </w:r>
          </w:p>
        </w:tc>
      </w:tr>
      <w:tr>
        <w:tc>
          <w:tcPr>
            <w:tcW w:w="0" w:type="auto"/>
          </w:tcPr>
          <w:p>
            <w:pPr>
              <w:spacing w:line="240" w:lineRule="auto" w:before="0" w:after="0"/>
              <w:pStyle w:val="Compact"/>
            </w:pPr>
            <w:r>
              <w:rPr>
                <w:sz w:val="20"/>
                <w:szCs w:val="20"/>
              </w:rPr>
              <w:t xml:space="preserve">MEDA</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0.055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1.7047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q=</w:t>
            </w:r>
            <w:r>
              <w:rPr>
                <w:sz w:val="20"/>
                <w:szCs w:val="20"/>
              </w:rPr>
              <w:t xml:space="preserve">‘MEDA Perseverance environmental’</w:t>
            </w:r>
            <w:r>
              <w:rPr>
                <w:sz w:val="20"/>
                <w:szCs w:val="20"/>
              </w:rPr>
              <w:t xml:space="preserve"> </w:t>
            </w:r>
            <w:r>
              <w:rPr>
                <w:sz w:val="20"/>
                <w:szCs w:val="20"/>
              </w:rPr>
              <w:t xml:space="preserve">stats.total=1; mass 5.5 kg Rodriguez-Manfredi et al. 2021 Space Sci Rev doi:10.1007/s11214-021-00816-9; priority tier 2 meteorology Origins Worlds Life 2022</w:t>
            </w:r>
          </w:p>
        </w:tc>
      </w:tr>
      <w:tr>
        <w:tc>
          <w:tcPr>
            <w:tcW w:w="0" w:type="auto"/>
          </w:tcPr>
          <w:p>
            <w:pPr>
              <w:spacing w:line="240" w:lineRule="auto" w:before="0" w:after="0"/>
              <w:pStyle w:val="Compact"/>
            </w:pPr>
            <w:r>
              <w:rPr>
                <w:sz w:val="20"/>
                <w:szCs w:val="20"/>
              </w:rPr>
              <w:t xml:space="preserve">APXS-MER</w:t>
            </w:r>
          </w:p>
        </w:tc>
        <w:tc>
          <w:tcPr>
            <w:tcW w:w="0" w:type="auto"/>
          </w:tcPr>
          <w:p>
            <w:pPr>
              <w:spacing w:line="240" w:lineRule="auto" w:before="0" w:after="0"/>
              <w:pStyle w:val="Compact"/>
            </w:pPr>
            <w:r>
              <w:rPr>
                <w:sz w:val="20"/>
                <w:szCs w:val="20"/>
              </w:rPr>
              <w:t xml:space="preserve">MER Spirit/Opportunity</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0.37</w:t>
            </w:r>
          </w:p>
        </w:tc>
        <w:tc>
          <w:tcPr>
            <w:tcW w:w="0" w:type="auto"/>
          </w:tcPr>
          <w:p>
            <w:pPr>
              <w:spacing w:line="240" w:lineRule="auto" w:before="0" w:after="0"/>
              <w:pStyle w:val="Compact"/>
            </w:pPr>
            <w:r>
              <w:rPr>
                <w:sz w:val="20"/>
                <w:szCs w:val="20"/>
              </w:rPr>
              <w:t xml:space="preserve">0.027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3.2581</w:t>
            </w:r>
          </w:p>
        </w:tc>
        <w:tc>
          <w:tcPr>
            <w:tcW w:w="0" w:type="auto"/>
          </w:tcPr>
          <w:p>
            <w:pPr>
              <w:spacing w:line="240" w:lineRule="auto" w:before="0" w:after="0"/>
              <w:pStyle w:val="Compact"/>
            </w:pPr>
            <w:r>
              <w:rPr>
                <w:sz w:val="20"/>
                <w:szCs w:val="20"/>
              </w:rPr>
              <w:t xml:space="preserve">-0.9943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‘APXS Opportunity alpha particle rover’</w:t>
            </w:r>
            <w:r>
              <w:rPr>
                <w:sz w:val="20"/>
                <w:szCs w:val="20"/>
              </w:rPr>
              <w:t xml:space="preserve"> </w:t>
            </w:r>
            <w:r>
              <w:rPr>
                <w:sz w:val="20"/>
                <w:szCs w:val="20"/>
              </w:rPr>
              <w:t xml:space="preserve">stats.total=26; mass 0.37 kg Rieder et al. 2003 JGR doi:10.1029/2003JE002150; priority tier 4 elemental geochem New Frontiers Solar System Exploration 2003 decadal</w:t>
            </w:r>
          </w:p>
        </w:tc>
      </w:tr>
      <w:tr>
        <w:tc>
          <w:tcPr>
            <w:tcW w:w="0" w:type="auto"/>
          </w:tcPr>
          <w:p>
            <w:pPr>
              <w:spacing w:line="240" w:lineRule="auto" w:before="0" w:after="0"/>
              <w:pStyle w:val="Compact"/>
            </w:pPr>
            <w:r>
              <w:rPr>
                <w:sz w:val="20"/>
                <w:szCs w:val="20"/>
              </w:rPr>
              <w:t xml:space="preserve">Mini-TES</w:t>
            </w:r>
          </w:p>
        </w:tc>
        <w:tc>
          <w:tcPr>
            <w:tcW w:w="0" w:type="auto"/>
          </w:tcPr>
          <w:p>
            <w:pPr>
              <w:spacing w:line="240" w:lineRule="auto" w:before="0" w:after="0"/>
              <w:pStyle w:val="Compact"/>
            </w:pPr>
            <w:r>
              <w:rPr>
                <w:sz w:val="20"/>
                <w:szCs w:val="20"/>
              </w:rPr>
              <w:t xml:space="preserve">MER Spirit/Opportunity</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3.6376</w:t>
            </w:r>
          </w:p>
        </w:tc>
        <w:tc>
          <w:tcPr>
            <w:tcW w:w="0" w:type="auto"/>
          </w:tcPr>
          <w:p>
            <w:pPr>
              <w:spacing w:line="240" w:lineRule="auto" w:before="0" w:after="0"/>
              <w:pStyle w:val="Compact"/>
            </w:pPr>
            <w:r>
              <w:rPr>
                <w:sz w:val="20"/>
                <w:szCs w:val="20"/>
              </w:rPr>
              <w:t xml:space="preserve">0.7419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‘Mini-TES Mars rover’</w:t>
            </w:r>
            <w:r>
              <w:rPr>
                <w:sz w:val="20"/>
                <w:szCs w:val="20"/>
              </w:rPr>
              <w:t xml:space="preserve"> </w:t>
            </w:r>
            <w:r>
              <w:rPr>
                <w:sz w:val="20"/>
                <w:szCs w:val="20"/>
              </w:rPr>
              <w:t xml:space="preserve">stats.total=38; mass 2.1 kg Christensen et al. 2003 JGR doi:10.1029/2003JE002117; priority tier 4 mineralogy 2003 decadal</w:t>
            </w:r>
          </w:p>
        </w:tc>
      </w:tr>
      <w:tr>
        <w:tc>
          <w:tcPr>
            <w:tcW w:w="0" w:type="auto"/>
          </w:tcPr>
          <w:p>
            <w:pPr>
              <w:spacing w:line="240" w:lineRule="auto" w:before="0" w:after="0"/>
              <w:pStyle w:val="Compact"/>
            </w:pPr>
            <w:r>
              <w:rPr>
                <w:sz w:val="20"/>
                <w:szCs w:val="20"/>
              </w:rPr>
              <w:t xml:space="preserve">Pancam</w:t>
            </w:r>
          </w:p>
        </w:tc>
        <w:tc>
          <w:tcPr>
            <w:tcW w:w="0" w:type="auto"/>
          </w:tcPr>
          <w:p>
            <w:pPr>
              <w:spacing w:line="240" w:lineRule="auto" w:before="0" w:after="0"/>
              <w:pStyle w:val="Compact"/>
            </w:pPr>
            <w:r>
              <w:rPr>
                <w:sz w:val="20"/>
                <w:szCs w:val="20"/>
              </w:rPr>
              <w:t xml:space="preserve">MER Spirit/Opportunity</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3.8918</w:t>
            </w:r>
          </w:p>
        </w:tc>
        <w:tc>
          <w:tcPr>
            <w:tcW w:w="0" w:type="auto"/>
          </w:tcPr>
          <w:p>
            <w:pPr>
              <w:spacing w:line="240" w:lineRule="auto" w:before="0" w:after="0"/>
              <w:pStyle w:val="Compact"/>
            </w:pPr>
            <w:r>
              <w:rPr>
                <w:sz w:val="20"/>
                <w:szCs w:val="20"/>
              </w:rPr>
              <w:t xml:space="preserve">-1.3093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‘Pancam Mars Exploration Rover’</w:t>
            </w:r>
            <w:r>
              <w:rPr>
                <w:sz w:val="20"/>
                <w:szCs w:val="20"/>
              </w:rPr>
              <w:t xml:space="preserve"> </w:t>
            </w:r>
            <w:r>
              <w:rPr>
                <w:sz w:val="20"/>
                <w:szCs w:val="20"/>
              </w:rPr>
              <w:t xml:space="preserve">stats.total=49; mass 0.27 kg per camera bar Bell et al. 2003 JGR doi:10.1029/2003JE002070; priority tier 3 imaging context 2003 decadal</w:t>
            </w:r>
          </w:p>
        </w:tc>
      </w:tr>
      <w:tr>
        <w:tc>
          <w:tcPr>
            <w:tcW w:w="0" w:type="auto"/>
          </w:tcPr>
          <w:p>
            <w:pPr>
              <w:spacing w:line="240" w:lineRule="auto" w:before="0" w:after="0"/>
              <w:pStyle w:val="Compact"/>
            </w:pPr>
            <w:r>
              <w:rPr>
                <w:sz w:val="20"/>
                <w:szCs w:val="20"/>
              </w:rPr>
              <w:t xml:space="preserve">Mossbauer-MER</w:t>
            </w:r>
          </w:p>
        </w:tc>
        <w:tc>
          <w:tcPr>
            <w:tcW w:w="0" w:type="auto"/>
          </w:tcPr>
          <w:p>
            <w:pPr>
              <w:spacing w:line="240" w:lineRule="auto" w:before="0" w:after="0"/>
              <w:pStyle w:val="Compact"/>
            </w:pPr>
            <w:r>
              <w:rPr>
                <w:sz w:val="20"/>
                <w:szCs w:val="20"/>
              </w:rPr>
              <w:t xml:space="preserve">MER Spirit/Opportunity</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0.036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3.434</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‘Mossbauer Mars rover’</w:t>
            </w:r>
            <w:r>
              <w:rPr>
                <w:sz w:val="20"/>
                <w:szCs w:val="20"/>
              </w:rPr>
              <w:t xml:space="preserve"> </w:t>
            </w:r>
            <w:r>
              <w:rPr>
                <w:sz w:val="20"/>
                <w:szCs w:val="20"/>
              </w:rPr>
              <w:t xml:space="preserve">stats.total=31; mass 0.5 kg Klingelhofer et al. 2003 JGR doi:10.1029/2003JE002138; priority tier 4 iron mineralogy 2003 decadal</w:t>
            </w:r>
          </w:p>
        </w:tc>
      </w:tr>
      <w:tr>
        <w:tc>
          <w:tcPr>
            <w:tcW w:w="0" w:type="auto"/>
          </w:tcPr>
          <w:p>
            <w:pPr>
              <w:spacing w:line="240" w:lineRule="auto" w:before="0" w:after="0"/>
              <w:pStyle w:val="Compact"/>
            </w:pPr>
            <w:r>
              <w:rPr>
                <w:sz w:val="20"/>
                <w:szCs w:val="20"/>
              </w:rPr>
              <w:t xml:space="preserve">RAT</w:t>
            </w:r>
          </w:p>
        </w:tc>
        <w:tc>
          <w:tcPr>
            <w:tcW w:w="0" w:type="auto"/>
          </w:tcPr>
          <w:p>
            <w:pPr>
              <w:spacing w:line="240" w:lineRule="auto" w:before="0" w:after="0"/>
              <w:pStyle w:val="Compact"/>
            </w:pPr>
            <w:r>
              <w:rPr>
                <w:sz w:val="20"/>
                <w:szCs w:val="20"/>
              </w:rPr>
              <w:t xml:space="preserve">MER Spirit/Opportunity</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0.052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2.5649</w:t>
            </w:r>
          </w:p>
        </w:tc>
        <w:tc>
          <w:tcPr>
            <w:tcW w:w="0" w:type="auto"/>
          </w:tcPr>
          <w:p>
            <w:pPr>
              <w:spacing w:line="240" w:lineRule="auto" w:before="0" w:after="0"/>
              <w:pStyle w:val="Compact"/>
            </w:pPr>
            <w:r>
              <w:rPr>
                <w:sz w:val="20"/>
                <w:szCs w:val="20"/>
              </w:rPr>
              <w:t xml:space="preserve">-0.3285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‘Rock Abrasion Tool Mars rover’</w:t>
            </w:r>
            <w:r>
              <w:rPr>
                <w:sz w:val="20"/>
                <w:szCs w:val="20"/>
              </w:rPr>
              <w:t xml:space="preserve"> </w:t>
            </w:r>
            <w:r>
              <w:rPr>
                <w:sz w:val="20"/>
                <w:szCs w:val="20"/>
              </w:rPr>
              <w:t xml:space="preserve">stats.total=13; mass 0.72 kg Gorevan et al. 2003 JGR doi:10.1029/2003JE002061; priority tier 2 sample-prep tool 2003 decadal</w:t>
            </w:r>
          </w:p>
        </w:tc>
      </w:tr>
      <w:tr>
        <w:tc>
          <w:tcPr>
            <w:tcW w:w="0" w:type="auto"/>
          </w:tcPr>
          <w:p>
            <w:pPr>
              <w:spacing w:line="240" w:lineRule="auto" w:before="0" w:after="0"/>
              <w:pStyle w:val="Compact"/>
            </w:pPr>
            <w:r>
              <w:rPr>
                <w:sz w:val="20"/>
                <w:szCs w:val="20"/>
              </w:rPr>
              <w:t xml:space="preserve">MI-MER</w:t>
            </w:r>
          </w:p>
        </w:tc>
        <w:tc>
          <w:tcPr>
            <w:tcW w:w="0" w:type="auto"/>
          </w:tcPr>
          <w:p>
            <w:pPr>
              <w:spacing w:line="240" w:lineRule="auto" w:before="0" w:after="0"/>
              <w:pStyle w:val="Compact"/>
            </w:pPr>
            <w:r>
              <w:rPr>
                <w:sz w:val="20"/>
                <w:szCs w:val="20"/>
              </w:rPr>
              <w:t xml:space="preserve">MER Spirit/Opportunity</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0.015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3.2581</w:t>
            </w:r>
          </w:p>
        </w:tc>
        <w:tc>
          <w:tcPr>
            <w:tcW w:w="0" w:type="auto"/>
          </w:tcPr>
          <w:p>
            <w:pPr>
              <w:spacing w:line="240" w:lineRule="auto" w:before="0" w:after="0"/>
              <w:pStyle w:val="Compact"/>
            </w:pPr>
            <w:r>
              <w:rPr>
                <w:sz w:val="20"/>
                <w:szCs w:val="20"/>
              </w:rPr>
              <w:t xml:space="preserve">-1.5606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‘Microscopic Imager Mars rover’</w:t>
            </w:r>
            <w:r>
              <w:rPr>
                <w:sz w:val="20"/>
                <w:szCs w:val="20"/>
              </w:rPr>
              <w:t xml:space="preserve"> </w:t>
            </w:r>
            <w:r>
              <w:rPr>
                <w:sz w:val="20"/>
                <w:szCs w:val="20"/>
              </w:rPr>
              <w:t xml:space="preserve">stats.total=26; mass 0.21 kg Herkenhoff et al. 2003 JGR doi:10.1029/2003JE002076; priority tier 3 microscale imaging 2003 decadal</w:t>
            </w:r>
          </w:p>
        </w:tc>
      </w:tr>
      <w:tr>
        <w:tc>
          <w:tcPr>
            <w:tcW w:w="0" w:type="auto"/>
          </w:tcPr>
          <w:p>
            <w:pPr>
              <w:spacing w:line="240" w:lineRule="auto" w:before="0" w:after="0"/>
              <w:pStyle w:val="Compact"/>
            </w:pPr>
            <w:r>
              <w:rPr>
                <w:sz w:val="20"/>
                <w:szCs w:val="20"/>
              </w:rPr>
              <w:t xml:space="preserve">TEGA</w:t>
            </w:r>
          </w:p>
        </w:tc>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3.3322</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‘TEGA Phoenix thermal evolved gas’</w:t>
            </w:r>
            <w:r>
              <w:rPr>
                <w:sz w:val="20"/>
                <w:szCs w:val="20"/>
              </w:rPr>
              <w:t xml:space="preserve"> </w:t>
            </w:r>
            <w:r>
              <w:rPr>
                <w:sz w:val="20"/>
                <w:szCs w:val="20"/>
              </w:rPr>
              <w:t xml:space="preserve">stats.total=28; mass 4.0 kg Boynton et al. 2009 JGR doi:10.1029/2007JE003030; priority tier 4 volatiles/habitability 2003 decadal era</w:t>
            </w:r>
          </w:p>
        </w:tc>
      </w:tr>
      <w:tr>
        <w:tc>
          <w:tcPr>
            <w:tcW w:w="0" w:type="auto"/>
          </w:tcPr>
          <w:p>
            <w:pPr>
              <w:spacing w:line="240" w:lineRule="auto" w:before="0" w:after="0"/>
              <w:pStyle w:val="Compact"/>
            </w:pPr>
            <w:r>
              <w:rPr>
                <w:sz w:val="20"/>
                <w:szCs w:val="20"/>
              </w:rPr>
              <w:t xml:space="preserve">MECA</w:t>
            </w:r>
          </w:p>
        </w:tc>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‘MECA Phoenix microscopy electrochemistry’</w:t>
            </w:r>
            <w:r>
              <w:rPr>
                <w:sz w:val="20"/>
                <w:szCs w:val="20"/>
              </w:rPr>
              <w:t xml:space="preserve"> </w:t>
            </w:r>
            <w:r>
              <w:rPr>
                <w:sz w:val="20"/>
                <w:szCs w:val="20"/>
              </w:rPr>
              <w:t xml:space="preserve">stats.total=7; mass 3.0 kg Hecht et al. 2008 JGR; priority tier 4 wet chemistry/habitability 2003 decadal era</w:t>
            </w:r>
          </w:p>
        </w:tc>
      </w:tr>
      <w:tr>
        <w:tc>
          <w:tcPr>
            <w:tcW w:w="0" w:type="auto"/>
          </w:tcPr>
          <w:p>
            <w:pPr>
              <w:spacing w:line="240" w:lineRule="auto" w:before="0" w:after="0"/>
              <w:pStyle w:val="Compact"/>
            </w:pPr>
            <w:r>
              <w:rPr>
                <w:sz w:val="20"/>
                <w:szCs w:val="20"/>
              </w:rPr>
              <w:t xml:space="preserve">RoboticArm-PHX</w:t>
            </w:r>
          </w:p>
        </w:tc>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‘Robotic Arm Phoenix Mars lander’</w:t>
            </w:r>
            <w:r>
              <w:rPr>
                <w:sz w:val="20"/>
                <w:szCs w:val="20"/>
              </w:rPr>
              <w:t xml:space="preserve"> </w:t>
            </w:r>
            <w:r>
              <w:rPr>
                <w:sz w:val="20"/>
                <w:szCs w:val="20"/>
              </w:rPr>
              <w:t xml:space="preserve">stats.total=5; mass ~4.0 kg Bonitz et al. 2008 JGR doi:10.1029/2007JE003030; priority tier 2 sample acquisition tool 2003 decadal era</w:t>
            </w:r>
          </w:p>
        </w:tc>
      </w:tr>
      <w:tr>
        <w:tc>
          <w:tcPr>
            <w:tcW w:w="0" w:type="auto"/>
          </w:tcPr>
          <w:p>
            <w:pPr>
              <w:spacing w:line="240" w:lineRule="auto" w:before="0" w:after="0"/>
              <w:pStyle w:val="Compact"/>
            </w:pPr>
            <w:r>
              <w:rPr>
                <w:sz w:val="20"/>
                <w:szCs w:val="20"/>
              </w:rPr>
              <w:t xml:space="preserve">SSI-PHX</w:t>
            </w:r>
          </w:p>
        </w:tc>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1.7047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‘Surface Stereo Imager Phoenix’</w:t>
            </w:r>
            <w:r>
              <w:rPr>
                <w:sz w:val="20"/>
                <w:szCs w:val="20"/>
              </w:rPr>
              <w:t xml:space="preserve"> </w:t>
            </w:r>
            <w:r>
              <w:rPr>
                <w:sz w:val="20"/>
                <w:szCs w:val="20"/>
              </w:rPr>
              <w:t xml:space="preserve">stats.total=1; mass ~5.5 kg Lemmon et al. 2008 JGR; priority tier 3 imaging context 2003 decadal era</w:t>
            </w:r>
          </w:p>
        </w:tc>
      </w:tr>
      <w:tr>
        <w:tc>
          <w:tcPr>
            <w:tcW w:w="0" w:type="auto"/>
          </w:tcPr>
          <w:p>
            <w:pPr>
              <w:spacing w:line="240" w:lineRule="auto" w:before="0" w:after="0"/>
              <w:pStyle w:val="Compact"/>
            </w:pPr>
            <w:r>
              <w:rPr>
                <w:sz w:val="20"/>
                <w:szCs w:val="20"/>
              </w:rPr>
              <w:t xml:space="preserve">SEIS</w:t>
            </w:r>
          </w:p>
        </w:tc>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2.5649</w:t>
            </w:r>
          </w:p>
        </w:tc>
        <w:tc>
          <w:tcPr>
            <w:tcW w:w="0" w:type="auto"/>
          </w:tcPr>
          <w:p>
            <w:pPr>
              <w:spacing w:line="240" w:lineRule="auto" w:before="0" w:after="0"/>
              <w:pStyle w:val="Compact"/>
            </w:pPr>
            <w:r>
              <w:rPr>
                <w:sz w:val="20"/>
                <w:szCs w:val="20"/>
              </w:rPr>
              <w:t xml:space="preserve">3.3844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q=</w:t>
            </w:r>
            <w:r>
              <w:rPr>
                <w:sz w:val="20"/>
                <w:szCs w:val="20"/>
              </w:rPr>
              <w:t xml:space="preserve">‘SEIS InSight seismic’</w:t>
            </w:r>
            <w:r>
              <w:rPr>
                <w:sz w:val="20"/>
                <w:szCs w:val="20"/>
              </w:rPr>
              <w:t xml:space="preserve"> </w:t>
            </w:r>
            <w:r>
              <w:rPr>
                <w:sz w:val="20"/>
                <w:szCs w:val="20"/>
              </w:rPr>
              <w:t xml:space="preserve">stats.total=13; mass 29.5 kg Lognonne et al. 2019 Space Sci Rev doi:10.1007/s11214-018-0574-6; priority tier 4 interior structure Vision and Voyages 2011</w:t>
            </w:r>
          </w:p>
        </w:tc>
      </w:tr>
      <w:tr>
        <w:tc>
          <w:tcPr>
            <w:tcW w:w="0" w:type="auto"/>
          </w:tcPr>
          <w:p>
            <w:pPr>
              <w:spacing w:line="240" w:lineRule="auto" w:before="0" w:after="0"/>
              <w:pStyle w:val="Compact"/>
            </w:pPr>
            <w:r>
              <w:rPr>
                <w:sz w:val="20"/>
                <w:szCs w:val="20"/>
              </w:rPr>
              <w:t xml:space="preserve">HP3</w:t>
            </w:r>
          </w:p>
        </w:tc>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q=</w:t>
            </w:r>
            <w:r>
              <w:rPr>
                <w:sz w:val="20"/>
                <w:szCs w:val="20"/>
              </w:rPr>
              <w:t xml:space="preserve">‘HP3 InSight heat flow’</w:t>
            </w:r>
            <w:r>
              <w:rPr>
                <w:sz w:val="20"/>
                <w:szCs w:val="20"/>
              </w:rPr>
              <w:t xml:space="preserve"> </w:t>
            </w:r>
            <w:r>
              <w:rPr>
                <w:sz w:val="20"/>
                <w:szCs w:val="20"/>
              </w:rPr>
              <w:t xml:space="preserve">stats.total=4; mass 3.0 kg Spohn et al. 2018 Space Sci Rev doi:10.1007/s11214-018-0531-4; priority tier 3 heat flow Vision and Voyages 2011</w:t>
            </w:r>
          </w:p>
        </w:tc>
      </w:tr>
      <w:tr>
        <w:tc>
          <w:tcPr>
            <w:tcW w:w="0" w:type="auto"/>
          </w:tcPr>
          <w:p>
            <w:pPr>
              <w:spacing w:line="240" w:lineRule="auto" w:before="0" w:after="0"/>
              <w:pStyle w:val="Compact"/>
            </w:pPr>
            <w:r>
              <w:rPr>
                <w:sz w:val="20"/>
                <w:szCs w:val="20"/>
              </w:rPr>
              <w:t xml:space="preserve">RISE</w:t>
            </w:r>
          </w:p>
        </w:tc>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q=</w:t>
            </w:r>
            <w:r>
              <w:rPr>
                <w:sz w:val="20"/>
                <w:szCs w:val="20"/>
              </w:rPr>
              <w:t xml:space="preserve">‘RISE InSight rotation interior’</w:t>
            </w:r>
            <w:r>
              <w:rPr>
                <w:sz w:val="20"/>
                <w:szCs w:val="20"/>
              </w:rPr>
              <w:t xml:space="preserve"> </w:t>
            </w:r>
            <w:r>
              <w:rPr>
                <w:sz w:val="20"/>
                <w:szCs w:val="20"/>
              </w:rPr>
              <w:t xml:space="preserve">stats.total=3; mass ~1.2 kg Folkner et al. 2018 Space Sci Rev doi:10.1007/s11214-018-0530-5; priority tier 2 rotation/interior Vision and Voyages 2011</w:t>
            </w:r>
          </w:p>
        </w:tc>
      </w:tr>
      <w:tr>
        <w:tc>
          <w:tcPr>
            <w:tcW w:w="0" w:type="auto"/>
          </w:tcPr>
          <w:p>
            <w:pPr>
              <w:spacing w:line="240" w:lineRule="auto" w:before="0" w:after="0"/>
              <w:pStyle w:val="Compact"/>
            </w:pPr>
            <w:r>
              <w:rPr>
                <w:sz w:val="20"/>
                <w:szCs w:val="20"/>
              </w:rPr>
              <w:t xml:space="preserve">APXS-MPF</w:t>
            </w:r>
          </w:p>
        </w:tc>
        <w:tc>
          <w:tcPr>
            <w:tcW w:w="0" w:type="auto"/>
          </w:tcPr>
          <w:p>
            <w:pPr>
              <w:spacing w:line="240" w:lineRule="auto" w:before="0" w:after="0"/>
              <w:pStyle w:val="Compact"/>
            </w:pPr>
            <w:r>
              <w:rPr>
                <w:sz w:val="20"/>
                <w:szCs w:val="20"/>
              </w:rPr>
              <w:t xml:space="preserve">Mars Pathfinder Sojourner</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0.57</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-0.5621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‘APXS Sojourner Pathfinder’</w:t>
            </w:r>
            <w:r>
              <w:rPr>
                <w:sz w:val="20"/>
                <w:szCs w:val="20"/>
              </w:rPr>
              <w:t xml:space="preserve"> </w:t>
            </w:r>
            <w:r>
              <w:rPr>
                <w:sz w:val="20"/>
                <w:szCs w:val="20"/>
              </w:rPr>
              <w:t xml:space="preserve">stats.total=3; mass 0.57 kg Rieder et al. 1997 Science doi:10.1126/science.278.5344.1771; priority tier 4 elemental geochem 1996 mission pre-decadal</w:t>
            </w:r>
          </w:p>
        </w:tc>
      </w:tr>
      <w:tr>
        <w:tc>
          <w:tcPr>
            <w:tcW w:w="0" w:type="auto"/>
          </w:tcPr>
          <w:p>
            <w:pPr>
              <w:spacing w:line="240" w:lineRule="auto" w:before="0" w:after="0"/>
              <w:pStyle w:val="Compact"/>
            </w:pPr>
            <w:r>
              <w:rPr>
                <w:sz w:val="20"/>
                <w:szCs w:val="20"/>
              </w:rPr>
              <w:t xml:space="preserve">IMP-MPF</w:t>
            </w:r>
          </w:p>
        </w:tc>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‘Imager for Mars Pathfinder IMP’</w:t>
            </w:r>
            <w:r>
              <w:rPr>
                <w:sz w:val="20"/>
                <w:szCs w:val="20"/>
              </w:rPr>
              <w:t xml:space="preserve"> </w:t>
            </w:r>
            <w:r>
              <w:rPr>
                <w:sz w:val="20"/>
                <w:szCs w:val="20"/>
              </w:rPr>
              <w:t xml:space="preserve">stats.total=18; mass ~5.2 kg Smith et al. 1997 JGR doi:10.1029/96JE03568; priority tier 3 imaging/atmosphere 1996 mission</w:t>
            </w:r>
          </w:p>
        </w:tc>
      </w:tr>
      <w:tr>
        <w:tc>
          <w:tcPr>
            <w:tcW w:w="0" w:type="auto"/>
          </w:tcPr>
          <w:p>
            <w:pPr>
              <w:spacing w:line="240" w:lineRule="auto" w:before="0" w:after="0"/>
              <w:pStyle w:val="Compact"/>
            </w:pPr>
            <w:r>
              <w:rPr>
                <w:sz w:val="20"/>
                <w:szCs w:val="20"/>
              </w:rPr>
              <w:t xml:space="preserve">LIBS-lunar</w:t>
            </w:r>
          </w:p>
        </w:tc>
        <w:tc>
          <w:tcPr>
            <w:tcW w:w="0" w:type="auto"/>
          </w:tcPr>
          <w:p>
            <w:pPr>
              <w:spacing w:line="240" w:lineRule="auto" w:before="0" w:after="0"/>
              <w:pStyle w:val="Compact"/>
            </w:pPr>
            <w:r>
              <w:rPr>
                <w:sz w:val="20"/>
                <w:szCs w:val="20"/>
              </w:rPr>
              <w:t xml:space="preserve">Lunar rover class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3.3322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q=</w:t>
            </w:r>
            <w:r>
              <w:rPr>
                <w:sz w:val="20"/>
                <w:szCs w:val="20"/>
              </w:rPr>
              <w:t xml:space="preserve">‘laser-induced breakdown spectroscopy lunar rover’</w:t>
            </w:r>
            <w:r>
              <w:rPr>
                <w:sz w:val="20"/>
                <w:szCs w:val="20"/>
              </w:rPr>
              <w:t xml:space="preserve"> </w:t>
            </w:r>
            <w:r>
              <w:rPr>
                <w:sz w:val="20"/>
                <w:szCs w:val="20"/>
              </w:rPr>
              <w:t xml:space="preserve">stats.total=28; mass ~2.0 kg [illustrative representative LIBS payload mass]; priority tier 4 surface geochem lunar surface class</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ln_pubs</w:t>
            </w:r>
          </w:p>
        </w:tc>
        <w:tc>
          <w:tcPr>
            <w:tcW w:w="0" w:type="auto"/>
          </w:tcPr>
          <w:p>
            <w:pPr>
              <w:spacing w:line="240" w:lineRule="auto" w:before="0" w:after="0"/>
              <w:pStyle w:val="Compact"/>
            </w:pPr>
            <w:r>
              <w:rPr>
                <w:sz w:val="20"/>
                <w:szCs w:val="20"/>
              </w:rPr>
              <w:t xml:space="preserve">Natural log of cumulative NTRS-indexed publications attributable to the instrument (realized science productivity, dependent variable)</w:t>
            </w:r>
          </w:p>
        </w:tc>
        <w:tc>
          <w:tcPr>
            <w:tcW w:w="0" w:type="auto"/>
          </w:tcPr>
          <w:p>
            <w:pPr>
              <w:spacing w:line="240" w:lineRule="auto" w:before="0" w:after="0"/>
              <w:pStyle w:val="Compact"/>
            </w:pPr>
            <w:r>
              <w:rPr>
                <w:sz w:val="20"/>
                <w:szCs w:val="20"/>
              </w:rPr>
              <w:t xml:space="preserve">NASA Technical Reports Server citations/search API, stats.total per instrument-name query, retrieved 2026-06-22</w:t>
            </w:r>
          </w:p>
        </w:tc>
      </w:tr>
      <w:tr>
        <w:tc>
          <w:tcPr>
            <w:tcW w:w="0" w:type="auto"/>
          </w:tcPr>
          <w:p>
            <w:pPr>
              <w:spacing w:line="240" w:lineRule="auto" w:before="0" w:after="0"/>
              <w:pStyle w:val="Compact"/>
            </w:pPr>
            <w:r>
              <w:rPr>
                <w:sz w:val="20"/>
                <w:szCs w:val="20"/>
              </w:rPr>
              <w:t xml:space="preserve">priority</w:t>
            </w:r>
          </w:p>
        </w:tc>
        <w:tc>
          <w:tcPr>
            <w:tcW w:w="0" w:type="auto"/>
          </w:tcPr>
          <w:p>
            <w:pPr>
              <w:spacing w:line="240" w:lineRule="auto" w:before="0" w:after="0"/>
              <w:pStyle w:val="Compact"/>
            </w:pPr>
            <w:r>
              <w:rPr>
                <w:sz w:val="20"/>
                <w:szCs w:val="20"/>
              </w:rPr>
              <w:t xml:space="preserve">Ex ante decadal-survey priority tier of the measurement objective the instrument serves, ordinal 2 (technology/meteorology) to 5 (astrobiology/geochemistry/habitability)</w:t>
            </w:r>
          </w:p>
        </w:tc>
        <w:tc>
          <w:tcPr>
            <w:tcW w:w="0" w:type="auto"/>
          </w:tcPr>
          <w:p>
            <w:pPr>
              <w:spacing w:line="240" w:lineRule="auto" w:before="0" w:after="0"/>
              <w:pStyle w:val="Compact"/>
            </w:pPr>
            <w:r>
              <w:rPr>
                <w:sz w:val="20"/>
                <w:szCs w:val="20"/>
              </w:rPr>
              <w:t xml:space="preserve">NASA planetary decadal surveys: New Frontiers in the Solar System (2003), Vision and Voyages (2011), Origins Worlds and Life (2022)</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Natural log of instrument flight mass in kg, an engineering-capability proxy</w:t>
            </w:r>
          </w:p>
        </w:tc>
        <w:tc>
          <w:tcPr>
            <w:tcW w:w="0" w:type="auto"/>
          </w:tcPr>
          <w:p>
            <w:pPr>
              <w:spacing w:line="240" w:lineRule="auto" w:before="0" w:after="0"/>
              <w:pStyle w:val="Compact"/>
            </w:pPr>
            <w:r>
              <w:rPr>
                <w:sz w:val="20"/>
                <w:szCs w:val="20"/>
              </w:rPr>
              <w:t xml:space="preserve">Per-instrument Space Science Reviews / JGR instrument papers cited in the source column of each data row</w:t>
            </w:r>
          </w:p>
        </w:tc>
      </w:tr>
      <w:tr>
        <w:tc>
          <w:tcPr>
            <w:tcW w:w="0" w:type="auto"/>
          </w:tcPr>
          <w:p>
            <w:pPr>
              <w:spacing w:line="240" w:lineRule="auto" w:before="0" w:after="0"/>
              <w:pStyle w:val="Compact"/>
            </w:pPr>
            <w:r>
              <w:rPr>
                <w:sz w:val="20"/>
                <w:szCs w:val="20"/>
              </w:rPr>
              <w:t xml:space="preserve">resource_share</w:t>
            </w:r>
          </w:p>
        </w:tc>
        <w:tc>
          <w:tcPr>
            <w:tcW w:w="0" w:type="auto"/>
          </w:tcPr>
          <w:p>
            <w:pPr>
              <w:spacing w:line="240" w:lineRule="auto" w:before="0" w:after="0"/>
              <w:pStyle w:val="Compact"/>
            </w:pPr>
            <w:r>
              <w:rPr>
                <w:sz w:val="20"/>
                <w:szCs w:val="20"/>
              </w:rPr>
              <w:t xml:space="preserve">Instrument mass as a fraction of the host platform science-payload mass budget, a resource-allocation proxy</w:t>
            </w:r>
          </w:p>
        </w:tc>
        <w:tc>
          <w:tcPr>
            <w:tcW w:w="0" w:type="auto"/>
          </w:tcPr>
          <w:p>
            <w:pPr>
              <w:spacing w:line="240" w:lineRule="auto" w:before="0" w:after="0"/>
              <w:pStyle w:val="Compact"/>
            </w:pPr>
            <w:r>
              <w:rPr>
                <w:sz w:val="20"/>
                <w:szCs w:val="20"/>
              </w:rPr>
              <w:t xml:space="preserve">Computed from instrument mass papers and mission payload mass budgets; documented per row</w:t>
            </w:r>
          </w:p>
        </w:tc>
      </w:tr>
      <w:tr>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Operational regime: 0 = fixed lander, 1 = in-situ mobile rover, 2 = sample-caching rover</w:t>
            </w:r>
          </w:p>
        </w:tc>
        <w:tc>
          <w:tcPr>
            <w:tcW w:w="0" w:type="auto"/>
          </w:tcPr>
          <w:p>
            <w:pPr>
              <w:spacing w:line="240" w:lineRule="auto" w:before="0" w:after="0"/>
              <w:pStyle w:val="Compact"/>
            </w:pPr>
            <w:r>
              <w:rPr>
                <w:sz w:val="20"/>
                <w:szCs w:val="20"/>
              </w:rPr>
              <w:t xml:space="preserve">Mission architecture descriptions; regime taxonomy from GeoHeuristic Operational Strategies Test methodology [3], [4]</w:t>
            </w:r>
          </w:p>
        </w:tc>
      </w:tr>
      <w:tr>
        <w:tc>
          <w:tcPr>
            <w:tcW w:w="0" w:type="auto"/>
          </w:tcPr>
          <w:p>
            <w:pPr>
              <w:spacing w:line="240" w:lineRule="auto" w:before="0" w:after="0"/>
              <w:pStyle w:val="Compact"/>
            </w:pPr>
            <w:r>
              <w:rPr>
                <w:sz w:val="20"/>
                <w:szCs w:val="20"/>
              </w:rPr>
              <w:t xml:space="preserve">era2</w:t>
            </w:r>
          </w:p>
        </w:tc>
        <w:tc>
          <w:tcPr>
            <w:tcW w:w="0" w:type="auto"/>
          </w:tcPr>
          <w:p>
            <w:pPr>
              <w:spacing w:line="240" w:lineRule="auto" w:before="0" w:after="0"/>
              <w:pStyle w:val="Compact"/>
            </w:pPr>
            <w:r>
              <w:rPr>
                <w:sz w:val="20"/>
                <w:szCs w:val="20"/>
              </w:rPr>
              <w:t xml:space="preserve">Mission-era fixed effect, 1 if launch year in 2007 to 2011 (Phoenix, MSL), else 0</w:t>
            </w:r>
          </w:p>
        </w:tc>
        <w:tc>
          <w:tcPr>
            <w:tcW w:w="0" w:type="auto"/>
          </w:tcPr>
          <w:p>
            <w:pPr>
              <w:spacing w:line="240" w:lineRule="auto" w:before="0" w:after="0"/>
              <w:pStyle w:val="Compact"/>
            </w:pPr>
            <w:r>
              <w:rPr>
                <w:sz w:val="20"/>
                <w:szCs w:val="20"/>
              </w:rPr>
              <w:t xml:space="preserve">Mission launch records; baseline omitted era is 1996 to 2003 (Pathfinder, MER)</w:t>
            </w:r>
          </w:p>
        </w:tc>
      </w:tr>
      <w:tr>
        <w:tc>
          <w:tcPr>
            <w:tcW w:w="0" w:type="auto"/>
          </w:tcPr>
          <w:p>
            <w:pPr>
              <w:spacing w:line="240" w:lineRule="auto" w:before="0" w:after="0"/>
              <w:pStyle w:val="Compact"/>
            </w:pPr>
            <w:r>
              <w:rPr>
                <w:sz w:val="20"/>
                <w:szCs w:val="20"/>
              </w:rPr>
              <w:t xml:space="preserve">era3</w:t>
            </w:r>
          </w:p>
        </w:tc>
        <w:tc>
          <w:tcPr>
            <w:tcW w:w="0" w:type="auto"/>
          </w:tcPr>
          <w:p>
            <w:pPr>
              <w:spacing w:line="240" w:lineRule="auto" w:before="0" w:after="0"/>
              <w:pStyle w:val="Compact"/>
            </w:pPr>
            <w:r>
              <w:rPr>
                <w:sz w:val="20"/>
                <w:szCs w:val="20"/>
              </w:rPr>
              <w:t xml:space="preserve">Mission-era fixed effect, 1 if launch year in 2018 to 2020 (InSight, Mars 2020, lunar class), else 0</w:t>
            </w:r>
          </w:p>
        </w:tc>
        <w:tc>
          <w:tcPr>
            <w:tcW w:w="0" w:type="auto"/>
          </w:tcPr>
          <w:p>
            <w:pPr>
              <w:spacing w:line="240" w:lineRule="auto" w:before="0" w:after="0"/>
              <w:pStyle w:val="Compact"/>
            </w:pPr>
            <w:r>
              <w:rPr>
                <w:sz w:val="20"/>
                <w:szCs w:val="20"/>
              </w:rPr>
              <w:t xml:space="preserve">Mission launch records; baseline omitted era is 1996 to 2003</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0.4328</w:t>
            </w:r>
          </w:p>
        </w:tc>
        <w:tc>
          <w:tcPr>
            <w:tcW w:w="0" w:type="auto"/>
          </w:tcPr>
          <w:p>
            <w:pPr>
              <w:spacing w:line="240" w:lineRule="auto" w:before="0" w:after="0"/>
              <w:pStyle w:val="Compact"/>
            </w:pPr>
            <w:r>
              <w:rPr>
                <w:sz w:val="20"/>
                <w:szCs w:val="20"/>
              </w:rPr>
              <w:t xml:space="preserve">0.7696</w:t>
            </w:r>
          </w:p>
        </w:tc>
        <w:tc>
          <w:tcPr>
            <w:tcW w:w="0" w:type="auto"/>
          </w:tcPr>
          <w:p>
            <w:pPr>
              <w:spacing w:line="240" w:lineRule="auto" w:before="0" w:after="0"/>
              <w:pStyle w:val="Compact"/>
            </w:pPr>
            <w:r>
              <w:rPr>
                <w:sz w:val="20"/>
                <w:szCs w:val="20"/>
              </w:rPr>
              <w:t xml:space="preserve">0.5624</w:t>
            </w:r>
          </w:p>
        </w:tc>
        <w:tc>
          <w:tcPr>
            <w:tcW w:w="0" w:type="auto"/>
          </w:tcPr>
          <w:p>
            <w:pPr>
              <w:spacing w:line="240" w:lineRule="auto" w:before="0" w:after="0"/>
              <w:pStyle w:val="Compact"/>
            </w:pPr>
            <w:r>
              <w:rPr>
                <w:sz w:val="20"/>
                <w:szCs w:val="20"/>
              </w:rPr>
              <w:t xml:space="preserve">0.5738</w:t>
            </w:r>
          </w:p>
        </w:tc>
        <w:tc>
          <w:tcPr>
            <w:tcW w:w="0" w:type="auto"/>
          </w:tcPr>
          <w:p>
            <w:pPr>
              <w:spacing w:line="240" w:lineRule="auto" w:before="0" w:after="0"/>
              <w:pStyle w:val="Compact"/>
            </w:pPr>
            <w:r>
              <w:rPr>
                <w:sz w:val="20"/>
                <w:szCs w:val="20"/>
              </w:rPr>
              <w:t xml:space="preserve">[-1.0755, 1.9412]</w:t>
            </w:r>
          </w:p>
        </w:tc>
      </w:tr>
      <w:tr>
        <w:tc>
          <w:tcPr>
            <w:tcW w:w="0" w:type="auto"/>
          </w:tcPr>
          <w:p>
            <w:pPr>
              <w:spacing w:line="240" w:lineRule="auto" w:before="0" w:after="0"/>
              <w:pStyle w:val="Compact"/>
            </w:pPr>
            <w:r>
              <w:rPr>
                <w:sz w:val="20"/>
                <w:szCs w:val="20"/>
              </w:rPr>
              <w:t xml:space="preserve">priority</w:t>
            </w:r>
          </w:p>
        </w:tc>
        <w:tc>
          <w:tcPr>
            <w:tcW w:w="0" w:type="auto"/>
          </w:tcPr>
          <w:p>
            <w:pPr>
              <w:spacing w:line="240" w:lineRule="auto" w:before="0" w:after="0"/>
              <w:pStyle w:val="Compact"/>
            </w:pPr>
            <w:r>
              <w:rPr>
                <w:sz w:val="20"/>
                <w:szCs w:val="20"/>
              </w:rPr>
              <w:t xml:space="preserve">0.6823</w:t>
            </w:r>
          </w:p>
        </w:tc>
        <w:tc>
          <w:tcPr>
            <w:tcW w:w="0" w:type="auto"/>
          </w:tcPr>
          <w:p>
            <w:pPr>
              <w:spacing w:line="240" w:lineRule="auto" w:before="0" w:after="0"/>
              <w:pStyle w:val="Compact"/>
            </w:pPr>
            <w:r>
              <w:rPr>
                <w:sz w:val="20"/>
                <w:szCs w:val="20"/>
              </w:rPr>
              <w:t xml:space="preserve">0.1518</w:t>
            </w:r>
          </w:p>
        </w:tc>
        <w:tc>
          <w:tcPr>
            <w:tcW w:w="0" w:type="auto"/>
          </w:tcPr>
          <w:p>
            <w:pPr>
              <w:spacing w:line="240" w:lineRule="auto" w:before="0" w:after="0"/>
              <w:pStyle w:val="Compact"/>
            </w:pPr>
            <w:r>
              <w:rPr>
                <w:sz w:val="20"/>
                <w:szCs w:val="20"/>
              </w:rPr>
              <w:t xml:space="preserve">4.4939</w:t>
            </w:r>
          </w:p>
        </w:tc>
        <w:tc>
          <w:tcPr>
            <w:tcW w:w="0" w:type="auto"/>
          </w:tcPr>
          <w:p>
            <w:pPr>
              <w:spacing w:line="240" w:lineRule="auto" w:before="0" w:after="0"/>
              <w:pStyle w:val="Compact"/>
            </w:pPr>
            <w:r>
              <w:rPr>
                <w:sz w:val="20"/>
                <w:szCs w:val="20"/>
              </w:rPr>
              <w:t xml:space="preserve">6.993e-06</w:t>
            </w:r>
          </w:p>
        </w:tc>
        <w:tc>
          <w:tcPr>
            <w:tcW w:w="0" w:type="auto"/>
          </w:tcPr>
          <w:p>
            <w:pPr>
              <w:spacing w:line="240" w:lineRule="auto" w:before="0" w:after="0"/>
              <w:pStyle w:val="Compact"/>
            </w:pPr>
            <w:r>
              <w:rPr>
                <w:sz w:val="20"/>
                <w:szCs w:val="20"/>
              </w:rPr>
              <w:t xml:space="preserve">[0.3847, 0.9799]</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-0.0685</w:t>
            </w:r>
          </w:p>
        </w:tc>
        <w:tc>
          <w:tcPr>
            <w:tcW w:w="0" w:type="auto"/>
          </w:tcPr>
          <w:p>
            <w:pPr>
              <w:spacing w:line="240" w:lineRule="auto" w:before="0" w:after="0"/>
              <w:pStyle w:val="Compact"/>
            </w:pPr>
            <w:r>
              <w:rPr>
                <w:sz w:val="20"/>
                <w:szCs w:val="20"/>
              </w:rPr>
              <w:t xml:space="preserve">0.3277</w:t>
            </w:r>
          </w:p>
        </w:tc>
        <w:tc>
          <w:tcPr>
            <w:tcW w:w="0" w:type="auto"/>
          </w:tcPr>
          <w:p>
            <w:pPr>
              <w:spacing w:line="240" w:lineRule="auto" w:before="0" w:after="0"/>
              <w:pStyle w:val="Compact"/>
            </w:pPr>
            <w:r>
              <w:rPr>
                <w:sz w:val="20"/>
                <w:szCs w:val="20"/>
              </w:rPr>
              <w:t xml:space="preserve">-0.2091</w:t>
            </w:r>
          </w:p>
        </w:tc>
        <w:tc>
          <w:tcPr>
            <w:tcW w:w="0" w:type="auto"/>
          </w:tcPr>
          <w:p>
            <w:pPr>
              <w:spacing w:line="240" w:lineRule="auto" w:before="0" w:after="0"/>
              <w:pStyle w:val="Compact"/>
            </w:pPr>
            <w:r>
              <w:rPr>
                <w:sz w:val="20"/>
                <w:szCs w:val="20"/>
              </w:rPr>
              <w:t xml:space="preserve">0.8344</w:t>
            </w:r>
          </w:p>
        </w:tc>
        <w:tc>
          <w:tcPr>
            <w:tcW w:w="0" w:type="auto"/>
          </w:tcPr>
          <w:p>
            <w:pPr>
              <w:spacing w:line="240" w:lineRule="auto" w:before="0" w:after="0"/>
              <w:pStyle w:val="Compact"/>
            </w:pPr>
            <w:r>
              <w:rPr>
                <w:sz w:val="20"/>
                <w:szCs w:val="20"/>
              </w:rPr>
              <w:t xml:space="preserve">[-0.7108, 0.5738]</w:t>
            </w:r>
          </w:p>
        </w:tc>
      </w:tr>
      <w:tr>
        <w:tc>
          <w:tcPr>
            <w:tcW w:w="0" w:type="auto"/>
          </w:tcPr>
          <w:p>
            <w:pPr>
              <w:spacing w:line="240" w:lineRule="auto" w:before="0" w:after="0"/>
              <w:pStyle w:val="Compact"/>
            </w:pPr>
            <w:r>
              <w:rPr>
                <w:sz w:val="20"/>
                <w:szCs w:val="20"/>
              </w:rPr>
              <w:t xml:space="preserve">resource_share</w:t>
            </w:r>
          </w:p>
        </w:tc>
        <w:tc>
          <w:tcPr>
            <w:tcW w:w="0" w:type="auto"/>
          </w:tcPr>
          <w:p>
            <w:pPr>
              <w:spacing w:line="240" w:lineRule="auto" w:before="0" w:after="0"/>
              <w:pStyle w:val="Compact"/>
            </w:pPr>
            <w:r>
              <w:rPr>
                <w:sz w:val="20"/>
                <w:szCs w:val="20"/>
              </w:rPr>
              <w:t xml:space="preserve">1.2794</w:t>
            </w:r>
          </w:p>
        </w:tc>
        <w:tc>
          <w:tcPr>
            <w:tcW w:w="0" w:type="auto"/>
          </w:tcPr>
          <w:p>
            <w:pPr>
              <w:spacing w:line="240" w:lineRule="auto" w:before="0" w:after="0"/>
              <w:pStyle w:val="Compact"/>
            </w:pPr>
            <w:r>
              <w:rPr>
                <w:sz w:val="20"/>
                <w:szCs w:val="20"/>
              </w:rPr>
              <w:t xml:space="preserve">2.4996</w:t>
            </w:r>
          </w:p>
        </w:tc>
        <w:tc>
          <w:tcPr>
            <w:tcW w:w="0" w:type="auto"/>
          </w:tcPr>
          <w:p>
            <w:pPr>
              <w:spacing w:line="240" w:lineRule="auto" w:before="0" w:after="0"/>
              <w:pStyle w:val="Compact"/>
            </w:pPr>
            <w:r>
              <w:rPr>
                <w:sz w:val="20"/>
                <w:szCs w:val="20"/>
              </w:rPr>
              <w:t xml:space="preserve">0.5118</w:t>
            </w:r>
          </w:p>
        </w:tc>
        <w:tc>
          <w:tcPr>
            <w:tcW w:w="0" w:type="auto"/>
          </w:tcPr>
          <w:p>
            <w:pPr>
              <w:spacing w:line="240" w:lineRule="auto" w:before="0" w:after="0"/>
              <w:pStyle w:val="Compact"/>
            </w:pPr>
            <w:r>
              <w:rPr>
                <w:sz w:val="20"/>
                <w:szCs w:val="20"/>
              </w:rPr>
              <w:t xml:space="preserve">0.6088</w:t>
            </w:r>
          </w:p>
        </w:tc>
        <w:tc>
          <w:tcPr>
            <w:tcW w:w="0" w:type="auto"/>
          </w:tcPr>
          <w:p>
            <w:pPr>
              <w:spacing w:line="240" w:lineRule="auto" w:before="0" w:after="0"/>
              <w:pStyle w:val="Compact"/>
            </w:pPr>
            <w:r>
              <w:rPr>
                <w:sz w:val="20"/>
                <w:szCs w:val="20"/>
              </w:rPr>
              <w:t xml:space="preserve">[-3.6197, 6.1786]</w:t>
            </w:r>
          </w:p>
        </w:tc>
      </w:tr>
      <w:tr>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0.1307</w:t>
            </w:r>
          </w:p>
        </w:tc>
        <w:tc>
          <w:tcPr>
            <w:tcW w:w="0" w:type="auto"/>
          </w:tcPr>
          <w:p>
            <w:pPr>
              <w:spacing w:line="240" w:lineRule="auto" w:before="0" w:after="0"/>
              <w:pStyle w:val="Compact"/>
            </w:pPr>
            <w:r>
              <w:rPr>
                <w:sz w:val="20"/>
                <w:szCs w:val="20"/>
              </w:rPr>
              <w:t xml:space="preserve">0.2485</w:t>
            </w:r>
          </w:p>
        </w:tc>
        <w:tc>
          <w:tcPr>
            <w:tcW w:w="0" w:type="auto"/>
          </w:tcPr>
          <w:p>
            <w:pPr>
              <w:spacing w:line="240" w:lineRule="auto" w:before="0" w:after="0"/>
              <w:pStyle w:val="Compact"/>
            </w:pPr>
            <w:r>
              <w:rPr>
                <w:sz w:val="20"/>
                <w:szCs w:val="20"/>
              </w:rPr>
              <w:t xml:space="preserve">0.5259</w:t>
            </w:r>
          </w:p>
        </w:tc>
        <w:tc>
          <w:tcPr>
            <w:tcW w:w="0" w:type="auto"/>
          </w:tcPr>
          <w:p>
            <w:pPr>
              <w:spacing w:line="240" w:lineRule="auto" w:before="0" w:after="0"/>
              <w:pStyle w:val="Compact"/>
            </w:pPr>
            <w:r>
              <w:rPr>
                <w:sz w:val="20"/>
                <w:szCs w:val="20"/>
              </w:rPr>
              <w:t xml:space="preserve">0.599</w:t>
            </w:r>
          </w:p>
        </w:tc>
        <w:tc>
          <w:tcPr>
            <w:tcW w:w="0" w:type="auto"/>
          </w:tcPr>
          <w:p>
            <w:pPr>
              <w:spacing w:line="240" w:lineRule="auto" w:before="0" w:after="0"/>
              <w:pStyle w:val="Compact"/>
            </w:pPr>
            <w:r>
              <w:rPr>
                <w:sz w:val="20"/>
                <w:szCs w:val="20"/>
              </w:rPr>
              <w:t xml:space="preserve">[-0.3563, 0.6176]</w:t>
            </w:r>
          </w:p>
        </w:tc>
      </w:tr>
      <w:tr>
        <w:tc>
          <w:tcPr>
            <w:tcW w:w="0" w:type="auto"/>
          </w:tcPr>
          <w:p>
            <w:pPr>
              <w:spacing w:line="240" w:lineRule="auto" w:before="0" w:after="0"/>
              <w:pStyle w:val="Compact"/>
            </w:pPr>
            <w:r>
              <w:rPr>
                <w:sz w:val="20"/>
                <w:szCs w:val="20"/>
              </w:rPr>
              <w:t xml:space="preserve">era2</w:t>
            </w:r>
          </w:p>
        </w:tc>
        <w:tc>
          <w:tcPr>
            <w:tcW w:w="0" w:type="auto"/>
          </w:tcPr>
          <w:p>
            <w:pPr>
              <w:spacing w:line="240" w:lineRule="auto" w:before="0" w:after="0"/>
              <w:pStyle w:val="Compact"/>
            </w:pPr>
            <w:r>
              <w:rPr>
                <w:sz w:val="20"/>
                <w:szCs w:val="20"/>
              </w:rPr>
              <w:t xml:space="preserve">-0.2657</w:t>
            </w:r>
          </w:p>
        </w:tc>
        <w:tc>
          <w:tcPr>
            <w:tcW w:w="0" w:type="auto"/>
          </w:tcPr>
          <w:p>
            <w:pPr>
              <w:spacing w:line="240" w:lineRule="auto" w:before="0" w:after="0"/>
              <w:pStyle w:val="Compact"/>
            </w:pPr>
            <w:r>
              <w:rPr>
                <w:sz w:val="20"/>
                <w:szCs w:val="20"/>
              </w:rPr>
              <w:t xml:space="preserve">0.6996</w:t>
            </w:r>
          </w:p>
        </w:tc>
        <w:tc>
          <w:tcPr>
            <w:tcW w:w="0" w:type="auto"/>
          </w:tcPr>
          <w:p>
            <w:pPr>
              <w:spacing w:line="240" w:lineRule="auto" w:before="0" w:after="0"/>
              <w:pStyle w:val="Compact"/>
            </w:pPr>
            <w:r>
              <w:rPr>
                <w:sz w:val="20"/>
                <w:szCs w:val="20"/>
              </w:rPr>
              <w:t xml:space="preserve">-0.3797</w:t>
            </w:r>
          </w:p>
        </w:tc>
        <w:tc>
          <w:tcPr>
            <w:tcW w:w="0" w:type="auto"/>
          </w:tcPr>
          <w:p>
            <w:pPr>
              <w:spacing w:line="240" w:lineRule="auto" w:before="0" w:after="0"/>
              <w:pStyle w:val="Compact"/>
            </w:pPr>
            <w:r>
              <w:rPr>
                <w:sz w:val="20"/>
                <w:szCs w:val="20"/>
              </w:rPr>
              <w:t xml:space="preserve">0.7042</w:t>
            </w:r>
          </w:p>
        </w:tc>
        <w:tc>
          <w:tcPr>
            <w:tcW w:w="0" w:type="auto"/>
          </w:tcPr>
          <w:p>
            <w:pPr>
              <w:spacing w:line="240" w:lineRule="auto" w:before="0" w:after="0"/>
              <w:pStyle w:val="Compact"/>
            </w:pPr>
            <w:r>
              <w:rPr>
                <w:sz w:val="20"/>
                <w:szCs w:val="20"/>
              </w:rPr>
              <w:t xml:space="preserve">[-1.6369, 1.1056]</w:t>
            </w:r>
          </w:p>
        </w:tc>
      </w:tr>
      <w:tr>
        <w:tc>
          <w:tcPr>
            <w:tcW w:w="0" w:type="auto"/>
          </w:tcPr>
          <w:p>
            <w:pPr>
              <w:spacing w:line="240" w:lineRule="auto" w:before="0" w:after="0"/>
              <w:pStyle w:val="Compact"/>
            </w:pPr>
            <w:r>
              <w:rPr>
                <w:sz w:val="20"/>
                <w:szCs w:val="20"/>
              </w:rPr>
              <w:t xml:space="preserve">era3</w:t>
            </w:r>
          </w:p>
        </w:tc>
        <w:tc>
          <w:tcPr>
            <w:tcW w:w="0" w:type="auto"/>
          </w:tcPr>
          <w:p>
            <w:pPr>
              <w:spacing w:line="240" w:lineRule="auto" w:before="0" w:after="0"/>
              <w:pStyle w:val="Compact"/>
            </w:pPr>
            <w:r>
              <w:rPr>
                <w:sz w:val="20"/>
                <w:szCs w:val="20"/>
              </w:rPr>
              <w:t xml:space="preserve">-1.1099</w:t>
            </w:r>
          </w:p>
        </w:tc>
        <w:tc>
          <w:tcPr>
            <w:tcW w:w="0" w:type="auto"/>
          </w:tcPr>
          <w:p>
            <w:pPr>
              <w:spacing w:line="240" w:lineRule="auto" w:before="0" w:after="0"/>
              <w:pStyle w:val="Compact"/>
            </w:pPr>
            <w:r>
              <w:rPr>
                <w:sz w:val="20"/>
                <w:szCs w:val="20"/>
              </w:rPr>
              <w:t xml:space="preserve">0.9093</w:t>
            </w:r>
          </w:p>
        </w:tc>
        <w:tc>
          <w:tcPr>
            <w:tcW w:w="0" w:type="auto"/>
          </w:tcPr>
          <w:p>
            <w:pPr>
              <w:spacing w:line="240" w:lineRule="auto" w:before="0" w:after="0"/>
              <w:pStyle w:val="Compact"/>
            </w:pPr>
            <w:r>
              <w:rPr>
                <w:sz w:val="20"/>
                <w:szCs w:val="20"/>
              </w:rPr>
              <w:t xml:space="preserve">-1.2207</w:t>
            </w:r>
          </w:p>
        </w:tc>
        <w:tc>
          <w:tcPr>
            <w:tcW w:w="0" w:type="auto"/>
          </w:tcPr>
          <w:p>
            <w:pPr>
              <w:spacing w:line="240" w:lineRule="auto" w:before="0" w:after="0"/>
              <w:pStyle w:val="Compact"/>
            </w:pPr>
            <w:r>
              <w:rPr>
                <w:sz w:val="20"/>
                <w:szCs w:val="20"/>
              </w:rPr>
              <w:t xml:space="preserve">0.2222</w:t>
            </w:r>
          </w:p>
        </w:tc>
        <w:tc>
          <w:tcPr>
            <w:tcW w:w="0" w:type="auto"/>
          </w:tcPr>
          <w:p>
            <w:pPr>
              <w:spacing w:line="240" w:lineRule="auto" w:before="0" w:after="0"/>
              <w:pStyle w:val="Compact"/>
            </w:pPr>
            <w:r>
              <w:rPr>
                <w:sz w:val="20"/>
                <w:szCs w:val="20"/>
              </w:rPr>
              <w:t xml:space="preserve">[-2.8921, 0.6722]</w:t>
            </w:r>
          </w:p>
        </w:tc>
      </w:tr>
    </w:tbl>
    <w:p>
      <w:pPr>
        <w:pStyle w:val="BodyText"/>
      </w:pPr>
      <w:r>
        <w:t xml:space="preserve">Fit: N = 30 R2 = 0.5193 R2_adj = 0.3939 F = 9.1506 F_p = 3.616e-05</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 Type="http://schemas.openxmlformats.org/officeDocument/2006/relationships/hyperlink" Id="rId70" Target="https://doi.org/10.1016/j.actaastro.2016.12.018" TargetMode="External" /><Relationship Type="http://schemas.openxmlformats.org/officeDocument/2006/relationships/hyperlink" Id="rId72" Target="https://doi.org/10.1016/j.actaastro.2018.02.029" TargetMode="External" /><Relationship Type="http://schemas.openxmlformats.org/officeDocument/2006/relationships/hyperlink" Id="rId74" Target="https://doi.org/10.1016/j.actaastro.2021.04.042"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16.12.018" TargetMode="External" /><Relationship Type="http://schemas.openxmlformats.org/officeDocument/2006/relationships/hyperlink" Id="rId72" Target="https://doi.org/10.1016/j.actaastro.2018.02.029" TargetMode="External" /><Relationship Type="http://schemas.openxmlformats.org/officeDocument/2006/relationships/hyperlink" Id="rId74" Target="https://doi.org/10.1016/j.actaastro.2021.04.04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2026-06-25T14:26:26Z</dcterms:created>
  <dcterms:modified xsi:type="dcterms:W3CDTF">2026-06-25T14:26:26Z</dcterms:modified>
</cp:coreProperties>
</file>

<file path=docProps/custom.xml><?xml version="1.0" encoding="utf-8"?>
<Properties xmlns="http://schemas.openxmlformats.org/officeDocument/2006/custom-properties" xmlns:vt="http://schemas.openxmlformats.org/officeDocument/2006/docPropsVTypes"/>
</file>