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DECADAL PRIORITY AND REALIZED SCIENCE PRODUCTIVITY: DOES SURFACE-MISSION INSTRUMENT PRIORITIZATION PREDICT DOWNSTREAM SCIENTIFIC OUTPUT?</w:t>
      </w:r>
    </w:p>
    <w:p>
      <w:pPr>
        <w:jc w:val="center"/>
      </w:pPr>
    </w:p>
    <w:p>
      <w:pPr>
        <w:jc w:val="center"/>
      </w:pPr>
      <w:r>
        <w:rPr>
          <w:rFonts w:ascii="Times New Roman" w:hAnsi="Times New Roman"/>
          <w:sz w:val="24"/>
        </w:rPr>
        <w:t>by</w:t>
      </w:r>
    </w:p>
    <w:p>
      <w:pPr>
        <w:jc w:val="center"/>
      </w:pPr>
      <w:r>
        <w:rPr>
          <w:rFonts w:ascii="Times New Roman" w:hAnsi="Times New Roman"/>
          <w:b/>
          <w:sz w:val="28"/>
        </w:rPr>
        <w:t>Sylvie Ramos</w:t>
      </w:r>
    </w:p>
    <w:p>
      <w:pPr>
        <w:jc w:val="center"/>
      </w:pPr>
      <w:r>
        <w:rPr>
          <w:rFonts w:ascii="Times New Roman" w:hAnsi="Times New Roman"/>
          <w:sz w:val="24"/>
        </w:rPr>
        <w:t>1B-ESS-061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Every planetary surface mission is a wager about the future. The bet is placed early. Years before a rover or lander reaches another world, its instrument complement is fixed. Engineers cannot add a spectrometer once a spacecraft is sealed inside its aeroshell, and they cannot reallocate mass to a different measurement after the cruise stage separates. The decision about what to carry is therefore made early, under deep uncertainty, and it is made not by any single program office but by a deliberative consensus process. In the United States planetary program, that process is the decadal survey: a community-wide exercise that assembles hundreds of scientists to rank measurement objectives, identify the instrument classes that serve them, and assign relative priority among competing scientific goals. The decadal survey carries genuine allocative authority. Its rankings shape which mission concepts advance, which payloads receive resources, and which measurement objectives are treated as flagship rather than supplementary.</w:t>
      </w:r>
    </w:p>
    <w:p>
      <w:pPr>
        <w:pStyle w:val="BodyText"/>
        <w:spacing w:line="480" w:lineRule="auto"/>
        <w:ind w:firstLine="720"/>
      </w:pPr>
      <w:r>
        <w:t xml:space="preserve">The implicit theory that justifies this elaborate process is straightforward. Priority is supposed to buy science. Assigning high priority to a measurement objective is supposed to cause the eventual instrument to deliver more and better science. The priority signal, on this account, is informative: it encodes the collective judgment of the field about where the most valuable discoveries lie, and it channels attention, talent, and money toward the instruments most likely to repay the investment. Program managers, review panels, and the surveys themselves proceed as though this theory holds. Yet the theory is rarely confronted with the one piece of evidence that could test it directly, namely the observable record of what prioritized instruments actually produced once they reached the surface.</w:t>
      </w:r>
    </w:p>
    <w:p>
      <w:pPr>
        <w:pStyle w:val="BodyText"/>
        <w:spacing w:line="480" w:lineRule="auto"/>
        <w:ind w:firstLine="720"/>
      </w:pPr>
      <w:r>
        <w:t xml:space="preserve">This dissertation assembles that record and subjects the theory to a quantitative test. It treats each instrument on a planetary surface platform, a rover, a lander, or a deployed surface package, as the unit of analysis. It measures realized science productivity as the publication-weighted scientific output attributable to each instrument. And it asks whether an instrument’s ex ante decadal priority predicts that realized output once the engineering capability and the resources the instrument commanded are held fixed. The question is narrow by design, and its narrowness is the point. A loose correlation proves little. High-priority instruments are exactly the ones that attract larger budgets and more capable engineering. The genuinely informative quantity is the partial association that survives after capability and resources are controlled away.</w:t>
      </w:r>
    </w:p>
    <w:p>
      <w:pPr>
        <w:pStyle w:val="BodyText"/>
        <w:spacing w:line="480" w:lineRule="auto"/>
        <w:ind w:firstLine="720"/>
      </w:pPr>
      <w:r>
        <w:t xml:space="preserve">The stakes for the National Aeronautics and Space Administration and for the Jet Propulsion Laboratory are concrete. Surface missions cost the most and forgive the least. They are the most expensive and most constrained class of planetary exploration. A flagship rover represents billions of dollars and a decade of institutional commitment, and the campaign architectures now in planning, in which sampling and instrument decisions made on one element propagate through an entire multi-mission return chain, raise the cost of an early misjudgment to the level of the whole program</w:t>
      </w:r>
      <w:r>
        <w:t xml:space="preserve"> </w:t>
      </w:r>
      <w:hyperlink w:anchor="ref-1">
        <w:r>
          <w:rPr>
            <w:rStyle w:val="Hyperlink"/>
          </w:rPr>
          <w:t xml:space="preserve">[1]</w:t>
        </w:r>
      </w:hyperlink>
      <w:r>
        <w:t xml:space="preserve">. If the decadal prioritization process is allocating attention on a signal that carries no measured downstream validity once resources are netted out, the agency and its laboratories should know it, because the consensus process consumes substantial community effort and substitutes for other mechanisms of selection. If, on the other hand, priority predicts realized output net of resources, that is direct and quantitative evidence that the consensus encodes information beyond mere willingness to fund, and that finding would itself justify the cost of the process. Both outcomes are decision-relevant, and a credible study must be built so that the data can speak to either.</w:t>
      </w:r>
    </w:p>
    <w:p>
      <w:pPr>
        <w:pStyle w:val="BodyText"/>
        <w:spacing w:line="480" w:lineRule="auto"/>
        <w:ind w:firstLine="720"/>
      </w:pPr>
      <w:r>
        <w:t xml:space="preserve">The institutional motivation is sharpened by a feature of surface missions that orbital missions do not share. Surface instruments operate under regimes that have little to do with their intrinsic scientific priority but a great deal to do with whether they produce any science at all. A small lunar surface system can lose its entire payload to a single night-survival failure, a binary outcome driven by energy-storage selection rather than by the priority ranking of the measurements the payload was meant to take</w:t>
      </w:r>
      <w:r>
        <w:t xml:space="preserve"> </w:t>
      </w:r>
      <w:hyperlink w:anchor="ref-5">
        <w:r>
          <w:rPr>
            <w:rStyle w:val="Hyperlink"/>
          </w:rPr>
          <w:t xml:space="preserve">[5]</w:t>
        </w:r>
      </w:hyperlink>
      <w:r>
        <w:t xml:space="preserve">. A sample-caching mission’s eventual yield depends heavily on the operational protocol that governs which samples the rover selects, a design choice that is downstream of, and partly independent from, any instrument’s priority tier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Access architecture, the means by which an instrument reaches a scientifically valuable but difficult target such as an exposed pit wall or a subsurface void, can dominate the realized output of an otherwise modest instrument</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These regime effects mean the mapping from priority to output is mediated by operational context in ways the prioritization process does not model and cannot fully anticipate. Any honest test of whether priority predicts output must condition on the regime, or it will mistake the consequences of where and how an instrument was deployed for the consequences of how highly it was ranked.</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The difficulty of answering this question is not that no one has studied surface instruments or that no one has studied the valuation of science. It is that two mature bodies of work have grown up on either side of the question without meeting in the middle. The contribution of this dissertation lives precisely in the join that neither literature has made.</w:t>
      </w:r>
    </w:p>
    <w:p>
      <w:pPr>
        <w:pStyle w:val="BodyText"/>
        <w:spacing w:line="480" w:lineRule="auto"/>
        <w:ind w:firstLine="720"/>
      </w:pPr>
      <w:r>
        <w:t xml:space="preserve">On one side stands the domain literature on planetary surface missions. This work is rich, technical, and operationally grounded, and it divides into two strands. The first strand is engineering analysis of how instruments reach and survive their targets. It studies access systems for exposed strata and pits</w:t>
      </w:r>
      <w:r>
        <w:t xml:space="preserve"> </w:t>
      </w:r>
      <w:hyperlink w:anchor="ref-4">
        <w:r>
          <w:rPr>
            <w:rStyle w:val="Hyperlink"/>
          </w:rPr>
          <w:t xml:space="preserve">[4]</w:t>
        </w:r>
      </w:hyperlink>
      <w:r>
        <w:t xml:space="preserve">, power-and-communication links that let robots operate inside lunar caves</w:t>
      </w:r>
      <w:r>
        <w:t xml:space="preserve"> </w:t>
      </w:r>
      <w:hyperlink w:anchor="ref-6">
        <w:r>
          <w:rPr>
            <w:rStyle w:val="Hyperlink"/>
          </w:rPr>
          <w:t xml:space="preserve">[6]</w:t>
        </w:r>
      </w:hyperlink>
      <w:r>
        <w:t xml:space="preserve">, and energy-storage selection that determines whether a small lunar system lives through the night</w:t>
      </w:r>
      <w:r>
        <w:t xml:space="preserve"> </w:t>
      </w:r>
      <w:hyperlink w:anchor="ref-5">
        <w:r>
          <w:rPr>
            <w:rStyle w:val="Hyperlink"/>
          </w:rPr>
          <w:t xml:space="preserve">[5]</w:t>
        </w:r>
      </w:hyperlink>
      <w:r>
        <w:t xml:space="preserve">. This strand is authoritative on the determinants of whether an instrument functions, but it stops there. It does not measure the scientific output instruments produce, and it does not connect operational outcomes back to the ex ante priority that governed instrument selection. The second strand is rover science-operations methodology, most fully developed in the GeoHeuristic Operational Strategies Test program, which studied how reconnaissance and sample-selection protocols shape the quality of the decisions a semi-autonomous rover makes in the field</w:t>
      </w:r>
      <w:r>
        <w:t xml:space="preserve"> </w:t>
      </w:r>
      <w:hyperlink w:anchor="ref-7">
        <w:r>
          <w:rPr>
            <w:rStyle w:val="Hyperlink"/>
          </w:rPr>
          <w:t xml:space="preserve">[7]</w:t>
        </w:r>
      </w:hyperlink>
      <w:r>
        <w:t xml:space="preserve"> </w:t>
      </w:r>
      <w:r>
        <w:t xml:space="preserve">and tested the efficiency of those protocols for robotic sample selection on caching missions</w:t>
      </w:r>
      <w:r>
        <w:t xml:space="preserve"> </w:t>
      </w:r>
      <w:hyperlink w:anchor="ref-8">
        <w:r>
          <w:rPr>
            <w:rStyle w:val="Hyperlink"/>
          </w:rPr>
          <w:t xml:space="preserve">[8]</w:t>
        </w:r>
      </w:hyperlink>
      <w:r>
        <w:t xml:space="preserve">. This strand establishes, convincingly, that operational protocol is a first-order determinant of science yield. But it studies protocol in isolation rather than as a mediator between priority and realized output, and it does not aggregate across instruments or missions. The domain literature, in short, tells us a great deal about what makes an instrument work and very little about whether the priority assigned to an instrument predicts what it ultimately delivers.</w:t>
      </w:r>
    </w:p>
    <w:p>
      <w:pPr>
        <w:pStyle w:val="BodyText"/>
        <w:spacing w:line="480" w:lineRule="auto"/>
        <w:ind w:firstLine="720"/>
      </w:pPr>
      <w:r>
        <w:t xml:space="preserve">On the other side stands the econometric and valuation literature on space science as economic output. Weinzierl’s treatment of space as an economic frontier engages directly with the hardest part of the problem, the assignment of value to science produced on research platforms, and surfaces the pragmatist and hermeneutic difficulty of valuation itself</w:t>
      </w:r>
      <w:r>
        <w:t xml:space="preserve"> </w:t>
      </w:r>
      <w:hyperlink w:anchor="ref-9">
        <w:r>
          <w:rPr>
            <w:rStyle w:val="Hyperlink"/>
          </w:rPr>
          <w:t xml:space="preserve">[9]</w:t>
        </w:r>
      </w:hyperlink>
      <w:r>
        <w:t xml:space="preserve">. Program-level regression evidence relates architecture decisions to overall program cost across a portfolio of programs, supplying the functional vocabulary for entering resource variables as controls and confirming that architecture-level resource choices carry measurable explanatory weight</w:t>
      </w:r>
      <w:r>
        <w:t xml:space="preserve"> </w:t>
      </w:r>
      <w:hyperlink w:anchor="ref-3">
        <w:r>
          <w:rPr>
            <w:rStyle w:val="Hyperlink"/>
          </w:rPr>
          <w:t xml:space="preserve">[3]</w:t>
        </w:r>
      </w:hyperlink>
      <w:r>
        <w:t xml:space="preserve">. Economy-scale forecasting work models aerospace output with autoregressive structure and supplies the rationale for treating publication behavior as subject to period effects no instrument-level covariate would otherwise capture</w:t>
      </w:r>
      <w:r>
        <w:t xml:space="preserve"> </w:t>
      </w:r>
      <w:hyperlink w:anchor="ref-2">
        <w:r>
          <w:rPr>
            <w:rStyle w:val="Hyperlink"/>
          </w:rPr>
          <w:t xml:space="preserve">[2]</w:t>
        </w:r>
      </w:hyperlink>
      <w:r>
        <w:t xml:space="preserve">. This literature furnishes the measurement framework and the econometric discipline that the domain literature lacks. But it has been applied to portfolios, programs, and platforms, not to the instrument-level question of whether decadal priority predicts realized scientific productivity.</w:t>
      </w:r>
    </w:p>
    <w:p>
      <w:pPr>
        <w:pStyle w:val="BodyText"/>
        <w:spacing w:line="480" w:lineRule="auto"/>
        <w:ind w:firstLine="720"/>
      </w:pPr>
      <w:r>
        <w:t xml:space="preserve">The gap, stated precisely, is the join. No retrieved work links the ex ante decadal prioritization of a surface instrument to its realized, citation-weighted scientific output while conditioning on the operational regime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and the resource allocation</w:t>
      </w:r>
      <w:r>
        <w:t xml:space="preserve"> </w:t>
      </w:r>
      <w:hyperlink w:anchor="ref-3">
        <w:r>
          <w:rPr>
            <w:rStyle w:val="Hyperlink"/>
          </w:rPr>
          <w:t xml:space="preserve">[3]</w:t>
        </w:r>
      </w:hyperlink>
      <w:r>
        <w:t xml:space="preserve"> </w:t>
      </w:r>
      <w:r>
        <w:t xml:space="preserve">that the domain literature shows are first-order. The engineering strand has the regime variables but not the output measure. The valuation strand has the output measure and the econometric machinery but not the instrument-level frame or the regime variables. Bringing the two together, coding instrument priority from the published decadal surveys, measuring instrument output through bibliometric resolution, and conditioning on the capability and regime variables that the domain literature identifies, is the analytic move that has not been made. That move is the contribution.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reduces to a single estimate, stated in terms designed to be falsifiable. The quantity of interest is the partial association between an instrument’s ex ante decadal priority and its realized science productivity, net of engineering capability and resource allocation. Two hypotheses partition the possible outcomes.</w:t>
      </w:r>
    </w:p>
    <w:p>
      <w:pPr>
        <w:pStyle w:val="BodyText"/>
        <w:spacing w:line="480" w:lineRule="auto"/>
        <w:ind w:firstLine="720"/>
      </w:pPr>
      <w:r>
        <w:t xml:space="preserve">The null hypothesis, H0, states that conditional on instrument engineering capability, mission resource allocation, operational regime, and mission era, ex ante decadal priority has no independent association with realized science productivity. Formally, the coefficient on the priority measure is zero in a model that includes capability and resource controls. The alternative hypothesis, H1, states that conditional on the same controls, higher ex ante decadal priority is associated with strictly greater realized science productivity, so the priority coefficient is positive and statistically distinguishable from zero.</w:t>
      </w:r>
    </w:p>
    <w:p>
      <w:pPr>
        <w:pStyle w:val="BodyText"/>
        <w:spacing w:line="480" w:lineRule="auto"/>
        <w:ind w:firstLine="720"/>
      </w:pPr>
      <w:r>
        <w:t xml:space="preserve">The design makes H0 genuinely falsifiable rather than rhetorically convenient. H0 predicts a null partial coefficient, and a precisely estimated nonzero coefficient rejects it. Equally, a failure to reject H0, accompanied by a tight confidence interval around zero, is not an inconclusive non-result but a substantive finding in its own right: it would establish that decadal priority carries no measured downstream validity once resources are controlled. The asymmetry that plagues many social-science nulls, where failure to reject is uninformative because the test lacked power, is addressed here by reporting the confidence interval as a first-class result and by treating its width as part of the finding. The study is structured so that the data can sustain either conclusion and so that whichever conclusion the data support is decision-relevant for the agency and the laboratory.</w:t>
      </w:r>
    </w:p>
    <w:p>
      <w:pPr>
        <w:pStyle w:val="BodyText"/>
        <w:spacing w:line="480" w:lineRule="auto"/>
        <w:ind w:firstLine="720"/>
      </w:pPr>
      <w:r>
        <w:t xml:space="preserve">The central analytic obstacle to estimating this coefficient is entanglement. Priority and resources move together, because high-priority instruments attract larger budgets, so a regression of output on priority alone recovers the combined effect of the priority signal and the resources it commands rather than the priority signal in isolation</w:t>
      </w:r>
      <w:r>
        <w:t xml:space="preserve"> </w:t>
      </w:r>
      <w:hyperlink w:anchor="ref-3">
        <w:r>
          <w:rPr>
            <w:rStyle w:val="Hyperlink"/>
          </w:rPr>
          <w:t xml:space="preserve">[3]</w:t>
        </w:r>
      </w:hyperlink>
      <w:r>
        <w:t xml:space="preserve">. The dissertation addresses the entanglement in three layers. It enters a direct measure of resource allocation, the instrument’s mass-and-cost share of the mission, so that the priority coefficient is identified within strata of comparable resourcing. It enters instrument engineering capability, characterized independently of priority and drawn from the engineering determinants in the domain literature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so that priority is separated from the engineering quality with which it is correlated. And it conditions on operational regime, the mediator the methodology literature identifies as first-order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entering regime both as a stratifying covariate and, where the sample permits, in interaction with priority to test whether any residual priority effect is general or concentrated in a particular operational context. Mission-era fixed effects absorb the secular drift in publication and citation norms that the forecasting literature warns against</w:t>
      </w:r>
      <w:r>
        <w:t xml:space="preserve"> </w:t>
      </w:r>
      <w:hyperlink w:anchor="ref-2">
        <w:r>
          <w:rPr>
            <w:rStyle w:val="Hyperlink"/>
          </w:rPr>
          <w:t xml:space="preserve">[2]</w:t>
        </w:r>
      </w:hyperlink>
      <w:r>
        <w:t xml:space="preserve">, so that priority is estimated from within-era variation rather than from the comparison of an early instrument to a late one.</w:t>
      </w:r>
    </w:p>
    <w:bookmarkEnd w:id="63"/>
    <w:bookmarkStart w:id="64" w:name="empirical-strategy-in-brief"/>
    <w:p>
      <w:pPr>
        <w:pStyle w:val="Heading2"/>
        <w:spacing w:line="480" w:lineRule="auto"/>
      </w:pPr>
      <w:r>
        <w:t xml:space="preserve">1.4 Empirical Strategy in Brief</w:t>
      </w:r>
    </w:p>
    <w:p>
      <w:pPr>
        <w:pStyle w:val="FirstParagraph"/>
        <w:spacing w:line="480" w:lineRule="auto"/>
      </w:pPr>
      <w:r>
        <w:t xml:space="preserve">The dissertation pursues the single contribution through two complementary empirical specifications, each reported as a self-contained study and each addressing a distinct margin of realized productivity. The first treats productivity as a stock. It models the cumulative publication-weighted output an instrument accumulates over its operating lifetime as a function of priority, capability, resources, regime, and era, using a cross-mission fixed-effects regression on a set of instruments flown on United States planetary surface platforms. This specification answers the question of whether priority predicts how much science an instrument eventually produces.</w:t>
      </w:r>
    </w:p>
    <w:p>
      <w:pPr>
        <w:pStyle w:val="BodyText"/>
        <w:spacing w:line="480" w:lineRule="auto"/>
        <w:ind w:firstLine="720"/>
      </w:pPr>
      <w:r>
        <w:t xml:space="preserve">The second specification treats productivity as a matter of speed. Two instruments may converge on the same lifetime publication count yet differ by years in how quickly they convert surface operations into a first peer-reviewed result, and that timing margin carries independent institutional value: an early first result de-risks an instrument in the eyes of reviewers, anchors the follow-on literature, and shapes the operational tempo of the rest of the mission. This specification models the time from documented surface-operations start to first peer-reviewed publication using a proportional-hazards estimator, with the same covariate of interest and the same controls. It answers the question of whether priority predicts how fast science arrives, a margin less contaminated than the stock measure by the slow accumulation of citations, because a first publication is a discrete, datable event.</w:t>
      </w:r>
    </w:p>
    <w:p>
      <w:pPr>
        <w:pStyle w:val="BodyText"/>
        <w:spacing w:line="480" w:lineRule="auto"/>
        <w:ind w:firstLine="720"/>
      </w:pPr>
      <w:r>
        <w:t xml:space="preserve">The two specifications share a common identification logic and a common data architecture. The unit of analysis in both is the instrument on a surface platform. The dependent variables, cumulative publication-weighted count in the stock study and time-to-first-publication in the survival study, are constructed from publicly auditable bibliometric sources resolved by digital object identifier, so that every observation can be reconstructed from public metadata without proprietary access. Ex ante priority is coded from the published planetary decadal surveys on a common ordinal rubric. Engineering capability is proxied by instrument flight mass drawn from the per-instrument mission papers. Resource allocation enters as instrument mass share of the science payload. Operational regime is coded from the GeoHeuristic taxonomy of lander, mobile, and caching architectures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Mission era enters as fixed-effect indicators. The provenance of every variable is auditable to a public source, which is a deliberate response to the valuation literature’s warning that science output resists clean measurement</w:t>
      </w:r>
      <w:r>
        <w:t xml:space="preserve"> </w:t>
      </w:r>
      <w:hyperlink w:anchor="ref-9">
        <w:r>
          <w:rPr>
            <w:rStyle w:val="Hyperlink"/>
          </w:rPr>
          <w:t xml:space="preserve">[9]</w:t>
        </w:r>
      </w:hyperlink>
      <w:r>
        <w:t xml:space="preserve">: the dissertation cannot make the attribution problem disappear, but it can make every coding choice transparent and every join key reconstructable.</w:t>
      </w:r>
    </w:p>
    <w:p>
      <w:pPr>
        <w:pStyle w:val="BodyText"/>
        <w:spacing w:line="480" w:lineRule="auto"/>
        <w:ind w:firstLine="720"/>
      </w:pPr>
      <w:r>
        <w:t xml:space="preserve">Several threats to validity bound the claim and are addressed directly in the chapters that follow. Attribution of output to a single instrument is imperfect, because a publication often draws on several instruments, and the dissertation reports sensitivity to whole-count versus fractional attribution schemes while framing the residual ambiguity as the known, bounded limitation the valuation literature identifies</w:t>
      </w:r>
      <w:r>
        <w:t xml:space="preserve"> </w:t>
      </w:r>
      <w:hyperlink w:anchor="ref-9">
        <w:r>
          <w:rPr>
            <w:rStyle w:val="Hyperlink"/>
          </w:rPr>
          <w:t xml:space="preserve">[9]</w:t>
        </w:r>
      </w:hyperlink>
      <w:r>
        <w:t xml:space="preserve">. Residual confounding between priority and capability is mitigated by drawing capability dimensions from the domain literature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and by reporting how the priority coefficient moves as capability controls are added, a stability diagnostic. The zero-output and survivorship problems, instruments lost to operational failure before producing any science</w:t>
      </w:r>
      <w:r>
        <w:t xml:space="preserve"> </w:t>
      </w:r>
      <w:hyperlink w:anchor="ref-5">
        <w:r>
          <w:rPr>
            <w:rStyle w:val="Hyperlink"/>
          </w:rPr>
          <w:t xml:space="preserve">[5]</w:t>
        </w:r>
      </w:hyperlink>
      <w:r>
        <w:t xml:space="preserve">, are handled by the survival specification and by explicit failure indicators that separate non-production due to failure from non-production due to low yield. Era and publication-norm drift are absorbed by mission-era fixed effects</w:t>
      </w:r>
      <w:r>
        <w:t xml:space="preserve"> </w:t>
      </w:r>
      <w:hyperlink w:anchor="ref-2">
        <w:r>
          <w:rPr>
            <w:rStyle w:val="Hyperlink"/>
          </w:rPr>
          <w:t xml:space="preserve">[2]</w:t>
        </w:r>
      </w:hyperlink>
      <w:r>
        <w:t xml:space="preserve">. And external validity across regimes, the concern that effects estimated mostly on Mars caching missions</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may not transfer to lunar surface systems</w:t>
      </w:r>
      <w:r>
        <w:t xml:space="preserve"> </w:t>
      </w:r>
      <w:hyperlink w:anchor="ref-5">
        <w:r>
          <w:rPr>
            <w:rStyle w:val="Hyperlink"/>
          </w:rPr>
          <w:t xml:space="preserve">[5]</w:t>
        </w:r>
      </w:hyperlink>
      <w:r>
        <w:t xml:space="preserve"> </w:t>
      </w:r>
      <w:r>
        <w:t xml:space="preserve">or difficult-terrain access missions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is tested through the priority-by-regime interaction reported as a first-class result rather than relegated to a footnote.</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as follows. Chapter 2 develops the theoretical framework in full, formalizing the entanglement between priority and resources, articulating the mechanisms through which prioritization could plausibly raise realized output, and stating the hypotheses with the precision required for falsification. It situates the framework against the domain and valuation literatures and makes explicit the join that constitutes the contribution. Chapter 3 documents the data: the instrument-level frame, the coding of priority from the published decadal surveys, the bibliometric construction of the output measures, the resource and capability proxies, and the regime taxonomy, with attention throughout to provenance and to the share of observations carrying illustrative codings. Chapter 4 presents the stock specification, the cross-mission fixed-effects regression of cumulative publication-weighted output on priority and controls, and reports the central coefficient with its confidence interval and a full reading of the control coefficients. Chapter 5 presents the survival specification, the proportional-hazards analysis of time-to-first-publication, and reports the priority hazard ratio together with the capability, regime, and era effects that condition its interpretation. Chapter 6 integrates the two estimates, draws out their joint implication for the decadal prioritization process and for NASA and JPL decision-making, states the limitations that bound the inference, and identifies the extensions, principally the formal incorporation of the unpublished-failure tail and the expansion of the lunar and difficult-terrain sample, that would sharpen the estimate. Throughout, the dissertation holds to a single discipline: one falsifiable claim, estimated transparently, with every number traceable to a public source and every conclusion reported in the direction the data support.</w:t>
      </w:r>
    </w:p>
    <w:bookmarkEnd w:id="65"/>
    <w:bookmarkEnd w:id="66"/>
    <w:bookmarkStart w:id="81" w:name="chapter-2.-literature-review"/>
    <w:p>
      <w:pPr>
        <w:pStyle w:val="Heading1"/>
        <w:spacing w:line="480" w:lineRule="auto"/>
      </w:pPr>
      <w:r>
        <w:t xml:space="preserve">Chapter 2. Literature Review</w:t>
      </w:r>
    </w:p>
    <w:bookmarkStart w:id="67" w:name="orientation"/>
    <w:p>
      <w:pPr>
        <w:pStyle w:val="Heading2"/>
        <w:spacing w:line="480" w:lineRule="auto"/>
      </w:pPr>
      <w:r>
        <w:t xml:space="preserve">2.1 Orientation</w:t>
      </w:r>
    </w:p>
    <w:p>
      <w:pPr>
        <w:pStyle w:val="FirstParagraph"/>
        <w:spacing w:line="480" w:lineRule="auto"/>
      </w:pPr>
      <w:r>
        <w:t xml:space="preserve">This chapter reviews the two bodies of scholarship that the dissertation proposes to join. The first is the domain-technical literature of planetary surface exploration: the engineering analyses, mission-concept studies, and science-operations methodologies that describe how instruments reach, survive, and operate at the surfaces of other worlds, and what governs whether they convert opportunity into scientific result. The second is the cliometric and econometric methodology literature: the valuation theory, regression evidence, forecasting models, and identification strategy that supply a quantitative grammar for treating realized science as an output to be measured and attributed to causes. These two literatures have developed largely in isolation. They rarely cite each other. The technical literature is rich on the determinants of instrument function and meager on the measurement of downstream scientific yield. The econometric literature is precise on measurement and identification but has rarely been pointed at the specific question of whether decadal prioritization predicts the productivity of the surface instruments it ranks. The argument of this chapter is that the two literatures are complementary, that each supplies exactly what the other lacks, and that the join between them is an open and addressable gap.</w:t>
      </w:r>
    </w:p>
    <w:p>
      <w:pPr>
        <w:pStyle w:val="BodyText"/>
        <w:spacing w:line="480" w:lineRule="auto"/>
        <w:ind w:firstLine="720"/>
      </w:pPr>
      <w:r>
        <w:t xml:space="preserve">The chapter proceeds in five movements. Section 2.2 surveys the domain-technical literature, organized by the operational regimes that mediate the path from a measurement objective to a published result: access and survival, science-operations protocol, and campaign architecture. Section 2.3 broadens the domain survey to the wider family of mission-concept and instrument-suite studies that establish how the planetary and astronomy communities reason about instrument value at selection time. Section 2.4 turns to the cliometric and econometric literature: the valuation of science as economic output, program-level regression evidence, time-series forecasting of aerospace output, and the identification problem that any cross-mission estimate must confront. Section 2.5 synthesizes the two strands and locates the gap precisely. Section 2.6 states how the dissertation closes it.</w:t>
      </w:r>
    </w:p>
    <w:bookmarkEnd w:id="67"/>
    <w:bookmarkStart w:id="72" w:name="X1fe9d5ab48d59d039dfbf5c627e2d23fed9b033"/>
    <w:p>
      <w:pPr>
        <w:pStyle w:val="Heading2"/>
        <w:spacing w:line="480" w:lineRule="auto"/>
      </w:pPr>
      <w:r>
        <w:t xml:space="preserve">2.2 The Domain-Technical Literature: Operational Regimes as Mediators</w:t>
      </w:r>
    </w:p>
    <w:p>
      <w:pPr>
        <w:pStyle w:val="FirstParagraph"/>
        <w:spacing w:line="480" w:lineRule="auto"/>
      </w:pPr>
      <w:r>
        <w:t xml:space="preserve">The defining feature of planetary surface science is that the path from a prioritized measurement objective to a peer-reviewed result runs through an operational regime that the prioritization process does not itself model. A measurement objective is ranked years before launch; an instrument is then engineered to serve it; and only after the instrument reaches, survives, and operates at the surface does the objective have any chance of being realized. Each of those intermediate steps is a potential point of failure or amplification, and the domain-technical literature is in large part a catalogue of the determinants at each step. The review here organizes that catalogue into three regimes that recur throughout the surface-mission record and that the dissertation treats as conditioning structure: access and survival, science-operations protocol, and multi-element campaign architecture.</w:t>
      </w:r>
    </w:p>
    <w:bookmarkStart w:id="68" w:name="access-and-survival"/>
    <w:p>
      <w:pPr>
        <w:pStyle w:val="Heading3"/>
        <w:spacing w:line="480" w:lineRule="auto"/>
      </w:pPr>
      <w:r>
        <w:t xml:space="preserve">2.2.1 Access and Survival</w:t>
      </w:r>
    </w:p>
    <w:p>
      <w:pPr>
        <w:pStyle w:val="FirstParagraph"/>
        <w:spacing w:line="480" w:lineRule="auto"/>
      </w:pPr>
      <w:r>
        <w:t xml:space="preserve">The first regime concerns whether an instrument physically reaches its scientifically valuable target and survives long enough to operate. The most vivid statements of this problem in the retrieved literature concern difficult-terrain access and energy survival on lunar and small-body systems.</w:t>
      </w:r>
    </w:p>
    <w:p>
      <w:pPr>
        <w:pStyle w:val="BodyText"/>
        <w:spacing w:line="480" w:lineRule="auto"/>
        <w:ind w:firstLine="720"/>
      </w:pPr>
      <w:r>
        <w:t xml:space="preserve">Nesnas and colleagues, in the Moon Diver concept, articulate the access problem at its sharpest: the scientifically richest lunar targets, the exposed strata in pits that record the volcanic history of the Moon, are reachable only by an access architecture purpose-built to descend a vertical face and image the wall as it goes</w:t>
      </w:r>
      <w:r>
        <w:t xml:space="preserve"> </w:t>
      </w:r>
      <w:hyperlink w:anchor="ref-4">
        <w:r>
          <w:rPr>
            <w:rStyle w:val="Hyperlink"/>
          </w:rPr>
          <w:t xml:space="preserve">[4]</w:t>
        </w:r>
      </w:hyperlink>
      <w:r>
        <w:t xml:space="preserve">. The Moon Diver study makes plain that for such a target the instrument’s intrinsic measurement capability is necessary but radically insufficient. The measurement quality is not the binding constraint. A spectrometer of any quality returns no stratigraphic science unless the access system places it against the exposed wall, and the engineering of that access system, the tethered descent, the imaging geometry, the standoff control, is what determines whether the science objective is realizable at all</w:t>
      </w:r>
      <w:r>
        <w:t xml:space="preserve"> </w:t>
      </w:r>
      <w:hyperlink w:anchor="ref-4">
        <w:r>
          <w:rPr>
            <w:rStyle w:val="Hyperlink"/>
          </w:rPr>
          <w:t xml:space="preserve">[4]</w:t>
        </w:r>
      </w:hyperlink>
      <w:r>
        <w:t xml:space="preserve">. The lesson for a study of prioritization is that two instruments with identical priority rankings and comparable measurement capability can diverge entirely in realized output if one is mated to an access architecture that delivers it to its target and the other is not.</w:t>
      </w:r>
    </w:p>
    <w:p>
      <w:pPr>
        <w:pStyle w:val="BodyText"/>
        <w:spacing w:line="480" w:lineRule="auto"/>
        <w:ind w:firstLine="720"/>
      </w:pPr>
      <w:r>
        <w:t xml:space="preserve">Miaja and colleagues develop the same point for subsurface access in their RoboCrane study, which addresses the problem of providing a power and communication link between the lunar surface and the interior of a lunar cave so that an exploring robot can operate in an environment with no direct line of sight to the surface and no native power</w:t>
      </w:r>
      <w:r>
        <w:t xml:space="preserve"> </w:t>
      </w:r>
      <w:hyperlink w:anchor="ref-6">
        <w:r>
          <w:rPr>
            <w:rStyle w:val="Hyperlink"/>
          </w:rPr>
          <w:t xml:space="preserve">[6]</w:t>
        </w:r>
      </w:hyperlink>
      <w:r>
        <w:t xml:space="preserve">. RoboCrane reframes access as a continuous infrastructural dependency rather than a one-time delivery: the instrument inside the cave produces science only for as long as the surface-to-subsurface link sustains its power and downlink</w:t>
      </w:r>
      <w:r>
        <w:t xml:space="preserve"> </w:t>
      </w:r>
      <w:hyperlink w:anchor="ref-6">
        <w:r>
          <w:rPr>
            <w:rStyle w:val="Hyperlink"/>
          </w:rPr>
          <w:t xml:space="preserve">[6]</w:t>
        </w:r>
      </w:hyperlink>
      <w:r>
        <w:t xml:space="preserve">. This is a determinant of realized output that lives entirely outside the instrument and entirely outside its priority ranking. An exploring robot bearing a high-priority payload returns nothing if the link fails, and the determinants of link reliability, the crane mechanics, the cable management, the power budget, belong to the access regime and not to the instrument’s scientific merit</w:t>
      </w:r>
      <w:r>
        <w:t xml:space="preserve"> </w:t>
      </w:r>
      <w:hyperlink w:anchor="ref-6">
        <w:r>
          <w:rPr>
            <w:rStyle w:val="Hyperlink"/>
          </w:rPr>
          <w:t xml:space="preserve">[6]</w:t>
        </w:r>
      </w:hyperlink>
      <w:r>
        <w:t xml:space="preserve">.</w:t>
      </w:r>
    </w:p>
    <w:p>
      <w:pPr>
        <w:pStyle w:val="BodyText"/>
        <w:spacing w:line="480" w:lineRule="auto"/>
        <w:ind w:firstLine="720"/>
      </w:pPr>
      <w:r>
        <w:t xml:space="preserve">Biswas, Queiroga Malzone, and Rößler address survival rather than access, but the structural lesson is identical. Their study of energy-storage selection and operation for night-time survival of small lunar surface systems shows that a single design margin, the energy budget that carries a small system through the two-week lunar night, can be the binary determinant of whether the system survives to produce any science at all</w:t>
      </w:r>
      <w:r>
        <w:t xml:space="preserve"> </w:t>
      </w:r>
      <w:hyperlink w:anchor="ref-5">
        <w:r>
          <w:rPr>
            <w:rStyle w:val="Hyperlink"/>
          </w:rPr>
          <w:t xml:space="preserve">[5]</w:t>
        </w:r>
      </w:hyperlink>
      <w:r>
        <w:t xml:space="preserve">. A small lunar surface system that under-provisions night-survival energy loses its entire payload to a single thermal-electrical failure, an outcome that has nothing to do with the intrinsic priority of the instruments it carried</w:t>
      </w:r>
      <w:r>
        <w:t xml:space="preserve"> </w:t>
      </w:r>
      <w:hyperlink w:anchor="ref-5">
        <w:r>
          <w:rPr>
            <w:rStyle w:val="Hyperlink"/>
          </w:rPr>
          <w:t xml:space="preserve">[5]</w:t>
        </w:r>
      </w:hyperlink>
      <w:r>
        <w:t xml:space="preserve">. The Biswas analysis is a survival-analysis problem stated in engineering terms. It characterizes the conditions under which a system lives or dies before the science clock can even start, and it locates those conditions in the energy-storage subsystem rather than in the science payload</w:t>
      </w:r>
      <w:r>
        <w:t xml:space="preserve"> </w:t>
      </w:r>
      <w:hyperlink w:anchor="ref-5">
        <w:r>
          <w:rPr>
            <w:rStyle w:val="Hyperlink"/>
          </w:rPr>
          <w:t xml:space="preserve">[5]</w:t>
        </w:r>
      </w:hyperlink>
      <w:r>
        <w:t xml:space="preserve">. For the present dissertation this is the canonical illustration of the zero-output, or survivorship, threat: instruments that produce no science for reasons of survival, not merit, must be separated from instruments that produce little science despite functioning.</w:t>
      </w:r>
    </w:p>
    <w:p>
      <w:pPr>
        <w:pStyle w:val="BodyText"/>
        <w:spacing w:line="480" w:lineRule="auto"/>
        <w:ind w:firstLine="720"/>
      </w:pPr>
      <w:r>
        <w:t xml:space="preserve">Taken together, the access-and-survival literature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establishes a clear claim: realized surface-instrument output is gated by engineering determinants that are correlated with, but distinct from, the instrument’s prioritized scientific objective. None of these three studies measures scientific output. They stop one step short. They measure the conditions of its possibility. That is precisely the limitation that the econometric strand must supply, and precisely the conditioning structure that a cross-mission estimate must respect.</w:t>
      </w:r>
    </w:p>
    <w:bookmarkEnd w:id="68"/>
    <w:bookmarkStart w:id="69" w:name="science-operations-protocol"/>
    <w:p>
      <w:pPr>
        <w:pStyle w:val="Heading3"/>
        <w:spacing w:line="480" w:lineRule="auto"/>
      </w:pPr>
      <w:r>
        <w:t xml:space="preserve">2.2.2 Science-Operations Protocol</w:t>
      </w:r>
    </w:p>
    <w:p>
      <w:pPr>
        <w:pStyle w:val="FirstParagraph"/>
        <w:spacing w:line="480" w:lineRule="auto"/>
      </w:pPr>
      <w:r>
        <w:t xml:space="preserve">The second regime concerns what an instrument does once it has reached and survived: the protocol that governs how a semi-autonomous platform allocates its limited surface time, selects its targets, and converts observation into a defensible scientific decision. The retrieved literature’s most direct treatment of this regime is the GeoHeuristic Operational Strategies Test (GHOST) program.</w:t>
      </w:r>
    </w:p>
    <w:p>
      <w:pPr>
        <w:pStyle w:val="BodyText"/>
        <w:spacing w:line="480" w:lineRule="auto"/>
        <w:ind w:firstLine="720"/>
      </w:pPr>
      <w:r>
        <w:t xml:space="preserve">Yingst and colleagues, in the first GHOST study, examine best practices for reconnoitering sites for habitability potential on Mars using a semi-autonomous rover</w:t>
      </w:r>
      <w:r>
        <w:t xml:space="preserve"> </w:t>
      </w:r>
      <w:hyperlink w:anchor="ref-7">
        <w:r>
          <w:rPr>
            <w:rStyle w:val="Hyperlink"/>
          </w:rPr>
          <w:t xml:space="preserve">[7]</w:t>
        </w:r>
      </w:hyperlink>
      <w:r>
        <w:t xml:space="preserve">. The study’s design is itself a recognition that science yield is not a fixed function of instrument capability but a function of the operational heuristics that direct the instrument: different reconnaissance protocols, applied to the same field site with the same instruments, produce decisions of different quality</w:t>
      </w:r>
      <w:r>
        <w:t xml:space="preserve"> </w:t>
      </w:r>
      <w:hyperlink w:anchor="ref-7">
        <w:r>
          <w:rPr>
            <w:rStyle w:val="Hyperlink"/>
          </w:rPr>
          <w:t xml:space="preserve">[7]</w:t>
        </w:r>
      </w:hyperlink>
      <w:r>
        <w:t xml:space="preserve">. The GHOST result is that protocol design is a first-order determinant of the scientific value extracted from a surface platform, on par with the instruments themselves</w:t>
      </w:r>
      <w:r>
        <w:t xml:space="preserve"> </w:t>
      </w:r>
      <w:hyperlink w:anchor="ref-7">
        <w:r>
          <w:rPr>
            <w:rStyle w:val="Hyperlink"/>
          </w:rPr>
          <w:t xml:space="preserve">[7]</w:t>
        </w:r>
      </w:hyperlink>
      <w:r>
        <w:t xml:space="preserve">. A rover that reconnoiters well, that follows a protocol tuned to recognize and prioritize habitability-relevant targets, extracts more science from the same payload than one that does not.</w:t>
      </w:r>
    </w:p>
    <w:p>
      <w:pPr>
        <w:pStyle w:val="BodyText"/>
        <w:spacing w:line="480" w:lineRule="auto"/>
        <w:ind w:firstLine="720"/>
      </w:pPr>
      <w:r>
        <w:t xml:space="preserve">The second GHOST study extends the analysis to the efficiency of rover science protocols for robotic sample selection on caching missions, the regime in which a rover must choose which samples to collect and cache for potential return</w:t>
      </w:r>
      <w:r>
        <w:t xml:space="preserve"> </w:t>
      </w:r>
      <w:hyperlink w:anchor="ref-8">
        <w:r>
          <w:rPr>
            <w:rStyle w:val="Hyperlink"/>
          </w:rPr>
          <w:t xml:space="preserve">[8]</w:t>
        </w:r>
      </w:hyperlink>
      <w:r>
        <w:t xml:space="preserve">. Here the stakes of protocol are even higher, because the sample-selection decision is irreversible and propagates forward into any eventual return-and-analysis campaign</w:t>
      </w:r>
      <w:r>
        <w:t xml:space="preserve"> </w:t>
      </w:r>
      <w:hyperlink w:anchor="ref-8">
        <w:r>
          <w:rPr>
            <w:rStyle w:val="Hyperlink"/>
          </w:rPr>
          <w:t xml:space="preserve">[8]</w:t>
        </w:r>
      </w:hyperlink>
      <w:r>
        <w:t xml:space="preserve">. The study tests whether particular protocols deliver more scientifically valuable sample sets per unit of operational effort, and finds that they do: protocol efficiency is a measurable lever on the science a caching mission can ultimately yield</w:t>
      </w:r>
      <w:r>
        <w:t xml:space="preserve"> </w:t>
      </w:r>
      <w:hyperlink w:anchor="ref-8">
        <w:r>
          <w:rPr>
            <w:rStyle w:val="Hyperlink"/>
          </w:rPr>
          <w:t xml:space="preserve">[8]</w:t>
        </w:r>
      </w:hyperlink>
      <w:r>
        <w:t xml:space="preserve">. The implication for prioritization is subtle and important. The sample-selection protocol is a design choice made downstream of, and partly independent from, an instrument’s priority ranking</w:t>
      </w:r>
      <w:r>
        <w:t xml:space="preserve"> </w:t>
      </w:r>
      <w:hyperlink w:anchor="ref-8">
        <w:r>
          <w:rPr>
            <w:rStyle w:val="Hyperlink"/>
          </w:rPr>
          <w:t xml:space="preserve">[8]</w:t>
        </w:r>
      </w:hyperlink>
      <w:r>
        <w:t xml:space="preserve">. Two caching missions carrying identically prioritized instruments can realize very different science depending on the protocol that governs their selection decisions, which means protocol is a mediator that stands between priority and realized output and that a naive priority-to-output regression would absorb.</w:t>
      </w:r>
    </w:p>
    <w:p>
      <w:pPr>
        <w:pStyle w:val="BodyText"/>
        <w:spacing w:line="480" w:lineRule="auto"/>
        <w:ind w:firstLine="720"/>
      </w:pPr>
      <w:r>
        <w:t xml:space="preserve">The GHOST literature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thus establishes the central confounder that any identification strategy must handle. Operational protocol is a first-order determinant of science yield; it is partly independent of instrument priority; and it has been studied in isolation, as a methodological object in its own right, rather than as a mediator in a cross-mission model of priority and output. The GHOST authors did not aggregate across instruments or missions, and they did not connect protocol to ex ante prioritization. The strand demonstrates that the confounder is real and first-order without joining it to the prioritization question.</w:t>
      </w:r>
    </w:p>
    <w:bookmarkEnd w:id="69"/>
    <w:bookmarkStart w:id="70" w:name="multi-element-campaign-architecture"/>
    <w:p>
      <w:pPr>
        <w:pStyle w:val="Heading3"/>
        <w:spacing w:line="480" w:lineRule="auto"/>
      </w:pPr>
      <w:r>
        <w:t xml:space="preserve">2.2.3 Multi-Element Campaign Architecture</w:t>
      </w:r>
    </w:p>
    <w:p>
      <w:pPr>
        <w:pStyle w:val="FirstParagraph"/>
        <w:spacing w:line="480" w:lineRule="auto"/>
      </w:pPr>
      <w:r>
        <w:t xml:space="preserve">The third regime concerns the architecture of campaigns in which the surface mission is one element of a larger, multi-stage chain. The retrieved literature’s reference case is Mars Sample Return.</w:t>
      </w:r>
    </w:p>
    <w:p>
      <w:pPr>
        <w:pStyle w:val="BodyText"/>
        <w:spacing w:line="480" w:lineRule="auto"/>
        <w:ind w:firstLine="720"/>
      </w:pPr>
      <w:r>
        <w:t xml:space="preserve">Muirhead and colleagues describe the Mars Sample Return campaign concept as a multi-element architecture in which the instrument and sampling decisions made early, on the surface-collection element, propagate through the entire return chain</w:t>
      </w:r>
      <w:r>
        <w:t xml:space="preserve"> </w:t>
      </w:r>
      <w:hyperlink w:anchor="ref-1">
        <w:r>
          <w:rPr>
            <w:rStyle w:val="Hyperlink"/>
          </w:rPr>
          <w:t xml:space="preserve">[1]</w:t>
        </w:r>
      </w:hyperlink>
      <w:r>
        <w:t xml:space="preserve">. The campaign-architecture framing makes explicit a dependency that single-mission analyses obscure: the value of a surface instrument’s output is not realized solely at the surface but is partly deferred into downstream elements, the orbiter, the return vehicle, the terrestrial laboratory, each of which inherits and amplifies or attenuates the choices made upstream</w:t>
      </w:r>
      <w:r>
        <w:t xml:space="preserve"> </w:t>
      </w:r>
      <w:hyperlink w:anchor="ref-1">
        <w:r>
          <w:rPr>
            <w:rStyle w:val="Hyperlink"/>
          </w:rPr>
          <w:t xml:space="preserve">[1]</w:t>
        </w:r>
      </w:hyperlink>
      <w:r>
        <w:t xml:space="preserve">. An instrument that selects and caches a scientifically rich sample set creates option value for the entire campaign; an instrument that does not constrains everything downstream</w:t>
      </w:r>
      <w:r>
        <w:t xml:space="preserve"> </w:t>
      </w:r>
      <w:hyperlink w:anchor="ref-1">
        <w:r>
          <w:rPr>
            <w:rStyle w:val="Hyperlink"/>
          </w:rPr>
          <w:t xml:space="preserve">[1]</w:t>
        </w:r>
      </w:hyperlink>
      <w:r>
        <w:t xml:space="preserve">. This compounds the protocol point from the GHOST studies: in a campaign architecture, protocol decisions are not merely first-order for the local mission but for the multi-decade return enterprise.</w:t>
      </w:r>
    </w:p>
    <w:p>
      <w:pPr>
        <w:pStyle w:val="BodyText"/>
        <w:spacing w:line="480" w:lineRule="auto"/>
        <w:ind w:firstLine="720"/>
      </w:pPr>
      <w:r>
        <w:t xml:space="preserve">The campaign-architecture literature</w:t>
      </w:r>
      <w:r>
        <w:t xml:space="preserve"> </w:t>
      </w:r>
      <w:hyperlink w:anchor="ref-1">
        <w:r>
          <w:rPr>
            <w:rStyle w:val="Hyperlink"/>
          </w:rPr>
          <w:t xml:space="preserve">[1]</w:t>
        </w:r>
      </w:hyperlink>
      <w:r>
        <w:t xml:space="preserve"> </w:t>
      </w:r>
      <w:r>
        <w:t xml:space="preserve">is, again, silent on the measurement of realized output. It describes the propagation structure, the way early decisions condition late value, without quantifying the value that any instrument actually produced. But it supplies the dissertation with the structural rationale for treating caching-and-return missions as a distinct operational regime, one whose realized-output mapping differs from that of a self-contained lander or rover and whose science is partly realized off-platform and on a long clock.</w:t>
      </w:r>
    </w:p>
    <w:bookmarkEnd w:id="70"/>
    <w:bookmarkStart w:id="71" w:name="X59d6c657e8600bbef7ae91386d473f46b583a3c"/>
    <w:p>
      <w:pPr>
        <w:pStyle w:val="Heading3"/>
        <w:spacing w:line="480" w:lineRule="auto"/>
      </w:pPr>
      <w:r>
        <w:t xml:space="preserve">2.2.4 What the Domain-Technical Strand Establishes and Withholds</w:t>
      </w:r>
    </w:p>
    <w:p>
      <w:pPr>
        <w:pStyle w:val="FirstParagraph"/>
        <w:spacing w:line="480" w:lineRule="auto"/>
      </w:pPr>
      <w:r>
        <w:t xml:space="preserve">Across all three regimes, the domain-technical literature converges on a single proposition: the mapping from a prioritized measurement objective to a realized scientific result is mediated by operational context, and the determinants of that context, access, survival, protocol, architecture, are correlated with but distinct from the instrument’s priority ranking</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This is the strand’s positive contribution, and it is indispensable. It tells the dissertation exactly which conditioning variables a credible cross-mission estimate must include and exactly which threats to validity, survivorship, protocol confounding, deferred output, it must address.</w:t>
      </w:r>
    </w:p>
    <w:p>
      <w:pPr>
        <w:pStyle w:val="BodyText"/>
        <w:spacing w:line="480" w:lineRule="auto"/>
        <w:ind w:firstLine="720"/>
      </w:pPr>
      <w:r>
        <w:t xml:space="preserve">What the strand withholds is equally important. Not one of the retrieved domain studies measures the scientific output that instruments produce, and not one connects operational outcomes back to ex ante priority. The literature characterizes the determinants of whether an instrument functions; it does not assemble the record of what functioning instruments actually yielded, and it does not model that yield as a function of prioritization. The output side of the question, the realized, citation-weighted, downstream scientific productivity, lies entirely outside this strand’s frame. That is the lacuna the econometric literature is positioned to fill.</w:t>
      </w:r>
    </w:p>
    <w:bookmarkEnd w:id="71"/>
    <w:bookmarkEnd w:id="72"/>
    <w:bookmarkStart w:id="73" w:name="Xf272ef7c3052133002fdd8f51ed28f3dbb4e2de"/>
    <w:p>
      <w:pPr>
        <w:pStyle w:val="Heading2"/>
        <w:spacing w:line="480" w:lineRule="auto"/>
      </w:pPr>
      <w:r>
        <w:t xml:space="preserve">2.3 Mission-Concept and Instrument-Suite Reasoning at Selection Time</w:t>
      </w:r>
    </w:p>
    <w:p>
      <w:pPr>
        <w:pStyle w:val="FirstParagraph"/>
        <w:spacing w:line="480" w:lineRule="auto"/>
      </w:pPr>
      <w:r>
        <w:t xml:space="preserve">Before turning to the econometric strand, it is worth widening the domain survey to the broader family of mission-concept and instrument-suite studies in the reference pool, because these establish how the planetary and astronomy communities actually reason about instrument value at the moment of selection, which is the moment at which priority is assigned. This family is heterogeneous, but it is unified by a common analytic move: each study argues for a particular instrument complement on the grounds that it serves high-priority objectives at acceptable cost, and each thereby enacts, in concrete terms, the prioritization logic the dissertation seeks to test.</w:t>
      </w:r>
    </w:p>
    <w:p>
      <w:pPr>
        <w:pStyle w:val="BodyText"/>
        <w:spacing w:line="480" w:lineRule="auto"/>
        <w:ind w:firstLine="720"/>
      </w:pPr>
      <w:r>
        <w:t xml:space="preserve">The outer-planet mission-concept studies are the clearest examples. Elder and colleagues, in the OCEANUS Uranus-orbiter concept, argue explicitly for a high science return achieved through a deliberately low-cost instrument suite, a framing that treats the priority of the science objectives and the resource cost of the instruments as the two axes of the selection decision</w:t>
      </w:r>
      <w:r>
        <w:t xml:space="preserve"> </w:t>
      </w:r>
      <w:hyperlink w:anchor="ref-19">
        <w:r>
          <w:rPr>
            <w:rStyle w:val="Hyperlink"/>
          </w:rPr>
          <w:t xml:space="preserve">[19]</w:t>
        </w:r>
      </w:hyperlink>
      <w:r>
        <w:t xml:space="preserve">. Jarmak and colleagues, in the QUEST New Frontiers Uranus-orbiter concept study, perform the same exercise within the New Frontiers cost class, mapping a candidate instrument suite onto the decadal-prioritized Uranus-system objectives and arguing for the suite’s selectability on priority-and-cost grounds</w:t>
      </w:r>
      <w:r>
        <w:t xml:space="preserve"> </w:t>
      </w:r>
      <w:hyperlink w:anchor="ref-21">
        <w:r>
          <w:rPr>
            <w:rStyle w:val="Hyperlink"/>
          </w:rPr>
          <w:t xml:space="preserve">[21]</w:t>
        </w:r>
      </w:hyperlink>
      <w:r>
        <w:t xml:space="preserve">. These two studies</w:t>
      </w:r>
      <w:r>
        <w:t xml:space="preserve"> </w:t>
      </w:r>
      <w:hyperlink w:anchor="ref-19">
        <w:r>
          <w:rPr>
            <w:rStyle w:val="Hyperlink"/>
          </w:rPr>
          <w:t xml:space="preserve">[19]</w:t>
        </w:r>
      </w:hyperlink>
      <w:r>
        <w:t xml:space="preserve">,</w:t>
      </w:r>
      <w:r>
        <w:t xml:space="preserve"> </w:t>
      </w:r>
      <w:hyperlink w:anchor="ref-21">
        <w:r>
          <w:rPr>
            <w:rStyle w:val="Hyperlink"/>
          </w:rPr>
          <w:t xml:space="preserve">[21]</w:t>
        </w:r>
      </w:hyperlink>
      <w:r>
        <w:t xml:space="preserve"> </w:t>
      </w:r>
      <w:r>
        <w:t xml:space="preserve">are valuable to the dissertation not as data points about surface instruments, which they are not, but as articulations of the prioritization calculus itself: they show the community trading science priority against instrument resource cost in exactly the entangled way the identification problem must disentangle.</w:t>
      </w:r>
    </w:p>
    <w:p>
      <w:pPr>
        <w:pStyle w:val="BodyText"/>
        <w:spacing w:line="480" w:lineRule="auto"/>
        <w:ind w:firstLine="720"/>
      </w:pPr>
      <w:r>
        <w:t xml:space="preserve">The planetary-defense and small-body literature supplies a parallel case in which a single instrument-bearing platform serves a sharply prioritized objective whose realized value is measured by a discrete, datable result. Chabot and colleagues report the latest results from the DART Dimorphos impact and look forward to future planetary-defense initiatives, a mission whose entire science return is concentrated in the measured outcome of one prioritized objective</w:t>
      </w:r>
      <w:r>
        <w:t xml:space="preserve"> </w:t>
      </w:r>
      <w:hyperlink w:anchor="ref-18">
        <w:r>
          <w:rPr>
            <w:rStyle w:val="Hyperlink"/>
          </w:rPr>
          <w:t xml:space="preserve">[18]</w:t>
        </w:r>
      </w:hyperlink>
      <w:r>
        <w:t xml:space="preserve">. Merrill and colleagues, in a study of creating a contact binary via spacecraft impact to a near-Earth binary asteroid, extend the impact-mission concept to a new target class, again organizing the instrument and mission concept around a single high-priority objective with a measurable result</w:t>
      </w:r>
      <w:r>
        <w:t xml:space="preserve"> </w:t>
      </w:r>
      <w:hyperlink w:anchor="ref-24">
        <w:r>
          <w:rPr>
            <w:rStyle w:val="Hyperlink"/>
          </w:rPr>
          <w:t xml:space="preserve">[24]</w:t>
        </w:r>
      </w:hyperlink>
      <w:r>
        <w:t xml:space="preserve">. These studies</w:t>
      </w:r>
      <w:r>
        <w:t xml:space="preserve"> </w:t>
      </w:r>
      <w:hyperlink w:anchor="ref-18">
        <w:r>
          <w:rPr>
            <w:rStyle w:val="Hyperlink"/>
          </w:rPr>
          <w:t xml:space="preserve">[18]</w:t>
        </w:r>
      </w:hyperlink>
      <w:r>
        <w:t xml:space="preserve">,</w:t>
      </w:r>
      <w:r>
        <w:t xml:space="preserve"> </w:t>
      </w:r>
      <w:hyperlink w:anchor="ref-24">
        <w:r>
          <w:rPr>
            <w:rStyle w:val="Hyperlink"/>
          </w:rPr>
          <w:t xml:space="preserve">[24]</w:t>
        </w:r>
      </w:hyperlink>
      <w:r>
        <w:t xml:space="preserve"> </w:t>
      </w:r>
      <w:r>
        <w:t xml:space="preserve">reinforce the dissertation’s premise that realized output can be a discrete event whose timing and magnitude are observable, which is precisely the structure the survival specification exploits.</w:t>
      </w:r>
    </w:p>
    <w:p>
      <w:pPr>
        <w:pStyle w:val="BodyText"/>
        <w:spacing w:line="480" w:lineRule="auto"/>
        <w:ind w:firstLine="720"/>
      </w:pPr>
      <w:r>
        <w:t xml:space="preserve">The astrobiology and life-detection family broadens the notion of realized output further. Haqq-Misra and colleagues survey the search for technosignatures in exoplanetary systems with current and future missions, a literature in which the prioritized objective is so ambitious that realized output is necessarily measured in incremental constraint rather than discovery</w:t>
      </w:r>
      <w:r>
        <w:t xml:space="preserve"> </w:t>
      </w:r>
      <w:hyperlink w:anchor="ref-20">
        <w:r>
          <w:rPr>
            <w:rStyle w:val="Hyperlink"/>
          </w:rPr>
          <w:t xml:space="preserve">[20]</w:t>
        </w:r>
      </w:hyperlink>
      <w:r>
        <w:t xml:space="preserve">. The food-systems and life-support literature, represented by Blomqvist and Fritsche’s systems-level review of drivers, requirements, and integration for lunar and Martian food systems</w:t>
      </w:r>
      <w:r>
        <w:t xml:space="preserve"> </w:t>
      </w:r>
      <w:hyperlink w:anchor="ref-22">
        <w:r>
          <w:rPr>
            <w:rStyle w:val="Hyperlink"/>
          </w:rPr>
          <w:t xml:space="preserve">[22]</w:t>
        </w:r>
      </w:hyperlink>
      <w:r>
        <w:t xml:space="preserve">, and the swarm-and-distributed-platform literature, represented by Rajan and colleagues’ study of intelligent swarms for magnetospheric studies</w:t>
      </w:r>
      <w:r>
        <w:t xml:space="preserve"> </w:t>
      </w:r>
      <w:hyperlink w:anchor="ref-23">
        <w:r>
          <w:rPr>
            <w:rStyle w:val="Hyperlink"/>
          </w:rPr>
          <w:t xml:space="preserve">[23]</w:t>
        </w:r>
      </w:hyperlink>
      <w:r>
        <w:t xml:space="preserve">, extend the instrument-complement concept to integrated systems and distributed architectures, where realized scientific output is a property of a system rather than of any single instrument. These studies</w:t>
      </w:r>
      <w:r>
        <w:t xml:space="preserve"> </w:t>
      </w:r>
      <w:hyperlink w:anchor="ref-20">
        <w:r>
          <w:rPr>
            <w:rStyle w:val="Hyperlink"/>
          </w:rPr>
          <w:t xml:space="preserve">[20]</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 </w:t>
      </w:r>
      <w:r>
        <w:t xml:space="preserve">are at the periphery of the dissertation’s surface-instrument frame, but they are instructive because they show how varied the unit of realized output can be, from a single discrete measurement to an integrated system-level capability, and they justify the dissertation’s care in defining its unit of analysis narrowly as the surface instrument.</w:t>
      </w:r>
    </w:p>
    <w:p>
      <w:pPr>
        <w:pStyle w:val="BodyText"/>
        <w:spacing w:line="480" w:lineRule="auto"/>
        <w:ind w:firstLine="720"/>
      </w:pPr>
      <w:r>
        <w:t xml:space="preserve">Finally, the astronomy and survey-telescope literature in the pool establishes the limiting case of instrument-suite reasoning, the large facility justified almost entirely by the priority of the science it enables. The Pan-STARRS project, described by Burgett and Kaiser as the next generation of survey astronomy</w:t>
      </w:r>
      <w:r>
        <w:t xml:space="preserve"> </w:t>
      </w:r>
      <w:hyperlink w:anchor="ref-10">
        <w:r>
          <w:rPr>
            <w:rStyle w:val="Hyperlink"/>
          </w:rPr>
          <w:t xml:space="preserve">[10]</w:t>
        </w:r>
      </w:hyperlink>
      <w:r>
        <w:t xml:space="preserve"> </w:t>
      </w:r>
      <w:r>
        <w:t xml:space="preserve">and by Kaiser in the original concept paper as a new-generation survey-telescope system</w:t>
      </w:r>
      <w:r>
        <w:t xml:space="preserve"> </w:t>
      </w:r>
      <w:hyperlink w:anchor="ref-14">
        <w:r>
          <w:rPr>
            <w:rStyle w:val="Hyperlink"/>
          </w:rPr>
          <w:t xml:space="preserve">[14]</w:t>
        </w:r>
      </w:hyperlink>
      <w:r>
        <w:t xml:space="preserve">, is a facility-scale instrument whose realized output is the cumulative science of an entire community over a decade. The Daniel K. Inouye Solar Telescope, described by Rimmele and the DKIST team</w:t>
      </w:r>
      <w:r>
        <w:t xml:space="preserve"> </w:t>
      </w:r>
      <w:hyperlink w:anchor="ref-11">
        <w:r>
          <w:rPr>
            <w:rStyle w:val="Hyperlink"/>
          </w:rPr>
          <w:t xml:space="preserve">[11]</w:t>
        </w:r>
      </w:hyperlink>
      <w:r>
        <w:t xml:space="preserve">, is the same kind of object for solar physics. The cislunar and space-domain-awareness sensing literature, including Wysack and Ferrant on contrasting architectures for cislunar SDA and STM</w:t>
      </w:r>
      <w:r>
        <w:t xml:space="preserve"> </w:t>
      </w:r>
      <w:hyperlink w:anchor="ref-12">
        <w:r>
          <w:rPr>
            <w:rStyle w:val="Hyperlink"/>
          </w:rPr>
          <w:t xml:space="preserve">[12]</w:t>
        </w:r>
      </w:hyperlink>
      <w:r>
        <w:t xml:space="preserve">, Raub and Krzystyniak on XGEO spacecraft observation methods using ground-based optical telescopes</w:t>
      </w:r>
      <w:r>
        <w:t xml:space="preserve"> </w:t>
      </w:r>
      <w:hyperlink w:anchor="ref-13">
        <w:r>
          <w:rPr>
            <w:rStyle w:val="Hyperlink"/>
          </w:rPr>
          <w:t xml:space="preserve">[13]</w:t>
        </w:r>
      </w:hyperlink>
      <w:r>
        <w:t xml:space="preserve">, Zimmer and colleagues on cislunar SSA from the lunar surface using commercial-off-the-shelf imagers on commercial landers</w:t>
      </w:r>
      <w:r>
        <w:t xml:space="preserve"> </w:t>
      </w:r>
      <w:hyperlink w:anchor="ref-16">
        <w:r>
          <w:rPr>
            <w:rStyle w:val="Hyperlink"/>
          </w:rPr>
          <w:t xml:space="preserve">[16]</w:t>
        </w:r>
      </w:hyperlink>
      <w:r>
        <w:t xml:space="preserve">, Bilka and colleagues on architectural solutions for lunar space-traffic management</w:t>
      </w:r>
      <w:r>
        <w:t xml:space="preserve"> </w:t>
      </w:r>
      <w:hyperlink w:anchor="ref-17">
        <w:r>
          <w:rPr>
            <w:rStyle w:val="Hyperlink"/>
          </w:rPr>
          <w:t xml:space="preserve">[17]</w:t>
        </w:r>
      </w:hyperlink>
      <w:r>
        <w:t xml:space="preserve">, and Mlynczak and colleagues on the NICECube thermospheric-density cubesat for improved space situational awareness</w:t>
      </w:r>
      <w:r>
        <w:t xml:space="preserve"> </w:t>
      </w:r>
      <w:hyperlink w:anchor="ref-15">
        <w:r>
          <w:rPr>
            <w:rStyle w:val="Hyperlink"/>
          </w:rPr>
          <w:t xml:space="preserve">[15]</w:t>
        </w:r>
      </w:hyperlink>
      <w:r>
        <w:t xml:space="preserve">, extends the same instrument-architecture reasoning into the cislunar and near-Earth sensing domain, where instrument selection is again justified by the priority of the operational objective it serves. These facility-scale and sensing-architecture studies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w:t>
      </w:r>
      <w:r>
        <w:t xml:space="preserve">are not surface-instrument cases and do not enter the dissertation’s sample, but they confirm the generality of the prioritization-and-cost calculus across the whole of space-science instrument selection, and they sharpen the dissertation’s claim that the validity of the priority signal is an open and consequential empirical question wherever it is applied.</w:t>
      </w:r>
    </w:p>
    <w:p>
      <w:pPr>
        <w:pStyle w:val="BodyText"/>
        <w:spacing w:line="480" w:lineRule="auto"/>
        <w:ind w:firstLine="720"/>
      </w:pPr>
      <w:r>
        <w:t xml:space="preserve">The lesson of this wider survey is that the prioritization logic the dissertation tests is not idiosyncratic to surface missions. It is the common operating logic of space-science instrument selection, enacted in every mission-concept study that trades objective priority against instrument cost</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4">
        <w:r>
          <w:rPr>
            <w:rStyle w:val="Hyperlink"/>
          </w:rPr>
          <w:t xml:space="preserve">[24]</w:t>
        </w:r>
      </w:hyperlink>
      <w:r>
        <w:t xml:space="preserve">. Yet none of these studies closes the loop by measuring whether the priority that justified an instrument’s selection actually predicted the science the instrument later realized. They argue forward, from objective to suite to selection. They never look back. The move from realized output to the priority that anticipated it is the one they do not make. That backward-looking, output-validating estimate is what the dissertation supplies, and it is the move the econometric strand makes possible.</w:t>
      </w:r>
    </w:p>
    <w:bookmarkEnd w:id="73"/>
    <w:bookmarkStart w:id="78"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second literature the dissertation joins is the quantitative methodology of valuing, modeling, and attributing scientific and economic output. Where the domain-technical strand is rich on determinants and silent on output, this strand is precise on output and identification but has rarely been applied to the surface-instrument prioritization question. The review here organizes it into four components: the valuation of science as economic output, program-level regression evidence on architecture and cost, time-series forecasting of aerospace output, and the identification problem of separating a signal from the resources it attracts.</w:t>
      </w:r>
    </w:p>
    <w:bookmarkStart w:id="74" w:name="Xe134aa9ee974add087cfa2cf9a3954dd636c309"/>
    <w:p>
      <w:pPr>
        <w:pStyle w:val="Heading3"/>
        <w:spacing w:line="480" w:lineRule="auto"/>
      </w:pPr>
      <w:r>
        <w:t xml:space="preserve">2.4.1 The Valuation of Science as Economic Output</w:t>
      </w:r>
    </w:p>
    <w:p>
      <w:pPr>
        <w:pStyle w:val="FirstParagraph"/>
        <w:spacing w:line="480" w:lineRule="auto"/>
      </w:pPr>
      <w:r>
        <w:t xml:space="preserve">The foundational difficulty the dissertation inherits from this strand is that science output resists clean valuation. Weinzierl’s treatment of space as the final economic frontier engages directly with the problem of assigning value to science produced on research platforms such as the International Space Station, and surfaces the pragmatist and hermeneutic difficulty of valuation itself</w:t>
      </w:r>
      <w:r>
        <w:t xml:space="preserve"> </w:t>
      </w:r>
      <w:hyperlink w:anchor="ref-9">
        <w:r>
          <w:rPr>
            <w:rStyle w:val="Hyperlink"/>
          </w:rPr>
          <w:t xml:space="preserve">[9]</w:t>
        </w:r>
      </w:hyperlink>
      <w:r>
        <w:t xml:space="preserve">. The Weinzierl analysis is the dissertation’s warrant for treating realized scientific output as a measurable but irreducibly ambiguous quantity, and for reporting it under multiple operationalizations rather than committing to a single number</w:t>
      </w:r>
      <w:r>
        <w:t xml:space="preserve"> </w:t>
      </w:r>
      <w:hyperlink w:anchor="ref-9">
        <w:r>
          <w:rPr>
            <w:rStyle w:val="Hyperlink"/>
          </w:rPr>
          <w:t xml:space="preserve">[9]</w:t>
        </w:r>
      </w:hyperlink>
      <w:r>
        <w:t xml:space="preserve">. It supplies the conceptual permission to measure output while remaining honest about the limits of any one measure.</w:t>
      </w:r>
    </w:p>
    <w:p>
      <w:pPr>
        <w:pStyle w:val="BodyText"/>
        <w:spacing w:line="480" w:lineRule="auto"/>
        <w:ind w:firstLine="720"/>
      </w:pPr>
      <w:r>
        <w:t xml:space="preserve">The valuation difficulty is not merely philosophical; it has direct methodological consequences that recur throughout the dissertation. The attribution problem, that a single publication often draws on several instruments and cannot be cleanly partitioned among them, is a specific instance of the Weinzierl valuation difficulty</w:t>
      </w:r>
      <w:r>
        <w:t xml:space="preserve"> </w:t>
      </w:r>
      <w:hyperlink w:anchor="ref-9">
        <w:r>
          <w:rPr>
            <w:rStyle w:val="Hyperlink"/>
          </w:rPr>
          <w:t xml:space="preserve">[9]</w:t>
        </w:r>
      </w:hyperlink>
      <w:r>
        <w:t xml:space="preserve">. The choice among raw publication count, citation-weighted count, and field-normalized citation measure is a response to the same difficulty, an acknowledgment that no single operationalization captures the value cleanly and that robustness across operationalizations is the only defensible posture</w:t>
      </w:r>
      <w:r>
        <w:t xml:space="preserve"> </w:t>
      </w:r>
      <w:hyperlink w:anchor="ref-9">
        <w:r>
          <w:rPr>
            <w:rStyle w:val="Hyperlink"/>
          </w:rPr>
          <w:t xml:space="preserve">[9]</w:t>
        </w:r>
      </w:hyperlink>
      <w:r>
        <w:t xml:space="preserve">. The valuation strand thus does double duty: it motivates the very measurement the dissertation attempts and it bounds the confidence with which any measurement can be reported.</w:t>
      </w:r>
    </w:p>
    <w:bookmarkEnd w:id="74"/>
    <w:bookmarkStart w:id="75" w:name="Xed139ec38e9928d0fd98c501af7bbe3cbed3755"/>
    <w:p>
      <w:pPr>
        <w:pStyle w:val="Heading3"/>
        <w:spacing w:line="480" w:lineRule="auto"/>
      </w:pPr>
      <w:r>
        <w:t xml:space="preserve">2.4.2 Program-Level Regression Evidence on Architecture and Cost</w:t>
      </w:r>
    </w:p>
    <w:p>
      <w:pPr>
        <w:pStyle w:val="FirstParagraph"/>
        <w:spacing w:line="480" w:lineRule="auto"/>
      </w:pPr>
      <w:r>
        <w:t xml:space="preserve">The second component supplies the regression vocabulary and the direct evidence that architecture-level resource variables carry measurable explanatory weight. The study of architectural socio-technological transformative change of space-use norms relates architecture decisions to overall program cost across a set of programs, and in doing so establishes that resource and architecture variables are not nuisance terms but first-order explanatory factors in program outcomes</w:t>
      </w:r>
      <w:r>
        <w:t xml:space="preserve"> </w:t>
      </w:r>
      <w:hyperlink w:anchor="ref-3">
        <w:r>
          <w:rPr>
            <w:rStyle w:val="Hyperlink"/>
          </w:rPr>
          <w:t xml:space="preserve">[3]</w:t>
        </w:r>
      </w:hyperlink>
      <w:r>
        <w:t xml:space="preserve">. For the dissertation this is the pivotal methodological precedent, because it confirms that a regression of any program outcome on priority alone would recover a combined priority-plus-resources effect rather than the priority signal in isolation</w:t>
      </w:r>
      <w:r>
        <w:t xml:space="preserve"> </w:t>
      </w:r>
      <w:hyperlink w:anchor="ref-3">
        <w:r>
          <w:rPr>
            <w:rStyle w:val="Hyperlink"/>
          </w:rPr>
          <w:t xml:space="preserve">[3]</w:t>
        </w:r>
      </w:hyperlink>
      <w:r>
        <w:t xml:space="preserve">.</w:t>
      </w:r>
    </w:p>
    <w:p>
      <w:pPr>
        <w:pStyle w:val="BodyText"/>
        <w:spacing w:line="480" w:lineRule="auto"/>
        <w:ind w:firstLine="720"/>
      </w:pPr>
      <w:r>
        <w:t xml:space="preserve">The program-cost evidence does more than warn of confounding; it motivates the functional form of the dissertation’s controls. By demonstrating that architecture-level resource variables carry measurable weight in cost regressions, it justifies entering instrument resource allocation, operationalized as mass-and-cost share of the mission, as an explicit control in the productivity model</w:t>
      </w:r>
      <w:r>
        <w:t xml:space="preserve"> </w:t>
      </w:r>
      <w:hyperlink w:anchor="ref-3">
        <w:r>
          <w:rPr>
            <w:rStyle w:val="Hyperlink"/>
          </w:rPr>
          <w:t xml:space="preserve">[3]</w:t>
        </w:r>
      </w:hyperlink>
      <w:r>
        <w:t xml:space="preserve">. The estimate of the priority coefficient is then identified within strata of comparable resourcing, which is the only way to read the priority signal net of the budgets it attracts. The program-regression strand is therefore both the source of the confounding diagnosis and the source of its remedy.</w:t>
      </w:r>
    </w:p>
    <w:bookmarkEnd w:id="75"/>
    <w:bookmarkStart w:id="76" w:name="X3f6cc79d0b12569014a1d3b717489e0740a2332"/>
    <w:p>
      <w:pPr>
        <w:pStyle w:val="Heading3"/>
        <w:spacing w:line="480" w:lineRule="auto"/>
      </w:pPr>
      <w:r>
        <w:t xml:space="preserve">2.4.3 Time-Series Forecasting of Aerospace Output</w:t>
      </w:r>
    </w:p>
    <w:p>
      <w:pPr>
        <w:pStyle w:val="FirstParagraph"/>
        <w:spacing w:line="480" w:lineRule="auto"/>
      </w:pPr>
      <w:r>
        <w:t xml:space="preserve">The third component addresses the temporal dimension of output measurement. The OCEA forecasting work models the space economy with autoregressive structure, treating aerospace output as a time series whose level and growth are governed by period-specific dynamics</w:t>
      </w:r>
      <w:r>
        <w:t xml:space="preserve"> </w:t>
      </w:r>
      <w:hyperlink w:anchor="ref-2">
        <w:r>
          <w:rPr>
            <w:rStyle w:val="Hyperlink"/>
          </w:rPr>
          <w:t xml:space="preserve">[2]</w:t>
        </w:r>
      </w:hyperlink>
      <w:r>
        <w:t xml:space="preserve">. The relevance to the dissertation is that publication and citation behavior, like aerospace output more broadly, drifts over time: citation practices and publication volume change over decades, so an instrument deployed in one era and an instrument deployed in another are not directly comparable on a raw output measure</w:t>
      </w:r>
      <w:r>
        <w:t xml:space="preserve"> </w:t>
      </w:r>
      <w:hyperlink w:anchor="ref-2">
        <w:r>
          <w:rPr>
            <w:rStyle w:val="Hyperlink"/>
          </w:rPr>
          <w:t xml:space="preserve">[2]</w:t>
        </w:r>
      </w:hyperlink>
      <w:r>
        <w:t xml:space="preserve">. The forecasting strand supplies the rationale for mission-era fixed effects and for field-normalized citation measures, both of which absorb the secular drift that would otherwise contaminate a cross-era comparison</w:t>
      </w:r>
      <w:r>
        <w:t xml:space="preserve"> </w:t>
      </w:r>
      <w:hyperlink w:anchor="ref-2">
        <w:r>
          <w:rPr>
            <w:rStyle w:val="Hyperlink"/>
          </w:rPr>
          <w:t xml:space="preserve">[2]</w:t>
        </w:r>
      </w:hyperlink>
      <w:r>
        <w:t xml:space="preserve">.</w:t>
      </w:r>
    </w:p>
    <w:p>
      <w:pPr>
        <w:pStyle w:val="BodyText"/>
        <w:spacing w:line="480" w:lineRule="auto"/>
        <w:ind w:firstLine="720"/>
      </w:pPr>
      <w:r>
        <w:t xml:space="preserve">The forecasting literature’s autoregressive framing also reinforces a subtler methodological point about right-censoring. Because output accumulates over time and the most recent instruments have had less time to accumulate it, any cross-sectional snapshot understates the eventual output of late-deployed instruments</w:t>
      </w:r>
      <w:r>
        <w:t xml:space="preserve"> </w:t>
      </w:r>
      <w:hyperlink w:anchor="ref-2">
        <w:r>
          <w:rPr>
            <w:rStyle w:val="Hyperlink"/>
          </w:rPr>
          <w:t xml:space="preserve">[2]</w:t>
        </w:r>
      </w:hyperlink>
      <w:r>
        <w:t xml:space="preserve">. The dissertation’s survival specification, which models time to first peer-reviewed output rather than an accumulated count, is in part a response to this temporal structure, and the period effects the era term absorbs are exactly the kind of secular dynamics the OCEA forecasting model formalizes</w:t>
      </w:r>
      <w:r>
        <w:t xml:space="preserve"> </w:t>
      </w:r>
      <w:hyperlink w:anchor="ref-2">
        <w:r>
          <w:rPr>
            <w:rStyle w:val="Hyperlink"/>
          </w:rPr>
          <w:t xml:space="preserve">[2]</w:t>
        </w:r>
      </w:hyperlink>
      <w:r>
        <w:t xml:space="preserve">. The forecasting strand thus connects the stock measure and the timing measure through a shared concern with temporal comparability.</w:t>
      </w:r>
    </w:p>
    <w:bookmarkEnd w:id="76"/>
    <w:bookmarkStart w:id="77" w:name="the-identification-problem"/>
    <w:p>
      <w:pPr>
        <w:pStyle w:val="Heading3"/>
        <w:spacing w:line="480" w:lineRule="auto"/>
      </w:pPr>
      <w:r>
        <w:t xml:space="preserve">2.4.4 The Identification Problem</w:t>
      </w:r>
    </w:p>
    <w:p>
      <w:pPr>
        <w:pStyle w:val="FirstParagraph"/>
        <w:spacing w:line="480" w:lineRule="auto"/>
      </w:pPr>
      <w:r>
        <w:t xml:space="preserve">The fourth and unifying component of the econometric strand is the identification problem itself: how to recover the independent association between a signal and an outcome when the signal is entangled with the resources it commands. The dissertation’s central analytic difficulty, that high-priority instruments attract larger budgets so that a naive correlation between priority and output cannot separate the value of the priority signal from the value of the resources it attracts</w:t>
      </w:r>
      <w:r>
        <w:t xml:space="preserve"> </w:t>
      </w:r>
      <w:hyperlink w:anchor="ref-3">
        <w:r>
          <w:rPr>
            <w:rStyle w:val="Hyperlink"/>
          </w:rPr>
          <w:t xml:space="preserve">[3]</w:t>
        </w:r>
      </w:hyperlink>
      <w:r>
        <w:t xml:space="preserve">, is a canonical confounding problem, and the program-regression evidence</w:t>
      </w:r>
      <w:r>
        <w:t xml:space="preserve"> </w:t>
      </w:r>
      <w:hyperlink w:anchor="ref-3">
        <w:r>
          <w:rPr>
            <w:rStyle w:val="Hyperlink"/>
          </w:rPr>
          <w:t xml:space="preserve">[3]</w:t>
        </w:r>
      </w:hyperlink>
      <w:r>
        <w:t xml:space="preserve"> </w:t>
      </w:r>
      <w:r>
        <w:t xml:space="preserve">together with the valuation framing</w:t>
      </w:r>
      <w:r>
        <w:t xml:space="preserve"> </w:t>
      </w:r>
      <w:hyperlink w:anchor="ref-9">
        <w:r>
          <w:rPr>
            <w:rStyle w:val="Hyperlink"/>
          </w:rPr>
          <w:t xml:space="preserve">[9]</w:t>
        </w:r>
      </w:hyperlink>
      <w:r>
        <w:t xml:space="preserve"> </w:t>
      </w:r>
      <w:r>
        <w:t xml:space="preserve">supplies the apparatus to address it.</w:t>
      </w:r>
    </w:p>
    <w:p>
      <w:pPr>
        <w:pStyle w:val="BodyText"/>
        <w:spacing w:line="480" w:lineRule="auto"/>
        <w:ind w:firstLine="720"/>
      </w:pPr>
      <w:r>
        <w:t xml:space="preserve">The dissertation’s identification strategy assembles that apparatus in three layers, each licensed by a specific strand of the reviewed literature. The first layer enters resource allocation directly as a control, licensed by the program-cost evidence that resource variables carry real explanatory weight</w:t>
      </w:r>
      <w:r>
        <w:t xml:space="preserve"> </w:t>
      </w:r>
      <w:hyperlink w:anchor="ref-3">
        <w:r>
          <w:rPr>
            <w:rStyle w:val="Hyperlink"/>
          </w:rPr>
          <w:t xml:space="preserve">[3]</w:t>
        </w:r>
      </w:hyperlink>
      <w:r>
        <w:t xml:space="preserve">. The second layer enters engineering capability, characterized independently of priority and with its dimensions drawn from the domain-technical literature on what determines whether a surface instrument functions and reaches its target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third layer conditions on operational regime, the mediator the science-operations methodology identifies as first-order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entered as a stratifying covariate and interacted with priority to test whether any residual priority effect is general or concentrated in a particular operational context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This three-layer strategy is the concrete point at which the two literatures are forced to operate together: the econometric strand supplies the regression and identification logic, and the domain-technical strand supplies the variables that the logic conditions on.</w:t>
      </w:r>
    </w:p>
    <w:bookmarkEnd w:id="77"/>
    <w:bookmarkEnd w:id="78"/>
    <w:bookmarkStart w:id="79" w:name="synthesis-and-the-gap"/>
    <w:p>
      <w:pPr>
        <w:pStyle w:val="Heading2"/>
        <w:spacing w:line="480" w:lineRule="auto"/>
      </w:pPr>
      <w:r>
        <w:t xml:space="preserve">2.5 Synthesis and the Gap</w:t>
      </w:r>
    </w:p>
    <w:p>
      <w:pPr>
        <w:pStyle w:val="FirstParagraph"/>
        <w:spacing w:line="480" w:lineRule="auto"/>
      </w:pPr>
      <w:r>
        <w:t xml:space="preserve">Set side by side, the two literatures prove almost exactly complementary. The domain-technical strand establishes that realized surface-instrument output is mediated by operational regime, that access and survival gate whether an instrument produces anything</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protocol governs how much it produces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that campaign architecture defers and compounds its value</w:t>
      </w:r>
      <w:r>
        <w:t xml:space="preserve"> </w:t>
      </w:r>
      <w:hyperlink w:anchor="ref-1">
        <w:r>
          <w:rPr>
            <w:rStyle w:val="Hyperlink"/>
          </w:rPr>
          <w:t xml:space="preserve">[1]</w:t>
        </w:r>
      </w:hyperlink>
      <w:r>
        <w:t xml:space="preserve">. But that strand never measures the output and never connects it to ex ante priority. The econometric strand establishes how to measure science as output despite the valuation difficulty</w:t>
      </w:r>
      <w:r>
        <w:t xml:space="preserve"> </w:t>
      </w:r>
      <w:hyperlink w:anchor="ref-9">
        <w:r>
          <w:rPr>
            <w:rStyle w:val="Hyperlink"/>
          </w:rPr>
          <w:t xml:space="preserve">[9]</w:t>
        </w:r>
      </w:hyperlink>
      <w:r>
        <w:t xml:space="preserve">, how to enter resources and architecture as controls that carry real explanatory weight</w:t>
      </w:r>
      <w:r>
        <w:t xml:space="preserve"> </w:t>
      </w:r>
      <w:hyperlink w:anchor="ref-3">
        <w:r>
          <w:rPr>
            <w:rStyle w:val="Hyperlink"/>
          </w:rPr>
          <w:t xml:space="preserve">[3]</w:t>
        </w:r>
      </w:hyperlink>
      <w:r>
        <w:t xml:space="preserve">, how to absorb secular temporal drift in publication behavior</w:t>
      </w:r>
      <w:r>
        <w:t xml:space="preserve"> </w:t>
      </w:r>
      <w:hyperlink w:anchor="ref-2">
        <w:r>
          <w:rPr>
            <w:rStyle w:val="Hyperlink"/>
          </w:rPr>
          <w:t xml:space="preserve">[2]</w:t>
        </w:r>
      </w:hyperlink>
      <w:r>
        <w:t xml:space="preserve">, and how to separate a signal from the resources it attracts</w:t>
      </w:r>
      <w:r>
        <w:t xml:space="preserve"> </w:t>
      </w:r>
      <w:hyperlink w:anchor="ref-3">
        <w:r>
          <w:rPr>
            <w:rStyle w:val="Hyperlink"/>
          </w:rPr>
          <w:t xml:space="preserve">[3]</w:t>
        </w:r>
      </w:hyperlink>
      <w:r>
        <w:t xml:space="preserve">. But that strand has never been applied to the specific question of whether decadal priority predicts instrument-level surface-science productivity. Each literature holds exactly the piece the other is missing. Neither has reached across.</w:t>
      </w:r>
    </w:p>
    <w:p>
      <w:pPr>
        <w:pStyle w:val="BodyText"/>
        <w:spacing w:line="480" w:lineRule="auto"/>
        <w:ind w:firstLine="720"/>
      </w:pPr>
      <w:r>
        <w:t xml:space="preserve">The gap is the join. No retrieved work links the ex ante decadal prioritization of a surface instrument to its realized, citation-weighted scientific output while conditioning on the operational regime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and the resource allocation</w:t>
      </w:r>
      <w:r>
        <w:t xml:space="preserve"> </w:t>
      </w:r>
      <w:hyperlink w:anchor="ref-3">
        <w:r>
          <w:rPr>
            <w:rStyle w:val="Hyperlink"/>
          </w:rPr>
          <w:t xml:space="preserve">[3]</w:t>
        </w:r>
      </w:hyperlink>
      <w:r>
        <w:t xml:space="preserve"> </w:t>
      </w:r>
      <w:r>
        <w:t xml:space="preserve">that the prior literature shows are first-order. The domain-technical literature looks forward from objective to instrument and stops at the determinants of function. The mission-concept literature looks forward from objective to suite to selection and stops at the selection decision</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4">
        <w:r>
          <w:rPr>
            <w:rStyle w:val="Hyperlink"/>
          </w:rPr>
          <w:t xml:space="preserve">[24]</w:t>
        </w:r>
      </w:hyperlink>
      <w:r>
        <w:t xml:space="preserve">. The econometric literature builds the measurement and identification machinery but points it at program cost</w:t>
      </w:r>
      <w:r>
        <w:t xml:space="preserve"> </w:t>
      </w:r>
      <w:hyperlink w:anchor="ref-3">
        <w:r>
          <w:rPr>
            <w:rStyle w:val="Hyperlink"/>
          </w:rPr>
          <w:t xml:space="preserve">[3]</w:t>
        </w:r>
      </w:hyperlink>
      <w:r>
        <w:t xml:space="preserve">, economy-scale output</w:t>
      </w:r>
      <w:r>
        <w:t xml:space="preserve"> </w:t>
      </w:r>
      <w:hyperlink w:anchor="ref-2">
        <w:r>
          <w:rPr>
            <w:rStyle w:val="Hyperlink"/>
          </w:rPr>
          <w:t xml:space="preserve">[2]</w:t>
        </w:r>
      </w:hyperlink>
      <w:r>
        <w:t xml:space="preserve">, or platform valuation in general</w:t>
      </w:r>
      <w:r>
        <w:t xml:space="preserve"> </w:t>
      </w:r>
      <w:hyperlink w:anchor="ref-9">
        <w:r>
          <w:rPr>
            <w:rStyle w:val="Hyperlink"/>
          </w:rPr>
          <w:t xml:space="preserve">[9]</w:t>
        </w:r>
      </w:hyperlink>
      <w:r>
        <w:t xml:space="preserve">, never at the prioritization-to-productivity question for surface instruments. The backward-looking estimate, the one that takes realized output as given and asks whether priority predicted it net of capability and resources, has not been made.</w:t>
      </w:r>
    </w:p>
    <w:p>
      <w:pPr>
        <w:pStyle w:val="BodyText"/>
        <w:spacing w:line="480" w:lineRule="auto"/>
        <w:ind w:firstLine="720"/>
      </w:pPr>
      <w:r>
        <w:t xml:space="preserve">The consequence of this unjoined state is that a question with real allocative stakes has been left empirically open. Decadal surveys consume substantial community effort and carry genuine allocative authority, and the implicit theory of the prioritization process, that assigning high priority causes more downstream science, is assumed rather than tested. If assigned priority does not predict realized output once capability and resources are controlled, the prioritization process is allocating attention on a signal with no measured downstream validity, and the community should know it. If priority does predict output net of resources, that is direct evidence the consensus process encodes information beyond willingness to fund, which justifies its cost. Either result is decision-relevant, and neither has been established, because the join that would establish it has not been attempted.</w:t>
      </w:r>
    </w:p>
    <w:p>
      <w:pPr>
        <w:pStyle w:val="BodyText"/>
        <w:spacing w:line="480" w:lineRule="auto"/>
        <w:ind w:firstLine="720"/>
      </w:pPr>
      <w:r>
        <w:t xml:space="preserve">It is worth being precise about why the join has not been made, because the reasons are instructive about the contribution. First, the two literatures sit in different scholarly communities with different objects of study: the domain-technical strand is the province of mission engineers and field-science methodologists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the econometric strand is the province of space economists and quantitative analysts</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9">
        <w:r>
          <w:rPr>
            <w:rStyle w:val="Hyperlink"/>
          </w:rPr>
          <w:t xml:space="preserve">[9]</w:t>
        </w:r>
      </w:hyperlink>
      <w:r>
        <w:t xml:space="preserve">, and the communities rarely co-author. Second, the data required for the join are scattered across archives that no single community routinely assembles: the instrument frame and operational-regime metadata live in mission archives, the priority codings live in the published decadal surveys, the output measures live in bibliometric databases, and the resource codings live in technical-report repositories, and joining them requires a deliberate cross-archive linkage keyed on documented identifiers. Third, the attribution and survivorship difficulties that the valuation</w:t>
      </w:r>
      <w:r>
        <w:t xml:space="preserve"> </w:t>
      </w:r>
      <w:hyperlink w:anchor="ref-9">
        <w:r>
          <w:rPr>
            <w:rStyle w:val="Hyperlink"/>
          </w:rPr>
          <w:t xml:space="preserve">[9]</w:t>
        </w:r>
      </w:hyperlink>
      <w:r>
        <w:t xml:space="preserve"> </w:t>
      </w:r>
      <w:r>
        <w:t xml:space="preserve">and survival</w:t>
      </w:r>
      <w:r>
        <w:t xml:space="preserve"> </w:t>
      </w:r>
      <w:hyperlink w:anchor="ref-5">
        <w:r>
          <w:rPr>
            <w:rStyle w:val="Hyperlink"/>
          </w:rPr>
          <w:t xml:space="preserve">[5]</w:t>
        </w:r>
      </w:hyperlink>
      <w:r>
        <w:t xml:space="preserve"> </w:t>
      </w:r>
      <w:r>
        <w:t xml:space="preserve">literatures flag are real deterrents: assigning output to instruments and separating non-production-by-failure from non-production-by-low-yield are genuine methodological obstacles that have plausibly discouraged prior attempts. The dissertation’s contribution is to overcome these three obstacles deliberately, by reading both literatures as one, by assembling the cross-archive linkage from public sources, and by addressing attribution and survivorship head-on rather than treating them as reasons not to proceed.</w:t>
      </w:r>
    </w:p>
    <w:bookmarkEnd w:id="79"/>
    <w:bookmarkStart w:id="80" w:name="how-the-dissertation-closes-the-gap"/>
    <w:p>
      <w:pPr>
        <w:pStyle w:val="Heading2"/>
        <w:spacing w:line="480" w:lineRule="auto"/>
      </w:pPr>
      <w:r>
        <w:t xml:space="preserve">2.6 How the Dissertation Closes the Gap</w:t>
      </w:r>
    </w:p>
    <w:p>
      <w:pPr>
        <w:pStyle w:val="FirstParagraph"/>
        <w:spacing w:line="480" w:lineRule="auto"/>
      </w:pPr>
      <w:r>
        <w:t xml:space="preserve">The dissertation closes the gap by constructing the join the two literatures jointly imply but neither has built. It takes the surface instrument as the unit of analysis, drawing the unit frame and the operational-regime metadata from the domain-technical strand’s account of what mediates realized output</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It measures realized output as citation-weighted publication productivity, drawing the measurement posture and its multiple operationalizations from the valuation strand’s account of how to value science honestly despite the attribution difficulty</w:t>
      </w:r>
      <w:r>
        <w:t xml:space="preserve"> </w:t>
      </w:r>
      <w:hyperlink w:anchor="ref-9">
        <w:r>
          <w:rPr>
            <w:rStyle w:val="Hyperlink"/>
          </w:rPr>
          <w:t xml:space="preserve">[9]</w:t>
        </w:r>
      </w:hyperlink>
      <w:r>
        <w:t xml:space="preserve">. It enters resource allocation and engineering capability as controls, drawing the regression and identification logic from the program-cost strand’s demonstration that resource variables carry real weight</w:t>
      </w:r>
      <w:r>
        <w:t xml:space="preserve"> </w:t>
      </w:r>
      <w:hyperlink w:anchor="ref-3">
        <w:r>
          <w:rPr>
            <w:rStyle w:val="Hyperlink"/>
          </w:rPr>
          <w:t xml:space="preserve">[3]</w:t>
        </w:r>
      </w:hyperlink>
      <w:r>
        <w:t xml:space="preserve"> </w:t>
      </w:r>
      <w:r>
        <w:t xml:space="preserve">and the capability dimensions from the engineering determinants in the domain-technical strand</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It absorbs secular temporal drift with mission-era fixed effects, drawing that move from the forecasting strand’s autoregressive treatment of aerospace output</w:t>
      </w:r>
      <w:r>
        <w:t xml:space="preserve"> </w:t>
      </w:r>
      <w:hyperlink w:anchor="ref-2">
        <w:r>
          <w:rPr>
            <w:rStyle w:val="Hyperlink"/>
          </w:rPr>
          <w:t xml:space="preserve">[2]</w:t>
        </w:r>
      </w:hyperlink>
      <w:r>
        <w:t xml:space="preserve">. And it conditions on operational regime, entered as a stratifying covariate and interacted with priority, drawing the regime taxonomy from the science-operations methodology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and the campaign-architecture structure from the multi-element-mission literature</w:t>
      </w:r>
      <w:r>
        <w:t xml:space="preserve"> </w:t>
      </w:r>
      <w:hyperlink w:anchor="ref-1">
        <w:r>
          <w:rPr>
            <w:rStyle w:val="Hyperlink"/>
          </w:rPr>
          <w:t xml:space="preserve">[1]</w:t>
        </w:r>
      </w:hyperlink>
      <w:r>
        <w:t xml:space="preserve">.</w:t>
      </w:r>
    </w:p>
    <w:p>
      <w:pPr>
        <w:pStyle w:val="BodyText"/>
        <w:spacing w:line="480" w:lineRule="auto"/>
        <w:ind w:firstLine="720"/>
      </w:pPr>
      <w:r>
        <w:t xml:space="preserve">The single falsifiable claim that results from this construction is sharp. Conditional on instrument engineering capability and mission resource allocation, ex ante decadal priority has either no independent association with realized science productivity, in which case the priority coefficient is zero and the prioritization signal carries no measured downstream validity, or a strictly positive association, in which case the consensus process encodes information beyond willingness to fund. The two companion analyses of this dissertation implement the join on its two natural margins, the stock of output through a cross-sectional fixed-effects model and the timing of the first result through a survival model, and both margins are licensed by the same union of the two literatures reviewed here. The contribution of the dissertation is therefore not a new instrument, a new mission, or a new dataset built from proprietary access, but a new join: the first cross-mission estimate of whether decadal priority predicts the science that surface instruments realize, assembled from public sources and conditioned on exactly the operational and resource structure that the two prior literatures, read together, show to be first-order.</w:t>
      </w:r>
    </w:p>
    <w:bookmarkEnd w:id="80"/>
    <w:bookmarkEnd w:id="81"/>
    <w:bookmarkStart w:id="90" w:name="Xcfcc00a3ded59aed0c781c16bfc121f2a509603"/>
    <w:p>
      <w:pPr>
        <w:pStyle w:val="Heading1"/>
        <w:spacing w:line="480" w:lineRule="auto"/>
      </w:pPr>
      <w:r>
        <w:t xml:space="preserve">Chapter 3. Theoretical Framework and Hypotheses</w:t>
      </w:r>
    </w:p>
    <w:bookmarkStart w:id="82" w:name="purpose-and-scope-of-the-chapter"/>
    <w:p>
      <w:pPr>
        <w:pStyle w:val="Heading2"/>
        <w:spacing w:line="480" w:lineRule="auto"/>
      </w:pPr>
      <w:r>
        <w:t xml:space="preserve">3.1 Purpose and Scope of the Chapter</w:t>
      </w:r>
    </w:p>
    <w:p>
      <w:pPr>
        <w:pStyle w:val="FirstParagraph"/>
        <w:spacing w:line="480" w:lineRule="auto"/>
      </w:pPr>
      <w:r>
        <w:t xml:space="preserve">This chapter constructs the theoretical apparatus that the empirical chapters test. The preceding chapters established the institutional fact at the center of the dissertation: planetary surface missions carry a fixed instrument complement chosen years before launch, and that complement is shaped by the priorities articulated through decadal-survey consensus. What remains is to make explicit the theory that the prioritization process embodies, to render its causal logic in a form that can be confronted with the observable record, and to state the hypotheses that the negative-binomial and survival specifications will adjudicate. The chapter does three things in sequence. It articulates the implicit theory of prioritization as a causal claim, names the mechanisms through which assigned priority could plausibly raise realized science productivity, and isolates the single confound that any honest test of that claim must defeat. It then resolves that confound into an identification strategy and restates it as the formal null and alternative hypotheses, H0 and H1.</w:t>
      </w:r>
    </w:p>
    <w:p>
      <w:pPr>
        <w:pStyle w:val="BodyText"/>
        <w:spacing w:line="480" w:lineRule="auto"/>
        <w:ind w:firstLine="720"/>
      </w:pPr>
      <w:r>
        <w:t xml:space="preserve">The theoretical contribution of the chapter is modest by design, and the modesty is the point. The dissertation does not propose a new theory of how scientific value is produced on planetary surfaces. It takes the theory the decadal process already assumes, exposes it as a falsifiable causal proposition, and builds the framework needed to determine whether the proposition survives contact with data. A consensus institution that allocates community attention and shapes federal investment on the strength of an unstated causal claim deserves to have that claim stated and tested, and that is the work of this chapter.</w:t>
      </w:r>
    </w:p>
    <w:bookmarkEnd w:id="82"/>
    <w:bookmarkStart w:id="83" w:name="the-implicit-theory-of-prioritization"/>
    <w:p>
      <w:pPr>
        <w:pStyle w:val="Heading2"/>
        <w:spacing w:line="480" w:lineRule="auto"/>
      </w:pPr>
      <w:r>
        <w:t xml:space="preserve">3.2 The Implicit Theory of Prioritization</w:t>
      </w:r>
    </w:p>
    <w:p>
      <w:pPr>
        <w:pStyle w:val="FirstParagraph"/>
        <w:spacing w:line="480" w:lineRule="auto"/>
      </w:pPr>
      <w:r>
        <w:t xml:space="preserve">Every decadal survey performs an act of ranking. It places measurement objectives, and by extension the instrument classes that serve them, into an ordered hierarchy of scientific priority. Astrobiology, geochemistry, habitability, and interior structure sit near the top of that hierarchy; atmospheric and meteorological monitoring and technology demonstration sit lower. The ranking is not decorative. It carries allocative authority, it disciplines mission concept studies, and it shapes the instrument selections that program offices defend before review panels. The process consumes thousands of hours of expert effort across multiple science divisions, and the community treats its output as informative about where scientific return will concentrate.</w:t>
      </w:r>
    </w:p>
    <w:p>
      <w:pPr>
        <w:pStyle w:val="BodyText"/>
        <w:spacing w:line="480" w:lineRule="auto"/>
        <w:ind w:firstLine="720"/>
      </w:pPr>
      <w:r>
        <w:t xml:space="preserve">Embedded in this practice is a causal theory that the process itself rarely makes explicit. The theory holds that assigning high priority to a measurement objective</w:t>
      </w:r>
      <w:r>
        <w:t xml:space="preserve"> </w:t>
      </w:r>
      <w:r>
        <w:rPr>
          <w:i/>
          <w:iCs/>
        </w:rPr>
        <w:t xml:space="preserve">causes</w:t>
      </w:r>
      <w:r>
        <w:t xml:space="preserve"> </w:t>
      </w:r>
      <w:r>
        <w:t xml:space="preserve">the instrument that eventually serves it to deliver more science. The arrow runs from the ex ante consensus ranking to the realized downstream output. If the theory is correct, priority is not merely a label applied after the fact to instruments that were going to be productive anyway. It is a signal that carries information about future yield, and that information is what justifies the cost of producing it. The valuation literature that treats space science as economic output frames the underlying difficulty here directly: scientific output resists clean assignment of value, and any measure of it inherits that ambiguity</w:t>
      </w:r>
      <w:r>
        <w:t xml:space="preserve"> </w:t>
      </w:r>
      <w:hyperlink w:anchor="ref-9">
        <w:r>
          <w:rPr>
            <w:rStyle w:val="Hyperlink"/>
          </w:rPr>
          <w:t xml:space="preserve">[9]</w:t>
        </w:r>
      </w:hyperlink>
      <w:r>
        <w:t xml:space="preserve">. The prioritization process amounts to a community wager that the priority ranking encodes information about where downstream value will land, made under exactly the valuation ambiguity that the economic-frontier treatment of space science describes</w:t>
      </w:r>
      <w:r>
        <w:t xml:space="preserve"> </w:t>
      </w:r>
      <w:hyperlink w:anchor="ref-9">
        <w:r>
          <w:rPr>
            <w:rStyle w:val="Hyperlink"/>
          </w:rPr>
          <w:t xml:space="preserve">[9]</w:t>
        </w:r>
      </w:hyperlink>
      <w:r>
        <w:t xml:space="preserve">.</w:t>
      </w:r>
    </w:p>
    <w:p>
      <w:pPr>
        <w:pStyle w:val="BodyText"/>
        <w:spacing w:line="480" w:lineRule="auto"/>
        <w:ind w:firstLine="720"/>
      </w:pPr>
      <w:r>
        <w:t xml:space="preserve">Stated as a causal proposition, the theory becomes testable. The distinction is everything. The proposition is not that high-priority instruments are observed to be productive, which is a correlation and could arise for many reasons, but that priority retains predictive force over realized productivity once the obvious alternative explanations are stripped away. The empirical chapters do not adjudicate whether the decadal process is wise in some general sense. They adjudicate one estimate: the partial association between ex ante decadal priority and realized instrument science productivity, net of capability and resources. Everything in this chapter exists to make that estimate interpretable as a test of the implicit theory rather than as an artifact of the entanglements the theory ignores.</w:t>
      </w:r>
    </w:p>
    <w:bookmarkEnd w:id="83"/>
    <w:bookmarkStart w:id="84" w:name="the-causal-mechanisms"/>
    <w:p>
      <w:pPr>
        <w:pStyle w:val="Heading2"/>
        <w:spacing w:line="480" w:lineRule="auto"/>
      </w:pPr>
      <w:r>
        <w:t xml:space="preserve">3.3 The Causal Mechanisms</w:t>
      </w:r>
    </w:p>
    <w:p>
      <w:pPr>
        <w:pStyle w:val="FirstParagraph"/>
        <w:spacing w:line="480" w:lineRule="auto"/>
      </w:pPr>
      <w:r>
        <w:t xml:space="preserve">If priority causes productivity, it must do so through mechanisms. Naming them serves two functions. It makes the causal claim concrete rather than incantatory, and it identifies the channels through which a confounder could masquerade as a priority effect. Three mechanisms are theoretically plausible, and the dissertation’s research program has examined how each operates on both the stock of output and the speed with which output first appears.</w:t>
      </w:r>
    </w:p>
    <w:p>
      <w:pPr>
        <w:pStyle w:val="BodyText"/>
        <w:spacing w:line="480" w:lineRule="auto"/>
        <w:ind w:firstLine="720"/>
      </w:pPr>
      <w:r>
        <w:t xml:space="preserve">The first mechanism is the concentration of talent and attention. A high-priority measurement objective attracts larger and more senior science teams. A deeper and more experienced bench commissions an instrument more competently, interprets its data faster, and drafts results papers on a tighter schedule. The mechanism predicts an effect on both margins the dissertation studies: high-priority instruments should accumulate a larger lifetime stock of output, and they should reach their first peer-reviewed result sooner because a deeper team converts surface operations into a defensible publication more quickly.</w:t>
      </w:r>
    </w:p>
    <w:p>
      <w:pPr>
        <w:pStyle w:val="BodyText"/>
        <w:spacing w:line="480" w:lineRule="auto"/>
        <w:ind w:firstLine="720"/>
      </w:pPr>
      <w:r>
        <w:t xml:space="preserve">The second mechanism is reviewer and editorial pull. A flagship measurement objective carries weight in the publication process itself. A first-results paper from a high-priority instrument reaches a high-visibility venue on a compressed schedule because the venue wants it, and subsequent papers anchor a literature that other authors are eager to cite. This mechanism predicts a citation-weighted productivity premium that exceeds any raw publication-count premium, and it predicts a timing advantage concentrated at the first result, where editorial attention is most decisive.</w:t>
      </w:r>
    </w:p>
    <w:p>
      <w:pPr>
        <w:pStyle w:val="BodyText"/>
        <w:spacing w:line="480" w:lineRule="auto"/>
        <w:ind w:firstLine="720"/>
      </w:pPr>
      <w:r>
        <w:t xml:space="preserve">The third mechanism is operational design. Priority correlates with mission-design choices, with sampling protocols, and with reconnaissance strategies that are tuned to deliver an early, defensible result. The methodology literature on semi-autonomous rover science operations establishes that protocol design is a first-order determinant of how efficiently a platform converts surface time into a defensible scientific decision</w:t>
      </w:r>
      <w:r>
        <w:t xml:space="preserve"> </w:t>
      </w:r>
      <w:hyperlink w:anchor="ref-7">
        <w:r>
          <w:rPr>
            <w:rStyle w:val="Hyperlink"/>
          </w:rPr>
          <w:t xml:space="preserve">[7]</w:t>
        </w:r>
      </w:hyperlink>
      <w:r>
        <w:t xml:space="preserve">, and that the efficiency of robotic sample-selection protocols on caching missions varies measurably with their design</w:t>
      </w:r>
      <w:r>
        <w:t xml:space="preserve"> </w:t>
      </w:r>
      <w:hyperlink w:anchor="ref-8">
        <w:r>
          <w:rPr>
            <w:rStyle w:val="Hyperlink"/>
          </w:rPr>
          <w:t xml:space="preserve">[8]</w:t>
        </w:r>
      </w:hyperlink>
      <w:r>
        <w:t xml:space="preserve">. A high-priority objective draws more careful operational engineering, which in turn raises the science yield per unit of surface time. This mechanism is the most consequential for identification, because operational regime is also the principal mediator that the theory of prioritization ignores, and the chapter returns to it in the discussion of confounding.</w:t>
      </w:r>
    </w:p>
    <w:p>
      <w:pPr>
        <w:pStyle w:val="BodyText"/>
        <w:spacing w:line="480" w:lineRule="auto"/>
        <w:ind w:firstLine="720"/>
      </w:pPr>
      <w:r>
        <w:t xml:space="preserve">These three mechanisms are not mutually exclusive, and the dissertation does not attempt to decompose the total priority effect among them. The reason is methodological honesty. With the available cross-mission sample, the mechanisms cannot be separately identified; what can be identified is whether their combined effect survives the controls that the confounding structure demands. The mechanisms matter to the theory because they make the causal claim intelligible, and they matter to the empirics because they tell us which covariates the model must contain.</w:t>
      </w:r>
    </w:p>
    <w:bookmarkEnd w:id="84"/>
    <w:bookmarkStart w:id="85" w:name="Xcc4879485b6c908f6766d8331b0f1c8dea0854d"/>
    <w:p>
      <w:pPr>
        <w:pStyle w:val="Heading2"/>
        <w:spacing w:line="480" w:lineRule="auto"/>
      </w:pPr>
      <w:r>
        <w:t xml:space="preserve">3.4 The Central Confound and the Causal Logic</w:t>
      </w:r>
    </w:p>
    <w:p>
      <w:pPr>
        <w:pStyle w:val="FirstParagraph"/>
        <w:spacing w:line="480" w:lineRule="auto"/>
      </w:pPr>
      <w:r>
        <w:t xml:space="preserve">The theory faces one decisive threat, and the entire identification strategy is built to defeat it. The threat is entanglement. Priority and resources move together. High-priority instruments attract larger budgets, larger mass allocations, and more capable engineering, so a naive correlation between priority and output cannot separate the value of the priority signal from the value of the resources that priority attracts</w:t>
      </w:r>
      <w:r>
        <w:t xml:space="preserve"> </w:t>
      </w:r>
      <w:hyperlink w:anchor="ref-3">
        <w:r>
          <w:rPr>
            <w:rStyle w:val="Hyperlink"/>
          </w:rPr>
          <w:t xml:space="preserve">[3]</w:t>
        </w:r>
      </w:hyperlink>
      <w:r>
        <w:t xml:space="preserve">. Program-level regression evidence relating architecture decisions to overall program cost confirms that architecture-level resource variables carry measurable explanatory weight</w:t>
      </w:r>
      <w:r>
        <w:t xml:space="preserve"> </w:t>
      </w:r>
      <w:hyperlink w:anchor="ref-3">
        <w:r>
          <w:rPr>
            <w:rStyle w:val="Hyperlink"/>
          </w:rPr>
          <w:t xml:space="preserve">[3]</w:t>
        </w:r>
      </w:hyperlink>
      <w:r>
        <w:t xml:space="preserve">, which is precisely why a regression of output on priority alone would recover a combined priority-plus-resources effect rather than the priority signal in isolation.</w:t>
      </w:r>
    </w:p>
    <w:p>
      <w:pPr>
        <w:pStyle w:val="BodyText"/>
        <w:spacing w:line="480" w:lineRule="auto"/>
        <w:ind w:firstLine="720"/>
      </w:pPr>
      <w:r>
        <w:t xml:space="preserve">The causal logic of the dissertation can be stated as a directed structure among four quantities: ex ante priority, engineering capability, resource allocation, and realized productivity. Priority influences resource allocation, because the consensus ranking shapes what program offices are willing to fund. Priority is correlated with engineering capability, because the most ambitious objectives tend to draw the largest and most complex instruments. Both resource allocation and engineering capability plausibly influence realized productivity in their own right, independent of any informational content in the priority signal. The question the dissertation poses is whether a direct arrow runs from priority to productivity that is not mediated entirely through resources and capability. If the only paths from priority to output run through the budget it attracts and the engineering mass it commands, then priority is an epiphenomenon, a label that travels with productive instruments without itself carrying causal force. If, instead, priority retains an association with output after the resource and capability paths are blocked by conditioning, then the consensus ranking encodes information about downstream yield that is not reducible to the resources it attracts.</w:t>
      </w:r>
    </w:p>
    <w:p>
      <w:pPr>
        <w:pStyle w:val="BodyText"/>
        <w:spacing w:line="480" w:lineRule="auto"/>
        <w:ind w:firstLine="720"/>
      </w:pPr>
      <w:r>
        <w:t xml:space="preserve">This is the harder test, and it is the test the dissertation insists on. Each control blocks one path. Conditioning on resource allocation estimates the priority coefficient within strata of comparable resourcing, so that the comparison is between a high-priority and a low-priority instrument that received similar budgets. Conditioning on engineering capability blocks the path through instrument mass and complexity, so that the priority effect is not capability wearing a priority label. The operational-regime control blocks the third path, the one running through mission-design and protocol choices that the methodology literature identifies as first-order</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What survives all three conditioning operations is the candidate direct effect of priority on productivity, and that surviving association is the single quantity the hypotheses concern.</w:t>
      </w:r>
    </w:p>
    <w:p>
      <w:pPr>
        <w:pStyle w:val="BodyText"/>
        <w:spacing w:line="480" w:lineRule="auto"/>
        <w:ind w:firstLine="720"/>
      </w:pPr>
      <w:r>
        <w:t xml:space="preserve">The logic also clarifies what the dissertation does not claim. It does not claim to recover a structural causal parameter free of all confounding; the cross-mission observational record cannot support that. It claims to recover the partial association net of the specific confounders that the prior literature identifies as first-order, and to report transparently how that association moves as each control is added. The stability of the priority coefficient across nested specifications is itself diagnostic: a coefficient that collapses toward zero when capability and resources enter the model would indicate that priority was a proxy, while a coefficient that survives essentially undiminished would indicate that priority carries independent information. The framework is constructed so that either pattern is legible.</w:t>
      </w:r>
    </w:p>
    <w:bookmarkEnd w:id="85"/>
    <w:bookmarkStart w:id="86" w:name="Xd1e622a5705f450e0ebee27205cc67d70ec1d45"/>
    <w:p>
      <w:pPr>
        <w:pStyle w:val="Heading2"/>
        <w:spacing w:line="480" w:lineRule="auto"/>
      </w:pPr>
      <w:r>
        <w:t xml:space="preserve">3.5 Operationalizing the Theoretical Constructs</w:t>
      </w:r>
    </w:p>
    <w:p>
      <w:pPr>
        <w:pStyle w:val="FirstParagraph"/>
        <w:spacing w:line="480" w:lineRule="auto"/>
      </w:pPr>
      <w:r>
        <w:t xml:space="preserve">A theory testable in principle becomes testable in practice only when its constructs are mapped to measurable quantities. The framework operationalizes four constructs, each tied to a public, auditable source.</w:t>
      </w:r>
    </w:p>
    <w:p>
      <w:pPr>
        <w:pStyle w:val="BodyText"/>
        <w:spacing w:line="480" w:lineRule="auto"/>
        <w:ind w:firstLine="720"/>
      </w:pPr>
      <w:r>
        <w:t xml:space="preserve">Ex ante decadal priority is the theoretical construct of consensus-assigned scientific importance. It is operationalized as an ordinal priority tier coded from the published planetary decadal surveys that governed the relevant instrument-selection windows, ranging from a low tier for technology demonstration and meteorological monitoring objectives to a high tier for astrobiology, geochemistry, habitability, and interior-structure objectives. The ordinal coding is deliberate. The decadal process produces an ordering rather than a cardinal score, and the framework respects that by treating priority as an ordered tier whose coefficient is read as a per-tier gradient.</w:t>
      </w:r>
    </w:p>
    <w:p>
      <w:pPr>
        <w:pStyle w:val="BodyText"/>
        <w:spacing w:line="480" w:lineRule="auto"/>
        <w:ind w:firstLine="720"/>
      </w:pPr>
      <w:r>
        <w:t xml:space="preserve">Realized science productivity is the theoretical construct of downstream scientific yield. It is operationalized on two distinct margins, because the theory makes predictions about both, and the two margins illuminate different aspects of the same causal claim. The stock margin is the cumulative count of citation-weighted peer-reviewed output attributable to an instrument, modeled as an overdispersed nonnegative count. The timing margin is the interval from the start of surface operations to the first peer-reviewed science-results publication, modeled as a time-to-event outcome. The valuation literature’s caution that science output resists clean valuation is addressed by reporting the stock margin under multiple operationalizations rather than committing to a single contestable measure</w:t>
      </w:r>
      <w:r>
        <w:t xml:space="preserve"> </w:t>
      </w:r>
      <w:hyperlink w:anchor="ref-9">
        <w:r>
          <w:rPr>
            <w:rStyle w:val="Hyperlink"/>
          </w:rPr>
          <w:t xml:space="preserve">[9]</w:t>
        </w:r>
      </w:hyperlink>
      <w:r>
        <w:t xml:space="preserve">.</w:t>
      </w:r>
    </w:p>
    <w:p>
      <w:pPr>
        <w:pStyle w:val="BodyText"/>
        <w:spacing w:line="480" w:lineRule="auto"/>
        <w:ind w:firstLine="720"/>
      </w:pPr>
      <w:r>
        <w:t xml:space="preserve">Engineering capability is the theoretical construct of the instrument’s intrinsic technical quality, the dimension most entangled with priority and therefore the most important to control. It is operationalized through instrument flight mass and the engineering determinants that the surface-instrument literature identifies as governing whether an instrument reaches and survives its target: the access architecture required to reach difficult terrain such as exposed strata and pits</w:t>
      </w:r>
      <w:r>
        <w:t xml:space="preserve"> </w:t>
      </w:r>
      <w:hyperlink w:anchor="ref-4">
        <w:r>
          <w:rPr>
            <w:rStyle w:val="Hyperlink"/>
          </w:rPr>
          <w:t xml:space="preserve">[4]</w:t>
        </w:r>
      </w:hyperlink>
      <w:r>
        <w:t xml:space="preserve">, the power-and-communication links that sustain subsurface robots</w:t>
      </w:r>
      <w:r>
        <w:t xml:space="preserve"> </w:t>
      </w:r>
      <w:hyperlink w:anchor="ref-6">
        <w:r>
          <w:rPr>
            <w:rStyle w:val="Hyperlink"/>
          </w:rPr>
          <w:t xml:space="preserve">[6]</w:t>
        </w:r>
      </w:hyperlink>
      <w:r>
        <w:t xml:space="preserve">, and the energy-storage budgets that determine night-time survival of small lunar systems</w:t>
      </w:r>
      <w:r>
        <w:t xml:space="preserve"> </w:t>
      </w:r>
      <w:hyperlink w:anchor="ref-5">
        <w:r>
          <w:rPr>
            <w:rStyle w:val="Hyperlink"/>
          </w:rPr>
          <w:t xml:space="preserve">[5]</w:t>
        </w:r>
      </w:hyperlink>
      <w:r>
        <w:t xml:space="preserve">. These dimensions characterize capability independently of priority, which is what conditioning on them requires.</w:t>
      </w:r>
    </w:p>
    <w:p>
      <w:pPr>
        <w:pStyle w:val="BodyText"/>
        <w:spacing w:line="480" w:lineRule="auto"/>
        <w:ind w:firstLine="720"/>
      </w:pPr>
      <w:r>
        <w:t xml:space="preserve">Resource allocation is the theoretical construct of the budgetary and mass share an instrument commands. It is operationalized as the instrument’s mass-and-cost share of the host platform’s science-payload budget, with the functional form motivated by the program-cost regression evidence that architecture-level resource variables carry measurable weight</w:t>
      </w:r>
      <w:r>
        <w:t xml:space="preserve"> </w:t>
      </w:r>
      <w:hyperlink w:anchor="ref-3">
        <w:r>
          <w:rPr>
            <w:rStyle w:val="Hyperlink"/>
          </w:rPr>
          <w:t xml:space="preserve">[3]</w:t>
        </w:r>
      </w:hyperlink>
      <w:r>
        <w:t xml:space="preserve">. Operational regime, the principal mediating construct, is operationalized as an ordered index distinguishing fixed landers, in-situ mobile rovers, and sample-caching rovers, with the taxonomy drawn from the GeoHeuristic methodology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and conditioned on, and interacted with priority, so that any residual priority effect can be tested for concentration in a particular operational context rather than assumed general. The multi-element campaign architecture of sample-return missions, in which early instrument and sampling decisions propagate through the entire return chain</w:t>
      </w:r>
      <w:r>
        <w:t xml:space="preserve"> </w:t>
      </w:r>
      <w:hyperlink w:anchor="ref-1">
        <w:r>
          <w:rPr>
            <w:rStyle w:val="Hyperlink"/>
          </w:rPr>
          <w:t xml:space="preserve">[1]</w:t>
        </w:r>
      </w:hyperlink>
      <w:r>
        <w:t xml:space="preserve">, supplies the structural context for the highest-regime category.</w:t>
      </w:r>
    </w:p>
    <w:bookmarkEnd w:id="86"/>
    <w:bookmarkStart w:id="87" w:name="the-formal-hypotheses"/>
    <w:p>
      <w:pPr>
        <w:pStyle w:val="Heading2"/>
        <w:spacing w:line="480" w:lineRule="auto"/>
      </w:pPr>
      <w:r>
        <w:t xml:space="preserve">3.6 The Formal Hypotheses</w:t>
      </w:r>
    </w:p>
    <w:p>
      <w:pPr>
        <w:pStyle w:val="FirstParagraph"/>
        <w:spacing w:line="480" w:lineRule="auto"/>
      </w:pPr>
      <w:r>
        <w:t xml:space="preserve">The framework reduces to a single estimate and a single pair of hypotheses concerning it. The estimate is the coefficient on the priority measure in a model of realized productivity that includes engineering capability, resource allocation, operational regime, and mission-era controls. The hypotheses partition the possible values of that coefficient into the region consistent with the theory of prioritization and the region inconsistent with it.</w:t>
      </w:r>
    </w:p>
    <w:p>
      <w:pPr>
        <w:pStyle w:val="BodyText"/>
        <w:spacing w:line="480" w:lineRule="auto"/>
        <w:ind w:firstLine="720"/>
      </w:pPr>
      <w:r>
        <w:rPr>
          <w:b/>
          <w:bCs/>
        </w:rPr>
        <w:t xml:space="preserve">H0 (null).</w:t>
      </w:r>
      <w:r>
        <w:t xml:space="preserve"> </w:t>
      </w:r>
      <w:r>
        <w:t xml:space="preserve">Conditional on instrument engineering capability, mission resource allocation, operational regime, and mission era, ex ante decadal priority has no independent association with realized science productivity. Formally, the coefficient on the priority measure is zero in a model that includes the capability, resource, regime, and era controls. On the stock margin, this means the priority coefficient in the citation-weighted count model is zero. On the timing margin, this means the priority coefficient in the survival model is zero and the corresponding hazard ratio is one.</w:t>
      </w:r>
    </w:p>
    <w:p>
      <w:pPr>
        <w:pStyle w:val="BodyText"/>
        <w:spacing w:line="480" w:lineRule="auto"/>
        <w:ind w:firstLine="720"/>
      </w:pPr>
      <w:r>
        <w:rPr>
          <w:b/>
          <w:bCs/>
        </w:rPr>
        <w:t xml:space="preserve">H1 (alternative).</w:t>
      </w:r>
      <w:r>
        <w:t xml:space="preserve"> </w:t>
      </w:r>
      <w:r>
        <w:t xml:space="preserve">Conditional on the same controls, higher ex ante decadal priority is associated with strictly greater realized science productivity. Formally, the coefficient on the priority measure is positive and statistically distinguishable from zero. On the stock margin, the priority coefficient in the count model is positive. On the timing margin, the priority coefficient in the survival model is positive and the hazard ratio exceeds one, meaning higher-priority instruments reach their first peer-reviewed result sooner.</w:t>
      </w:r>
    </w:p>
    <w:p>
      <w:pPr>
        <w:pStyle w:val="BodyText"/>
        <w:spacing w:line="480" w:lineRule="auto"/>
        <w:ind w:firstLine="720"/>
      </w:pPr>
      <w:r>
        <w:t xml:space="preserve">The two margins are complementary tests of the same underlying causal claim rather than redundant ones. The stock margin asks whether priority predicts how much science an instrument ultimately produces. The timing margin asks whether priority predicts how quickly an instrument banks its first result, a quantity less contaminated by the slow accumulation of citations that complicates stock measures, because the first publication is a discrete, datable event. An instrument may converge on the same lifetime output as a peer while differing by years in time-to-first-result, and the timing margin captures a component of the priority signal that the stock measure alone cannot reveal. The framework tests both because the theory of prioritization, through the mechanisms named in Section 3.3, predicts an effect on both, and a finding confined to one margin would itself be informative about which mechanisms are operative.</w:t>
      </w:r>
    </w:p>
    <w:bookmarkEnd w:id="87"/>
    <w:bookmarkStart w:id="88" w:name="X5ab34021db00332186306187b687a30f550b031"/>
    <w:p>
      <w:pPr>
        <w:pStyle w:val="Heading2"/>
        <w:spacing w:line="480" w:lineRule="auto"/>
      </w:pPr>
      <w:r>
        <w:t xml:space="preserve">3.7 Falsifiability and the Symmetry of Outcomes</w:t>
      </w:r>
    </w:p>
    <w:p>
      <w:pPr>
        <w:pStyle w:val="FirstParagraph"/>
        <w:spacing w:line="480" w:lineRule="auto"/>
      </w:pPr>
      <w:r>
        <w:t xml:space="preserve">The framework is constructed so that H0 is genuinely falsifiable and so that either outcome of the test is substantively decision-relevant. H0 predicts a null partial coefficient. A precisely estimated nonzero coefficient, with a confidence interval that excludes zero, rejects it. A failure to reject H0, accompanied by a tight confidence interval around zero rather than a wide and uninformative one, is not a null result in the dismissive sense; it is the substantive finding that decadal priority carries no measured downstream validity once resources and capability are controlled away.</w:t>
      </w:r>
    </w:p>
    <w:p>
      <w:pPr>
        <w:pStyle w:val="BodyText"/>
        <w:spacing w:line="480" w:lineRule="auto"/>
        <w:ind w:firstLine="720"/>
      </w:pPr>
      <w:r>
        <w:t xml:space="preserve">This symmetry is the methodological commitment that gives the dissertation its evidentiary value. If priority does not predict realized output net of capability and resources, the prioritization process is allocating community attention on a signal with no measured downstream validity, and the community is entitled to know that. If priority does predict output net of resources, that is direct evidence the consensus process encodes information beyond willingness to fund, which would itself justify its considerable cost. The framework refuses to privilege either conclusion in advance. It specifies the controls the prior literature demands, it states the coefficient that distinguishes the hypotheses, and it commits to reporting that coefficient with its confidence interval whatever sign it takes.</w:t>
      </w:r>
    </w:p>
    <w:p>
      <w:pPr>
        <w:pStyle w:val="BodyText"/>
        <w:spacing w:line="480" w:lineRule="auto"/>
        <w:ind w:firstLine="720"/>
      </w:pPr>
      <w:r>
        <w:t xml:space="preserve">The load-bearing element of the test, in both the stock and timing specifications, is the behavior of the capability control. Critics of prioritization argue that priority is merely a proxy for resources and engineering quality, so that any apparent priority effect is capability in disguise. The framework meets that objection directly by entering capability as an explicit control and by reading the priority coefficient as conditional on it. If the capability proxy carries little independent association with productivity while the priority coefficient survives, the proxy-in-disguise reading is rebutted on the evidence: the priority signal moves the outcome within strata of comparable instrument scale. If instead the priority coefficient collapses when capability enters, the critics are vindicated. The chapter does not predict which pattern the data will show; it builds the framework so that the data can show either, and so that whichever pattern emerges is interpretable as a test of the implicit theory of prioritization rather than as an artifact of the entanglement the theory ignores.</w:t>
      </w:r>
    </w:p>
    <w:bookmarkEnd w:id="88"/>
    <w:bookmarkStart w:id="89" w:name="summary"/>
    <w:p>
      <w:pPr>
        <w:pStyle w:val="Heading2"/>
        <w:spacing w:line="480" w:lineRule="auto"/>
      </w:pPr>
      <w:r>
        <w:t xml:space="preserve">3.8 Summary</w:t>
      </w:r>
    </w:p>
    <w:p>
      <w:pPr>
        <w:pStyle w:val="FirstParagraph"/>
        <w:spacing w:line="480" w:lineRule="auto"/>
      </w:pPr>
      <w:r>
        <w:t xml:space="preserve">This chapter has rendered the implicit theory of decadal prioritization as a falsifiable causal proposition, named the three mechanisms through which priority could raise realized productivity, isolated the priority-resource-capability entanglement as the central confound, and resolved that confound into a conditioning logic that the formal hypotheses encode. H0 states that priority has no independent association with realized productivity once capability, resources, regime, and era are controlled; H1 states that the association is positive and distinguishable from zero. The hypotheses are tested on two complementary margins, the stock of citation-weighted output and the timing of the first result, each operationalized through public and auditable sources. The framework’s defining feature is the symmetry of its outcomes: a rejection of H0 vindicates the prioritization process as encoding genuine downstream information, while a precise failure to reject H0 indicts it as allocating attention on a signal without measured validity. The empirical chapters that follow carry out this test on the assembled cross-mission instrument record.</w:t>
      </w:r>
    </w:p>
    <w:bookmarkEnd w:id="89"/>
    <w:bookmarkEnd w:id="90"/>
    <w:bookmarkStart w:id="108" w:name="chapter-4.-data-and-measurement"/>
    <w:p>
      <w:pPr>
        <w:pStyle w:val="Heading1"/>
        <w:spacing w:line="480" w:lineRule="auto"/>
      </w:pPr>
      <w:r>
        <w:t xml:space="preserve">Chapter 4. Data and Measurement</w:t>
      </w:r>
    </w:p>
    <w:bookmarkStart w:id="91" w:name="purpose-and-scope-of-the-chapter-1"/>
    <w:p>
      <w:pPr>
        <w:pStyle w:val="Heading2"/>
        <w:spacing w:line="480" w:lineRule="auto"/>
      </w:pPr>
      <w:r>
        <w:t xml:space="preserve">4.1 Purpose and Scope of the Chapter</w:t>
      </w:r>
    </w:p>
    <w:p>
      <w:pPr>
        <w:pStyle w:val="FirstParagraph"/>
        <w:spacing w:line="480" w:lineRule="auto"/>
      </w:pPr>
      <w:r>
        <w:t xml:space="preserve">This chapter specifies, in full operational detail, the empirical material on which the dissertation rests. It describes the two analytic datasets assembled for the companion studies that constitute the core of the work, names the authoritative public sources from which every variable is drawn, fixes the unit of analysis, and sets out the construction rule for each variable as it descends from a primary record to a coded value in the estimation table. The governing commitment is auditability. Every cell must be reconstructible by an independent investigator from public sources, using documented join keys, without recourse to proprietary archives. That commitment shapes the source selection, the coding rubrics, and the provenance bookkeeping reported below.</w:t>
      </w:r>
    </w:p>
    <w:p>
      <w:pPr>
        <w:pStyle w:val="BodyText"/>
        <w:spacing w:line="480" w:lineRule="auto"/>
        <w:ind w:firstLine="720"/>
      </w:pPr>
      <w:r>
        <w:t xml:space="preserve">Two distinct but coordinated datasets underlie the empirical chapters. The first supports the cross-sectional count study, which estimates the partial association between an instrument’s ex ante decadal priority and the cumulative stock of scientific output it realizes. The second supports the survival study, which models the time from surface-operations start to an instrument’s first peer-reviewed result. The two datasets share a common unit of analysis, a common priority-coding rubric, and a common engineering-capability proxy, but they differ in their dependent variable, their sampling frame, and their authoritative bibliometric source. The shared spine and the deliberate divergences are both described here so that the reader can judge how far the two studies triangulate the same underlying construct and how far they probe genuinely different margins.</w:t>
      </w:r>
    </w:p>
    <w:bookmarkEnd w:id="91"/>
    <w:bookmarkStart w:id="92" w:name="unit-of-analysis"/>
    <w:p>
      <w:pPr>
        <w:pStyle w:val="Heading2"/>
        <w:spacing w:line="480" w:lineRule="auto"/>
      </w:pPr>
      <w:r>
        <w:t xml:space="preserve">4.2 Unit of Analysis</w:t>
      </w:r>
    </w:p>
    <w:p>
      <w:pPr>
        <w:pStyle w:val="FirstParagraph"/>
        <w:spacing w:line="480" w:lineRule="auto"/>
      </w:pPr>
      <w:r>
        <w:t xml:space="preserve">The unit of analysis in both datasets is the individual scientific instrument carried on a planetary surface platform: a rover, a lander, or a deployed surface package. This choice follows directly from the theoretical object of the dissertation. Decadal-survey consensus assigns priority not to missions in the aggregate but to measurement objectives and the instrument classes that serve them, and it is at the instrument level that an ex ante priority signal can be matched to a realized scientific record. A mission-level unit would dissolve precisely the variation the study exploits, because a single platform routinely carries instruments of widely differing priority, capability, and operational exposure. The Mars Sample Return campaign concept illustrates the point at the architectural scale: instrument and sampling decisions taken early for individual payloads propagate through the entire multi-element return chain, and their consequences are only legible if each instrument is tracked as its own observation</w:t>
      </w:r>
      <w:r>
        <w:t xml:space="preserve"> </w:t>
      </w:r>
      <w:hyperlink w:anchor="ref-1">
        <w:r>
          <w:rPr>
            <w:rStyle w:val="Hyperlink"/>
          </w:rPr>
          <w:t xml:space="preserve">[1]</w:t>
        </w:r>
      </w:hyperlink>
      <w:r>
        <w:t xml:space="preserve">.</w:t>
      </w:r>
    </w:p>
    <w:p>
      <w:pPr>
        <w:pStyle w:val="BodyText"/>
        <w:spacing w:line="480" w:lineRule="auto"/>
        <w:ind w:firstLine="720"/>
      </w:pPr>
      <w:r>
        <w:t xml:space="preserve">Adopting the instrument as the unit imposes a definitional discipline that the chapter honors throughout. An instrument is counted as a distinct observation when it is named as a separate payload element in the host mission’s published instrument complement and when it can be matched to its own engineering documentation, its own decadal-priority objective, and its own attributable scientific output. Instrument suites that the mission record treats as an integrated package, and that publish under a single instrument identity, are counted as one observation rather than disaggregated into subsystems, because disaggregation below the level at which the primary record reports mass, priority, and authorship would force the coding to fabricate distinctions the sources do not support. This rule keeps the unit of analysis tied to the granularity of the authoritative records rather than to an analyst’s preferred resolution.</w:t>
      </w:r>
    </w:p>
    <w:bookmarkEnd w:id="92"/>
    <w:bookmarkStart w:id="93" w:name="authoritative-sources"/>
    <w:p>
      <w:pPr>
        <w:pStyle w:val="Heading2"/>
        <w:spacing w:line="480" w:lineRule="auto"/>
      </w:pPr>
      <w:r>
        <w:t xml:space="preserve">4.3 Authoritative Sources</w:t>
      </w:r>
    </w:p>
    <w:p>
      <w:pPr>
        <w:pStyle w:val="FirstParagraph"/>
        <w:spacing w:line="480" w:lineRule="auto"/>
      </w:pPr>
      <w:r>
        <w:t xml:space="preserve">Four classes of public, authoritative source furnish the raw material, and each maps to a specific variable family. The architecture of the data is therefore a set of joins across independent public archives, with a documented key linking each join.</w:t>
      </w:r>
    </w:p>
    <w:p>
      <w:pPr>
        <w:pStyle w:val="BodyText"/>
        <w:spacing w:line="480" w:lineRule="auto"/>
        <w:ind w:firstLine="720"/>
      </w:pPr>
      <w:r>
        <w:t xml:space="preserve">The instrument-and-mission frame derives from the</w:t>
      </w:r>
      <w:r>
        <w:t xml:space="preserve"> </w:t>
      </w:r>
      <w:r>
        <w:rPr>
          <w:b/>
          <w:bCs/>
        </w:rPr>
        <w:t xml:space="preserve">NASA Planetary Data System (PDS)</w:t>
      </w:r>
      <w:r>
        <w:t xml:space="preserve">, the permanent, publicly accessible archive of data returned by NASA planetary surface missions. The PDS enumerates, for every archived surface mission, the instrument complement, the responsible instrument teams, and the operational mission phases. It supplies the population frame from which instruments are drawn and the operational-regime metadata used to construct the regime covariate. Because the PDS is a curated archive with stable identifiers, it provides the documented mission-and-instrument identifiers that serve as the primary non-bibliometric join key.</w:t>
      </w:r>
    </w:p>
    <w:p>
      <w:pPr>
        <w:pStyle w:val="BodyText"/>
        <w:spacing w:line="480" w:lineRule="auto"/>
        <w:ind w:firstLine="720"/>
      </w:pPr>
      <w:r>
        <w:t xml:space="preserve">Ex ante priority derives from the</w:t>
      </w:r>
      <w:r>
        <w:t xml:space="preserve"> </w:t>
      </w:r>
      <w:r>
        <w:rPr>
          <w:b/>
          <w:bCs/>
        </w:rPr>
        <w:t xml:space="preserve">published NASA planetary decadal surveys</w:t>
      </w:r>
      <w:r>
        <w:t xml:space="preserve">, the consensus documents that rank measurement objectives and instrument classes across the relevant selection windows. These are freely available community products with stable text, which permits an auditable mapping from a survey’s stated priority for a measurement objective to an ordinal tier assigned to the instrument that serves it. The decadal surveys are the authoritative source for the single covariate of interest in both studies, and the coding rubric described in Section 4.5 is applied identically across the two datasets so that the priority construct is held constant between them.</w:t>
      </w:r>
    </w:p>
    <w:p>
      <w:pPr>
        <w:pStyle w:val="BodyText"/>
        <w:spacing w:line="480" w:lineRule="auto"/>
        <w:ind w:firstLine="720"/>
      </w:pPr>
      <w:r>
        <w:t xml:space="preserve">Realized scientific output derives from two complementary bibliometric authorities. The cross-sectional count study draws its dependent variable from the</w:t>
      </w:r>
      <w:r>
        <w:t xml:space="preserve"> </w:t>
      </w:r>
      <w:r>
        <w:rPr>
          <w:b/>
          <w:bCs/>
        </w:rPr>
        <w:t xml:space="preserve">NASA Technical Reports Server (NTRS)</w:t>
      </w:r>
      <w:r>
        <w:t xml:space="preserve"> </w:t>
      </w:r>
      <w:r>
        <w:t xml:space="preserve">citations search interface, querying instrument-name strings and reading the documented total-count field returned for each query. The survival study draws its event timing from</w:t>
      </w:r>
      <w:r>
        <w:t xml:space="preserve"> </w:t>
      </w:r>
      <w:r>
        <w:rPr>
          <w:b/>
          <w:bCs/>
        </w:rPr>
        <w:t xml:space="preserve">Crossref</w:t>
      </w:r>
      <w:r>
        <w:t xml:space="preserve">, which exposes a free metadata interface returning publication dates keyed by digital object identifier. The two bibliometric sources are deliberately matched to the two dependent variables: NTRS, as a comprehensive index of NASA-attributed literature, suits a cumulative-stock count, while Crossref, with its precise per-record publication dates and resolvable identifiers, suits a datable first-event analysis. The prospectus envisioned a joint NTRS-and-Crossref output measure resolved by DOI; the two companion papers realize that vision by assigning each bibliometric authority to the dependent variable it measures most cleanly</w:t>
      </w:r>
      <w:r>
        <w:t xml:space="preserve"> </w:t>
      </w:r>
      <w:hyperlink w:anchor="ref-1">
        <w:r>
          <w:rPr>
            <w:rStyle w:val="Hyperlink"/>
          </w:rPr>
          <w:t xml:space="preserve">[1]</w:t>
        </w:r>
      </w:hyperlink>
      <w:r>
        <w:t xml:space="preserve">.</w:t>
      </w:r>
    </w:p>
    <w:p>
      <w:pPr>
        <w:pStyle w:val="BodyText"/>
        <w:spacing w:line="480" w:lineRule="auto"/>
        <w:ind w:firstLine="720"/>
      </w:pPr>
      <w:r>
        <w:t xml:space="preserve">Resource allocation, where it enters the cross-sectional study, derives from published mission cost and mass-budget documentation in the</w:t>
      </w:r>
      <w:r>
        <w:t xml:space="preserve"> </w:t>
      </w:r>
      <w:r>
        <w:rPr>
          <w:b/>
          <w:bCs/>
        </w:rPr>
        <w:t xml:space="preserve">NASA Technical Reports Server</w:t>
      </w:r>
      <w:r>
        <w:t xml:space="preserve">, the same archive that supplies the count dependent variable but read for engineering and programmatic figures rather than for publication counts. The engineering-capability dimension draws on the per-instrument mission papers, published in the planetary-science literature and identified by digital object identifier in each data row, which report instrument flight mass and design characteristics.</w:t>
      </w:r>
    </w:p>
    <w:p>
      <w:pPr>
        <w:pStyle w:val="BodyText"/>
        <w:spacing w:line="480" w:lineRule="auto"/>
        <w:ind w:firstLine="720"/>
      </w:pPr>
      <w:r>
        <w:t xml:space="preserve">The decision to confine the authoritative sources to these four families reflects the auditability commitment. Each is public, each issues stable identifiers, and each can be re-queried by an independent investigator. No variable in either dataset depends on a subscription archive or a non-reproducible extract.</w:t>
      </w:r>
    </w:p>
    <w:bookmarkEnd w:id="93"/>
    <w:bookmarkStart w:id="97" w:name="the-two-datasets"/>
    <w:p>
      <w:pPr>
        <w:pStyle w:val="Heading2"/>
        <w:spacing w:line="480" w:lineRule="auto"/>
      </w:pPr>
      <w:r>
        <w:t xml:space="preserve">4.4 The Two Datasets</w:t>
      </w:r>
    </w:p>
    <w:bookmarkStart w:id="94" w:name="the-cross-sectional-count-dataset"/>
    <w:p>
      <w:pPr>
        <w:pStyle w:val="Heading3"/>
        <w:spacing w:line="480" w:lineRule="auto"/>
      </w:pPr>
      <w:r>
        <w:t xml:space="preserve">4.4.1 The Cross-Sectional Count Dataset</w:t>
      </w:r>
    </w:p>
    <w:p>
      <w:pPr>
        <w:pStyle w:val="FirstParagraph"/>
        <w:spacing w:line="480" w:lineRule="auto"/>
      </w:pPr>
      <w:r>
        <w:t xml:space="preserve">The cross-sectional dataset comprises thirty instruments drawn from eight United States planetary surface missions spanning four flight eras between 1996 and 2020: Mars Pathfinder and its Sojourner rover (1996), the Mars Exploration Rovers Spirit and Opportunity (2003), Phoenix (2007), Mars Science Laboratory Curiosity (2011), InSight (2018), Mars 2020 Perseverance (2020), and a representative lunar laser-induced-breakdown-spectroscopy rover class. The sampling frame is the set of archived surface-mission instruments that can be matched to all four variable families described above. An instrument enters the dataset only when its host mission appears in the PDS frame, when its measurement objective can be located in a governing decadal survey, when an instrument-name query returns a count from the NTRS interface, and when its flight mass is documented in a citable instrument paper. This four-way matchability requirement is what fixes the sample at thirty rather than at the full historical census of surface instruments.</w:t>
      </w:r>
    </w:p>
    <w:bookmarkEnd w:id="94"/>
    <w:bookmarkStart w:id="95" w:name="the-survival-dataset"/>
    <w:p>
      <w:pPr>
        <w:pStyle w:val="Heading3"/>
        <w:spacing w:line="480" w:lineRule="auto"/>
      </w:pPr>
      <w:r>
        <w:t xml:space="preserve">4.4.2 The Survival Dataset</w:t>
      </w:r>
    </w:p>
    <w:p>
      <w:pPr>
        <w:pStyle w:val="FirstParagraph"/>
        <w:spacing w:line="480" w:lineRule="auto"/>
      </w:pPr>
      <w:r>
        <w:t xml:space="preserve">The survival dataset comprises thirty-one instruments drawn from nine surface missions: Mars Pathfinder, the two Mars Exploration Rovers, Phoenix, Mars Science Laboratory, InSight, Mars 2020, Chang’e-3, and Chang’e-4. It extends the geographic and programmatic scope of the count dataset by incorporating the two Chinese lunar landers, whose first-results publications are independently verifiable through Crossref. The sampling frame for the survival study is more restrictive in one respect and broader in another. It is more restrictive because an instrument can enter only if it has a Crossref-verifiable first-results publication date, which by construction excludes the unpublished-failure tail of instruments lost before producing science. It is broader because the inclusion of the Chang’e platforms introduces lunar surface observations that the Mars-dominated count frame lacks. The Mars 2020 caching instruments are retained in this dataset with explicit recognition that they sit inside the multi-element Mars Sample Return campaign architecture, whose early instrument and sampling decisions propagate through the return chain, which is part of why their first-results timing is of program interest</w:t>
      </w:r>
      <w:r>
        <w:t xml:space="preserve"> </w:t>
      </w:r>
      <w:hyperlink w:anchor="ref-1">
        <w:r>
          <w:rPr>
            <w:rStyle w:val="Hyperlink"/>
          </w:rPr>
          <w:t xml:space="preserve">[1]</w:t>
        </w:r>
      </w:hyperlink>
      <w:r>
        <w:t xml:space="preserve">.</w:t>
      </w:r>
    </w:p>
    <w:bookmarkEnd w:id="95"/>
    <w:bookmarkStart w:id="96" w:name="relationship-between-the-two-datasets"/>
    <w:p>
      <w:pPr>
        <w:pStyle w:val="Heading3"/>
        <w:spacing w:line="480" w:lineRule="auto"/>
      </w:pPr>
      <w:r>
        <w:t xml:space="preserve">4.4.3 Relationship Between the Two Datasets</w:t>
      </w:r>
    </w:p>
    <w:p>
      <w:pPr>
        <w:pStyle w:val="FirstParagraph"/>
        <w:spacing w:line="480" w:lineRule="auto"/>
      </w:pPr>
      <w:r>
        <w:t xml:space="preserve">The two datasets overlap substantially in their instrument membership but are not nested. They share the Mars surface missions from Pathfinder through Mars 2020, apply the same priority rubric, and use the same log-mass capability proxy. They diverge in three deliberate ways. First, the dependent variables differ in kind: a cumulative count in the cross-sectional study, an interval-to-event duration in the survival study. Second, the authoritative bibliometric source differs: NTRS total counts versus Crossref-dated first-results papers. Third, the sampling frames differ at the failure boundary, since the count study can in principle floor a zero-output instrument to permit a log transform while the survival study cannot admit an instrument that lacks a datable first event. Holding the priority and capability constructs constant across the two studies while varying the dependent variable and the bibliometric authority is the design feature that lets the dissertation read its central question on two independent margins, stock and speed.</w:t>
      </w:r>
    </w:p>
    <w:bookmarkEnd w:id="96"/>
    <w:bookmarkEnd w:id="97"/>
    <w:bookmarkStart w:id="105" w:name="variable-construction"/>
    <w:p>
      <w:pPr>
        <w:pStyle w:val="Heading2"/>
        <w:spacing w:line="480" w:lineRule="auto"/>
      </w:pPr>
      <w:r>
        <w:t xml:space="preserve">4.5 Variable Construction</w:t>
      </w:r>
    </w:p>
    <w:p>
      <w:pPr>
        <w:pStyle w:val="FirstParagraph"/>
        <w:spacing w:line="480" w:lineRule="auto"/>
      </w:pPr>
      <w:r>
        <w:t xml:space="preserve">This section specifies, variable by variable, the rule that carries a primary record into a coded value. Each rule is stated so that an independent investigator could apply it to the same sources and recover the same column.</w:t>
      </w:r>
    </w:p>
    <w:bookmarkStart w:id="98" w:name="X174ba90160c7ca64c86182925fed1a2b861aefb"/>
    <w:p>
      <w:pPr>
        <w:pStyle w:val="Heading3"/>
        <w:spacing w:line="480" w:lineRule="auto"/>
      </w:pPr>
      <w:r>
        <w:t xml:space="preserve">4.5.1 Dependent Variable: Realized Scientific Productivity (Count Study)</w:t>
      </w:r>
    </w:p>
    <w:p>
      <w:pPr>
        <w:pStyle w:val="FirstParagraph"/>
        <w:spacing w:line="480" w:lineRule="auto"/>
      </w:pPr>
      <w:r>
        <w:t xml:space="preserve">In the cross-sectional study the dependent variable is realized science productivity, operationalized as the cumulative count of NTRS publications attributable to each instrument. The count was retrieved by submitting an instrument-name query to the NTRS citations search interface and reading the documented total field returned for that query. The retrieval was performed on a fixed date so that the count reflects a single, citable snapshot of the index rather than a moving figure; recording the retrieval date is part of the provenance discipline because an open, growing index returns larger counts over time. Across the sample the counts range from a low of a single publication for the most recently deployed instruments to a high of one hundred eighteen for the CheMin instrument on Curiosity. The variable enters the estimation as a natural logarithm, which both stabilizes the right-skewed dispersion of publication counts and yields a coefficient on priority that reads as an approximate proportional change in output per priority tier. Where an instrument returns a zero count, the value is floored to one to permit the log transform, and the affected row is flagged as illustrative so that the substitution is transparent rather than hidden.</w:t>
      </w:r>
    </w:p>
    <w:bookmarkEnd w:id="98"/>
    <w:bookmarkStart w:id="99" w:name="Xfb8cfab78067706103c359b74974c38cbcfa5f7"/>
    <w:p>
      <w:pPr>
        <w:pStyle w:val="Heading3"/>
        <w:spacing w:line="480" w:lineRule="auto"/>
      </w:pPr>
      <w:r>
        <w:t xml:space="preserve">4.5.2 Dependent Variable: Time to First Publication (Survival Study)</w:t>
      </w:r>
    </w:p>
    <w:p>
      <w:pPr>
        <w:pStyle w:val="FirstParagraph"/>
        <w:spacing w:line="480" w:lineRule="auto"/>
      </w:pPr>
      <w:r>
        <w:t xml:space="preserve">In the survival study the dependent variable is the analysis time, measured in months, from the documented surface-operations start to the publication date of the first peer-reviewed science-results paper attributable to the instrument. The surface-operations start is the mission landing date, which is public mission record. The first-publication date is the publication date of the landmark first-results paper, verified against Crossref, with the resolving digital object identifier recorded in the source field of each row so that the timing of every observation can be reconstructed from public metadata. The landmark first-results papers are the recognized mission-science publications: for example, the Science volume 341 Mars Science Laboratory set for the ChemCam and SAM instruments, the Nature Geoscience first-seismicity paper for the InSight SEIS instrument, and the Nature volume 569 farside mantle-material paper for the Chang’e-4 visible-and-near-infrared imaging spectrometer. The duration is the arithmetic difference between the landing date and the verified first-publication date, expressed in months. Each instrument in the survival set is an observed event, since every included instrument did eventually publish a first result; the event indicator is nonetheless retained at unity for every row so that right-censored instruments, those lost to operational failure before producing science, can be appended in future work without altering the model structure. The prospectus motivates that extension through the night-survival failure mode for small lunar surface systems, which sits in the excluded tail of instruments without a datable first event</w:t>
      </w:r>
      <w:r>
        <w:t xml:space="preserve"> </w:t>
      </w:r>
      <w:hyperlink w:anchor="ref-5">
        <w:r>
          <w:rPr>
            <w:rStyle w:val="Hyperlink"/>
          </w:rPr>
          <w:t xml:space="preserve">[5]</w:t>
        </w:r>
      </w:hyperlink>
      <w:r>
        <w:t xml:space="preserve">.</w:t>
      </w:r>
    </w:p>
    <w:bookmarkEnd w:id="99"/>
    <w:bookmarkStart w:id="100" w:name="X9921b6f3c37394f71158821ec620a313c7cf946"/>
    <w:p>
      <w:pPr>
        <w:pStyle w:val="Heading3"/>
        <w:spacing w:line="480" w:lineRule="auto"/>
      </w:pPr>
      <w:r>
        <w:t xml:space="preserve">4.5.3 Covariate of Interest: Ex Ante Decadal Priority</w:t>
      </w:r>
    </w:p>
    <w:p>
      <w:pPr>
        <w:pStyle w:val="FirstParagraph"/>
        <w:spacing w:line="480" w:lineRule="auto"/>
      </w:pPr>
      <w:r>
        <w:t xml:space="preserve">The priority variable is identical in construction across both datasets, which is what makes the two studies comparable on their common covariate of interest. Priority is the ex ante decadal-survey priority tier of the measurement objective each instrument serves, coded ordinally from the published planetary decadal surveys that governed the relevant selection windows. The ordinal scale runs from a low tier of two, assigned to technology-demonstration and atmospheric or meteorological monitoring objectives, to a high tier of five, assigned to astrobiology, geochemistry, habitability, and interior-structure objectives. The coding proceeds by locating, in the governing decadal survey, the measurement objective an instrument was selected to serve, reading the survey’s stated relative priority for that objective, and mapping it to the ordinal tier. Because the rubric is applied identically to both datasets and is anchored to the published survey text rather than to analyst judgment about an instrument’s eventual importance, the priority code is reconstructible from public documents. The choice of an ordinal rather than a cardinal scale reflects the structure of the source: decadal surveys rank and tier objectives but do not assign cardinal priority weights, so an ordinal coding is the faithful representation of what the primary record actually states.</w:t>
      </w:r>
    </w:p>
    <w:bookmarkEnd w:id="100"/>
    <w:bookmarkStart w:id="101" w:name="X5ff416df46f38d590a8ac90e8573968a585df4e"/>
    <w:p>
      <w:pPr>
        <w:pStyle w:val="Heading3"/>
        <w:spacing w:line="480" w:lineRule="auto"/>
      </w:pPr>
      <w:r>
        <w:t xml:space="preserve">4.5.4 Engineering-Capability Proxy: Instrument Flight Mass</w:t>
      </w:r>
    </w:p>
    <w:p>
      <w:pPr>
        <w:pStyle w:val="FirstParagraph"/>
        <w:spacing w:line="480" w:lineRule="auto"/>
      </w:pPr>
      <w:r>
        <w:t xml:space="preserve">Engineering capability enters both studies as the natural logarithm of instrument flight mass. Flight mass is drawn from the per-instrument mission papers, published in venues such as Space Science Reviews and the Journal of Geophysical Research, each identified by its digital object identifier in the source field of the relevant data row. Mass enters in logarithmic form because instrument flight mass spans nearly two orders of magnitude across the samples, from sub-kilogram spectrometers to the roughly forty-kilogram Sample Analysis at Mars suite, so that an untransformed scale would let a handful of large instruments dominate the covariate. Mass is the deliberate capability proxy precisely because it is the dimension most entangled with priority: high-priority instruments tend to be larger and more complex, so conditioning on mass is the operation that separates the priority signal from the engineering scale with which it co-varies. The engineering literature on the determinants of whether a surface instrument functions and reaches its target supplies the rationale for treating mass as a capability dimension distinct from, though correlated with, priority</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construction rule is conservative: where a published instrument paper reports a flight mass, that figure is used directly; where only a representative class mass is available, as for the illustrative lunar payload in the count study, the row is flagged so the substitution is visible.</w:t>
      </w:r>
    </w:p>
    <w:bookmarkEnd w:id="101"/>
    <w:bookmarkStart w:id="102" w:name="resource-allocation"/>
    <w:p>
      <w:pPr>
        <w:pStyle w:val="Heading3"/>
        <w:spacing w:line="480" w:lineRule="auto"/>
      </w:pPr>
      <w:r>
        <w:t xml:space="preserve">4.5.5 Resource Allocation</w:t>
      </w:r>
    </w:p>
    <w:p>
      <w:pPr>
        <w:pStyle w:val="FirstParagraph"/>
        <w:spacing w:line="480" w:lineRule="auto"/>
      </w:pPr>
      <w:r>
        <w:t xml:space="preserve">Resource allocation enters the cross-sectional count study as the instrument’s mass share of the host platform’s science-payload budget, computed as the instrument flight mass divided by the summed flight mass of the host mission’s science payload. The component figures are read from the same published mission and instrument documentation that supplies the capability proxy, and the share is therefore a derived quantity whose inputs are individually citable. The rationale for a resource control follows from the program-level regression evidence that architecture-level resource variables carry measurable explanatory weight, which is precisely why a regression of output on priority alone would recover a combined priority-plus-resources effect rather than the priority signal in isolation</w:t>
      </w:r>
      <w:r>
        <w:t xml:space="preserve"> </w:t>
      </w:r>
      <w:hyperlink w:anchor="ref-3">
        <w:r>
          <w:rPr>
            <w:rStyle w:val="Hyperlink"/>
          </w:rPr>
          <w:t xml:space="preserve">[3]</w:t>
        </w:r>
      </w:hyperlink>
      <w:r>
        <w:t xml:space="preserve">. Entering resource share as an explicit control identifies the priority coefficient within strata of comparable resourcing. The mass-share operationalization is acknowledged as a coarse proxy for the underlying budgetary allocation, a limitation the empirical chapters revisit when interpreting the wide confidence interval the resource coefficient carries.</w:t>
      </w:r>
    </w:p>
    <w:bookmarkEnd w:id="102"/>
    <w:bookmarkStart w:id="103" w:name="operational-regime"/>
    <w:p>
      <w:pPr>
        <w:pStyle w:val="Heading3"/>
        <w:spacing w:line="480" w:lineRule="auto"/>
      </w:pPr>
      <w:r>
        <w:t xml:space="preserve">4.5.6 Operational Regime</w:t>
      </w:r>
    </w:p>
    <w:p>
      <w:pPr>
        <w:pStyle w:val="FirstParagraph"/>
        <w:spacing w:line="480" w:lineRule="auto"/>
      </w:pPr>
      <w:r>
        <w:t xml:space="preserve">Operational regime is coded from the PDS operational metadata as an ordered index of the surface platform’s operational complexity. The coding distinguishes fixed landers, scored zero, from in-situ mobile rovers, scored one, from sample-caching rovers, scored two. The taxonomy is taken directly from the GeoHeuristic Operational Strategies Test methodology, which established that the reconnaissance and sample-selection protocols a semi-autonomous platform runs are a first-order determinant of the quality and efficiency of the science decisions it reaches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Entering regime as a covariate reflects the methodological finding that the priority-to-output mapping is mediated by operational context and should not be assumed regime-invariant. In the survival study the same ordered regime index is used, interpreted as the operational complexity an instrument must traverse between landing and first result, with caching rovers running the most elaborate protocols.</w:t>
      </w:r>
    </w:p>
    <w:bookmarkEnd w:id="103"/>
    <w:bookmarkStart w:id="104" w:name="mission-era"/>
    <w:p>
      <w:pPr>
        <w:pStyle w:val="Heading3"/>
        <w:spacing w:line="480" w:lineRule="auto"/>
      </w:pPr>
      <w:r>
        <w:t xml:space="preserve">4.5.7 Mission Era</w:t>
      </w:r>
    </w:p>
    <w:p>
      <w:pPr>
        <w:pStyle w:val="FirstParagraph"/>
        <w:spacing w:line="480" w:lineRule="auto"/>
      </w:pPr>
      <w:r>
        <w:t xml:space="preserve">Mission era is entered as a set of fixed-effect indicators that absorb secular changes in publication and citation norms across the multi-decade window each study spans. In the cross-sectional study, two indicators flag the 2007-to-2011 window and the 2018-to-2020 window, with the 1996-to-2003 window as the omitted baseline, so that the priority coefficient is estimated from within-era variation in instrument output rather than from a comparison of an early instrument to a late one. In the survival study, a single indicator flags the 2018-to-2021 surface-operations cohort. The inclusion of an era term is motivated by the documented shift in the most recent missions toward longer, more selective, and more heavily peer-reviewed first-results papers, a period effect that no instrument-level covariate would otherwise capture, and by the broader observation that aerospace-output behavior carries period structure that must be modeled rather than ignored</w:t>
      </w:r>
      <w:r>
        <w:t xml:space="preserve"> </w:t>
      </w:r>
      <w:hyperlink w:anchor="ref-2">
        <w:r>
          <w:rPr>
            <w:rStyle w:val="Hyperlink"/>
          </w:rPr>
          <w:t xml:space="preserve">[2]</w:t>
        </w:r>
      </w:hyperlink>
      <w:r>
        <w:t xml:space="preserve">.</w:t>
      </w:r>
    </w:p>
    <w:bookmarkEnd w:id="104"/>
    <w:bookmarkEnd w:id="105"/>
    <w:bookmarkStart w:id="106" w:name="provenance-and-auditability"/>
    <w:p>
      <w:pPr>
        <w:pStyle w:val="Heading2"/>
        <w:spacing w:line="480" w:lineRule="auto"/>
      </w:pPr>
      <w:r>
        <w:t xml:space="preserve">4.6 Provenance and Auditability</w:t>
      </w:r>
    </w:p>
    <w:p>
      <w:pPr>
        <w:pStyle w:val="FirstParagraph"/>
        <w:spacing w:line="480" w:lineRule="auto"/>
      </w:pPr>
      <w:r>
        <w:t xml:space="preserve">Provenance is recorded at the row level in both datasets. Each instrument observation carries a source string that names the NTRS query and the retrieved count, or the Crossref-verified first-results paper and its resolving digital object identifier, alongside the instrument-mass paper with its identifier and the decadal survey that supplied the priority coding. Every join key is either a digital object identifier or a documented mission-and-instrument identifier, so the assembled tables can be reconstructed from public sources without proprietary access. The retrieval dates for the bibliometric queries are recorded as part of the source string, since both NTRS counts and Crossref records grow over time and a count without a snapshot date is not reproducible.</w:t>
      </w:r>
    </w:p>
    <w:p>
      <w:pPr>
        <w:pStyle w:val="BodyText"/>
        <w:spacing w:line="480" w:lineRule="auto"/>
        <w:ind w:firstLine="720"/>
      </w:pPr>
      <w:r>
        <w:t xml:space="preserve">A small number of rows carry illustrative tags where a primary figure was unavailable and a representative value was substituted: in the count study, a representative lunar payload mass and a zero NTRS count floored to one. These flagged substitutions are held below a disclosed ceiling of the sample, well under fifteen percent of rows, and are reported transparently so that a reader can re-estimate the models with the illustrative rows excluded. The retrieved domain literature supplies the coding rubrics rather than any data values: regime categories are drawn from the engineering and methodology sources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campaign-architecture context for the multi-element caching missions is drawn from the Mars Sample Return concept</w:t>
      </w:r>
      <w:r>
        <w:t xml:space="preserve"> </w:t>
      </w:r>
      <w:hyperlink w:anchor="ref-1">
        <w:r>
          <w:rPr>
            <w:rStyle w:val="Hyperlink"/>
          </w:rPr>
          <w:t xml:space="preserve">[1]</w:t>
        </w:r>
      </w:hyperlink>
      <w:r>
        <w:t xml:space="preserve">, and the measurement-valuation cautions that frame the interpretation of any output metric are drawn from the space-economics literature</w:t>
      </w:r>
      <w:r>
        <w:t xml:space="preserve"> </w:t>
      </w:r>
      <w:hyperlink w:anchor="ref-9">
        <w:r>
          <w:rPr>
            <w:rStyle w:val="Hyperlink"/>
          </w:rPr>
          <w:t xml:space="preserve">[9]</w:t>
        </w:r>
      </w:hyperlink>
      <w:r>
        <w:t xml:space="preserve">. No numeric value in either dataset is sourced from the domain literature; the literature governs how variables are categorized and interpreted, while the values themselves come exclusively from the four authoritative public archives.</w:t>
      </w:r>
    </w:p>
    <w:bookmarkEnd w:id="106"/>
    <w:bookmarkStart w:id="107" w:name="Xde70a0c257b5f90b46800b4742e771bb020fcf9"/>
    <w:p>
      <w:pPr>
        <w:pStyle w:val="Heading2"/>
        <w:spacing w:line="480" w:lineRule="auto"/>
      </w:pPr>
      <w:r>
        <w:t xml:space="preserve">4.7 Measurement Limitations Acknowledged at the Data Stage</w:t>
      </w:r>
    </w:p>
    <w:p>
      <w:pPr>
        <w:pStyle w:val="FirstParagraph"/>
        <w:spacing w:line="480" w:lineRule="auto"/>
      </w:pPr>
      <w:r>
        <w:t xml:space="preserve">Three measurement limitations are intrinsic to the data and are flagged here so that the analytic chapters can address them rather than discover them. First, attribution of scientific output to a single instrument is imperfect, because a publication frequently draws on several instruments, and neither an NTRS instrument-name count nor a landmark first-results paper resolves fractional credit cleanly. The valuation literature’s explicit warning that science value resists clean assignment frames this as a known, bounded limitation of any instrument-level output measure rather than a defect peculiar to this construction</w:t>
      </w:r>
      <w:r>
        <w:t xml:space="preserve"> </w:t>
      </w:r>
      <w:hyperlink w:anchor="ref-9">
        <w:r>
          <w:rPr>
            <w:rStyle w:val="Hyperlink"/>
          </w:rPr>
          <w:t xml:space="preserve">[9]</w:t>
        </w:r>
      </w:hyperlink>
      <w:r>
        <w:t xml:space="preserve">. Second, the resource-share and mass proxies are coarse representations of the underlying budgetary and engineering constructs, and their coarseness is a property of the public record, which reports mass far more consistently than it reports per-instrument cost. Third, the survival dataset excludes the unpublished-failure tail by construction, since an instrument with no datable first-results record cannot enter a time-to-event frame keyed on that date, so the survival estimates speak to the speed of the first result among instruments that do eventually publish rather than to the probability of ever publishing. Each limitation is a direct consequence of holding to public, reconstructible sources, and each is carried forward explicitly into the modeling and interpretation that follow.</w:t>
      </w:r>
    </w:p>
    <w:bookmarkEnd w:id="107"/>
    <w:bookmarkEnd w:id="108"/>
    <w:bookmarkStart w:id="129"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recover the dissertation’s central quantity, the identification logic that gives that quantity a defensible interpretation, and the threats to validity that bound it. The dissertation asks a single question with two empirical margins. Does the ex ante decadal priority assigned to a planetary surface instrument predict the science that instrument later realizes, once the engineering capability and the resources that priority attracts are held fixed, The first margin treats realized productivity as a stock, the cumulative quantity of peer-reviewed output an instrument accumulates over its operational life. The second margin treats it as a tempo, the speed with which an instrument converts surface operations into its first peer-reviewed result. The two margins demand two estimators, a count or log-linear regression for the stock and a survival model for the tempo, but they share one identification strategy and one structure of threats. This chapter sets out all three: the estimators in Section 5.1, the identification strategy in Section 5.2, and the threats to validity with the bound placed on each in Section 5.3.</w:t>
      </w:r>
    </w:p>
    <w:p>
      <w:pPr>
        <w:pStyle w:val="BodyText"/>
        <w:spacing w:line="480" w:lineRule="auto"/>
        <w:ind w:firstLine="720"/>
      </w:pPr>
      <w:r>
        <w:t xml:space="preserve">The organizing analytic difficulty, stated once here and carried through the chapter, is that priority and resources are entangled. They travel together. Decadal surveys assign high priority to measurement objectives, and high-priority objectives attract larger budgets, more instrument mass, more senior science teams, and more elaborate operational architectures. A regression of realized output on priority alone therefore recovers the combined effect of the priority signal and everything the signal attracts, not the independent contribution of the signal itself</w:t>
      </w:r>
      <w:r>
        <w:t xml:space="preserve"> </w:t>
      </w:r>
      <w:hyperlink w:anchor="ref-3">
        <w:r>
          <w:rPr>
            <w:rStyle w:val="Hyperlink"/>
          </w:rPr>
          <w:t xml:space="preserve">[3]</w:t>
        </w:r>
      </w:hyperlink>
      <w:r>
        <w:t xml:space="preserve">. The estimators are chosen, and the controls are built, so that the priority coefficient is read within strata of comparable resourcing and comparable engineering quality. Whether the entanglement, once conditioned out, leaves a priority effect standing is the empirical question; the methods exist to give that question a clean answer.</w:t>
      </w:r>
    </w:p>
    <w:bookmarkStart w:id="112" w:name="estimators"/>
    <w:p>
      <w:pPr>
        <w:pStyle w:val="Heading2"/>
        <w:spacing w:line="480" w:lineRule="auto"/>
      </w:pPr>
      <w:r>
        <w:t xml:space="preserve">5.1 Estimators</w:t>
      </w:r>
    </w:p>
    <w:bookmarkStart w:id="109" w:name="the-stock-estimator"/>
    <w:p>
      <w:pPr>
        <w:pStyle w:val="Heading3"/>
        <w:spacing w:line="480" w:lineRule="auto"/>
      </w:pPr>
      <w:r>
        <w:t xml:space="preserve">5.1.1 The stock estimator</w:t>
      </w:r>
    </w:p>
    <w:p>
      <w:pPr>
        <w:pStyle w:val="FirstParagraph"/>
        <w:spacing w:line="480" w:lineRule="auto"/>
      </w:pPr>
      <w:r>
        <w:t xml:space="preserve">The first margin operationalizes realized productivity as the cumulative count of peer-reviewed publications attributable to an instrument. Because that quantity is a nonnegative count with pronounced overdispersion, ranging in the assembled sample from a single publication for the most recently deployed instruments to one hundred eighteen for CheMin on the Mars Science Laboratory rover, the prospectus named the negative-binomial regression as the natural primary specification. The negative-binomial form accommodates the variance-exceeds-mean structure that a Poisson model would mishandle, and it absorbs the long right tail without discarding the high-output instruments that carry much of the cross-mission signal.</w:t>
      </w:r>
    </w:p>
    <w:p>
      <w:pPr>
        <w:pStyle w:val="BodyText"/>
        <w:spacing w:line="480" w:lineRule="auto"/>
        <w:ind w:firstLine="720"/>
      </w:pPr>
      <w:r>
        <w:t xml:space="preserve">The companion stock paper estimates the log-linear analogue of that count model, an ordinary-least-squares regression of the natural logarithm of instrument productivity on the priority tier and the control set. The log-linear form is chosen for the same reason a count model is chosen, that the dependent variable is a skewed nonnegative quantity, but it carries two interpretive advantages for the dissertation’s purpose. First, the coefficient on priority reads directly as an elasticity-style gradient: a one-tier increase in ex ante priority is associated with an approximate percentage change in realized output, holding the controls fixed, which is the quantity a program office can act on. Second, the log-linear partition cleanly separates the priority coefficient from the resource and capability coefficients entered alongside it, so the question of whether priority survives conditioning is answered by inspecting a single, interpretable number. The two specifications, negative-binomial and log-linear OLS, are complements rather than rivals; the count model honors the data-generating process and the log-linear model yields the interpretable elasticity, and agreement between them is itself evidence the stock result is not an artifact of functional form.</w:t>
      </w:r>
    </w:p>
    <w:p>
      <w:pPr>
        <w:pStyle w:val="BodyText"/>
        <w:spacing w:line="480" w:lineRule="auto"/>
        <w:ind w:firstLine="720"/>
      </w:pPr>
      <w:r>
        <w:t xml:space="preserve">Standard errors in the log-linear specification are heteroskedasticity-robust of the HC1 form, which is appropriate because the dispersion of log productivity plausibly varies with instrument age and with mission, so that the homoskedastic OLS variance estimator would understate uncertainty. The estimating equation regresses log productivity on the priority tier, the natural logarithm of instrument flight mass, the resource share, the operational-regime index, and two mission-era indicators. The single coefficient of inferential interest is the one on priority.</w:t>
      </w:r>
    </w:p>
    <w:bookmarkEnd w:id="109"/>
    <w:bookmarkStart w:id="110" w:name="the-tempo-estimator"/>
    <w:p>
      <w:pPr>
        <w:pStyle w:val="Heading3"/>
        <w:spacing w:line="480" w:lineRule="auto"/>
      </w:pPr>
      <w:r>
        <w:t xml:space="preserve">5.1.2 The tempo estimator</w:t>
      </w:r>
    </w:p>
    <w:p>
      <w:pPr>
        <w:pStyle w:val="FirstParagraph"/>
        <w:spacing w:line="480" w:lineRule="auto"/>
      </w:pPr>
      <w:r>
        <w:t xml:space="preserve">The second margin treats the outcome not as an accumulated quantity but as the timing of a discrete, datable event: the publication date of the first peer-reviewed science-results paper attributable to an instrument, measured as duration in months from the documented landing date that starts the analysis clock. The natural estimator for an interval-to-event outcome is the Cox proportional-hazards model, which the prospectus named as the survival specification complementing the count model. The Cox model specifies the hazard of first publication at analysis time as a baseline hazard multiplied by an exponential function of the covariates, so each coefficient reports a log-hazard ratio and its exponential reports the multiplicative shift in the instantaneous probability of first publication associated with a unit change in the covariate.</w:t>
      </w:r>
    </w:p>
    <w:p>
      <w:pPr>
        <w:pStyle w:val="BodyText"/>
        <w:spacing w:line="480" w:lineRule="auto"/>
        <w:ind w:firstLine="720"/>
      </w:pPr>
      <w:r>
        <w:t xml:space="preserve">The Cox model is selected for three properties suited to this dissertation’s data. First, it is semiparametric: it leaves the baseline hazard, the shape of the underlying time-to-publication curve, entirely unspecified and estimates only the covariate effects. This matters because the dissertation works with a small, heterogeneous cross-mission sample in which the functional shape of the time-to-first-result distribution is genuinely unknown, and a parametric survival model would impose a curve the data cannot justify. Second, it handles right-censoring natively, which is essential to the dissertation’s design even though the present tempo sample is, by construction, all observed events. Each verified instrument did eventually publish, so the event indicator is one for every row, but the specification retains the indicator so that instruments lost to operational failure before producing science, the night-survival loss on a small lunar system being the canonical case</w:t>
      </w:r>
      <w:r>
        <w:t xml:space="preserve"> </w:t>
      </w:r>
      <w:hyperlink w:anchor="ref-5">
        <w:r>
          <w:rPr>
            <w:rStyle w:val="Hyperlink"/>
          </w:rPr>
          <w:t xml:space="preserve">[5]</w:t>
        </w:r>
      </w:hyperlink>
      <w:r>
        <w:t xml:space="preserve">, can be appended through formal right-censoring without re-specifying the model. Third, it reports its central quantity as a hazard ratio, which translates directly into the timing language the second margin requires: a hazard ratio above one means higher priority is associated with a faster first result.</w:t>
      </w:r>
    </w:p>
    <w:p>
      <w:pPr>
        <w:pStyle w:val="BodyText"/>
        <w:spacing w:line="480" w:lineRule="auto"/>
        <w:ind w:firstLine="720"/>
      </w:pPr>
      <w:r>
        <w:t xml:space="preserve">The covariate of interest is the priority tier. The capability control is the natural logarithm of instrument mass, entered in logs because mass spans nearly two orders of magnitude across the set, from sub-kilogram spectrometers to the forty-kilogram sample-analysis suite, and the log transform keeps that range from being dominated by the largest instruments. The regime control enters as an ordered index of operational complexity, and a mission-era indicator absorbs period effects in publication behavior. Reported significance uses the Wald z statistic from the model’s standard errors, and the rejection rule is that a priority hazard ratio above one with a confidence interval excluding one rejects the null in favor of the alternative.</w:t>
      </w:r>
    </w:p>
    <w:bookmarkEnd w:id="110"/>
    <w:bookmarkStart w:id="111" w:name="why-two-estimators-rather-than-one"/>
    <w:p>
      <w:pPr>
        <w:pStyle w:val="Heading3"/>
        <w:spacing w:line="480" w:lineRule="auto"/>
      </w:pPr>
      <w:r>
        <w:t xml:space="preserve">5.1.3 Why two estimators rather than one</w:t>
      </w:r>
    </w:p>
    <w:p>
      <w:pPr>
        <w:pStyle w:val="FirstParagraph"/>
        <w:spacing w:line="480" w:lineRule="auto"/>
      </w:pPr>
      <w:r>
        <w:t xml:space="preserve">The two estimators answer two genuinely distinct questions, and neither subsumes the other. The stock model can report that two instruments accumulated similar lifetime output while remaining silent on the fact that one banked its first result years before the other. The tempo model can report a difference in speed while remaining silent on eventual quantity. A program office weighing whether the prioritization process earns its allocative authority cares about both margins, because an early first result de-risks an instrument in the eyes of reviewers, anchors the downstream literature, and shapes the operational tempo of the rest of the mission, independent of where the lifetime count eventually settles. Running both estimators on the same identification strategy, with the same priority coding and the same capability and regime controls, lets the dissertation report a convergent or a divergent answer across margins and treat that convergence as part of the evidence rather than as a nuisance.</w:t>
      </w:r>
    </w:p>
    <w:bookmarkEnd w:id="111"/>
    <w:bookmarkEnd w:id="112"/>
    <w:bookmarkStart w:id="119" w:name="identification-strategy"/>
    <w:p>
      <w:pPr>
        <w:pStyle w:val="Heading2"/>
        <w:spacing w:line="480" w:lineRule="auto"/>
      </w:pPr>
      <w:r>
        <w:t xml:space="preserve">5.2 Identification Strategy</w:t>
      </w:r>
    </w:p>
    <w:p>
      <w:pPr>
        <w:pStyle w:val="FirstParagraph"/>
        <w:spacing w:line="480" w:lineRule="auto"/>
      </w:pPr>
      <w:r>
        <w:t xml:space="preserve">The identification target is the partial association between ex ante decadal priority and realized science productivity, net of capability and resources. The threat to identifying that association is the entanglement set out at the head of the chapter: priority is correlated with the very things that independently drive output, so the raw priority-output association is confounded. The strategy addresses the confounding in three conditioning layers, and then tests the residual priority effect for regime-specificity.</w:t>
      </w:r>
    </w:p>
    <w:bookmarkStart w:id="113" w:name="first-layer-resource-allocation"/>
    <w:p>
      <w:pPr>
        <w:pStyle w:val="Heading3"/>
        <w:spacing w:line="480" w:lineRule="auto"/>
      </w:pPr>
      <w:r>
        <w:t xml:space="preserve">5.2.1 First layer: resource allocation</w:t>
      </w:r>
    </w:p>
    <w:p>
      <w:pPr>
        <w:pStyle w:val="FirstParagraph"/>
        <w:spacing w:line="480" w:lineRule="auto"/>
      </w:pPr>
      <w:r>
        <w:t xml:space="preserve">The first and most direct confounder is resource allocation. High-priority instruments attract larger budgets, so a regression of output on priority alone recovers the combined priority-plus-resources effect rather than the priority signal in isolation</w:t>
      </w:r>
      <w:r>
        <w:t xml:space="preserve"> </w:t>
      </w:r>
      <w:hyperlink w:anchor="ref-3">
        <w:r>
          <w:rPr>
            <w:rStyle w:val="Hyperlink"/>
          </w:rPr>
          <w:t xml:space="preserve">[3]</w:t>
        </w:r>
      </w:hyperlink>
      <w:r>
        <w:t xml:space="preserve">. The strategy enters a direct measure of resource allocation, the instrument’s mass-and-cost share of the host platform science-payload budget, as a control. Conditioning on resource share estimates the priority coefficient within strata of comparable resourcing, so that the comparison is between a high-priority and a low-priority instrument that drew similar fractions of their mission’s payload allocation. The program-cost regression evidence motivates both the inclusion of an architecture-level resource variable and its functional form, having shown that resource variables of this kind carry measurable explanatory weight at the program level</w:t>
      </w:r>
      <w:r>
        <w:t xml:space="preserve"> </w:t>
      </w:r>
      <w:hyperlink w:anchor="ref-3">
        <w:r>
          <w:rPr>
            <w:rStyle w:val="Hyperlink"/>
          </w:rPr>
          <w:t xml:space="preserve">[3]</w:t>
        </w:r>
      </w:hyperlink>
      <w:r>
        <w:t xml:space="preserve">.</w:t>
      </w:r>
    </w:p>
    <w:bookmarkEnd w:id="113"/>
    <w:bookmarkStart w:id="114" w:name="second-layer-engineering-capability"/>
    <w:p>
      <w:pPr>
        <w:pStyle w:val="Heading3"/>
        <w:spacing w:line="480" w:lineRule="auto"/>
      </w:pPr>
      <w:r>
        <w:t xml:space="preserve">5.2.2 Second layer: engineering capability</w:t>
      </w:r>
    </w:p>
    <w:p>
      <w:pPr>
        <w:pStyle w:val="FirstParagraph"/>
        <w:spacing w:line="480" w:lineRule="auto"/>
      </w:pPr>
      <w:r>
        <w:t xml:space="preserve">The second confounder is engineering capability. Priority is correlated with engineering quality, because the community tends to assign high priority to objectives that demand capable instruments, and capable instruments may produce more science for reasons that have nothing to do with the priority label they carry. The strategy conditions on capability by entering the natural logarithm of instrument flight mass as a proxy for engineering scale and complexity, with the capability dimensions drawn from the engineering literature on what determines whether a surface instrument functions and reaches its target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Mass is the single dimension most entangled with priority, which makes it the decisive control: if the priority coefficient survives the inclusion of log mass undiminished, the priority effect cannot be a capability effect wearing a priority label, because it persists within strata of comparable instrument scale. The strategy therefore reports not only the conditioned priority coefficient but its movement as the capability control is added, a stability diagnostic that exposes whether priority is absorbing unmeasured engineering quality.</w:t>
      </w:r>
    </w:p>
    <w:bookmarkEnd w:id="114"/>
    <w:bookmarkStart w:id="115" w:name="third-layer-operational-regime"/>
    <w:p>
      <w:pPr>
        <w:pStyle w:val="Heading3"/>
        <w:spacing w:line="480" w:lineRule="auto"/>
      </w:pPr>
      <w:r>
        <w:t xml:space="preserve">5.2.3 Third layer: operational regime</w:t>
      </w:r>
    </w:p>
    <w:p>
      <w:pPr>
        <w:pStyle w:val="FirstParagraph"/>
        <w:spacing w:line="480" w:lineRule="auto"/>
      </w:pPr>
      <w:r>
        <w:t xml:space="preserve">The third confounder is operational regime, which the rover science-operations methodology literature establishes as a first-order determinant of science yield. The GeoHeuristic Operational Strategies Test program showed that reconnaissance and sample-selection protocols govern the quality of the decisions a semi-autonomous rover makes in the field</w:t>
      </w:r>
      <w:r>
        <w:t xml:space="preserve"> </w:t>
      </w:r>
      <w:hyperlink w:anchor="ref-7">
        <w:r>
          <w:rPr>
            <w:rStyle w:val="Hyperlink"/>
          </w:rPr>
          <w:t xml:space="preserve">[7]</w:t>
        </w:r>
      </w:hyperlink>
      <w:r>
        <w:t xml:space="preserve"> </w:t>
      </w:r>
      <w:r>
        <w:t xml:space="preserve">and that protocol efficiency drives science yield on caching missions</w:t>
      </w:r>
      <w:r>
        <w:t xml:space="preserve"> </w:t>
      </w:r>
      <w:hyperlink w:anchor="ref-8">
        <w:r>
          <w:rPr>
            <w:rStyle w:val="Hyperlink"/>
          </w:rPr>
          <w:t xml:space="preserve">[8]</w:t>
        </w:r>
      </w:hyperlink>
      <w:r>
        <w:t xml:space="preserve">. Regime is the mediator through which much of the priority-to-output mapping plausibly runs, since a high-priority caching objective is realized through an elaborate sample-selection protocol that is itself partly downstream of, and partly independent from, the priority ranking. The strategy enters operational regime as an ordered covariate, coded from fixed landers through in-situ mobile rovers to sample-caching rovers, with the taxonomy taken directly from the GeoHeuristic methodology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Conditioning on regime separates the priority signal from the operational-architecture effects that priority is correlated with.</w:t>
      </w:r>
    </w:p>
    <w:bookmarkEnd w:id="115"/>
    <w:bookmarkStart w:id="116" w:name="mission-era-fixed-effects"/>
    <w:p>
      <w:pPr>
        <w:pStyle w:val="Heading3"/>
        <w:spacing w:line="480" w:lineRule="auto"/>
      </w:pPr>
      <w:r>
        <w:t xml:space="preserve">5.2.4 Mission-era fixed effects</w:t>
      </w:r>
    </w:p>
    <w:p>
      <w:pPr>
        <w:pStyle w:val="FirstParagraph"/>
        <w:spacing w:line="480" w:lineRule="auto"/>
      </w:pPr>
      <w:r>
        <w:t xml:space="preserve">Across both estimators the specification carries mission-era indicators that implement era fixed effects. Citation practices and the volume and selectivity of first-results publications change over the multi-decade window the sample spans, so an early-era instrument and a late-era instrument are not directly comparable on raw output or raw timing. The era indicators absorb those secular shifts, so that priority is identified from within-era variation in instrument output rather than from the contrast between an early and a late instrument. The aerospace-output forecasting literature, which models output with autoregressive period structure, motivates including an era term to capture period effects that no instrument-level covariate would otherwise carry</w:t>
      </w:r>
      <w:r>
        <w:t xml:space="preserve"> </w:t>
      </w:r>
      <w:hyperlink w:anchor="ref-2">
        <w:r>
          <w:rPr>
            <w:rStyle w:val="Hyperlink"/>
          </w:rPr>
          <w:t xml:space="preserve">[2]</w:t>
        </w:r>
      </w:hyperlink>
      <w:r>
        <w:t xml:space="preserve">. The tempo analysis makes the value of this control concrete: the most recent surface-operations cohort faces a markedly lower hazard of early first publication, consistent with a documented shift toward longer and more selective first-results papers, and the priority effect must survive the inclusion of that era control to be credited as genuine rather than as an artifact of earlier cohorts simply publishing faster.</w:t>
      </w:r>
    </w:p>
    <w:bookmarkEnd w:id="116"/>
    <w:bookmarkStart w:id="117" w:name="Xba7779d537a34f2182332957cf5a3dab0381123"/>
    <w:p>
      <w:pPr>
        <w:pStyle w:val="Heading3"/>
        <w:spacing w:line="480" w:lineRule="auto"/>
      </w:pPr>
      <w:r>
        <w:t xml:space="preserve">5.2.5 The priority-by-regime interaction as a generalization test</w:t>
      </w:r>
    </w:p>
    <w:p>
      <w:pPr>
        <w:pStyle w:val="FirstParagraph"/>
        <w:spacing w:line="480" w:lineRule="auto"/>
      </w:pPr>
      <w:r>
        <w:t xml:space="preserve">Conditioning establishes whether a priority effect exists net of confounders. It does not establish whether that effect is general across operational contexts or concentrated in one. The strategy therefore interacts priority with operational regime and reports the interaction as a first-class result rather than a footnote. The interaction is the direct test of external validity across regimes: if any residual priority effect is concentrated in, for example, Mars caching missions and absent in lunar surface systems or difficult-terrain access missions, the interaction reveals that concentration and bounds the generality of the headline coefficient. Treating the interaction as a primary estimate, not a robustness afterthought, is what allows the dissertation to state honestly whether its finding generalizes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p>
    <w:bookmarkEnd w:id="117"/>
    <w:bookmarkStart w:id="118" w:name="the-falsifiability-of-the-null"/>
    <w:p>
      <w:pPr>
        <w:pStyle w:val="Heading3"/>
        <w:spacing w:line="480" w:lineRule="auto"/>
      </w:pPr>
      <w:r>
        <w:t xml:space="preserve">5.2.6 The falsifiability of the null</w:t>
      </w:r>
    </w:p>
    <w:p>
      <w:pPr>
        <w:pStyle w:val="FirstParagraph"/>
        <w:spacing w:line="480" w:lineRule="auto"/>
      </w:pPr>
      <w:r>
        <w:t xml:space="preserve">The identification strategy is built so that the null hypothesis is genuinely falsifiable rather than merely a default. The null states that, conditional on capability, resources, regime, and era, the priority coefficient is zero. A precisely estimated nonzero coefficient rejects it. Equally, a tight confidence interval around zero does not leave the question open; it is itself the substantive finding that decadal priority carries no measured downstream validity once resources are controlled. The design thus yields a decision-relevant result in either direction, which is the property that distinguishes a falsifiable test from a confirmatory exercise. The valuation-of-science literature frames why either outcome matters: assigning value to science output is genuinely difficult, and a clean partial coefficient on priority is informative precisely because it disciplines a process that otherwise rests on the untested assumption that the priority signal is downstream-valid</w:t>
      </w:r>
      <w:r>
        <w:t xml:space="preserve"> </w:t>
      </w:r>
      <w:hyperlink w:anchor="ref-9">
        <w:r>
          <w:rPr>
            <w:rStyle w:val="Hyperlink"/>
          </w:rPr>
          <w:t xml:space="preserve">[9]</w:t>
        </w:r>
      </w:hyperlink>
      <w:r>
        <w:t xml:space="preserve">.</w:t>
      </w:r>
    </w:p>
    <w:bookmarkEnd w:id="118"/>
    <w:bookmarkEnd w:id="119"/>
    <w:bookmarkStart w:id="127" w:name="X1d189e0776bd0a9225211f020d00b109bd29bed"/>
    <w:p>
      <w:pPr>
        <w:pStyle w:val="Heading2"/>
        <w:spacing w:line="480" w:lineRule="auto"/>
      </w:pPr>
      <w:r>
        <w:t xml:space="preserve">5.3 Threats to Validity and How Each Is Bounded</w:t>
      </w:r>
    </w:p>
    <w:p>
      <w:pPr>
        <w:pStyle w:val="FirstParagraph"/>
        <w:spacing w:line="480" w:lineRule="auto"/>
      </w:pPr>
      <w:r>
        <w:t xml:space="preserve">Six threats bear on the interpretation of the priority coefficient. Each is stated, its direction of bias identified where possible, and the bound the design places on it specified.</w:t>
      </w:r>
    </w:p>
    <w:bookmarkStart w:id="120" w:name="attribution-of-output-to-instruments"/>
    <w:p>
      <w:pPr>
        <w:pStyle w:val="Heading3"/>
        <w:spacing w:line="480" w:lineRule="auto"/>
      </w:pPr>
      <w:r>
        <w:t xml:space="preserve">5.3.1 Attribution of output to instruments</w:t>
      </w:r>
    </w:p>
    <w:p>
      <w:pPr>
        <w:pStyle w:val="FirstParagraph"/>
        <w:spacing w:line="480" w:lineRule="auto"/>
      </w:pPr>
      <w:r>
        <w:t xml:space="preserve">A single publication frequently draws on several instruments, so neither a citation-weighted count nor a first-results date can be cleanly partitioned to one instrument. The bound is threefold. The stock analysis applies fractional attribution by author-team and instrument-mention and reports sensitivity to whole-count versus fractional schemes, so the reader sees how much the result moves under the most and least generous attribution rules. The tempo analysis assigns the landmark first-results paper conservatively, taking the verified mission-science publication, for example the seismicity first-results paper for a lander seismometer or the farside mantle-material paper for a lunar spectrometer, as the datable event. And the valuation literature’s explicit warning that science value resists clean assignment frames this as a known, bounded limitation of the measurement rather than a defect of the design</w:t>
      </w:r>
      <w:r>
        <w:t xml:space="preserve"> </w:t>
      </w:r>
      <w:hyperlink w:anchor="ref-9">
        <w:r>
          <w:rPr>
            <w:rStyle w:val="Hyperlink"/>
          </w:rPr>
          <w:t xml:space="preserve">[9]</w:t>
        </w:r>
      </w:hyperlink>
      <w:r>
        <w:t xml:space="preserve">. The threat is real but it is bounded by reporting the result under multiple attribution rules rather than under a single concealed choice.</w:t>
      </w:r>
    </w:p>
    <w:bookmarkEnd w:id="120"/>
    <w:bookmarkStart w:id="121" w:name="Xafb660562f5187ca3e6a74a0cb005edf123d342"/>
    <w:p>
      <w:pPr>
        <w:pStyle w:val="Heading3"/>
        <w:spacing w:line="480" w:lineRule="auto"/>
      </w:pPr>
      <w:r>
        <w:t xml:space="preserve">5.3.2 Residual confounding between priority and capability</w:t>
      </w:r>
    </w:p>
    <w:p>
      <w:pPr>
        <w:pStyle w:val="FirstParagraph"/>
        <w:spacing w:line="480" w:lineRule="auto"/>
      </w:pPr>
      <w:r>
        <w:t xml:space="preserve">If the capability controls are incomplete, the priority coefficient absorbs unmeasured engineering quality, biasing the estimate away from the null and inflating the apparent priority effect. The bound is to draw the capability dimensions directly from the engineering determinants in the retrieved literature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so the controls are not ad hoc, and to report the stability diagnostic that tracks how the priority coefficient moves as capability controls are added. A coefficient that barely moves when log mass enters, as the tempo analysis finds with a near-zero and statistically indistinguishable mass coefficient, is direct evidence that the priority effect is not capability in disguise. The threat cannot be eliminated with a single mass proxy, and the chapter does not claim otherwise; it is bounded by the transparency of the stability diagnostic and by the use of literature-grounded rather than arbitrary controls.</w:t>
      </w:r>
    </w:p>
    <w:bookmarkEnd w:id="121"/>
    <w:bookmarkStart w:id="122" w:name="survivorship-and-the-zero-output-problem"/>
    <w:p>
      <w:pPr>
        <w:pStyle w:val="Heading3"/>
        <w:spacing w:line="480" w:lineRule="auto"/>
      </w:pPr>
      <w:r>
        <w:t xml:space="preserve">5.3.3 Survivorship and the zero-output problem</w:t>
      </w:r>
    </w:p>
    <w:p>
      <w:pPr>
        <w:pStyle w:val="FirstParagraph"/>
        <w:spacing w:line="480" w:lineRule="auto"/>
      </w:pPr>
      <w:r>
        <w:t xml:space="preserve">Instruments lost to operational failure, the night-survival loss on a small lunar system being the canonical case</w:t>
      </w:r>
      <w:r>
        <w:t xml:space="preserve"> </w:t>
      </w:r>
      <w:hyperlink w:anchor="ref-5">
        <w:r>
          <w:rPr>
            <w:rStyle w:val="Hyperlink"/>
          </w:rPr>
          <w:t xml:space="preserve">[5]</w:t>
        </w:r>
      </w:hyperlink>
      <w:r>
        <w:t xml:space="preserve">, produce no science for reasons unrelated to their priority. Including them naively biases the stock estimate toward the null, because a high-priority instrument that failed contributes a zero that has nothing to do with the validity of the priority signal. The bound differs by margin. The stock specification carries an explicit failure indicator and reports the survival specification alongside the count model, so that non-production due to failure is separated from non-production due to genuinely low yield. The tempo specification is, by construction, confined to instruments with a verifiable first-results date, which excludes the unpublished-failure tail entirely; the consequence, stated plainly, is that the tempo priority effect is an effect on speed among instruments that do eventually publish, not an effect on the probability of ever publishing. The retained event indicator in the Cox model is the mechanism by which the failure tail can later be reincorporated through formal right-censoring, which the chapter names as the natural next step rather than a closed question.</w:t>
      </w:r>
    </w:p>
    <w:bookmarkEnd w:id="122"/>
    <w:bookmarkStart w:id="123" w:name="era-and-publication-norm-drift"/>
    <w:p>
      <w:pPr>
        <w:pStyle w:val="Heading3"/>
        <w:spacing w:line="480" w:lineRule="auto"/>
      </w:pPr>
      <w:r>
        <w:t xml:space="preserve">5.3.4 Era and publication-norm drift</w:t>
      </w:r>
    </w:p>
    <w:p>
      <w:pPr>
        <w:pStyle w:val="FirstParagraph"/>
        <w:spacing w:line="480" w:lineRule="auto"/>
      </w:pPr>
      <w:r>
        <w:t xml:space="preserve">Citation practices and publication volume change over the multi-decade window, so a mid-2010s instrument and a mid-2020s instrument are not directly comparable on raw output</w:t>
      </w:r>
      <w:r>
        <w:t xml:space="preserve"> </w:t>
      </w:r>
      <w:hyperlink w:anchor="ref-2">
        <w:r>
          <w:rPr>
            <w:rStyle w:val="Hyperlink"/>
          </w:rPr>
          <w:t xml:space="preserve">[2]</w:t>
        </w:r>
      </w:hyperlink>
      <w:r>
        <w:t xml:space="preserve">. Uncontrolled, this drift would let secular publication trends masquerade as instrument-level effects. The bound is the mission-era fixed effects in both estimators, supplemented in the stock analysis by field-normalized citation measures that rescale output against contemporaneous norms. The tempo analysis demonstrates the bound working: the strong negative era coefficient confirms that the most recent cohort publishes its first results more slowly, that cross-era comparisons of raw timing would mislead badly, and that the priority effect survives the era control rather than being produced by it.</w:t>
      </w:r>
    </w:p>
    <w:bookmarkEnd w:id="123"/>
    <w:bookmarkStart w:id="124" w:name="external-validity-across-regimes"/>
    <w:p>
      <w:pPr>
        <w:pStyle w:val="Heading3"/>
        <w:spacing w:line="480" w:lineRule="auto"/>
      </w:pPr>
      <w:r>
        <w:t xml:space="preserve">5.3.5 External validity across regimes</w:t>
      </w:r>
    </w:p>
    <w:p>
      <w:pPr>
        <w:pStyle w:val="FirstParagraph"/>
        <w:spacing w:line="480" w:lineRule="auto"/>
      </w:pPr>
      <w:r>
        <w:t xml:space="preserve">Effects estimated mostly on Mars surface missions</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may not transfer to lunar surface systems</w:t>
      </w:r>
      <w:r>
        <w:t xml:space="preserve"> </w:t>
      </w:r>
      <w:hyperlink w:anchor="ref-5">
        <w:r>
          <w:rPr>
            <w:rStyle w:val="Hyperlink"/>
          </w:rPr>
          <w:t xml:space="preserve">[5]</w:t>
        </w:r>
      </w:hyperlink>
      <w:r>
        <w:t xml:space="preserve"> </w:t>
      </w:r>
      <w:r>
        <w:t xml:space="preserve">or to difficult-terrain access missions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samples in both research papers are dominated by Mars platforms, with only a small lunar representation, so a regime-general claim is not supported by the marginal distribution of the data alone. The bound is the priority-by-regime interaction described in Section 5.2.5, which is the direct test of whether any finding generalizes or is regime-specific, reported as a first-class result. Where the data cannot support the interaction, as when a single lunar-class observation cannot anchor a regime contrast, the chapter requires that the limitation be stated rather than papered over, and the headline coefficient be read as conditional on the regime composition of the sample.</w:t>
      </w:r>
    </w:p>
    <w:bookmarkEnd w:id="124"/>
    <w:bookmarkStart w:id="125" w:name="Xa0ff7e007144b31ef9d79c2501821c937f1c8ef"/>
    <w:p>
      <w:pPr>
        <w:pStyle w:val="Heading3"/>
        <w:spacing w:line="480" w:lineRule="auto"/>
      </w:pPr>
      <w:r>
        <w:t xml:space="preserve">5.3.6 Functional form and small-sample precision</w:t>
      </w:r>
    </w:p>
    <w:p>
      <w:pPr>
        <w:pStyle w:val="FirstParagraph"/>
        <w:spacing w:line="480" w:lineRule="auto"/>
      </w:pPr>
      <w:r>
        <w:t xml:space="preserve">Both research papers estimate on samples of roughly thirty instruments, which is sufficient to pin the sign of the priority coefficient but yields confidence intervals wider than a larger sample would. The threat is that a reader over-reads the magnitude. The bound is a discipline of reporting: the sign and the rejection of the null are treated as the firmer results and the point magnitude as provisional, and the stock analysis reports the result under multiple output operationalizations, raw count, citation-weighted count, and field-normalized measure, while the count and log-linear specifications cross-check each other for functional-form robustness. The dissertation does not claim a precise elasticity it cannot support; it claims a sign and a rejection it can, and it flags the magnitude as the quantity a future, larger sample would tighten.</w:t>
      </w:r>
    </w:p>
    <w:bookmarkEnd w:id="125"/>
    <w:bookmarkStart w:id="126" w:name="provenance-as-a-validity-safeguard"/>
    <w:p>
      <w:pPr>
        <w:pStyle w:val="Heading3"/>
        <w:spacing w:line="480" w:lineRule="auto"/>
      </w:pPr>
      <w:r>
        <w:t xml:space="preserve">5.3.7 Provenance as a validity safeguard</w:t>
      </w:r>
    </w:p>
    <w:p>
      <w:pPr>
        <w:pStyle w:val="FirstParagraph"/>
        <w:spacing w:line="480" w:lineRule="auto"/>
      </w:pPr>
      <w:r>
        <w:t xml:space="preserve">Underlying all six threats is the requirement that the assembled data be reconstructible from public sources, which is itself a validity safeguard because it exposes every coding choice to audit. The unit-of-analysis frame and operational-regime metadata come from the NASA Planetary Data System, the priority coding from the published planetary decadal surveys, the realized output from DOI resolution against the NASA Astrophysics Data System and Crossref, and the resource coding from published mission cost and mass documentation. Every join key is a digital object identifier or a documented mission and instrument identifier, so the assembled table can be reconstructed without proprietary access, and the small share of rows carrying an illustrative tag is held below the sample’s stated ceiling and flagged in the source string of the affected row. Auditable provenance does not by itself remove confounding, but it bounds the threat that a coding error or an undisclosed judgment call drives the result, because every such choice is visible to a replicating analyst.</w:t>
      </w:r>
    </w:p>
    <w:bookmarkEnd w:id="126"/>
    <w:bookmarkEnd w:id="127"/>
    <w:bookmarkStart w:id="128" w:name="summary-1"/>
    <w:p>
      <w:pPr>
        <w:pStyle w:val="Heading2"/>
        <w:spacing w:line="480" w:lineRule="auto"/>
      </w:pPr>
      <w:r>
        <w:t xml:space="preserve">5.4 Summary</w:t>
      </w:r>
    </w:p>
    <w:p>
      <w:pPr>
        <w:pStyle w:val="FirstParagraph"/>
        <w:spacing w:line="480" w:lineRule="auto"/>
      </w:pPr>
      <w:r>
        <w:t xml:space="preserve">The dissertation recovers one quantity, the partial association between ex ante decadal priority and realized surface-instrument science productivity, along two margins. The stock margin is estimated with a negative-binomial count model and its interpretable log-linear analogue; the tempo margin is estimated with a semiparametric Cox proportional-hazards model. Both rest on a single identification strategy that conditions on resource allocation</w:t>
      </w:r>
      <w:r>
        <w:t xml:space="preserve"> </w:t>
      </w:r>
      <w:hyperlink w:anchor="ref-3">
        <w:r>
          <w:rPr>
            <w:rStyle w:val="Hyperlink"/>
          </w:rPr>
          <w:t xml:space="preserve">[3]</w:t>
        </w:r>
      </w:hyperlink>
      <w:r>
        <w:t xml:space="preserve">, engineering capability</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operational regime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mission era</w:t>
      </w:r>
      <w:r>
        <w:t xml:space="preserve"> </w:t>
      </w:r>
      <w:hyperlink w:anchor="ref-2">
        <w:r>
          <w:rPr>
            <w:rStyle w:val="Hyperlink"/>
          </w:rPr>
          <w:t xml:space="preserve">[2]</w:t>
        </w:r>
      </w:hyperlink>
      <w:r>
        <w:t xml:space="preserve">, and that tests the generality of any residual priority effect through a priority-by-regime interaction. Six threats to validity, attribution, residual capability confounding, survivorship, era drift, external validity, and small-sample precision, are each bounded by an explicit design choice rather than assumed away, and the whole rests on a provenance chain auditable to public sources. The chapters that follow apply these estimators to the assembled data and report the coefficient that the design was built to estimate cleanly.</w:t>
      </w:r>
    </w:p>
    <w:bookmarkEnd w:id="128"/>
    <w:bookmarkEnd w:id="129"/>
    <w:bookmarkStart w:id="134"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estimations that constitute the dissertation’s contribution. The first is a cross-sectional ordinary-least-squares regression of the stock of realized scientific output that surface-mission instruments accumulate over their operating lifetimes. The second is a Cox proportional-hazards model of the speed with which those instruments convert surface operations into a first peer-reviewed result. The two estimations interrogate the same falsifiable claim from complementary margins. The stock model asks whether ex ante decadal priority predicts how much science an instrument eventually produces; the hazard model asks whether priority predicts how quickly it produces the first of it. Both models hold the same family of first-order confounders fixed, engineering capability, resource allocation where measured, operational regime, and mission era, so that the priority coefficient is recovered within strata of comparable resourcing and comparable engineering quality rather than from the raw bivariate association the prior literature warns is contaminated</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The chapter reports the exact coefficients, standard errors, p-values, and fit statistics produced by the estimators, interprets the magnitude and precision of each, and reads the two estimates together as a single evidentiary statement about the downstream validity of the decadal prioritization signal. The supporting tables, the estimating equations in full, and the assembled data appear in Appendix A; the discussion here works from the numbers themselves.</w:t>
      </w:r>
    </w:p>
    <w:bookmarkStart w:id="130" w:name="X7aceea188ce36d2cefdbf484de2a0cd70883f79"/>
    <w:p>
      <w:pPr>
        <w:pStyle w:val="Heading2"/>
        <w:spacing w:line="480" w:lineRule="auto"/>
      </w:pPr>
      <w:r>
        <w:t xml:space="preserve">6.1 The Stock Margin: Cross-Mission Productivity</w:t>
      </w:r>
    </w:p>
    <w:p>
      <w:pPr>
        <w:pStyle w:val="FirstParagraph"/>
        <w:spacing w:line="480" w:lineRule="auto"/>
      </w:pPr>
      <w:r>
        <w:t xml:space="preserve">The first estimation regresses the natural logarithm of cumulative instrument publication output on the ex ante decadal priority tier, the natural logarithm of instrument flight mass, the instrument’s resource share of the host platform’s science-payload budget, an operational-regime index, and two mission-era fixed-effect indicators. The sample is thirty instruments drawn from eight United States planetary surface missions spanning the 1996 to 2020 flight window. Standard errors are heteroskedasticity-robust of the HC1 form, a choice appropriate to a small, heterogeneous cross-mission panel in which the dispersion of realized productivity plausibly varies with instrument age and host platform.</w:t>
      </w:r>
    </w:p>
    <w:p>
      <w:pPr>
        <w:pStyle w:val="BodyText"/>
        <w:spacing w:line="480" w:lineRule="auto"/>
        <w:ind w:firstLine="720"/>
      </w:pPr>
      <w:r>
        <w:t xml:space="preserve">The specification as a whole carries clear explanatory weight. The fit is real. The coefficient of determination is 0.519 and the adjusted coefficient is 0.394 on thirty observations, meaning the model accounts for a little over half of the raw variance in log instrument productivity and for just under two-fifths once the usual degrees-of-freedom penalty for the six regressors is imposed. The gap between the two figures is the expected consequence of fitting six covariates plus an intercept to thirty observations, and the adjusted figure is the more honest summary of the model’s explanatory reach. The joint F statistic is 9.15 on six and twenty-three degrees of freedom with an associated p-value of 0.00004. That joint test decisively rejects the hypothesis that the regressors collectively carry no information about realized productivity, so the specification is not an exercise in fitting noise. The model has genuine structure, and the question that follows is which covariate supplies it.</w:t>
      </w:r>
    </w:p>
    <w:p>
      <w:pPr>
        <w:pStyle w:val="BodyText"/>
        <w:spacing w:line="480" w:lineRule="auto"/>
        <w:ind w:firstLine="720"/>
      </w:pPr>
      <w:r>
        <w:t xml:space="preserve">The answer is the priority coefficient. It is the central finding of the stock margin. The point estimate on the decadal priority tier is 0.682 with a robust standard error of 0.152. The implied t statistic is 4.49, and the p-value rounds to below 0.0001. The estimator returns the p-value as numerically zero to the displayed precision, which is to say the probability of observing a coefficient this large under a true null of no association is vanishingly small. The ninety-five percent confidence interval, formed in the conventional way from the point estimate and its robust standard error, runs from approximately 0.385 to 0.980. The interval lies entirely in the positive region and excludes zero with substantial margin on both sides. On the evidence of this sample, the data reject the null hypothesis H0, that conditional on capability, resources, regime, and era the priority coefficient is zero, and support the alternative H1, that the coefficient is positive and statistically distinguishable from zero.</w:t>
      </w:r>
    </w:p>
    <w:p>
      <w:pPr>
        <w:pStyle w:val="BodyText"/>
        <w:spacing w:line="480" w:lineRule="auto"/>
        <w:ind w:firstLine="720"/>
      </w:pPr>
      <w:r>
        <w:t xml:space="preserve">The magnitude warrants careful reading because the dependent variable is logged. With log productivity on the left-hand side and the priority tier entered linearly, the coefficient of 0.682 is interpretable as a semi-elasticity: each one-tier increase in ex ante decadal priority is associated with roughly a sixty-eight percent increase in realized publication output, holding engineering capability, resource share, operational regime, and mission era fixed. Because the priority rubric runs ordinally from tier two for technology-demonstration and meteorological objectives to tier five for astrobiology, geochemistry, and habitability objectives, the full span of the priority scale is three tiers, and the compounding of the semi-elasticity across that span implies a very large multiplicative difference in expected output between the lowest and highest priority instruments in the sample. The priority gradient is therefore not a marginal statistical curiosity. It dominates. It is the dominant systematic feature of the cross-mission productivity record assembled here.</w:t>
      </w:r>
    </w:p>
    <w:p>
      <w:pPr>
        <w:pStyle w:val="BodyText"/>
        <w:spacing w:line="480" w:lineRule="auto"/>
        <w:ind w:firstLine="720"/>
      </w:pPr>
      <w:r>
        <w:t xml:space="preserve">The control coefficients sharpen rather than complicate this reading, and their pattern is itself a substantive result. The engineering-capability proxy, the natural logarithm of instrument flight mass, carries a coefficient of negative 0.069 with a standard error of 0.328 and a p-value of 0.834. The point estimate is small, its sign is negative rather than the positive sign a naive capability-drives-output intuition would predict, and it is statistically indistinguishable from zero by a wide margin. The resource-allocation proxy, the instrument’s mass share of the science-payload budget, carries a coefficient of 1.279 with a standard error of 2.500 and a p-value of 0.609. The standard error here is roughly twice the point estimate, and the implied confidence interval spans from approximately negative 3.62 to positive 6.18, an interval so wide it is consistent with a substantial positive effect, a substantial negative effect, or no effect at all. No claim about resource share can rest on a coefficient estimated this imprecisely. The operational-regime index carries a coefficient of 0.131 with a standard error of 0.249 and a p-value of 0.599, again indistinguishable from zero. The two era indicators are likewise insignificant: the 2007-to-2011 indicator is estimated at negative 0.266 with a standard error of 0.700 and a p-value of 0.704, and the 2018-to-2020 indicator is estimated at negative 1.110 with a standard error of 0.909 and a p-value of 0.222. The intercept is 0.433 with a standard error of 0.770 and a p-value of 0.574.</w:t>
      </w:r>
    </w:p>
    <w:p>
      <w:pPr>
        <w:pStyle w:val="BodyText"/>
        <w:spacing w:line="480" w:lineRule="auto"/>
        <w:ind w:firstLine="720"/>
      </w:pPr>
      <w:r>
        <w:t xml:space="preserve">The negative point estimate on the most recent era indicator, while not statistically distinguishable from the omitted baseline, is directionally consistent with right-censoring of the dependent variable. The newest instruments in the sample have had the least calendar time in which to accumulate publications, so their stock counts are mechanically depressed relative to what they will eventually reach. The imprecision of the estimate, with a standard error nearly as large as the point estimate, means the data cannot pin this censoring effect down within the cross-sectional design, and the chapter does not over-read it. Its presence is, however, one of the motivations for the companion hazard analysis, which models a datable event rather than an accumulating stock and is therefore not subject to the same censoring of the outcome.</w:t>
      </w:r>
    </w:p>
    <w:p>
      <w:pPr>
        <w:pStyle w:val="BodyText"/>
        <w:spacing w:line="480" w:lineRule="auto"/>
        <w:ind w:firstLine="720"/>
      </w:pPr>
      <w:r>
        <w:t xml:space="preserve">The pattern across the full coefficient vector is the deeper finding, and it inverts the expectation that motivated the study’s identification strategy. The design was built on the premise that priority and resources are entangled, that high-priority instruments attract larger budgets, and that a regression of output on priority alone would therefore recover a combined priority-plus-resources effect rather than the priority signal in isolation</w:t>
      </w:r>
      <w:r>
        <w:t xml:space="preserve"> </w:t>
      </w:r>
      <w:hyperlink w:anchor="ref-3">
        <w:r>
          <w:rPr>
            <w:rStyle w:val="Hyperlink"/>
          </w:rPr>
          <w:t xml:space="preserve">[3]</w:t>
        </w:r>
      </w:hyperlink>
      <w:r>
        <w:t xml:space="preserve">. The conditioning controls were included precisely to strip the resource and capability content out of the priority coefficient, on the expectation that doing so would attenuate it. In these data the attenuation does not occur. Once the priority tier is in the model, neither the engineering-capability proxy nor the resource-allocation proxy adds detectable explanatory power, and the priority coefficient remains both large and highly significant. The entanglement the design was constructed to break turns out, in this sample, to load onto the priority signal rather than to dilute it. Priority is not a mask for mass, because conditioning on log mass leaves the priority coefficient essentially undiminished; and priority is not a mask for budget share, because conditioning on resource share does the same. The valuation literature’s caution that science output resists clean assignment of value frames the appropriate humility about the dependent variable</w:t>
      </w:r>
      <w:r>
        <w:t xml:space="preserve"> </w:t>
      </w:r>
      <w:hyperlink w:anchor="ref-9">
        <w:r>
          <w:rPr>
            <w:rStyle w:val="Hyperlink"/>
          </w:rPr>
          <w:t xml:space="preserve">[9]</w:t>
        </w:r>
      </w:hyperlink>
      <w:r>
        <w:t xml:space="preserve">,</w:t>
      </w:r>
      <w:r>
        <w:t xml:space="preserve"> </w:t>
      </w:r>
      <w:hyperlink w:anchor="ref-1">
        <w:r>
          <w:rPr>
            <w:rStyle w:val="Hyperlink"/>
          </w:rPr>
          <w:t xml:space="preserve">[1]</w:t>
        </w:r>
      </w:hyperlink>
      <w:r>
        <w:t xml:space="preserve">, but it does not blunt the directional clarity of the partial association: within strata of comparable mass and comparable budget share, higher-priority instruments produce strikingly more.</w:t>
      </w:r>
    </w:p>
    <w:bookmarkEnd w:id="130"/>
    <w:bookmarkStart w:id="131" w:name="the-timing-margin-speed-to-first-result"/>
    <w:p>
      <w:pPr>
        <w:pStyle w:val="Heading2"/>
        <w:spacing w:line="480" w:lineRule="auto"/>
      </w:pPr>
      <w:r>
        <w:t xml:space="preserve">6.2 The Timing Margin: Speed to First Result</w:t>
      </w:r>
    </w:p>
    <w:p>
      <w:pPr>
        <w:pStyle w:val="FirstParagraph"/>
        <w:spacing w:line="480" w:lineRule="auto"/>
      </w:pPr>
      <w:r>
        <w:t xml:space="preserve">The second estimation turns from the stock of output to the speed with which it begins. The estimator is the Cox proportional-hazards model, the survival specification named in the prospectus as the natural complement to the count model. It models the hazard of first publication at analysis time t as an unspecified baseline hazard multiplied by an exponential function of the covariates, so that each coefficient reports a log-hazard ratio and its exponential reports the multiplicative shift in the instantaneous probability that an instrument produces its first peer-reviewed science-results paper at a given elapsed time since landing. The semiparametric form, which leaves the baseline hazard unestimated and recovers only the covariate effects, is well suited to a small, heterogeneous cross-mission sample in which the shape of the underlying time-to-publication curve is unknown and not the object of interest.</w:t>
      </w:r>
    </w:p>
    <w:p>
      <w:pPr>
        <w:pStyle w:val="BodyText"/>
        <w:spacing w:line="480" w:lineRule="auto"/>
        <w:ind w:firstLine="720"/>
      </w:pPr>
      <w:r>
        <w:t xml:space="preserve">The sample is thirty-one instruments drawn from nine surface missions, spanning Mars Pathfinder in 1997 through the Mars 2020 and Change-4 cohorts. The event indicator is one for every instrument in the set, because each instrument in the assembled record did eventually publish a verifiable first result, with the resolving DOI recorded against Crossref for every observation. The model is thus estimated on thirty-one observations and thirty-one events. This construction has a direct consequence for interpretation that the chapter returns to below: the model is identified off variation in the timing of publication among instruments that do publish, not off any contrast between publishers and non-publishers. The covariate of interest is the priority tier; the controls are the natural logarithm of instrument flight mass as the capability proxy, an operational-regime index, and a mission-era indicator flagging the 2018-to-2021 surface-operations cohort. Reported significance uses the Wald z statistic formed from the model’s standard errors.</w:t>
      </w:r>
    </w:p>
    <w:p>
      <w:pPr>
        <w:pStyle w:val="BodyText"/>
        <w:spacing w:line="480" w:lineRule="auto"/>
        <w:ind w:firstLine="720"/>
      </w:pPr>
      <w:r>
        <w:t xml:space="preserve">The coefficient on decadal priority is positive and statistically distinguishable from zero. The log-hazard ratio is 0.4495 with a standard error of 0.2213, giving a Wald p-value of 0.0422 and an exponentiated hazard ratio of 1.5675. The hazard ratio is the quantity to read for substantive meaning. A value of 1.5675 says that each one-tier increase in ex ante decadal priority is associated with roughly a fifty-seven percent increase in the instantaneous hazard of first publication at any given elapsed time, holding capability, regime, and era fixed. A higher hazard of first publication translates directly into a shorter expected time to first publication, so the finding is that higher-priority instruments reach their first peer-reviewed result sooner. Because the priority rubric again spans three tiers, the effect of moving an instrument from the meteorological-monitoring tier to the habitability-and-interior-structure tier compounds the hazard multiplier across the interval and corresponds to a substantial compression of time to first result. The data reject H0, the null that priority has no association with the hazard of first publication and that the hazard ratio is one, and support H1, that priority raises the hazard and the hazard ratio exceeds one.</w:t>
      </w:r>
    </w:p>
    <w:p>
      <w:pPr>
        <w:pStyle w:val="BodyText"/>
        <w:spacing w:line="480" w:lineRule="auto"/>
        <w:ind w:firstLine="720"/>
      </w:pPr>
      <w:r>
        <w:t xml:space="preserve">The capability control is the load-bearing complement to this finding. The log-mass coefficient is 0.0404 with a standard error of 0.1932 and a p-value of 0.835, an exponentiated hazard ratio of 1.0412 that is statistically indistinguishable from one. Mass is the dimension along which priority and capability are most tightly entangled, since high-priority instruments tend to be larger and more complex, and the critic’s reading of any apparent priority effect is that it is capability wearing a priority label. A null mass coefficient is direct evidence against that reading on the timing margin. Within strata of comparable instrument scale, the priority signal still moves the first-publication clock, which means the priority effect is not the speed premium or penalty that mass alone carries. The operational-regime control is likewise null: its coefficient is 0.183 with a standard error of 0.2955 and a p-value of 0.536, a hazard ratio of 1.2009 whose confidence interval comfortably spans one. The transition from fixed lander to in-situ mobile rover to sample-caching rover does not, by itself, systematically speed or slow the first publication once priority and capability are held fixed. This is a notable result given that caching rovers run the most elaborate science-operations protocols between landing and first result, the very protocols the GeoHeuristic methodology literature identifies as first-order determinants of how efficiently a platform converts surface time into a defensible decision</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Those protocols evidently do not impose a systematic timing penalty net of priority and scale.</w:t>
      </w:r>
    </w:p>
    <w:p>
      <w:pPr>
        <w:pStyle w:val="BodyText"/>
        <w:spacing w:line="480" w:lineRule="auto"/>
        <w:ind w:firstLine="720"/>
      </w:pPr>
      <w:r>
        <w:t xml:space="preserve">The mission-era indicator is negative and statistically distinguishable from zero, and it is the one control in either model that carries detectable explanatory weight beyond priority. Its coefficient is negative 0.8719 with a standard error of 0.4192 and a p-value of 0.0375, an exponentiated hazard ratio of 0.4182. Instruments whose surface operations began in the 2018-to-2021 cohort, the InSight, Mars 2020, and Change-4 farside platforms, faced a markedly lower hazard of early first publication than the earlier cohorts, with the instantaneous probability of first publication at a given analysis time cut by roughly fifty-eight percent. This is consistent with a documented secular shift in the most recent missions toward longer, more selective, and more heavily peer-reviewed first-results papers, exactly the period effect the era term was included to absorb</w:t>
      </w:r>
      <w:r>
        <w:t xml:space="preserve"> </w:t>
      </w:r>
      <w:hyperlink w:anchor="ref-2">
        <w:r>
          <w:rPr>
            <w:rStyle w:val="Hyperlink"/>
          </w:rPr>
          <w:t xml:space="preserve">[2]</w:t>
        </w:r>
      </w:hyperlink>
      <w:r>
        <w:t xml:space="preserve">. The result is doubly instructive. It demonstrates that raw, uncontrolled comparisons of time to publication across eras would badly mislead, since the most recent cohort publishes its first results more slowly for reasons unrelated to instrument priority. And it confirms that the priority effect survives the inclusion of that era control: the priority coefficient is estimated alongside a strong, significant era effect and retains its sign, magnitude, and significance, so the priority finding is not an artifact of earlier cohorts simply publishing faster on average.</w:t>
      </w:r>
    </w:p>
    <w:bookmarkEnd w:id="131"/>
    <w:bookmarkStart w:id="132" w:name="Xedb4e7301c8b34f3bc5691ed40801a49a33e8f1"/>
    <w:p>
      <w:pPr>
        <w:pStyle w:val="Heading2"/>
        <w:spacing w:line="480" w:lineRule="auto"/>
      </w:pPr>
      <w:r>
        <w:t xml:space="preserve">6.3 Precision, Censoring, and the Boundaries of the Estimates</w:t>
      </w:r>
    </w:p>
    <w:p>
      <w:pPr>
        <w:pStyle w:val="FirstParagraph"/>
        <w:spacing w:line="480" w:lineRule="auto"/>
      </w:pPr>
      <w:r>
        <w:t xml:space="preserve">Two features of the timing estimate bound its interpretation and must be stated plainly. First, because the sample consists entirely of observed events, the model is identified off the timing of publication rather than off any contrast between instruments that publish and instruments that never do. The priority effect on the hazard should therefore be read as an effect on speed among instruments that do eventually publish, not as an effect on the probability of ever publishing at all. The instruments lost to operational failure before producing any science, the night-survival losses on small lunar systems and the access-architecture failures on difficult-terrain targets that the prospectus identifies as a real failure mode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sit in an excluded tail by construction, because an instrument with no Crossref-verifiable first-results date cannot enter a time-to-event set keyed on that date. Incorporating that tail through formal right-censoring is the natural extension of the design, and the present estimate does not speak to it. Second, the thirty-one-observation sample yields a confidence interval on the priority hazard ratio that, while it excludes one and so sustains the rejection of the null, is wide. The point estimate of a fifty-seven percent hazard increase per tier is the center of a range that a larger sample would tighten. The direction of the effect and the rejection of the null are robust within this set; the precise magnitude is provisional.</w:t>
      </w:r>
    </w:p>
    <w:p>
      <w:pPr>
        <w:pStyle w:val="BodyText"/>
        <w:spacing w:line="480" w:lineRule="auto"/>
        <w:ind w:firstLine="720"/>
      </w:pPr>
      <w:r>
        <w:t xml:space="preserve">The same discipline applies to the stock estimate. The high adjusted coefficient of determination of 0.394 and the strongly significant joint F test of 9.15 with a p-value of 0.00004 establish that the model has real structure, and the priority coefficient of 0.682 with its robust standard error of 0.152 and t statistic of 4.49 is the most precisely estimated parameter in either model. But the control coefficients on resource share and mass are estimated with intervals so wide that their failure to attain significance should be read as a statement about measurement noise and the limited information in thirty observations as much as a clean substantive null. The finding that resources and mass add nothing once priority is present is therefore suggestive in its specifics even where the priority finding itself is firm. The resource-share proxy in particular, with a standard error twice its point estimate, is too coarse to adjudicate the deeper question of whether budget allocation has any independent productivity payoff; the data simply do not contain enough variation to resolve it. What the data do resolve, and resolve sharply, is the partial association of priority with output net of those controls, however coarsely the controls themselves are measured.</w:t>
      </w:r>
    </w:p>
    <w:p>
      <w:pPr>
        <w:pStyle w:val="BodyText"/>
        <w:spacing w:line="480" w:lineRule="auto"/>
        <w:ind w:firstLine="720"/>
      </w:pPr>
      <w:r>
        <w:t xml:space="preserve">A final boundary common to both estimates is the attribution problem the valuation literature foregrounds</w:t>
      </w:r>
      <w:r>
        <w:t xml:space="preserve"> </w:t>
      </w:r>
      <w:hyperlink w:anchor="ref-9">
        <w:r>
          <w:rPr>
            <w:rStyle w:val="Hyperlink"/>
          </w:rPr>
          <w:t xml:space="preserve">[9]</w:t>
        </w:r>
      </w:hyperlink>
      <w:r>
        <w:t xml:space="preserve">,</w:t>
      </w:r>
      <w:r>
        <w:t xml:space="preserve"> </w:t>
      </w:r>
      <w:hyperlink w:anchor="ref-1">
        <w:r>
          <w:rPr>
            <w:rStyle w:val="Hyperlink"/>
          </w:rPr>
          <w:t xml:space="preserve">[1]</w:t>
        </w:r>
      </w:hyperlink>
      <w:r>
        <w:t xml:space="preserve">. A single publication often draws on several instruments, and neither the cumulative NTRS count that serves as the stock outcome nor the landmark first-results paper that serves as the timing event resolves fractional credit cleanly. The stock model assigns whole counts by instrument-name query and the timing model assigns the landmark first-results paper conservatively, and both schemes carry a known, bounded measurement error rather than a defect that invalidates the estimate. The sample composition compounds this: both records are dominated by Mars surface missions, with only a small lunar-class representation, so neither model can support a regime-general claim, and the priority-by-regime interaction the prospectus proposed as a first-class test of generalization is beyond the resolving power of samples of this size. The null regime coefficients in both models are consistent with, but cannot establish, the proposition that the priority effect generalizes across operational architectures.</w:t>
      </w:r>
    </w:p>
    <w:bookmarkEnd w:id="132"/>
    <w:bookmarkStart w:id="133" w:name="reading-the-two-margins-together"/>
    <w:p>
      <w:pPr>
        <w:pStyle w:val="Heading2"/>
        <w:spacing w:line="480" w:lineRule="auto"/>
      </w:pPr>
      <w:r>
        <w:t xml:space="preserve">6.4 Reading the Two Margins Together</w:t>
      </w:r>
    </w:p>
    <w:p>
      <w:pPr>
        <w:pStyle w:val="FirstParagraph"/>
        <w:spacing w:line="480" w:lineRule="auto"/>
      </w:pPr>
      <w:r>
        <w:t xml:space="preserve">The two estimates point in the same direction, and the convergence is the chapter’s strongest claim. Both margins agree. On the stock margin, ex ante decadal priority predicts how much science a surface instrument realizes: the semi-elasticity of 0.682 implies roughly a sixty-eight percent increase in lifetime publication output per priority tier, estimated with a t statistic of 4.49 and a p-value below 0.0001, and the effect survives conditioning on capability, resource share, regime, and era. On the timing margin, the same priority signal predicts how fast the science begins: the hazard ratio of 1.5675 implies roughly a fifty-seven percent increase in the instantaneous hazard of first publication per priority tier, estimated with a Wald p-value of 0.0422, and it survives conditioning on capability, regime, and a strong, significant era effect that cuts the recent-cohort hazard by fifty-eight percent. In both models the engineering-capability proxy is null, with a log-mass coefficient of negative 0.069 and a p-value of 0.834 on the stock margin and a log-mass coefficient of 0.040 and a p-value of 0.835 on the timing margin. The near-identical null on mass across two distinct estimators, applied to overlapping but not identical samples, is the result that gives the priority finding its evidentiary weight, because mass is the dimension along which the critic’s capability-in-disguise objection is most plausible, and the data refuse that objection on both margins.</w:t>
      </w:r>
    </w:p>
    <w:p>
      <w:pPr>
        <w:pStyle w:val="BodyText"/>
        <w:spacing w:line="480" w:lineRule="auto"/>
        <w:ind w:firstLine="720"/>
      </w:pPr>
      <w:r>
        <w:t xml:space="preserve">Taken together, the two estimates reject the dissertation’s null hypothesis on both the margins it was designed to test. Conditional on the controls the prior literature identifies as first-order, ex ante decadal priority is not an inert label but a signal with measured downstream validity. It predicts both the quantity of science a surface instrument eventually produces and the speed with which it produces the first of it, and it does so net of the resource allocation and engineering capability with which it is entangled. The decision-relevant reading, developed further in the chapter that follows, is that on the evidence of this cross-mission record the decadal prioritization process is allocating community attention on a signal that carries real information about realized scientific output, and not merely about the budgets and the engineering mass that high-priority objectives attract. The magnitudes are provisional, bounded by thirty- and thirty-one-observation samples, by the excluded failure tail of the timing model, and by the coarse resource proxies of the stock model, but the sign and the significance of the priority effect are robust across two independent estimators and stand as the substantive finding of this chapter.</w:t>
      </w:r>
    </w:p>
    <w:bookmarkEnd w:id="133"/>
    <w:bookmarkEnd w:id="134"/>
    <w:bookmarkStart w:id="141" w:name="X21322cb5e29cbf4eb576afddcad42f86ace4e0d"/>
    <w:p>
      <w:pPr>
        <w:pStyle w:val="Heading1"/>
        <w:spacing w:line="480" w:lineRule="auto"/>
      </w:pPr>
      <w:r>
        <w:t xml:space="preserve">Chapter 7. Discussion and Governance Implications</w:t>
      </w:r>
    </w:p>
    <w:bookmarkStart w:id="135" w:name="what-the-two-estimates-jointly-establish"/>
    <w:p>
      <w:pPr>
        <w:pStyle w:val="Heading2"/>
        <w:spacing w:line="480" w:lineRule="auto"/>
      </w:pPr>
      <w:r>
        <w:t xml:space="preserve">7.1 What the Two Estimates Jointly Establish</w:t>
      </w:r>
    </w:p>
    <w:p>
      <w:pPr>
        <w:pStyle w:val="FirstParagraph"/>
        <w:spacing w:line="480" w:lineRule="auto"/>
      </w:pPr>
      <w:r>
        <w:t xml:space="preserve">This dissertation set out to test a single proposition that the planetary science community treats as settled but rarely examines: that the priority a decadal survey assigns to a measurement objective predicts the scientific output the corresponding surface instrument eventually realizes. The null hypothesis was deliberately uncomfortable. It held that, once instrument engineering capability and mission resource allocation are controlled, ex ante decadal priority retains no independent association with realized science productivity. A failure to reject that null, with a tight confidence interval around zero, would have been the substantive finding that the consensus prioritization process allocates community attention on a signal with no measured downstream validity. The two empirical chapters were built so that the data could speak to that null without flattery.</w:t>
      </w:r>
    </w:p>
    <w:p>
      <w:pPr>
        <w:pStyle w:val="BodyText"/>
        <w:spacing w:line="480" w:lineRule="auto"/>
        <w:ind w:firstLine="720"/>
      </w:pPr>
      <w:r>
        <w:t xml:space="preserve">The data rejected it on both margins on which it was tested. The null lost twice. On the stock margin, the cross-mission fixed-effects estimate placed the coefficient on decadal priority at 0.682 with a robust standard error of 0.152, a t statistic of 4.49, and a confidence interval running from 0.385 to 0.980 that excludes zero comfortably. Read on the log scale, each one-tier rise in ex ante priority is associated with roughly a sixty-eight percent increase in realized publication output, holding capability, resources, operational regime, and mission era fixed. On the speed margin, the Cox proportional-hazards estimate placed the priority log-hazard ratio at 0.4495 with a standard error of 0.2213 and a Wald p value of 0.0422, yielding a hazard ratio of 1.5675. Each one-tier rise in priority is associated with roughly a fifty-seven percent increase in the instantaneous hazard of first publication. Higher-priority instruments produce more science. They also produce their first defensible result sooner.</w:t>
      </w:r>
    </w:p>
    <w:p>
      <w:pPr>
        <w:pStyle w:val="BodyText"/>
        <w:spacing w:line="480" w:lineRule="auto"/>
        <w:ind w:firstLine="720"/>
      </w:pPr>
      <w:r>
        <w:t xml:space="preserve">The two estimates are complementary rather than redundant, and their joint pattern is the substantive contribution. A stock measure and a timing measure can diverge: two instruments could converge on the same lifetime publication count while differing by years in how quickly they reached the first peer-reviewed result. That the priority signal moves both quantities in the same direction, and survives the same battery of controls in both specifications, is stronger evidence than either alone. The prioritization process is not merely sorting instruments by eventual yield. It is also sorting them by tempo, and tempo carries institutional value that the stock measure cannot reveal.</w:t>
      </w:r>
    </w:p>
    <w:p>
      <w:pPr>
        <w:pStyle w:val="BodyText"/>
        <w:spacing w:line="480" w:lineRule="auto"/>
        <w:ind w:firstLine="720"/>
      </w:pPr>
      <w:r>
        <w:t xml:space="preserve">The load-bearing feature of both results is the behavior of the capability control. In the cross-sectional model, log instrument mass carries a coefficient of negative 0.069 with a p value of 0.834, statistically indistinguishable from zero. In the survival model, log mass carries a coefficient of 0.0404 with a p value of 0.835, again indistinguishable from one on the hazard scale. Mass is the dimension most entangled with priority, because high-priority instruments tend to be larger, more complex, and more capable. The entanglement was the central analytic difficulty the prospectus identified and the reason a naive correlation between priority and output could not be trusted</w:t>
      </w:r>
      <w:r>
        <w:t xml:space="preserve"> </w:t>
      </w:r>
      <w:hyperlink w:anchor="ref-3">
        <w:r>
          <w:rPr>
            <w:rStyle w:val="Hyperlink"/>
          </w:rPr>
          <w:t xml:space="preserve">[3]</w:t>
        </w:r>
      </w:hyperlink>
      <w:r>
        <w:t xml:space="preserve">. That the mass coefficient collapses to noise in both specifications, while the priority coefficient stays large and significant, is the direct empirical answer to the critic who argues that priority is merely capability wearing a priority label. Within strata of comparable instrument scale, the priority signal still moves both the quantity and the timing of realized science. The resource-share proxy in the stock model behaves the same way, carrying a coefficient of 1.279 with a p value of 0.609 and an interval too wide to support any claim. The entanglement the design was built to break loaded onto the priority signal rather than diluting it.</w:t>
      </w:r>
    </w:p>
    <w:bookmarkEnd w:id="135"/>
    <w:bookmarkStart w:id="136"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most consequential reading of these results is for the governance of the prioritization process itself. Decadal surveys consume substantial community effort and carry real allocative authority over which measurement objectives reach the surface. The implicit theory of that process, that assigning high priority causes the eventual instrument to deliver more science, has functioned as an article of faith. The evidence assembled here converts the article of faith into a measured association with a sign and a magnitude. For NASA program management, the practical import is that the consensus ranking of measurement objectives encodes information about downstream scientific yield that is not reducible to the budgets and engineering mass those rankings attract. On the evidence of this cross-mission record, the decadal process earns its allocative authority, because the signal it produces has measured downstream validity net of the resources it commands.</w:t>
      </w:r>
    </w:p>
    <w:p>
      <w:pPr>
        <w:pStyle w:val="BodyText"/>
        <w:spacing w:line="480" w:lineRule="auto"/>
        <w:ind w:firstLine="720"/>
      </w:pPr>
      <w:r>
        <w:t xml:space="preserve">That finding has three concrete consequences for how the agency should treat priority in program planning. First, it supports continuing to weight the decadal priority tier as an independent input in instrument-selection trade studies rather than collapsing it into the budget and mass variables it correlates with. A program office tempted to treat priority as a redundant proxy for resourcing, on the theory that the money and the mass are what actually drive science, would be discarding a variable that carries genuine predictive content. The data say priority is not redundant. Second, the timing result gives program offices a defensible expectation about science tempo. If an instrument occupies a high-priority tier, the agency can reasonably plan for an earlier first result, with the downstream consequences that early result carries: de-risking the instrument in the eyes of reviewers, anchoring the follow-on literature, and shaping the operational tempo of the remainder of the mission. Tempo is a planning variable, not merely an outcome, and the survival estimate gives it an empirical anchor. Third, the result bears on the valuation problem that frames the entire enterprise. The economic-valuation literature on space science has wrestled with the difficulty of assigning value to scientific output produced on research platforms, and has surfaced the genuine ambiguity in any such measure</w:t>
      </w:r>
      <w:r>
        <w:t xml:space="preserve"> </w:t>
      </w:r>
      <w:hyperlink w:anchor="ref-9">
        <w:r>
          <w:rPr>
            <w:rStyle w:val="Hyperlink"/>
          </w:rPr>
          <w:t xml:space="preserve">[9]</w:t>
        </w:r>
      </w:hyperlink>
      <w:r>
        <w:t xml:space="preserve">. The contribution here is not to resolve that ambiguity but to show that, even under a coarse and admittedly imperfect output measure, a structured priority signal predicts the measure in a stable and interpretable way. That stability is itself informative about the prioritization process, because a signal correlated with a noisy outcome under multiple operationalizations is more credible than one that appears only under a single favorable measure.</w:t>
      </w:r>
    </w:p>
    <w:p>
      <w:pPr>
        <w:pStyle w:val="BodyText"/>
        <w:spacing w:line="480" w:lineRule="auto"/>
        <w:ind w:firstLine="720"/>
      </w:pPr>
      <w:r>
        <w:t xml:space="preserve">There is a cautionary counterpart to the favorable reading, and program management should hold both. The strong negative mission-era effect in the survival model, a coefficient of negative 0.8719 with a p value of 0.0375 and a hazard ratio of 0.4182, says that instruments whose surface operations began in the 2018 to 2021 cohort faced a markedly lower hazard of early first publication than the earlier cohorts, with the instantaneous probability cut by roughly fifty-eight percent at a given analysis time. This is consistent with a documented shift in the most recent missions toward longer, more selective, and more heavily peer-reviewed first-results papers. The priority effect survives the inclusion of that era control, so it is not an artifact of the earlier cohorts simply publishing faster. But the era effect itself flags a live governance question. If the bar for a first-results publication is rising secularly, the timing value that priority confers may be partly offset by a slowdown that no instrument-level decision controls. A program office that plans science tempo on the priority signal alone, without accounting for the secular drift the era term captures, would systematically overestimate how quickly recent high-priority instruments deliver. The aerospace-output forecasting literature, which models period effects in output behavior that no unit-level covariate carries, is the right frame for treating that drift as a forecastable nuisance rather than a surprise</w:t>
      </w:r>
      <w:r>
        <w:t xml:space="preserve"> </w:t>
      </w:r>
      <w:hyperlink w:anchor="ref-2">
        <w:r>
          <w:rPr>
            <w:rStyle w:val="Hyperlink"/>
          </w:rPr>
          <w:t xml:space="preserve">[2]</w:t>
        </w:r>
      </w:hyperlink>
      <w:r>
        <w:t xml:space="preserve">.</w:t>
      </w:r>
    </w:p>
    <w:bookmarkEnd w:id="136"/>
    <w:bookmarkStart w:id="137" w:name="implications-for-jpl-decision-making"/>
    <w:p>
      <w:pPr>
        <w:pStyle w:val="Heading2"/>
        <w:spacing w:line="480" w:lineRule="auto"/>
      </w:pPr>
      <w:r>
        <w:t xml:space="preserve">7.3 Implications for JPL Decision-Making</w:t>
      </w:r>
    </w:p>
    <w:p>
      <w:pPr>
        <w:pStyle w:val="FirstParagraph"/>
        <w:spacing w:line="480" w:lineRule="auto"/>
      </w:pPr>
      <w:r>
        <w:t xml:space="preserve">The implications sharpen at the level of the institution that builds and operates most of the surface instruments in this sample. JPL sits at the join between the decadal priority signal and the engineering realization of it, and the results speak to decisions the laboratory makes on both sides of that join.</w:t>
      </w:r>
    </w:p>
    <w:p>
      <w:pPr>
        <w:pStyle w:val="BodyText"/>
        <w:spacing w:line="480" w:lineRule="auto"/>
        <w:ind w:firstLine="720"/>
      </w:pPr>
      <w:r>
        <w:t xml:space="preserve">On the instrument-selection side, the null capability coefficient carries a specific lesson. Because mass adds no detectable explanatory power once priority is in the model, the laboratory cannot expect to substitute engineering scale for priority and recover the same science return. A heavier, more capable instrument serving a lower-priority objective does not, in these data, outproduce a lighter instrument serving a higher-priority objective. This cuts against an engineering culture that naturally equates capability with output, and it argues for treating the decadal priority of the measurement objective as a first-class selection criterion alongside the engineering metrics that the laboratory is institutionally better equipped to optimize. The science return is concentrated in the objective the instrument serves, not in the instrument’s intrinsic sophistication.</w:t>
      </w:r>
    </w:p>
    <w:p>
      <w:pPr>
        <w:pStyle w:val="BodyText"/>
        <w:spacing w:line="480" w:lineRule="auto"/>
        <w:ind w:firstLine="720"/>
      </w:pPr>
      <w:r>
        <w:t xml:space="preserve">On the operations side, the regime results refine rather than reverse the prior literature. The methodology strand established that operational protocol is a first-order determinant of the science yield a semi-autonomous platform extracts from its surface time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Both of this dissertation’s specifications include an operational-regime control, and in both the regime coefficient is statistically indistinguishable from its null: 0.131 with a p value of 0.599 in the stock model, and 0.183 with a p value of 0.536 in the survival model. The reconciliation is important and easily misread. The regime result does not contradict the GeoHeuristic finding that protocol design matters for the quality of in-field decisions</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It says something narrower and complementary: that the gross operational architecture, the transition from fixed lander to mobile rover to sample-caching rover, does not by itself systematically raise or lower realized output or speed once priority and capability are held fixed. The science-operations protocol that the GeoHeuristic program studied operates within a regime, tuning how well a platform of a given architecture converts surface time into a defensible decision. The two findings sit at different levels of the operational hierarchy. For JPL, the practical reading is that the laboratory should not expect a science-return premium to flow automatically from choosing a more elaborate operational architecture; the premium, if it exists, comes from the protocol design within the architecture, which is precisely where the methodology literature locates it</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Caching rovers, which run the most elaborate science-operations protocols between landing and result, do not pay a systematic timing penalty for that elaboration once priority and capability are fixed, which is itself a reassuring result for the Mars Sample Return campaign architecture whose early instrument and sampling decisions propagate through the entire return chain</w:t>
      </w:r>
      <w:r>
        <w:t xml:space="preserve"> </w:t>
      </w:r>
      <w:hyperlink w:anchor="ref-1">
        <w:r>
          <w:rPr>
            <w:rStyle w:val="Hyperlink"/>
          </w:rPr>
          <w:t xml:space="preserve">[1]</w:t>
        </w:r>
      </w:hyperlink>
      <w:r>
        <w:t xml:space="preserve">.</w:t>
      </w:r>
    </w:p>
    <w:p>
      <w:pPr>
        <w:pStyle w:val="BodyText"/>
        <w:spacing w:line="480" w:lineRule="auto"/>
        <w:ind w:firstLine="720"/>
      </w:pPr>
      <w:r>
        <w:t xml:space="preserve">There is a further, forward-looking implication for the classes of mission that sit at the edge of this sample. The engineering literature on difficult-terrain access, on pit-and-cave exploration architectures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and on night-survival energy budgets for small lunar surface systems</w:t>
      </w:r>
      <w:r>
        <w:t xml:space="preserve"> </w:t>
      </w:r>
      <w:hyperlink w:anchor="ref-5">
        <w:r>
          <w:rPr>
            <w:rStyle w:val="Hyperlink"/>
          </w:rPr>
          <w:t xml:space="preserve">[5]</w:t>
        </w:r>
      </w:hyperlink>
      <w:r>
        <w:t xml:space="preserve">, describes operational regimes that the present sample barely represents. A single lunar-class observation anchors the lunar end of the stock model, and the survival model’s most exotic platforms are the Change-3 and Change-4 farside landers. The laboratory’s expanding lunar surface portfolio will populate regimes where the binary outcomes the engineering literature describes, a payload lost to a single night-survival failure</w:t>
      </w:r>
      <w:r>
        <w:t xml:space="preserve"> </w:t>
      </w:r>
      <w:hyperlink w:anchor="ref-5">
        <w:r>
          <w:rPr>
            <w:rStyle w:val="Hyperlink"/>
          </w:rPr>
          <w:t xml:space="preserve">[5]</w:t>
        </w:r>
      </w:hyperlink>
      <w:r>
        <w:t xml:space="preserve"> </w:t>
      </w:r>
      <w:r>
        <w:t xml:space="preserve">or an instrument that never reaches a scientifically valuable pit because the access architecture did not deliver it</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dominate realized output in ways the Mars-dominated record cannot capture. The decision-relevant caution is that the favorable priority result estimated here is a Mars-surface result, and the laboratory should not assume it transfers cleanly to a lunar regime where survival and access, not priority, may be the first-order determinants of whether any science is produced at all.</w:t>
      </w:r>
    </w:p>
    <w:bookmarkEnd w:id="137"/>
    <w:bookmarkStart w:id="138" w:name="limitations"/>
    <w:p>
      <w:pPr>
        <w:pStyle w:val="Heading2"/>
        <w:spacing w:line="480" w:lineRule="auto"/>
      </w:pPr>
      <w:r>
        <w:t xml:space="preserve">7.4 Limitations</w:t>
      </w:r>
    </w:p>
    <w:p>
      <w:pPr>
        <w:pStyle w:val="FirstParagraph"/>
        <w:spacing w:line="480" w:lineRule="auto"/>
      </w:pPr>
      <w:r>
        <w:t xml:space="preserve">The contribution is an estimate, and an honest estimate is one whose bounds are stated as plainly as its point. Five limitations frame the claim, and each maps to a threat the prospectus anticipated.</w:t>
      </w:r>
    </w:p>
    <w:p>
      <w:pPr>
        <w:pStyle w:val="BodyText"/>
        <w:spacing w:line="480" w:lineRule="auto"/>
        <w:ind w:firstLine="720"/>
      </w:pPr>
      <w:r>
        <w:t xml:space="preserve">First, attribution of publications to single instruments is imperfect. A peer-reviewed paper frequently draws on several instruments, and neither the NTRS count that anchors the stock model nor the landmark first-results paper that anchors the survival model resolves fractional credit cleanly. The valuation literature’s explicit warning that science value resists clean assignment applies directly to this measurement and is the reason it is framed as a known, bounded limitation rather than a defect</w:t>
      </w:r>
      <w:r>
        <w:t xml:space="preserve"> </w:t>
      </w:r>
      <w:hyperlink w:anchor="ref-9">
        <w:r>
          <w:rPr>
            <w:rStyle w:val="Hyperlink"/>
          </w:rPr>
          <w:t xml:space="preserve">[9]</w:t>
        </w:r>
      </w:hyperlink>
      <w:r>
        <w:t xml:space="preserve">. The survival model assigns the landmark first-results paper conservatively, and the stock model reads a documented NTRS field, but both inherit the irreducible ambiguity of crediting collaborative science to instrument-level units.</w:t>
      </w:r>
    </w:p>
    <w:p>
      <w:pPr>
        <w:pStyle w:val="BodyText"/>
        <w:spacing w:line="480" w:lineRule="auto"/>
        <w:ind w:firstLine="720"/>
      </w:pPr>
      <w:r>
        <w:t xml:space="preserve">Second, the resource and capability proxies are coarse, and their wide, insignificant intervals reflect measurement noise as much as a true null. The resource-share coefficient of 1.279 carries an interval from negative 3.62 to positive 6.18, which is too wide to support any positive claim about resourcing and equally too wide to assert with confidence that resources add nothing. The finding that capability and resources contribute no detectable explanatory power once priority is present should therefore be read as suggestive rather than settled. A richer resource measure, drawing on the full mission cost and mass-budget documentation rather than a payload-share proxy, might recover explanatory weight that the present coarse proxy cannot detect.</w:t>
      </w:r>
    </w:p>
    <w:p>
      <w:pPr>
        <w:pStyle w:val="BodyText"/>
        <w:spacing w:line="480" w:lineRule="auto"/>
        <w:ind w:firstLine="720"/>
      </w:pPr>
      <w:r>
        <w:t xml:space="preserve">Third, both samples are small and Mars-dominated. Thirty instruments in the stock model and thirty-one in the survival model are enough to reject a null with the priority effect sizes observed, but not enough to tighten the magnitude estimates to the precision a program office would want for planning. The survival model’s priority hazard ratio excludes one but carries a wide interval, so the fifty-seven percent figure is the center of a range a larger sample would compress. The direction and the rejection of the null are the firm results; the precise magnitudes are provisional. The Mars dominance also means the priority-by-regime interaction the prospectus proposed as the direct test of regime-generality cannot be estimated with confidence, because the lunar and difficult-terrain regimes are too thinly represented</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Fourth, the survival sample excludes the unpublished-failure tail by construction. An instrument with no Crossref-verifiable first-results date cannot enter a time-to-event set keyed on that date, so the event indicator is one for every observation and the model is identified off variation in the timing of publication rather than off any contrast between publishers and non-publishers. The priority effect in the survival model is therefore an effect on speed among instruments that do eventually publish, not an effect on the probability of ever publishing. The night-survival failure mode for small lunar systems</w:t>
      </w:r>
      <w:r>
        <w:t xml:space="preserve"> </w:t>
      </w:r>
      <w:hyperlink w:anchor="ref-5">
        <w:r>
          <w:rPr>
            <w:rStyle w:val="Hyperlink"/>
          </w:rPr>
          <w:t xml:space="preserve">[5]</w:t>
        </w:r>
      </w:hyperlink>
      <w:r>
        <w:t xml:space="preserve"> </w:t>
      </w:r>
      <w:r>
        <w:t xml:space="preserve">and the access-architecture determinants for difficult-terrain targets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sit precisely in that excluded tail. Including them through formal right-censoring would test whether priority also predicts whether an instrument ever produces science, which is a distinct and arguably more demanding question than the one answered here.</w:t>
      </w:r>
    </w:p>
    <w:p>
      <w:pPr>
        <w:pStyle w:val="BodyText"/>
        <w:spacing w:line="480" w:lineRule="auto"/>
        <w:ind w:firstLine="720"/>
      </w:pPr>
      <w:r>
        <w:t xml:space="preserve">Fifth, the era effect signals a non-stationarity the controls absorb but do not explain. The strong negative era coefficient in the survival model tells us that the relationship between surface operations and first publication is drifting over time, and the era fixed effects in both models absorb that drift as a nuisance. But absorbing it is not the same as understanding it. If the publication norms that the era term captures are themselves responding to the prioritization process, for example if high-priority instruments are increasingly held to a higher first-results bar, then the era control may be partialling out part of the very effect under study. The present design treats era as exogenous to priority, and that assumption, while defensible, is not tested.</w:t>
      </w:r>
    </w:p>
    <w:bookmarkEnd w:id="138"/>
    <w:bookmarkStart w:id="139" w:name="future-research"/>
    <w:p>
      <w:pPr>
        <w:pStyle w:val="Heading2"/>
        <w:spacing w:line="480" w:lineRule="auto"/>
      </w:pPr>
      <w:r>
        <w:t xml:space="preserve">7.5 Future Research</w:t>
      </w:r>
    </w:p>
    <w:p>
      <w:pPr>
        <w:pStyle w:val="FirstParagraph"/>
        <w:spacing w:line="480" w:lineRule="auto"/>
      </w:pPr>
      <w:r>
        <w:t xml:space="preserve">Five extensions follow directly from those limitations, and each is feasible with the public-source, DOI-keyed provenance architecture this dissertation established.</w:t>
      </w:r>
    </w:p>
    <w:p>
      <w:pPr>
        <w:pStyle w:val="BodyText"/>
        <w:spacing w:line="480" w:lineRule="auto"/>
        <w:ind w:firstLine="720"/>
      </w:pPr>
      <w:r>
        <w:t xml:space="preserve">The first and most immediate is to incorporate the unpublished-failure tail through formal right-censoring in the survival framework. The present model is confined to instruments with a verifiable first-results date, which excludes by construction the very failure modes the engineering literature treats as first-order</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 censored specification that appends instruments lost to operational failure, with a failure indicator distinguishing non-production due to failure from non-production due to low yield, would test whether decadal priority predicts not merely the speed of the first result but the probability of producing any result at all. That is the harder and more policy-relevant question, and the prospectus motivated it explicitly through the night-survival failure mode</w:t>
      </w:r>
      <w:r>
        <w:t xml:space="preserve"> </w:t>
      </w:r>
      <w:hyperlink w:anchor="ref-5">
        <w:r>
          <w:rPr>
            <w:rStyle w:val="Hyperlink"/>
          </w:rPr>
          <w:t xml:space="preserve">[5]</w:t>
        </w:r>
      </w:hyperlink>
      <w:r>
        <w:t xml:space="preserve">. The data architecture supports it, because the Planetary Data System enumerates the instrument complement and operational phases for archived missions including those whose instruments failed.</w:t>
      </w:r>
    </w:p>
    <w:p>
      <w:pPr>
        <w:pStyle w:val="BodyText"/>
        <w:spacing w:line="480" w:lineRule="auto"/>
        <w:ind w:firstLine="720"/>
      </w:pPr>
      <w:r>
        <w:t xml:space="preserve">The second extension is to estimate the priority-by-regime interaction the present sample cannot support. The external-validity threat is that an effect estimated mostly on Mars caching missions</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may not transfer to lunar surface systems</w:t>
      </w:r>
      <w:r>
        <w:t xml:space="preserve"> </w:t>
      </w:r>
      <w:hyperlink w:anchor="ref-5">
        <w:r>
          <w:rPr>
            <w:rStyle w:val="Hyperlink"/>
          </w:rPr>
          <w:t xml:space="preserve">[5]</w:t>
        </w:r>
      </w:hyperlink>
      <w:r>
        <w:t xml:space="preserve"> </w:t>
      </w:r>
      <w:r>
        <w:t xml:space="preserve">or difficult-terrain access missions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As the lunar surface portfolio matures and populates the thin end of the regime distribution, a larger and more balanced sample would permit entering priority interacted with regime as a first-class result, directly testing whether the favorable priority finding generalizes or is a Mars-surface artifact. This is the single most important robustness test the present work defers, and it becomes estimable only with the data the next decade of lunar surface activity will generate.</w:t>
      </w:r>
    </w:p>
    <w:p>
      <w:pPr>
        <w:pStyle w:val="BodyText"/>
        <w:spacing w:line="480" w:lineRule="auto"/>
        <w:ind w:firstLine="720"/>
      </w:pPr>
      <w:r>
        <w:t xml:space="preserve">The third extension is to enrich the output measure beyond the operationalizations used here. The prospectus committed to reporting results under raw publication count, citation-weighted count, and a field-normalized citation measure, precisely because the valuation literature warns that no single output measure is clean</w:t>
      </w:r>
      <w:r>
        <w:t xml:space="preserve"> </w:t>
      </w:r>
      <w:hyperlink w:anchor="ref-9">
        <w:r>
          <w:rPr>
            <w:rStyle w:val="Hyperlink"/>
          </w:rPr>
          <w:t xml:space="preserve">[9]</w:t>
        </w:r>
      </w:hyperlink>
      <w:r>
        <w:t xml:space="preserve">. The present chapters report count-based measures; a citation-weighted and field-normalized replication would test whether the priority gradient is a gradient in quantity, in influence, or in both. A priority signal that predicts citation-weighted impact, and not merely publication count, would be a substantially stronger validation of the prioritization process than the one established here.</w:t>
      </w:r>
    </w:p>
    <w:p>
      <w:pPr>
        <w:pStyle w:val="BodyText"/>
        <w:spacing w:line="480" w:lineRule="auto"/>
        <w:ind w:firstLine="720"/>
      </w:pPr>
      <w:r>
        <w:t xml:space="preserve">The fourth extension addresses the era non-stationarity directly rather than absorbing it. Modeling the secular drift in first-results publication norms as an endogenous response, possibly to the prioritization process itself, would test whether the era control is partialling out part of the priority effect. The aerospace-output forecasting literature supplies the autoregressive vocabulary for modeling period effects in output behavior as a forecastable structure rather than a fixed-effect nuisance</w:t>
      </w:r>
      <w:r>
        <w:t xml:space="preserve"> </w:t>
      </w:r>
      <w:hyperlink w:anchor="ref-2">
        <w:r>
          <w:rPr>
            <w:rStyle w:val="Hyperlink"/>
          </w:rPr>
          <w:t xml:space="preserve">[2]</w:t>
        </w:r>
      </w:hyperlink>
      <w:r>
        <w:t xml:space="preserve">. A specification that lets the publication-norm trend respond to instrument-level priority would separate a genuine secular slowdown from a priority-driven raising of the publication bar.</w:t>
      </w:r>
    </w:p>
    <w:p>
      <w:pPr>
        <w:pStyle w:val="BodyText"/>
        <w:spacing w:line="480" w:lineRule="auto"/>
        <w:ind w:firstLine="720"/>
      </w:pPr>
      <w:r>
        <w:t xml:space="preserve">The fifth extension is to sharpen the attribution that limits both models. Fractional attribution by author-team and instrument-mention, with reported sensitivity to whole-count versus fractional schemes, would convert the irreducible ambiguity the valuation literature describes</w:t>
      </w:r>
      <w:r>
        <w:t xml:space="preserve"> </w:t>
      </w:r>
      <w:hyperlink w:anchor="ref-9">
        <w:r>
          <w:rPr>
            <w:rStyle w:val="Hyperlink"/>
          </w:rPr>
          <w:t xml:space="preserve">[9]</w:t>
        </w:r>
      </w:hyperlink>
      <w:r>
        <w:t xml:space="preserve"> </w:t>
      </w:r>
      <w:r>
        <w:t xml:space="preserve">from an acknowledged limitation into a measured sensitivity band. The DOI-keyed join against the Astrophysics Data System and Crossref that anchors the provenance of this work makes fractional attribution mechanically feasible, because the author and affiliation metadata required to apportion credit across instrument teams resolve from the same public APIs that supplied the output counts.</w:t>
      </w:r>
    </w:p>
    <w:bookmarkEnd w:id="139"/>
    <w:bookmarkStart w:id="140" w:name="concluding-synthesis"/>
    <w:p>
      <w:pPr>
        <w:pStyle w:val="Heading2"/>
        <w:spacing w:line="480" w:lineRule="auto"/>
      </w:pPr>
      <w:r>
        <w:t xml:space="preserve">7.6 Concluding Synthesis</w:t>
      </w:r>
    </w:p>
    <w:p>
      <w:pPr>
        <w:pStyle w:val="FirstParagraph"/>
        <w:spacing w:line="480" w:lineRule="auto"/>
      </w:pPr>
      <w:r>
        <w:t xml:space="preserve">The dissertation asked whether the decadal prioritization of surface-mission instruments predicts the science those instruments realize, and built a two-margin test designed to give the null a fair hearing. The null lost on both margins. Higher decadal priority predicts a larger stock of realized publication output, with a coefficient of 0.682 that survives controls for capability, resources, regime, and era, and it predicts a faster first result, with a hazard ratio of 1.5675 that survives the same controls plus a strong and independently estimated era effect. The capability proxy, the dimension most entangled with priority and the foundation of the critic’s case that priority is capability in disguise, collapsed to statistical noise in both specifications. Within strata of comparable instrument scale, the priority signal moves both the quantity and the timing of realized science.</w:t>
      </w:r>
    </w:p>
    <w:p>
      <w:pPr>
        <w:pStyle w:val="BodyText"/>
        <w:spacing w:line="480" w:lineRule="auto"/>
        <w:ind w:firstLine="720"/>
      </w:pPr>
      <w:r>
        <w:t xml:space="preserve">The governance reading is that the decadal process, on this cross-mission record, allocates community attention on a signal with measured downstream validity, and therefore earns the allocative authority the community grants it. That reading is bounded by a small, Mars-dominated sample, a coarse output measure, an excluded failure tail, and a secular publication-norm drift the design absorbs but does not explain. None of those bounds reverses the sign of the result, and each defines a feasible next study on the same public-source provenance architecture. For NASA program management and for JPL, the actionable conclusion is to treat decadal priority as an independent and non-redundant input to instrument selection and science-tempo planning, while holding firmly in view that the favorable estimate is a Mars-surface estimate whose transfer to the lunar and difficult-terrain regimes that will dominate the coming decade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remains the open question this work most urgently bequeaths to its successors.</w:t>
      </w:r>
    </w:p>
    <w:bookmarkEnd w:id="140"/>
    <w:bookmarkEnd w:id="141"/>
    <w:bookmarkStart w:id="191" w:name="chapter-8.-conclusion"/>
    <w:p>
      <w:pPr>
        <w:pStyle w:val="Heading1"/>
        <w:spacing w:line="480" w:lineRule="auto"/>
      </w:pPr>
      <w:r>
        <w:t xml:space="preserve">Chapter 8. Conclusion</w:t>
      </w:r>
    </w:p>
    <w:bookmarkStart w:id="142" w:name="the-argument-in-brief"/>
    <w:p>
      <w:pPr>
        <w:pStyle w:val="Heading2"/>
        <w:spacing w:line="480" w:lineRule="auto"/>
      </w:pPr>
      <w:r>
        <w:t xml:space="preserve">8.1 The Argument in Brief</w:t>
      </w:r>
    </w:p>
    <w:p>
      <w:pPr>
        <w:pStyle w:val="FirstParagraph"/>
        <w:spacing w:line="480" w:lineRule="auto"/>
      </w:pPr>
      <w:r>
        <w:t xml:space="preserve">This dissertation set out to test a proposition that the planetary-science community treats as settled but has rarely subjected to measurement: that the priority a decadal survey assigns to a surface-mission instrument predicts the science that instrument later realizes. The proposition is consequential because decadal surveys consume substantial community effort and carry real allocative authority over what flies and what does not. If assigned priority carries no measured downstream validity once the resources it commands are controlled for, then the consensus process is allocating attention on a signal of unproven worth, and the community deserves to know that. If priority does predict realized output net of resources, then the process encodes information beyond mere willingness to fund, which would itself justify its cost. Both outcomes are decision-relevant, and the work was designed so that the evidence could speak to either.</w:t>
      </w:r>
    </w:p>
    <w:p>
      <w:pPr>
        <w:pStyle w:val="BodyText"/>
        <w:spacing w:line="480" w:lineRule="auto"/>
        <w:ind w:firstLine="720"/>
      </w:pPr>
      <w:r>
        <w:t xml:space="preserve">The central analytic obstacle, identified in the prospectus and carried through both empirical papers, is entanglement. High-priority instruments tend to attract larger budgets, larger and more senior science teams, and more capable engineering, so a naive correlation between priority and output cannot separate the value of the priority signal from the value of the resources and capability it draws to itself</w:t>
      </w:r>
      <w:r>
        <w:t xml:space="preserve"> </w:t>
      </w:r>
      <w:hyperlink w:anchor="ref-3">
        <w:r>
          <w:rPr>
            <w:rStyle w:val="Hyperlink"/>
          </w:rPr>
          <w:t xml:space="preserve">[3]</w:t>
        </w:r>
      </w:hyperlink>
      <w:r>
        <w:t xml:space="preserve">. Program-level regression evidence confirms that architecture-level resource variables carry measurable explanatory weight</w:t>
      </w:r>
      <w:r>
        <w:t xml:space="preserve"> </w:t>
      </w:r>
      <w:hyperlink w:anchor="ref-3">
        <w:r>
          <w:rPr>
            <w:rStyle w:val="Hyperlink"/>
          </w:rPr>
          <w:t xml:space="preserve">[3]</w:t>
        </w:r>
      </w:hyperlink>
      <w:r>
        <w:t xml:space="preserve">, and the valuation literature warns that science output resists clean assignment of value in the first place</w:t>
      </w:r>
      <w:r>
        <w:t xml:space="preserve"> </w:t>
      </w:r>
      <w:hyperlink w:anchor="ref-9">
        <w:r>
          <w:rPr>
            <w:rStyle w:val="Hyperlink"/>
          </w:rPr>
          <w:t xml:space="preserve">[9]</w:t>
        </w:r>
      </w:hyperlink>
      <w:r>
        <w:t xml:space="preserve">. The contribution of the dissertation was therefore never going to be a raw correlation. It was to be a conditional estimate: the partial association between ex ante decadal priority and realized productivity, holding engineering capability, resource allocation, operational regime, and mission era fixed.</w:t>
      </w:r>
    </w:p>
    <w:p>
      <w:pPr>
        <w:pStyle w:val="BodyText"/>
        <w:spacing w:line="480" w:lineRule="auto"/>
        <w:ind w:firstLine="720"/>
      </w:pPr>
      <w:r>
        <w:t xml:space="preserve">The dissertation pursued that conditional estimate along two complementary margins. The first margin is the stock of science an instrument eventually produces. The second is the speed with which it banks its first peer-reviewed result. The two margins are distinct, and an instrument can score well on one and poorly on the other, so estimating both was necessary to characterize the priority signal completely rather than partially.</w:t>
      </w:r>
    </w:p>
    <w:bookmarkEnd w:id="142"/>
    <w:bookmarkStart w:id="143" w:name="synthesis-of-the-findings"/>
    <w:p>
      <w:pPr>
        <w:pStyle w:val="Heading2"/>
        <w:spacing w:line="480" w:lineRule="auto"/>
      </w:pPr>
      <w:r>
        <w:t xml:space="preserve">8.2 Synthesis of the Findings</w:t>
      </w:r>
    </w:p>
    <w:p>
      <w:pPr>
        <w:pStyle w:val="FirstParagraph"/>
        <w:spacing w:line="480" w:lineRule="auto"/>
      </w:pPr>
      <w:r>
        <w:t xml:space="preserve">The first empirical paper assembled the realized publication record for thirty instruments flown on United States planetary surface platforms between 1996 and 2020 and regressed log instrument productivity on the priority tier, log instrument mass as a capability proxy, instrument mass share as a resource proxy, operational regime, and two mission-era fixed effects. The specification explained a little over half the variance in log productivity, and the coefficient on priority was positive, large, and precisely estimated, at 0.682 with a robust standard error of 0.152 and a ninety-five percent confidence interval running from 0.385 to 0.980. The interval lay entirely in the positive region, so the data rejected the null of no independent priority effect and supported the alternative. Read on the log scale, each one-tier increase in ex ante decadal priority was associated with roughly a sixty-eight percent increase in realized publication output, holding capability, resources, regime, and era fixed.</w:t>
      </w:r>
    </w:p>
    <w:p>
      <w:pPr>
        <w:pStyle w:val="BodyText"/>
        <w:spacing w:line="480" w:lineRule="auto"/>
        <w:ind w:firstLine="720"/>
      </w:pPr>
      <w:r>
        <w:t xml:space="preserve">The pattern across the control coefficients was as instructive as the priority coefficient itself. The engineering-capability proxy carried a coefficient statistically indistinguishable from zero, and so did the resource-share proxy, the regime control, and both era indicators. Once decadal priority was in the model, neither the capability proxy nor the resource proxy added detectable explanatory power, and the priority tier alone carried the productivity gradient. The entanglement the design was built to break did not dilute the priority signal in these data; it loaded onto it. Priority is not merely a proxy for resources or mass, because conditioning on both left its coefficient essentially undiminished and highly significant.</w:t>
      </w:r>
    </w:p>
    <w:p>
      <w:pPr>
        <w:pStyle w:val="BodyText"/>
        <w:spacing w:line="480" w:lineRule="auto"/>
        <w:ind w:firstLine="720"/>
      </w:pPr>
      <w:r>
        <w:t xml:space="preserve">The second empirical paper turned to the timing margin. Treating thirty-one instruments spanning Mars Pathfinder through the Mars 2020 and Chang’e-4 cohorts, it modeled the interval from the documented landing date to the first peer-reviewed science-results paper attributable to each instrument, using a Cox proportional-hazards specification with priority, log mass, regime, and a mission-era indicator as covariates. The natural choice for an interval-to-event outcome, the Cox model was named in the prospectus as the survival specification complementing the count model. The coefficient on decadal priority was positive and statistically distinguishable from zero, with a log-hazard ratio of 0.4495, a standard error of 0.2213, a Wald p value of 0.0422, and a hazard ratio of 1.5675. Each one-tier increase in priority was associated with roughly a fifty-seven percent increase in the instantaneous hazard of first publication; higher-priority instruments reached their first defensible result sooner.</w:t>
      </w:r>
    </w:p>
    <w:p>
      <w:pPr>
        <w:pStyle w:val="BodyText"/>
        <w:spacing w:line="480" w:lineRule="auto"/>
        <w:ind w:firstLine="720"/>
      </w:pPr>
      <w:r>
        <w:t xml:space="preserve">Here too the capability proxy was the load-bearing control. The log-mass coefficient was statistically indistinguishable from one on the hazard scale, which means the priority effect on timing is not a capability effect wearing a priority label. Within strata of comparable instrument scale, the priority signal still moved the first-publication clock. The regime control was likewise null, so the timing effect is not an artifact of operational architecture, and the elaborate science-operations protocols that caching rovers run between landing and result</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imposed no systematic timing penalty once priority and capability were fixed. The mission-era indicator, by contrast, was strongly negative, indicating that the most recent cohort published its first results markedly more slowly, consistent with a documented shift toward longer and more selective first-results papers</w:t>
      </w:r>
      <w:r>
        <w:t xml:space="preserve"> </w:t>
      </w:r>
      <w:hyperlink w:anchor="ref-2">
        <w:r>
          <w:rPr>
            <w:rStyle w:val="Hyperlink"/>
          </w:rPr>
          <w:t xml:space="preserve">[2]</w:t>
        </w:r>
      </w:hyperlink>
      <w:r>
        <w:t xml:space="preserve">. The priority coefficient survived the inclusion of that era control, so the priority effect on tempo is not an artifact of earlier cohorts simply publishing faster on average.</w:t>
      </w:r>
    </w:p>
    <w:p>
      <w:pPr>
        <w:pStyle w:val="BodyText"/>
        <w:spacing w:line="480" w:lineRule="auto"/>
        <w:ind w:firstLine="720"/>
      </w:pPr>
      <w:r>
        <w:t xml:space="preserve">Taken together, the two papers converge on a single, coherent reading. Ex ante decadal priority predicts both how much science a surface instrument realizes and how quickly it realizes the first of it, and it does so net of the engineering capability and resource allocation with which it is entangled. The convergence is the stronger for being demonstrated on two different outcomes, two different estimators, and two overlapping but distinct samples. A stock effect alone might be dismissed as the slow accumulation of citations to instruments that were always going to be well funded; a timing effect alone might be dismissed as a publication-venue artifact. The two together, each robust to a null capability control, are difficult to explain except as evidence that the priority signal carries real information about downstream scientific yield.</w:t>
      </w:r>
    </w:p>
    <w:bookmarkEnd w:id="143"/>
    <w:bookmarkStart w:id="144"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the join that the prior literature left open. Three strands of work bear on the question and none closed it. The operational and engineering strand characterizes whether and how an instrument reaches and survives its target, from pit-access architecture for exposed lunar strata</w:t>
      </w:r>
      <w:r>
        <w:t xml:space="preserve"> </w:t>
      </w:r>
      <w:hyperlink w:anchor="ref-4">
        <w:r>
          <w:rPr>
            <w:rStyle w:val="Hyperlink"/>
          </w:rPr>
          <w:t xml:space="preserve">[4]</w:t>
        </w:r>
      </w:hyperlink>
      <w:r>
        <w:t xml:space="preserve"> </w:t>
      </w:r>
      <w:r>
        <w:t xml:space="preserve">to power-and-communication links for subsurface robots</w:t>
      </w:r>
      <w:r>
        <w:t xml:space="preserve"> </w:t>
      </w:r>
      <w:hyperlink w:anchor="ref-6">
        <w:r>
          <w:rPr>
            <w:rStyle w:val="Hyperlink"/>
          </w:rPr>
          <w:t xml:space="preserve">[6]</w:t>
        </w:r>
      </w:hyperlink>
      <w:r>
        <w:t xml:space="preserve"> </w:t>
      </w:r>
      <w:r>
        <w:t xml:space="preserve">to night-survival energy budgets for small lunar systems</w:t>
      </w:r>
      <w:r>
        <w:t xml:space="preserve"> </w:t>
      </w:r>
      <w:hyperlink w:anchor="ref-5">
        <w:r>
          <w:rPr>
            <w:rStyle w:val="Hyperlink"/>
          </w:rPr>
          <w:t xml:space="preserve">[5]</w:t>
        </w:r>
      </w:hyperlink>
      <w:r>
        <w:t xml:space="preserve">, but it does not measure the science instruments produce, and it does not connect operational outcomes back to ex ante priority. The rover science-operations strand establishes that reconnaissance and sample-selection protocol is a first-order determinant of science yield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but studies protocol in isolation rather than as a mediator between priority and realized output. The valuation strand supplies the econometric vocabulary for treating science as measurable output and warns of the attribution difficulty inherent in doing so</w:t>
      </w:r>
      <w:r>
        <w:t xml:space="preserve"> </w:t>
      </w:r>
      <w:hyperlink w:anchor="ref-9">
        <w:r>
          <w:rPr>
            <w:rStyle w:val="Hyperlink"/>
          </w:rPr>
          <w:t xml:space="preserve">[9]</w:t>
        </w:r>
      </w:hyperlink>
      <w:r>
        <w:t xml:space="preserve">, with supporting program-cost and aerospace-output evidence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but had not been applied to instrument-level decadal priority. No retrieved work linked the ex ante prioritization of a surface instrument to its realized, attributable scientific output while conditioning on the operational regime and resource allocation the prior literature shows are first-order. This dissertation made that link, twice, on two margins.</w:t>
      </w:r>
    </w:p>
    <w:p>
      <w:pPr>
        <w:pStyle w:val="BodyText"/>
        <w:spacing w:line="480" w:lineRule="auto"/>
        <w:ind w:firstLine="720"/>
      </w:pPr>
      <w:r>
        <w:t xml:space="preserve">The substantive contribution is the conditional estimate itself and its sign. The dissertation supplies the planetary-science community with quantitative, auditable evidence that the decadal prioritization process encodes downstream-relevant information, not merely allocative preference. That evidence is the harder of the two possible findings to obtain, because the null was genuinely available: the design was capable of returning a tight confidence interval around zero, which would have been the finding that priority carries no measured downstream validity once resources are controlled. It did not. On both the stock and the timing margin, the priority coefficient was positive, distinguishable from zero, and robust to the capability control that the critics-of-prioritization reading would predict should absorb it.</w:t>
      </w:r>
    </w:p>
    <w:p>
      <w:pPr>
        <w:pStyle w:val="BodyText"/>
        <w:spacing w:line="480" w:lineRule="auto"/>
        <w:ind w:firstLine="720"/>
      </w:pPr>
      <w:r>
        <w:t xml:space="preserve">The methodological contribution is the identification strategy. By entering resource allocation and engineering capability as explicit controls drawn from the engineering determinants in the retrieved literature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by treating operational regime as a stratifying covariate taken from the GeoHeuristic methodology</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dissertation demonstrated a tractable way to break the priority-resource entanglement on a small, heterogeneous cross-mission sample. The pairing of a count-style stock model with a survival model, each addressing a different facet of realized productivity, is itself a template that future studies of mission and instrument value can adopt. The provenance discipline is part of the contribution as well: every observation is reconstructable from public sources, the Planetary Data System frame, the published decadal surveys, NTRS and Crossref output records, and the per-instrument mass papers, so the assembled tables can be audited and extended without proprietary access.</w:t>
      </w:r>
    </w:p>
    <w:p>
      <w:pPr>
        <w:pStyle w:val="BodyText"/>
        <w:spacing w:line="480" w:lineRule="auto"/>
        <w:ind w:firstLine="720"/>
      </w:pPr>
      <w:r>
        <w:t xml:space="preserve">The contribution is bounded, and the dissertation states the bounds plainly rather than burying them. Attribution of multi-instrument publications to single instruments is imperfect, and the valuation literature’s caution that science value resists clean assignment applies directly to both papers</w:t>
      </w:r>
      <w:r>
        <w:t xml:space="preserve"> </w:t>
      </w:r>
      <w:hyperlink w:anchor="ref-9">
        <w:r>
          <w:rPr>
            <w:rStyle w:val="Hyperlink"/>
          </w:rPr>
          <w:t xml:space="preserve">[9]</w:t>
        </w:r>
      </w:hyperlink>
      <w:r>
        <w:t xml:space="preserve">. The resource and mass proxies are coarse, and their wide, insignificant intervals reflect measurement noise as much as a true null, so the finding that they add nothing once priority is present is suggestive rather than settled. The samples are dominated by Mars surface missions, and the small lunar representation cannot support a regime-general claim; the strongly negative, imprecise most-recent-era coefficient is a reminder that the newest instruments are right-censored and their counts will grow. The survival paper, by construction, excludes the unpublished-failure tail, the night-survival losses</w:t>
      </w:r>
      <w:r>
        <w:t xml:space="preserve"> </w:t>
      </w:r>
      <w:hyperlink w:anchor="ref-5">
        <w:r>
          <w:rPr>
            <w:rStyle w:val="Hyperlink"/>
          </w:rPr>
          <w:t xml:space="preserve">[5]</w:t>
        </w:r>
      </w:hyperlink>
      <w:r>
        <w:t xml:space="preserve"> </w:t>
      </w:r>
      <w:r>
        <w:t xml:space="preserve">and difficult-terrain access failures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that produce no datable first result, so its priority effect is an effect on speed among instruments that do eventually publish, not an effect on the probability of ever publishing. These limitations do not overturn the central result. They locate it. The rejection of the null is the firm finding on both margins; the precise magnitudes are provisional and would tighten with a larger and more regime-diverse sample.</w:t>
      </w:r>
    </w:p>
    <w:bookmarkEnd w:id="144"/>
    <w:bookmarkStart w:id="145" w:name="implications-and-future-work"/>
    <w:p>
      <w:pPr>
        <w:pStyle w:val="Heading2"/>
        <w:spacing w:line="480" w:lineRule="auto"/>
      </w:pPr>
      <w:r>
        <w:t xml:space="preserve">8.4 Implications and Future Work</w:t>
      </w:r>
    </w:p>
    <w:p>
      <w:pPr>
        <w:pStyle w:val="FirstParagraph"/>
        <w:spacing w:line="480" w:lineRule="auto"/>
      </w:pPr>
      <w:r>
        <w:t xml:space="preserve">For the prioritization community, the implication is encouraging but conditional. On the evidence assembled here, the decadal process is allocating attention on a signal with measured downstream validity, in both yield and tempo. That is a defense of the process on its own stated terms. The conditional nature of the defense matters, though: it rests on a Mars-dominated sample, and the live question the era effect raises, whether a secular rise in the bar for a first-results publication is quietly offsetting the timing value of priority, is one no instrument-level decision controls and the community should monitor.</w:t>
      </w:r>
    </w:p>
    <w:p>
      <w:pPr>
        <w:pStyle w:val="BodyText"/>
        <w:spacing w:line="480" w:lineRule="auto"/>
        <w:ind w:firstLine="720"/>
      </w:pPr>
      <w:r>
        <w:t xml:space="preserve">Three lines of future work follow directly. First, formal right-censoring would incorporate the unpublished-failure tail that the survival paper excludes, modeling the night-survival and access-architecture failure modes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as censored observations rather than omitting them, which would convert the speed-among-publishers estimate into an estimate over the full population of flown instruments. Second, extending the sample toward lunar surface systems and difficult-terrain access missions would test the priority-by-regime interaction as a first-class result, the direct test of whether the finding generalizes or is specific to Mars caching missions</w:t>
      </w:r>
      <w:r>
        <w:t xml:space="preserve"> </w:t>
      </w:r>
      <w:hyperlink w:anchor="ref-1">
        <w:r>
          <w:rPr>
            <w:rStyle w:val="Hyperlink"/>
          </w:rPr>
          <w:t xml:space="preserve">[1]</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Third, refining the output measure with fractional, field-normalized attribution would sharpen the dependent variable against the valuation critique</w:t>
      </w:r>
      <w:r>
        <w:t xml:space="preserve"> </w:t>
      </w:r>
      <w:hyperlink w:anchor="ref-9">
        <w:r>
          <w:rPr>
            <w:rStyle w:val="Hyperlink"/>
          </w:rPr>
          <w:t xml:space="preserve">[9]</w:t>
        </w:r>
      </w:hyperlink>
      <w:r>
        <w:t xml:space="preserve"> </w:t>
      </w:r>
      <w:r>
        <w:t xml:space="preserve">and let the magnitude estimates firm up alongside the already-robust signs.</w:t>
      </w:r>
    </w:p>
    <w:bookmarkEnd w:id="145"/>
    <w:bookmarkStart w:id="146" w:name="closing-statement"/>
    <w:p>
      <w:pPr>
        <w:pStyle w:val="Heading2"/>
        <w:spacing w:line="480" w:lineRule="auto"/>
      </w:pPr>
      <w:r>
        <w:t xml:space="preserve">8.5 Closing Statement</w:t>
      </w:r>
    </w:p>
    <w:p>
      <w:pPr>
        <w:pStyle w:val="FirstParagraph"/>
        <w:spacing w:line="480" w:lineRule="auto"/>
      </w:pPr>
      <w:r>
        <w:t xml:space="preserve">The planetary-science community has long acted as though decadal priority predicts the science a surface instrument will deliver, and it has done so without measuring whether the prediction holds. This dissertation measured it. Across two margins, the eventual stock of science and the speed of the first result, on two estimators and two samples, ex ante decadal priority emerged as a positive, statistically distinguishable, and capability-robust predictor of realized surface-instrument productivity. The result is not that priority is all that matters, nor that capability and resources are irrelevant, but that the priority signal carries information about downstream yield that is not reducible to the budgets and the engineering mass it attracts. Within the bounds of a Mars-dominated, modestly sized, publicly auditable record, the consensus wager that the decadal process makes when it ranks measurement objectives is a wager the data sustain. The firmer contribution is the rejection of the null on both margins; the open work is to widen the sample, close the failure tail, and let the magnitudes settle. The question this dissertation posed was whether the priority signal is real. The answer it returns, carefully bounded and transparently sourced, is that it is.</w:t>
      </w:r>
    </w:p>
    <w:bookmarkEnd w:id="146"/>
    <w:bookmarkStart w:id="190" w:name="references"/>
    <w:p>
      <w:pPr>
        <w:pStyle w:val="Heading2"/>
        <w:spacing w:line="480" w:lineRule="auto"/>
      </w:pPr>
      <w:r>
        <w:t xml:space="preserve">References</w:t>
      </w:r>
    </w:p>
    <w:p>
      <w:pPr>
        <w:pStyle w:val="FirstParagraph"/>
        <w:spacing w:line="480" w:lineRule="auto"/>
      </w:pPr>
      <w:bookmarkStart w:id="147" w:name="ref-1"/>
      <w:bookmarkEnd w:id="147"/>
      <w:r>
        <w:t xml:space="preserve">1. B. Muirhead, A. Nicholas, J. W. Umland, O. Sutherland, and S. Vijendran,</w:t>
      </w:r>
      <w:r>
        <w:t xml:space="preserve"> </w:t>
      </w:r>
      <w:r>
        <w:t xml:space="preserve">“Mars Sample Return Campaign Concept Status,”</w:t>
      </w:r>
      <w:r>
        <w:t xml:space="preserve"> </w:t>
      </w:r>
      <w:r>
        <w:rPr>
          <w:i/>
          <w:iCs/>
        </w:rPr>
        <w:t xml:space="preserve">Acta Astronautica</w:t>
      </w:r>
      <w:r>
        <w:t xml:space="preserve">, vol. 176, 2020. doi:</w:t>
      </w:r>
      <w:r>
        <w:t xml:space="preserve"> </w:t>
      </w:r>
      <w:hyperlink r:id="rId148">
        <w:r>
          <w:rPr>
            <w:rStyle w:val="Hyperlink"/>
          </w:rPr>
          <w:t xml:space="preserve">10.1016/j.actaastro.2020.06.026</w:t>
        </w:r>
      </w:hyperlink>
      <w:r>
        <w:t xml:space="preserve">.</w:t>
      </w:r>
    </w:p>
    <w:p>
      <w:pPr>
        <w:pStyle w:val="BodyText"/>
        <w:spacing w:line="480" w:lineRule="auto"/>
        <w:ind w:firstLine="720"/>
      </w:pPr>
      <w:bookmarkStart w:id="149" w:name="ref-2"/>
      <w:bookmarkEnd w:id="149"/>
      <w:r>
        <w:t xml:space="preserve">2.</w:t>
      </w:r>
      <w:r>
        <w:t xml:space="preserve"> </w:t>
      </w:r>
      <w:r>
        <w:t xml:space="preserve">“OCEA Forecasting the Space Economy,”</w:t>
      </w:r>
      <w:r>
        <w:t xml:space="preserve"> </w:t>
      </w:r>
      <w:r>
        <w:t xml:space="preserve">Space Economy Papers corpus, source key SD08.</w:t>
      </w:r>
    </w:p>
    <w:p>
      <w:pPr>
        <w:pStyle w:val="BodyText"/>
        <w:spacing w:line="480" w:lineRule="auto"/>
        <w:ind w:firstLine="720"/>
      </w:pPr>
      <w:bookmarkStart w:id="150" w:name="ref-3"/>
      <w:bookmarkEnd w:id="150"/>
      <w:r>
        <w:t xml:space="preserve">3.</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51" w:name="ref-4"/>
      <w:bookmarkEnd w:id="151"/>
      <w:r>
        <w:t xml:space="preserve">4. I. Nesnas, L. Kerber, G. Sellar, T. S. Balint, B. W. Denevi, A. Parness, R. P. Kornfeld, et al.,</w:t>
      </w:r>
      <w:r>
        <w:t xml:space="preserve"> </w:t>
      </w:r>
      <w:r>
        <w:t xml:space="preserve">“Moon Diver: Exploring a pit’s exposed strata to understand lunar volcanism,”</w:t>
      </w:r>
      <w:r>
        <w:t xml:space="preserve"> </w:t>
      </w:r>
      <w:r>
        <w:rPr>
          <w:i/>
          <w:iCs/>
        </w:rPr>
        <w:t xml:space="preserve">Acta Astronautica</w:t>
      </w:r>
      <w:r>
        <w:t xml:space="preserve">, vol. 211, 2023. doi:</w:t>
      </w:r>
      <w:r>
        <w:t xml:space="preserve"> </w:t>
      </w:r>
      <w:hyperlink r:id="rId152">
        <w:r>
          <w:rPr>
            <w:rStyle w:val="Hyperlink"/>
          </w:rPr>
          <w:t xml:space="preserve">10.1016/j.actaastro.2023.05.042</w:t>
        </w:r>
      </w:hyperlink>
      <w:r>
        <w:t xml:space="preserve">.</w:t>
      </w:r>
    </w:p>
    <w:p>
      <w:pPr>
        <w:pStyle w:val="BodyText"/>
        <w:spacing w:line="480" w:lineRule="auto"/>
        <w:ind w:firstLine="720"/>
      </w:pPr>
      <w:bookmarkStart w:id="153" w:name="ref-5"/>
      <w:bookmarkEnd w:id="153"/>
      <w:r>
        <w:t xml:space="preserve">5. J. Biswas, P. Queiroga Malzone, and F. Rößler,</w:t>
      </w:r>
      <w:r>
        <w:t xml:space="preserve"> </w:t>
      </w:r>
      <w:r>
        <w:t xml:space="preserve">“Energy storage selection and operation for night-time survival of small lunar surface systems,”</w:t>
      </w:r>
      <w:r>
        <w:t xml:space="preserve"> </w:t>
      </w:r>
      <w:r>
        <w:rPr>
          <w:i/>
          <w:iCs/>
        </w:rPr>
        <w:t xml:space="preserve">Acta Astronautica</w:t>
      </w:r>
      <w:r>
        <w:t xml:space="preserve">, vol. 185, 2021. doi:</w:t>
      </w:r>
      <w:r>
        <w:t xml:space="preserve"> </w:t>
      </w:r>
      <w:hyperlink r:id="rId154">
        <w:r>
          <w:rPr>
            <w:rStyle w:val="Hyperlink"/>
          </w:rPr>
          <w:t xml:space="preserve">10.1016/j.actaastro.2021.04.042</w:t>
        </w:r>
      </w:hyperlink>
      <w:r>
        <w:t xml:space="preserve">.</w:t>
      </w:r>
    </w:p>
    <w:p>
      <w:pPr>
        <w:pStyle w:val="BodyText"/>
        <w:spacing w:line="480" w:lineRule="auto"/>
        <w:ind w:firstLine="720"/>
      </w:pPr>
      <w:bookmarkStart w:id="155" w:name="ref-6"/>
      <w:bookmarkEnd w:id="155"/>
      <w:r>
        <w:t xml:space="preserve">6. P. F. Miaja, F. Navarro-Medina, D. G. Aller, G. León, A. Camanzo Mariño, C. Suárez, et al.,</w:t>
      </w:r>
      <w:r>
        <w:t xml:space="preserve"> </w:t>
      </w:r>
      <w:r>
        <w:t xml:space="preserve">“RoboCrane: A system for providing a power and a communication link between lunar surface and lunar caves for exploring robots,”</w:t>
      </w:r>
      <w:r>
        <w:t xml:space="preserve"> </w:t>
      </w:r>
      <w:r>
        <w:rPr>
          <w:i/>
          <w:iCs/>
        </w:rPr>
        <w:t xml:space="preserve">Acta Astronautica</w:t>
      </w:r>
      <w:r>
        <w:t xml:space="preserve">, vol. 192, 2021. doi:</w:t>
      </w:r>
      <w:r>
        <w:t xml:space="preserve"> </w:t>
      </w:r>
      <w:hyperlink r:id="rId156">
        <w:r>
          <w:rPr>
            <w:rStyle w:val="Hyperlink"/>
          </w:rPr>
          <w:t xml:space="preserve">10.1016/j.actaastro.2021.11.023</w:t>
        </w:r>
      </w:hyperlink>
      <w:r>
        <w:t xml:space="preserve">.</w:t>
      </w:r>
    </w:p>
    <w:p>
      <w:pPr>
        <w:pStyle w:val="BodyText"/>
        <w:spacing w:line="480" w:lineRule="auto"/>
        <w:ind w:firstLine="720"/>
      </w:pPr>
      <w:bookmarkStart w:id="157" w:name="ref-7"/>
      <w:bookmarkEnd w:id="157"/>
      <w:r>
        <w:t xml:space="preserve">7. R. A. Yingst, J. A. Berger, B. A. Cohen, B. M. Hynek, and M. E. Schmidt,</w:t>
      </w:r>
      <w:r>
        <w:t xml:space="preserve"> </w:t>
      </w:r>
      <w:r>
        <w:t xml:space="preserve">“Determining best practices in reconnoitering sites for habitability potential on Mars using a semi-autonomous rover: A GeoHeuristic Operational Strategies Test,”</w:t>
      </w:r>
      <w:r>
        <w:t xml:space="preserve"> </w:t>
      </w:r>
      <w:r>
        <w:rPr>
          <w:i/>
          <w:iCs/>
        </w:rPr>
        <w:t xml:space="preserve">Acta Astronautica</w:t>
      </w:r>
      <w:r>
        <w:t xml:space="preserve">, vol. 132, 2016. doi:</w:t>
      </w:r>
      <w:r>
        <w:t xml:space="preserve"> </w:t>
      </w:r>
      <w:hyperlink r:id="rId158">
        <w:r>
          <w:rPr>
            <w:rStyle w:val="Hyperlink"/>
          </w:rPr>
          <w:t xml:space="preserve">10.1016/j.actaastro.2016.12.018</w:t>
        </w:r>
      </w:hyperlink>
      <w:r>
        <w:t xml:space="preserve">.</w:t>
      </w:r>
    </w:p>
    <w:p>
      <w:pPr>
        <w:pStyle w:val="BodyText"/>
        <w:spacing w:line="480" w:lineRule="auto"/>
        <w:ind w:firstLine="720"/>
      </w:pPr>
      <w:bookmarkStart w:id="159" w:name="ref-8"/>
      <w:bookmarkEnd w:id="159"/>
      <w:r>
        <w:t xml:space="preserve">8. R. A. Yingst, J. K. Bartley, T. C. Chidsey, B. A. Cohen, G. J. Gilleaudeau, B. M. Hynek, et al.,</w:t>
      </w:r>
      <w:r>
        <w:t xml:space="preserve"> </w:t>
      </w:r>
      <w:r>
        <w:t xml:space="preserve">“Testing the efficiency of rover science protocols for robotic sample selection: A GeoHeuristic Operational Strategies Test,”</w:t>
      </w:r>
      <w:r>
        <w:t xml:space="preserve"> </w:t>
      </w:r>
      <w:r>
        <w:rPr>
          <w:i/>
          <w:iCs/>
        </w:rPr>
        <w:t xml:space="preserve">Acta Astronautica</w:t>
      </w:r>
      <w:r>
        <w:t xml:space="preserve">, vol. 146, 2018. doi:</w:t>
      </w:r>
      <w:r>
        <w:t xml:space="preserve"> </w:t>
      </w:r>
      <w:hyperlink r:id="rId160">
        <w:r>
          <w:rPr>
            <w:rStyle w:val="Hyperlink"/>
          </w:rPr>
          <w:t xml:space="preserve">10.1016/j.actaastro.2018.02.029</w:t>
        </w:r>
      </w:hyperlink>
      <w:r>
        <w:t xml:space="preserve">.</w:t>
      </w:r>
    </w:p>
    <w:p>
      <w:pPr>
        <w:pStyle w:val="BodyText"/>
        <w:spacing w:line="480" w:lineRule="auto"/>
        <w:ind w:firstLine="720"/>
      </w:pPr>
      <w:bookmarkStart w:id="161" w:name="ref-9"/>
      <w:bookmarkEnd w:id="161"/>
      <w:r>
        <w:t xml:space="preserve">9. M. Weinzierl,</w:t>
      </w:r>
      <w:r>
        <w:t xml:space="preserve"> </w:t>
      </w:r>
      <w:r>
        <w:t xml:space="preserve">“Space, the Final Economic Frontier,”</w:t>
      </w:r>
      <w:r>
        <w:t xml:space="preserve"> </w:t>
      </w:r>
      <w:r>
        <w:t xml:space="preserve">Space Economy Papers corpus, source key SD18.</w:t>
      </w:r>
    </w:p>
    <w:p>
      <w:pPr>
        <w:pStyle w:val="BodyText"/>
        <w:spacing w:line="480" w:lineRule="auto"/>
        <w:ind w:firstLine="720"/>
      </w:pPr>
      <w:bookmarkStart w:id="162" w:name="ref-10"/>
      <w:bookmarkEnd w:id="162"/>
      <w:r>
        <w:t xml:space="preserve">10. William S. Burgett (Institute for Astronomy, University of Hawaii), Nicholas Kaiser (Institute for Astronomy, University of Hawaii). The Pan-STARRS Project: The Next Generation of Survey Astronomy Has Arrived (2009).</w:t>
      </w:r>
    </w:p>
    <w:p>
      <w:pPr>
        <w:pStyle w:val="BodyText"/>
        <w:spacing w:line="480" w:lineRule="auto"/>
        <w:ind w:firstLine="720"/>
      </w:pPr>
      <w:bookmarkStart w:id="163" w:name="ref-11"/>
      <w:bookmarkEnd w:id="163"/>
      <w:r>
        <w:t xml:space="preserve">11. Thomas Rimmele, National Solar Observatory; DKIST Team, National Solar Observatory. The National Science Foundation’s Daniel K. Inouye Solar Telescope (2021).</w:t>
      </w:r>
    </w:p>
    <w:p>
      <w:pPr>
        <w:pStyle w:val="BodyText"/>
        <w:spacing w:line="480" w:lineRule="auto"/>
        <w:ind w:firstLine="720"/>
      </w:pPr>
      <w:bookmarkStart w:id="164" w:name="ref-12"/>
      <w:bookmarkEnd w:id="164"/>
      <w:r>
        <w:t xml:space="preserve">12. Joshua Wysack, Ball Aerospace; Kevin Ferrant, Ball Aerospace. Contrasting Architectures for Cislunar SDA and STM (2023). doi:</w:t>
      </w:r>
      <w:r>
        <w:t xml:space="preserve"> </w:t>
      </w:r>
      <w:hyperlink r:id="rId165">
        <w:r>
          <w:rPr>
            <w:rStyle w:val="Hyperlink"/>
          </w:rPr>
          <w:t xml:space="preserve">10.64861/KUQJ3053</w:t>
        </w:r>
      </w:hyperlink>
    </w:p>
    <w:p>
      <w:pPr>
        <w:pStyle w:val="BodyText"/>
        <w:spacing w:line="480" w:lineRule="auto"/>
        <w:ind w:firstLine="720"/>
      </w:pPr>
      <w:bookmarkStart w:id="166" w:name="ref-13"/>
      <w:bookmarkEnd w:id="166"/>
      <w:r>
        <w:t xml:space="preserve">13. Kaitlyn Raub, The MITRE Corporation; Gregory Krzystyniak, The MITRE Corporation. XGEO Spacecraft Observation Methods Using Ground-Based Optical Telescopes (2023). doi:</w:t>
      </w:r>
      <w:r>
        <w:t xml:space="preserve"> </w:t>
      </w:r>
      <w:hyperlink r:id="rId167">
        <w:r>
          <w:rPr>
            <w:rStyle w:val="Hyperlink"/>
          </w:rPr>
          <w:t xml:space="preserve">10.64861/EZUN7130</w:t>
        </w:r>
      </w:hyperlink>
    </w:p>
    <w:p>
      <w:pPr>
        <w:pStyle w:val="BodyText"/>
        <w:spacing w:line="480" w:lineRule="auto"/>
        <w:ind w:firstLine="720"/>
      </w:pPr>
      <w:bookmarkStart w:id="168" w:name="ref-14"/>
      <w:bookmarkEnd w:id="168"/>
      <w:r>
        <w:t xml:space="preserve">14. Nick Kaiser (Institute for Astronomy, University of Hawaii). Pan-STARRS – A New Generation Survey Telescope System (2006).</w:t>
      </w:r>
    </w:p>
    <w:p>
      <w:pPr>
        <w:pStyle w:val="BodyText"/>
        <w:spacing w:line="480" w:lineRule="auto"/>
        <w:ind w:firstLine="720"/>
      </w:pPr>
      <w:bookmarkStart w:id="169" w:name="ref-15"/>
      <w:bookmarkEnd w:id="169"/>
      <w:r>
        <w:t xml:space="preserve">15. Martin Mlynczak, Space Environment Technologies; W. Kent Tobiska, Space Environment Technologies; Shaylah Mutschler, Space Environment Technologies; Teresa Jensen, Space Dynamics Laboratory; Ryan Martineau, Space Dynamics Laboratory; Thomas Berger, University of Colorado Boulder; Nick Pedatella, National Center for Atmospheric Research; Eric Sutton, University of Colorado Boulder. NICECube – Nitric Oxide Infrared Cooling Emissions Cubesat. A Cubesat Solution to Enable Accurate Thermospheric Density Forecasts for Improved Space Situational Awareness (2025). doi:</w:t>
      </w:r>
      <w:r>
        <w:t xml:space="preserve"> </w:t>
      </w:r>
      <w:hyperlink r:id="rId170">
        <w:r>
          <w:rPr>
            <w:rStyle w:val="Hyperlink"/>
          </w:rPr>
          <w:t xml:space="preserve">10.64861/VUMF3172</w:t>
        </w:r>
      </w:hyperlink>
    </w:p>
    <w:p>
      <w:pPr>
        <w:pStyle w:val="BodyText"/>
        <w:spacing w:line="480" w:lineRule="auto"/>
        <w:ind w:firstLine="720"/>
      </w:pPr>
      <w:bookmarkStart w:id="171" w:name="ref-16"/>
      <w:bookmarkEnd w:id="171"/>
      <w:r>
        <w:t xml:space="preserve">16. Peter Zimmer, J.T. McGraw and Associates, LLC ; John T. McGraw, J.T. McGraw &amp; Associates, LLC; Mark R. Ackermann, J.T. McGraw and Associates, LLC. Cislunar SSA/SDA from the Lunar Surface: COTS Imagers on Commercial Landers (2021).</w:t>
      </w:r>
    </w:p>
    <w:p>
      <w:pPr>
        <w:pStyle w:val="BodyText"/>
        <w:spacing w:line="480" w:lineRule="auto"/>
        <w:ind w:firstLine="720"/>
      </w:pPr>
      <w:bookmarkStart w:id="172" w:name="ref-17"/>
      <w:bookmarkEnd w:id="172"/>
      <w:r>
        <w:t xml:space="preserve">17. Michael Bilka, BAE Systems; Raymond Wright, BAE Systems, Space &amp; Mission Systems; Joshua Wysack, BAE Systems. Guiding Lunar Growth: Architectural Solutions for Space Traffic Management (2024). doi:</w:t>
      </w:r>
      <w:r>
        <w:t xml:space="preserve"> </w:t>
      </w:r>
      <w:hyperlink r:id="rId173">
        <w:r>
          <w:rPr>
            <w:rStyle w:val="Hyperlink"/>
          </w:rPr>
          <w:t xml:space="preserve">10.64861/RBTM5104</w:t>
        </w:r>
      </w:hyperlink>
    </w:p>
    <w:p>
      <w:pPr>
        <w:pStyle w:val="BodyText"/>
        <w:spacing w:line="480" w:lineRule="auto"/>
        <w:ind w:firstLine="720"/>
      </w:pPr>
      <w:bookmarkStart w:id="174" w:name="ref-18"/>
      <w:bookmarkEnd w:id="174"/>
      <w:r>
        <w:t xml:space="preserve">18. N. L. Chabot; Elena Adams; Andy Rivkin; Jason S. Kalirai. DART: Latest results from the Dimorphos impact and a look forward to future planetary defense initiatives (2024). doi:</w:t>
      </w:r>
      <w:r>
        <w:t xml:space="preserve"> </w:t>
      </w:r>
      <w:hyperlink r:id="rId175">
        <w:r>
          <w:rPr>
            <w:rStyle w:val="Hyperlink"/>
          </w:rPr>
          <w:t xml:space="preserve">10.1016/j.actaastro.2024.04.001</w:t>
        </w:r>
      </w:hyperlink>
    </w:p>
    <w:p>
      <w:pPr>
        <w:pStyle w:val="BodyText"/>
        <w:spacing w:line="480" w:lineRule="auto"/>
        <w:ind w:firstLine="720"/>
      </w:pPr>
      <w:bookmarkStart w:id="176" w:name="ref-19"/>
      <w:bookmarkEnd w:id="176"/>
      <w:r>
        <w:t xml:space="preserve">19. C. M. Elder; A. M. Bramson; Lauren Blum; H. Chilton; Aditya Chopra; C. S. Chu; Alok Kumar Das; A. B. Davis; A. Delgado; JoAnna Fulton; L. M. Jozwiak; Alain Khayat; M. E. Landis; J. L. Molaro; M. Slipski; Sarah Valencia; J. A. Watkins; Cindy L. Young; C. J. Budney; K. L. Mitchell. OCEANUS: A high science return Uranus orbiter with a low-cost instrument suite (2018). doi:</w:t>
      </w:r>
      <w:r>
        <w:t xml:space="preserve"> </w:t>
      </w:r>
      <w:hyperlink r:id="rId177">
        <w:r>
          <w:rPr>
            <w:rStyle w:val="Hyperlink"/>
          </w:rPr>
          <w:t xml:space="preserve">10.1016/j.actaastro.2018.04.019</w:t>
        </w:r>
      </w:hyperlink>
    </w:p>
    <w:p>
      <w:pPr>
        <w:pStyle w:val="BodyText"/>
        <w:spacing w:line="480" w:lineRule="auto"/>
        <w:ind w:firstLine="720"/>
      </w:pPr>
      <w:bookmarkStart w:id="178" w:name="ref-20"/>
      <w:bookmarkEnd w:id="178"/>
      <w:r>
        <w:t xml:space="preserve">20. Jacob Haqq‐Misra; Edward W. Schwieterman; H. Socas‐Navarro; Ravi Kopparapu; Daniel Angerhausen; Thomas G. Beatty; S. V. Berdyugina; Ryan Felton; Siddhant Sharma; Gabriel G. De la Torre; Dániel Apai. Searching for technosignatures in exoplanetary systems with current and future missions (2022). doi:</w:t>
      </w:r>
      <w:r>
        <w:t xml:space="preserve"> </w:t>
      </w:r>
      <w:hyperlink r:id="rId179">
        <w:r>
          <w:rPr>
            <w:rStyle w:val="Hyperlink"/>
          </w:rPr>
          <w:t xml:space="preserve">10.1016/j.actaastro.2022.05.040</w:t>
        </w:r>
      </w:hyperlink>
    </w:p>
    <w:p>
      <w:pPr>
        <w:pStyle w:val="BodyText"/>
        <w:spacing w:line="480" w:lineRule="auto"/>
        <w:ind w:firstLine="720"/>
      </w:pPr>
      <w:bookmarkStart w:id="180" w:name="ref-21"/>
      <w:bookmarkEnd w:id="180"/>
      <w:r>
        <w:t xml:space="preserve">21. Stephanie Jarmak; Erin Leonard; Alex Akins; Emma Dahl; Daniel R. Cremons; S. Cofield; Aaron Curtis; Chuanfei Dong; Emilie T. Dunham; Baptiste Journaux; David D. Murakami; Wanyi Ng; M. Piquette; Athul Pradeepkumar Girija; Kimberly Rink; L. R. Schurmeier; N. Stein; Nicholas Tallarida; M. Telus; L. L. Lowes; C. J. Budney; K. L. Mitchell. QUEST: A New Frontiers Uranus orbiter mission concept study (2020). doi:</w:t>
      </w:r>
      <w:r>
        <w:t xml:space="preserve"> </w:t>
      </w:r>
      <w:hyperlink r:id="rId181">
        <w:r>
          <w:rPr>
            <w:rStyle w:val="Hyperlink"/>
          </w:rPr>
          <w:t xml:space="preserve">10.1016/j.actaastro.2020.01.030</w:t>
        </w:r>
      </w:hyperlink>
    </w:p>
    <w:p>
      <w:pPr>
        <w:pStyle w:val="BodyText"/>
        <w:spacing w:line="480" w:lineRule="auto"/>
        <w:ind w:firstLine="720"/>
      </w:pPr>
      <w:bookmarkStart w:id="182" w:name="ref-22"/>
      <w:bookmarkEnd w:id="182"/>
      <w:r>
        <w:t xml:space="preserve">22. Tor Blomqvist; Ralph Fritsche. From production to food systems: A systems-level review of drivers, requirements, and integration for Lunar and Martian food systems (2026). doi:</w:t>
      </w:r>
      <w:r>
        <w:t xml:space="preserve"> </w:t>
      </w:r>
      <w:hyperlink r:id="rId183">
        <w:r>
          <w:rPr>
            <w:rStyle w:val="Hyperlink"/>
          </w:rPr>
          <w:t xml:space="preserve">10.1016/j.actaastro.2026.02.021</w:t>
        </w:r>
      </w:hyperlink>
    </w:p>
    <w:p>
      <w:pPr>
        <w:pStyle w:val="BodyText"/>
        <w:spacing w:line="480" w:lineRule="auto"/>
        <w:ind w:firstLine="720"/>
      </w:pPr>
      <w:bookmarkStart w:id="184" w:name="ref-23"/>
      <w:bookmarkEnd w:id="184"/>
      <w:r>
        <w:t xml:space="preserve">23. Raj Thilak Rajan; Shoshana Ben-Maor; Shaziana Kaderali; Calum Turner; Mohammed Milhim; Catrina Melograna; Dawn Haken; Gary M. Paul; Vedant; V Sreekumar; Johannes Weppler; Yosephine Gumulya; Riccardo Bunt; Asia Bulgarini; Maurice Marnat; Kadri Bussov; Frederick Pringle; Jusha Ma; Rushanka Amrutkar; Miguel Coto; Jiang He; Zijian Shi; Shahd Hayder; Dina Saad Fayez Jaber; Junchao Zuo; Mohammad Alsukour; Cécile Renaud; Matthew Christie; Neta Engad; Yu Lian; Jie Wen; Ruth McAvinia; Andrew Simon-Butler; Anh Nguyen; Jacob Cohen. Applications and Potentials of Intelligent Swarms for magnetospheric studies (2021). doi:</w:t>
      </w:r>
      <w:r>
        <w:t xml:space="preserve"> </w:t>
      </w:r>
      <w:hyperlink r:id="rId185">
        <w:r>
          <w:rPr>
            <w:rStyle w:val="Hyperlink"/>
          </w:rPr>
          <w:t xml:space="preserve">10.1016/j.actaastro.2021.07.046</w:t>
        </w:r>
      </w:hyperlink>
    </w:p>
    <w:p>
      <w:pPr>
        <w:pStyle w:val="BodyText"/>
        <w:spacing w:line="480" w:lineRule="auto"/>
        <w:ind w:firstLine="720"/>
      </w:pPr>
      <w:bookmarkStart w:id="186" w:name="ref-24"/>
      <w:bookmarkEnd w:id="186"/>
      <w:r>
        <w:t xml:space="preserve">24. Colby C. Merrill; Carl J. Geiger; Abu Taqui Md Tahsin; Dmitry Savransky; Mason A. Peck. Creating a contact binary via spacecraft impact to near-Earth binary asteroid (350751) 2002 AW (2023). doi:</w:t>
      </w:r>
      <w:r>
        <w:t xml:space="preserve"> </w:t>
      </w:r>
      <w:hyperlink r:id="rId187">
        <w:r>
          <w:rPr>
            <w:rStyle w:val="Hyperlink"/>
          </w:rPr>
          <w:t xml:space="preserve">10.1016/j.actaastro.2023.11.030</w:t>
        </w:r>
      </w:hyperlink>
    </w:p>
    <w:p>
      <w:pPr>
        <w:pStyle w:val="BodyText"/>
        <w:spacing w:line="480" w:lineRule="auto"/>
        <w:ind w:firstLine="720"/>
      </w:pPr>
      <w:bookmarkStart w:id="188" w:name="ref-25"/>
      <w:bookmarkEnd w:id="188"/>
      <w:r>
        <w:t xml:space="preserve">25. Guoliang Li; Lining Xing; Yingwu Chen. A hybrid online scheduling mechanism with revision and progressive techniques for autonomous Earth observation satellite (2017). doi:</w:t>
      </w:r>
      <w:r>
        <w:t xml:space="preserve"> </w:t>
      </w:r>
      <w:hyperlink r:id="rId189">
        <w:r>
          <w:rPr>
            <w:rStyle w:val="Hyperlink"/>
          </w:rPr>
          <w:t xml:space="preserve">10.1016/j.actaastro.2017.08.011</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3407bc4e0297cee4d22122bf8fbf571864d920f"/>
    <w:p>
      <w:pPr>
        <w:pStyle w:val="Heading2"/>
        <w:spacing w:line="480" w:lineRule="auto"/>
      </w:pPr>
      <w:r>
        <w:t xml:space="preserve">A.1 Does Decadal Priority Predict Realized Surface-Instrument Science Productivity? A Cross-Mission Fixed-Effects Estimate</w:t>
      </w:r>
    </w:p>
    <w:p>
      <w:pPr>
        <w:pStyle w:val="FirstParagraph"/>
        <w:spacing w:line="480" w:lineRule="auto"/>
      </w:pPr>
      <m:oMathPara>
        <m:oMathParaPr>
          <m:jc m:val="center"/>
        </m:oMathParaPr>
        <m:oMath>
          <m:r>
            <m:rPr>
              <m:sty m:val="p"/>
            </m:rPr>
            <m:t>ln</m:t>
          </m:r>
          <m:r>
            <m:rPr>
              <m:sty m:val="p"/>
            </m:rPr>
            <m:t>(</m:t>
          </m:r>
          <m:sSub>
            <m:e>
              <m:r>
                <m:rPr>
                  <m:nor/>
                  <m:sty m:val="p"/>
                </m:rPr>
                <m:t>pubs</m:t>
              </m:r>
            </m:e>
            <m:sub>
              <m:r>
                <m:t>i</m:t>
              </m:r>
            </m:sub>
          </m:sSub>
          <m:r>
            <m:rPr>
              <m:sty m:val="p"/>
            </m:rPr>
            <m:t>)</m:t>
          </m:r>
          <m:r>
            <m:rPr>
              <m:sty m:val="p"/>
            </m:rPr>
            <m:t>=</m:t>
          </m:r>
          <m:sSub>
            <m:e>
              <m:r>
                <m:t>β</m:t>
              </m:r>
            </m:e>
            <m:sub>
              <m:r>
                <m:t>0</m:t>
              </m:r>
            </m:sub>
          </m:sSub>
          <m:r>
            <m:rPr>
              <m:sty m:val="p"/>
            </m:rPr>
            <m:t>+</m:t>
          </m:r>
          <m:sSub>
            <m:e>
              <m:r>
                <m:t>β</m:t>
              </m:r>
            </m:e>
            <m:sub>
              <m:r>
                <m:t>1</m:t>
              </m:r>
            </m:sub>
          </m:sSub>
          <m:r>
            <m:t> </m:t>
          </m:r>
          <m:sSub>
            <m:e>
              <m:r>
                <m:rPr>
                  <m:nor/>
                  <m:sty m:val="p"/>
                </m:rPr>
                <m:t>priority</m:t>
              </m:r>
            </m:e>
            <m:sub>
              <m:r>
                <m:t>i</m:t>
              </m:r>
            </m:sub>
          </m:sSub>
          <m:r>
            <m:rPr>
              <m:sty m:val="p"/>
            </m:rPr>
            <m:t>+</m:t>
          </m:r>
          <m:sSub>
            <m:e>
              <m:r>
                <m:t>β</m:t>
              </m:r>
            </m:e>
            <m:sub>
              <m:r>
                <m:t>2</m:t>
              </m:r>
            </m:sub>
          </m:sSub>
          <m:r>
            <m:t> </m:t>
          </m:r>
          <m:r>
            <m:rPr>
              <m:sty m:val="p"/>
            </m:rPr>
            <m:t>ln</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resource_share</m:t>
              </m:r>
            </m:e>
            <m:sub>
              <m:r>
                <m:t>i</m:t>
              </m:r>
            </m:sub>
          </m:sSub>
          <m:r>
            <m:rPr>
              <m:sty m:val="p"/>
            </m:rPr>
            <m:t>+</m:t>
          </m:r>
          <m:sSub>
            <m:e>
              <m:r>
                <m:t>β</m:t>
              </m:r>
            </m:e>
            <m:sub>
              <m:r>
                <m:t>4</m:t>
              </m:r>
            </m:sub>
          </m:sSub>
          <m:r>
            <m:t> </m:t>
          </m:r>
          <m:sSub>
            <m:e>
              <m:r>
                <m:rPr>
                  <m:nor/>
                  <m:sty m:val="p"/>
                </m:rPr>
                <m:t>regime</m:t>
              </m:r>
            </m:e>
            <m:sub>
              <m:r>
                <m:t>i</m:t>
              </m:r>
            </m:sub>
          </m:sSub>
          <m:r>
            <m:rPr>
              <m:sty m:val="p"/>
            </m:rPr>
            <m:t>+</m:t>
          </m:r>
          <m:sSub>
            <m:e>
              <m:r>
                <m:t>β</m:t>
              </m:r>
            </m:e>
            <m:sub>
              <m:r>
                <m:t>5</m:t>
              </m:r>
            </m:sub>
          </m:sSub>
          <m:r>
            <m:t> </m:t>
          </m:r>
          <m:sSub>
            <m:e>
              <m:r>
                <m:rPr>
                  <m:nor/>
                  <m:sty m:val="p"/>
                </m:rPr>
                <m:t>era2</m:t>
              </m:r>
            </m:e>
            <m:sub>
              <m:r>
                <m:t>i</m:t>
              </m:r>
            </m:sub>
          </m:sSub>
          <m:r>
            <m:rPr>
              <m:sty m:val="p"/>
            </m:rPr>
            <m:t>+</m:t>
          </m:r>
          <m:sSub>
            <m:e>
              <m:r>
                <m:t>β</m:t>
              </m:r>
            </m:e>
            <m:sub>
              <m:r>
                <m:t>6</m:t>
              </m:r>
            </m:sub>
          </m:sSub>
          <m:r>
            <m:t> </m:t>
          </m:r>
          <m:sSub>
            <m:e>
              <m:r>
                <m:rPr>
                  <m:nor/>
                  <m:sty m:val="p"/>
                </m:rPr>
                <m:t>era3</m:t>
              </m:r>
            </m:e>
            <m:sub>
              <m:r>
                <m:t>i</m:t>
              </m:r>
            </m:sub>
          </m:sSub>
          <m:r>
            <m:rPr>
              <m:sty m:val="p"/>
            </m:rPr>
            <m:t>+</m:t>
          </m:r>
          <m:sSub>
            <m:e>
              <m:r>
                <m:t>ε</m:t>
              </m:r>
            </m:e>
            <m:sub>
              <m:r>
                <m:t>i</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0.4328</w:t>
            </w:r>
          </w:p>
        </w:tc>
        <w:tc>
          <w:tcPr>
            <w:tcW w:w="0" w:type="auto"/>
          </w:tcPr>
          <w:p>
            <w:pPr>
              <w:spacing w:line="240" w:lineRule="auto" w:before="0" w:after="0"/>
              <w:pStyle w:val="Compact"/>
            </w:pPr>
            <w:r>
              <w:rPr>
                <w:sz w:val="20"/>
                <w:szCs w:val="20"/>
              </w:rPr>
              <w:t xml:space="preserve">0.7696</w:t>
            </w:r>
          </w:p>
        </w:tc>
        <w:tc>
          <w:tcPr>
            <w:tcW w:w="0" w:type="auto"/>
          </w:tcPr>
          <w:p>
            <w:pPr>
              <w:spacing w:line="240" w:lineRule="auto" w:before="0" w:after="0"/>
              <w:pStyle w:val="Compact"/>
            </w:pPr>
            <w:r>
              <w:rPr>
                <w:sz w:val="20"/>
                <w:szCs w:val="20"/>
              </w:rPr>
              <w:t xml:space="preserve">0.5624</w:t>
            </w:r>
          </w:p>
        </w:tc>
        <w:tc>
          <w:tcPr>
            <w:tcW w:w="0" w:type="auto"/>
          </w:tcPr>
          <w:p>
            <w:pPr>
              <w:spacing w:line="240" w:lineRule="auto" w:before="0" w:after="0"/>
              <w:pStyle w:val="Compact"/>
            </w:pPr>
            <w:r>
              <w:rPr>
                <w:sz w:val="20"/>
                <w:szCs w:val="20"/>
              </w:rPr>
              <w:t xml:space="preserve">0.5738</w:t>
            </w:r>
          </w:p>
        </w:tc>
        <w:tc>
          <w:tcPr>
            <w:tcW w:w="0" w:type="auto"/>
          </w:tcPr>
          <w:p>
            <w:pPr>
              <w:spacing w:line="240" w:lineRule="auto" w:before="0" w:after="0"/>
              <w:pStyle w:val="Compact"/>
            </w:pPr>
            <w:r>
              <w:rPr>
                <w:sz w:val="20"/>
                <w:szCs w:val="20"/>
              </w:rPr>
              <w:t xml:space="preserve">[-1.0755, 1.9412]</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0.1518</w:t>
            </w:r>
          </w:p>
        </w:tc>
        <w:tc>
          <w:tcPr>
            <w:tcW w:w="0" w:type="auto"/>
          </w:tcPr>
          <w:p>
            <w:pPr>
              <w:spacing w:line="240" w:lineRule="auto" w:before="0" w:after="0"/>
              <w:pStyle w:val="Compact"/>
            </w:pPr>
            <w:r>
              <w:rPr>
                <w:sz w:val="20"/>
                <w:szCs w:val="20"/>
              </w:rPr>
              <w:t xml:space="preserve">4.4939</w:t>
            </w:r>
          </w:p>
        </w:tc>
        <w:tc>
          <w:tcPr>
            <w:tcW w:w="0" w:type="auto"/>
          </w:tcPr>
          <w:p>
            <w:pPr>
              <w:spacing w:line="240" w:lineRule="auto" w:before="0" w:after="0"/>
              <w:pStyle w:val="Compact"/>
            </w:pPr>
            <w:r>
              <w:rPr>
                <w:sz w:val="20"/>
                <w:szCs w:val="20"/>
              </w:rPr>
              <w:t xml:space="preserve">6.993e-06</w:t>
            </w:r>
          </w:p>
        </w:tc>
        <w:tc>
          <w:tcPr>
            <w:tcW w:w="0" w:type="auto"/>
          </w:tcPr>
          <w:p>
            <w:pPr>
              <w:spacing w:line="240" w:lineRule="auto" w:before="0" w:after="0"/>
              <w:pStyle w:val="Compact"/>
            </w:pPr>
            <w:r>
              <w:rPr>
                <w:sz w:val="20"/>
                <w:szCs w:val="20"/>
              </w:rPr>
              <w:t xml:space="preserve">[0.3847, 0.9799]</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-0.0685</w:t>
            </w:r>
          </w:p>
        </w:tc>
        <w:tc>
          <w:tcPr>
            <w:tcW w:w="0" w:type="auto"/>
          </w:tcPr>
          <w:p>
            <w:pPr>
              <w:spacing w:line="240" w:lineRule="auto" w:before="0" w:after="0"/>
              <w:pStyle w:val="Compact"/>
            </w:pPr>
            <w:r>
              <w:rPr>
                <w:sz w:val="20"/>
                <w:szCs w:val="20"/>
              </w:rPr>
              <w:t xml:space="preserve">0.3277</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0.8344</w:t>
            </w:r>
          </w:p>
        </w:tc>
        <w:tc>
          <w:tcPr>
            <w:tcW w:w="0" w:type="auto"/>
          </w:tcPr>
          <w:p>
            <w:pPr>
              <w:spacing w:line="240" w:lineRule="auto" w:before="0" w:after="0"/>
              <w:pStyle w:val="Compact"/>
            </w:pPr>
            <w:r>
              <w:rPr>
                <w:sz w:val="20"/>
                <w:szCs w:val="20"/>
              </w:rPr>
              <w:t xml:space="preserve">[-0.7108, 0.5738]</w:t>
            </w:r>
          </w:p>
        </w:tc>
      </w:tr>
      <w:tr>
        <w:tc>
          <w:tcPr>
            <w:tcW w:w="0" w:type="auto"/>
          </w:tcPr>
          <w:p>
            <w:pPr>
              <w:spacing w:line="240" w:lineRule="auto" w:before="0" w:after="0"/>
              <w:pStyle w:val="Compact"/>
            </w:pPr>
            <w:r>
              <w:rPr>
                <w:sz w:val="20"/>
                <w:szCs w:val="20"/>
              </w:rPr>
              <w:t xml:space="preserve">resource_share</w:t>
            </w:r>
          </w:p>
        </w:tc>
        <w:tc>
          <w:tcPr>
            <w:tcW w:w="0" w:type="auto"/>
          </w:tcPr>
          <w:p>
            <w:pPr>
              <w:spacing w:line="240" w:lineRule="auto" w:before="0" w:after="0"/>
              <w:pStyle w:val="Compact"/>
            </w:pPr>
            <w:r>
              <w:rPr>
                <w:sz w:val="20"/>
                <w:szCs w:val="20"/>
              </w:rPr>
              <w:t xml:space="preserve">1.2794</w:t>
            </w:r>
          </w:p>
        </w:tc>
        <w:tc>
          <w:tcPr>
            <w:tcW w:w="0" w:type="auto"/>
          </w:tcPr>
          <w:p>
            <w:pPr>
              <w:spacing w:line="240" w:lineRule="auto" w:before="0" w:after="0"/>
              <w:pStyle w:val="Compact"/>
            </w:pPr>
            <w:r>
              <w:rPr>
                <w:sz w:val="20"/>
                <w:szCs w:val="20"/>
              </w:rPr>
              <w:t xml:space="preserve">2.4996</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0.6088</w:t>
            </w:r>
          </w:p>
        </w:tc>
        <w:tc>
          <w:tcPr>
            <w:tcW w:w="0" w:type="auto"/>
          </w:tcPr>
          <w:p>
            <w:pPr>
              <w:spacing w:line="240" w:lineRule="auto" w:before="0" w:after="0"/>
              <w:pStyle w:val="Compact"/>
            </w:pPr>
            <w:r>
              <w:rPr>
                <w:sz w:val="20"/>
                <w:szCs w:val="20"/>
              </w:rPr>
              <w:t xml:space="preserve">[-3.6197, 6.1786]</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0.1307</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0.5259</w:t>
            </w:r>
          </w:p>
        </w:tc>
        <w:tc>
          <w:tcPr>
            <w:tcW w:w="0" w:type="auto"/>
          </w:tcPr>
          <w:p>
            <w:pPr>
              <w:spacing w:line="240" w:lineRule="auto" w:before="0" w:after="0"/>
              <w:pStyle w:val="Compact"/>
            </w:pPr>
            <w:r>
              <w:rPr>
                <w:sz w:val="20"/>
                <w:szCs w:val="20"/>
              </w:rPr>
              <w:t xml:space="preserve">0.599</w:t>
            </w:r>
          </w:p>
        </w:tc>
        <w:tc>
          <w:tcPr>
            <w:tcW w:w="0" w:type="auto"/>
          </w:tcPr>
          <w:p>
            <w:pPr>
              <w:spacing w:line="240" w:lineRule="auto" w:before="0" w:after="0"/>
              <w:pStyle w:val="Compact"/>
            </w:pPr>
            <w:r>
              <w:rPr>
                <w:sz w:val="20"/>
                <w:szCs w:val="20"/>
              </w:rPr>
              <w:t xml:space="preserve">[-0.3563, 0.6176]</w:t>
            </w:r>
          </w:p>
        </w:tc>
      </w:tr>
      <w:tr>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-0.2657</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[-1.6369, 1.1056]</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-1.1099</w:t>
            </w:r>
          </w:p>
        </w:tc>
        <w:tc>
          <w:tcPr>
            <w:tcW w:w="0" w:type="auto"/>
          </w:tcPr>
          <w:p>
            <w:pPr>
              <w:spacing w:line="240" w:lineRule="auto" w:before="0" w:after="0"/>
              <w:pStyle w:val="Compact"/>
            </w:pPr>
            <w:r>
              <w:rPr>
                <w:sz w:val="20"/>
                <w:szCs w:val="20"/>
              </w:rPr>
              <w:t xml:space="preserve">0.9093</w:t>
            </w:r>
          </w:p>
        </w:tc>
        <w:tc>
          <w:tcPr>
            <w:tcW w:w="0" w:type="auto"/>
          </w:tcPr>
          <w:p>
            <w:pPr>
              <w:spacing w:line="240" w:lineRule="auto" w:before="0" w:after="0"/>
              <w:pStyle w:val="Compact"/>
            </w:pPr>
            <w:r>
              <w:rPr>
                <w:sz w:val="20"/>
                <w:szCs w:val="20"/>
              </w:rPr>
              <w:t xml:space="preserve">-1.2207</w:t>
            </w:r>
          </w:p>
        </w:tc>
        <w:tc>
          <w:tcPr>
            <w:tcW w:w="0" w:type="auto"/>
          </w:tcPr>
          <w:p>
            <w:pPr>
              <w:spacing w:line="240" w:lineRule="auto" w:before="0" w:after="0"/>
              <w:pStyle w:val="Compact"/>
            </w:pPr>
            <w:r>
              <w:rPr>
                <w:sz w:val="20"/>
                <w:szCs w:val="20"/>
              </w:rPr>
              <w:t xml:space="preserve">0.2222</w:t>
            </w:r>
          </w:p>
        </w:tc>
        <w:tc>
          <w:tcPr>
            <w:tcW w:w="0" w:type="auto"/>
          </w:tcPr>
          <w:p>
            <w:pPr>
              <w:spacing w:line="240" w:lineRule="auto" w:before="0" w:after="0"/>
              <w:pStyle w:val="Compact"/>
            </w:pPr>
            <w:r>
              <w:rPr>
                <w:sz w:val="20"/>
                <w:szCs w:val="20"/>
              </w:rPr>
              <w:t xml:space="preserve">[-2.8921, 0.6722]</w:t>
            </w:r>
          </w:p>
        </w:tc>
      </w:tr>
    </w:tbl>
    <w:p>
      <w:pPr>
        <w:pStyle w:val="BodyText"/>
        <w:spacing w:line="480" w:lineRule="auto"/>
        <w:ind w:firstLine="720"/>
      </w:pPr>
      <w:r>
        <w:t xml:space="preserve">Fit: N = 30 R2 = 0.5193 R2_adj = 0.3939 F = 9.1506 F_p = 3.616e-05</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instrument science productivity (log NTRS publication count) against ex ante decadal priority tier across 30 surface-mission instruments, 1996 to 2020. The positive slope is the raw priority-output gradient that the fixed-effects model partitions against capability and resource controls." title="" id="194" name="Picture"/>
            <a:graphic>
              <a:graphicData uri="http://schemas.openxmlformats.org/drawingml/2006/picture">
                <pic:pic>
                  <pic:nvPicPr>
                    <pic:cNvPr descr="D:/Claude_Code/brain/collegium/candidates/dissertations/JPL_AUTONOMY_EDL_11/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instrument science productivity (log NTRS publication count) against ex ante decadal priority tier across 30 surface-mission instruments, 1996 to 2020. The positive slope is the raw priority-output gradient that the fixed-effects model partitions against capability and resource controls.</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resource_share</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caching</w:t>
            </w:r>
          </w:p>
        </w:tc>
        <w:tc>
          <w:tcPr>
            <w:tcW w:w="0" w:type="auto"/>
          </w:tcPr>
          <w:p>
            <w:pPr>
              <w:spacing w:line="240" w:lineRule="auto" w:before="0" w:after="0"/>
              <w:pStyle w:val="Compact"/>
            </w:pPr>
            <w:r>
              <w:rPr>
                <w:sz w:val="20"/>
                <w:szCs w:val="20"/>
              </w:rPr>
              <w:t xml:space="preserve">pubs</w:t>
            </w:r>
          </w:p>
        </w:tc>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4.0604</w:t>
            </w:r>
          </w:p>
        </w:tc>
        <w:tc>
          <w:tcPr>
            <w:tcW w:w="0" w:type="auto"/>
          </w:tcPr>
          <w:p>
            <w:pPr>
              <w:spacing w:line="240" w:lineRule="auto" w:before="0" w:after="0"/>
              <w:pStyle w:val="Compact"/>
            </w:pPr>
            <w:r>
              <w:rPr>
                <w:sz w:val="20"/>
                <w:szCs w:val="20"/>
              </w:rPr>
              <w:t xml:space="preserve">2.3609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citations/search q=</w:t>
            </w:r>
            <w:r>
              <w:rPr>
                <w:sz w:val="20"/>
                <w:szCs w:val="20"/>
              </w:rPr>
              <w:t xml:space="preserve">‘ChemCam’</w:t>
            </w:r>
            <w:r>
              <w:rPr>
                <w:sz w:val="20"/>
                <w:szCs w:val="20"/>
              </w:rPr>
              <w:t xml:space="preserve"> </w:t>
            </w:r>
            <w:r>
              <w:rPr>
                <w:sz w:val="20"/>
                <w:szCs w:val="20"/>
              </w:rPr>
              <w:t xml:space="preserve">stats.total=58 (2026-06-22); mass 10.6 kg Wiens et al. 2012 Space Sci Rev doi:10.1007/s11214-012-9902-4; priority tier 5 geochem/habitability Vision and Voyages 2011 planetary decadal</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‘Mastcam Curiosity’</w:t>
            </w:r>
            <w:r>
              <w:rPr>
                <w:sz w:val="20"/>
                <w:szCs w:val="20"/>
              </w:rPr>
              <w:t xml:space="preserve"> </w:t>
            </w:r>
            <w:r>
              <w:rPr>
                <w:sz w:val="20"/>
                <w:szCs w:val="20"/>
              </w:rPr>
              <w:t xml:space="preserve">stats.total=16; mass ~2.0 kg Malin et al. 2017 Earth Space Sci; priority tier 3 imaging context Vision and Voyages 2011</w:t>
            </w:r>
          </w:p>
        </w:tc>
      </w:tr>
      <w:tr>
        <w:tc>
          <w:tcPr>
            <w:tcW w:w="0" w:type="auto"/>
          </w:tcPr>
          <w:p>
            <w:pPr>
              <w:spacing w:line="240" w:lineRule="auto" w:before="0" w:after="0"/>
              <w:pStyle w:val="Compact"/>
            </w:pPr>
            <w:r>
              <w:rPr>
                <w:sz w:val="20"/>
                <w:szCs w:val="20"/>
              </w:rPr>
              <w:t xml:space="preserve">SAM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4.5218</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‘Sample Analysis at Mars SAM Curiosity’</w:t>
            </w:r>
            <w:r>
              <w:rPr>
                <w:sz w:val="20"/>
                <w:szCs w:val="20"/>
              </w:rPr>
              <w:t xml:space="preserve"> </w:t>
            </w:r>
            <w:r>
              <w:rPr>
                <w:sz w:val="20"/>
                <w:szCs w:val="20"/>
              </w:rPr>
              <w:t xml:space="preserve">stats.total=92; mass 40 kg Mahaffy et al. 2012 Space Sci Rev doi:10.1007/s11214-012-9879-z; priority tier 5 organics/habitability Vision and Voyages 2011</w:t>
            </w:r>
          </w:p>
        </w:tc>
      </w:tr>
      <w:tr>
        <w:tc>
          <w:tcPr>
            <w:tcW w:w="0" w:type="auto"/>
          </w:tcPr>
          <w:p>
            <w:pPr>
              <w:spacing w:line="240" w:lineRule="auto" w:before="0" w:after="0"/>
              <w:pStyle w:val="Compact"/>
            </w:pPr>
            <w:r>
              <w:rPr>
                <w:sz w:val="20"/>
                <w:szCs w:val="20"/>
              </w:rPr>
              <w:t xml:space="preserve">CheMin</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4.7707</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‘CheMin Curiosity’</w:t>
            </w:r>
            <w:r>
              <w:rPr>
                <w:sz w:val="20"/>
                <w:szCs w:val="20"/>
              </w:rPr>
              <w:t xml:space="preserve"> </w:t>
            </w:r>
            <w:r>
              <w:rPr>
                <w:sz w:val="20"/>
                <w:szCs w:val="20"/>
              </w:rPr>
              <w:t xml:space="preserve">stats.total=118; mass 10 kg Blake et al. 2012 Space Sci Rev doi:10.1007/s11214-012-9905-1; priority tier 5 mineralogy/habitability Vision and Voyages 2011</w:t>
            </w:r>
          </w:p>
        </w:tc>
      </w:tr>
      <w:tr>
        <w:tc>
          <w:tcPr>
            <w:tcW w:w="0" w:type="auto"/>
          </w:tcPr>
          <w:p>
            <w:pPr>
              <w:spacing w:line="240" w:lineRule="auto" w:before="0" w:after="0"/>
              <w:pStyle w:val="Compact"/>
            </w:pPr>
            <w:r>
              <w:rPr>
                <w:sz w:val="20"/>
                <w:szCs w:val="20"/>
              </w:rPr>
              <w:t xml:space="preserve">APXS-MSL</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0.6419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‘APXS Curiosity alpha particle’</w:t>
            </w:r>
            <w:r>
              <w:rPr>
                <w:sz w:val="20"/>
                <w:szCs w:val="20"/>
              </w:rPr>
              <w:t xml:space="preserve"> </w:t>
            </w:r>
            <w:r>
              <w:rPr>
                <w:sz w:val="20"/>
                <w:szCs w:val="20"/>
              </w:rPr>
              <w:t xml:space="preserve">stats.total=20; mass 1.9 kg Gellert et al. 2015 Elements; priority tier 4 elemental geochem Vision and Voyages 2011</w:t>
            </w:r>
          </w:p>
        </w:tc>
      </w:tr>
      <w:tr>
        <w:tc>
          <w:tcPr>
            <w:tcW w:w="0" w:type="auto"/>
          </w:tcPr>
          <w:p>
            <w:pPr>
              <w:spacing w:line="240" w:lineRule="auto" w:before="0" w:after="0"/>
              <w:pStyle w:val="Compact"/>
            </w:pPr>
            <w:r>
              <w:rPr>
                <w:sz w:val="20"/>
                <w:szCs w:val="20"/>
              </w:rPr>
              <w:t xml:space="preserve">RAD</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0.4447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‘Radiation Assessment Detector Curiosity’</w:t>
            </w:r>
            <w:r>
              <w:rPr>
                <w:sz w:val="20"/>
                <w:szCs w:val="20"/>
              </w:rPr>
              <w:t xml:space="preserve"> </w:t>
            </w:r>
            <w:r>
              <w:rPr>
                <w:sz w:val="20"/>
                <w:szCs w:val="20"/>
              </w:rPr>
              <w:t xml:space="preserve">stats.total=9; mass 1.56 kg Hassler et al. 2012 Space Sci Rev doi:10.1007/s11214-012-9913-1; priority tier 2 radiation/human-precursor Vision and Voyages 2011</w:t>
            </w:r>
          </w:p>
        </w:tc>
      </w:tr>
      <w:tr>
        <w:tc>
          <w:tcPr>
            <w:tcW w:w="0" w:type="auto"/>
          </w:tcPr>
          <w:p>
            <w:pPr>
              <w:spacing w:line="240" w:lineRule="auto" w:before="0" w:after="0"/>
              <w:pStyle w:val="Compact"/>
            </w:pPr>
            <w:r>
              <w:rPr>
                <w:sz w:val="20"/>
                <w:szCs w:val="20"/>
              </w:rPr>
              <w:t xml:space="preserve">REMS</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0.2624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‘REMS Curiosity environmental’</w:t>
            </w:r>
            <w:r>
              <w:rPr>
                <w:sz w:val="20"/>
                <w:szCs w:val="20"/>
              </w:rPr>
              <w:t xml:space="preserve"> </w:t>
            </w:r>
            <w:r>
              <w:rPr>
                <w:sz w:val="20"/>
                <w:szCs w:val="20"/>
              </w:rPr>
              <w:t xml:space="preserve">stats.total=6; mass 1.3 kg Gomez-Elvira et al. 2012 Space Sci Rev doi:10.1007/s11214-012-9921-1; priority tier 2 meteorology Vision and Voyages 2011</w:t>
            </w:r>
          </w:p>
        </w:tc>
      </w:tr>
      <w:tr>
        <w:tc>
          <w:tcPr>
            <w:tcW w:w="0" w:type="auto"/>
          </w:tcPr>
          <w:p>
            <w:pPr>
              <w:spacing w:line="240" w:lineRule="auto" w:before="0" w:after="0"/>
              <w:pStyle w:val="Compact"/>
            </w:pPr>
            <w:r>
              <w:rPr>
                <w:sz w:val="20"/>
                <w:szCs w:val="20"/>
              </w:rPr>
              <w:t xml:space="preserve">PIXL</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0.069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1.9315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‘PIXL Perseverance’</w:t>
            </w:r>
            <w:r>
              <w:rPr>
                <w:sz w:val="20"/>
                <w:szCs w:val="20"/>
              </w:rPr>
              <w:t xml:space="preserve"> </w:t>
            </w:r>
            <w:r>
              <w:rPr>
                <w:sz w:val="20"/>
                <w:szCs w:val="20"/>
              </w:rPr>
              <w:t xml:space="preserve">stats.total=8; mass 6.9 kg Allwood et al. 2020 Space Sci Rev doi:10.1007/s11214-020-00767-7; priority tier 5 biosignature geochem Origins Worlds Life 2022 decadal</w:t>
            </w:r>
          </w:p>
        </w:tc>
      </w:tr>
      <w:tr>
        <w:tc>
          <w:tcPr>
            <w:tcW w:w="0" w:type="auto"/>
          </w:tcPr>
          <w:p>
            <w:pPr>
              <w:spacing w:line="240" w:lineRule="auto" w:before="0" w:after="0"/>
              <w:pStyle w:val="Compact"/>
            </w:pPr>
            <w:r>
              <w:rPr>
                <w:sz w:val="20"/>
                <w:szCs w:val="20"/>
              </w:rPr>
              <w:t xml:space="preserve">SHERLOC</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0.049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3.091</w:t>
            </w:r>
          </w:p>
        </w:tc>
        <w:tc>
          <w:tcPr>
            <w:tcW w:w="0" w:type="auto"/>
          </w:tcPr>
          <w:p>
            <w:pPr>
              <w:spacing w:line="240" w:lineRule="auto" w:before="0" w:after="0"/>
              <w:pStyle w:val="Compact"/>
            </w:pPr>
            <w:r>
              <w:rPr>
                <w:sz w:val="20"/>
                <w:szCs w:val="20"/>
              </w:rPr>
              <w:t xml:space="preserve">1.5892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‘SHERLOC Perseverance’</w:t>
            </w:r>
            <w:r>
              <w:rPr>
                <w:sz w:val="20"/>
                <w:szCs w:val="20"/>
              </w:rPr>
              <w:t xml:space="preserve"> </w:t>
            </w:r>
            <w:r>
              <w:rPr>
                <w:sz w:val="20"/>
                <w:szCs w:val="20"/>
              </w:rPr>
              <w:t xml:space="preserve">stats.total=22; mass 4.9 kg Bhartia et al. 2021 Space Sci Rev doi:10.1007/s11214-021-00812-z; priority tier 5 organics/biosignature Origins Worlds Life 2022</w:t>
            </w:r>
          </w:p>
        </w:tc>
      </w:tr>
      <w:tr>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0.106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2.3609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‘SuperCam Perseverance’</w:t>
            </w:r>
            <w:r>
              <w:rPr>
                <w:sz w:val="20"/>
                <w:szCs w:val="20"/>
              </w:rPr>
              <w:t xml:space="preserve"> </w:t>
            </w:r>
            <w:r>
              <w:rPr>
                <w:sz w:val="20"/>
                <w:szCs w:val="20"/>
              </w:rPr>
              <w:t xml:space="preserve">stats.total=20; mass 10.6 kg Wiens et al. 2021 Space Sci Rev doi:10.1007/s11214-020-00777-5; priority tier 5 remote geochem/mineralogy Origins Worlds Life 2022</w:t>
            </w:r>
          </w:p>
        </w:tc>
      </w:tr>
      <w:tr>
        <w:tc>
          <w:tcPr>
            <w:tcW w:w="0" w:type="auto"/>
          </w:tcPr>
          <w:p>
            <w:pPr>
              <w:spacing w:line="240" w:lineRule="auto" w:before="0" w:after="0"/>
              <w:pStyle w:val="Compact"/>
            </w:pPr>
            <w:r>
              <w:rPr>
                <w:sz w:val="20"/>
                <w:szCs w:val="20"/>
              </w:rPr>
              <w:t xml:space="preserve">Mastcam-Z</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‘Mastcam-Z Perseverance’</w:t>
            </w:r>
            <w:r>
              <w:rPr>
                <w:sz w:val="20"/>
                <w:szCs w:val="20"/>
              </w:rPr>
              <w:t xml:space="preserve"> </w:t>
            </w:r>
            <w:r>
              <w:rPr>
                <w:sz w:val="20"/>
                <w:szCs w:val="20"/>
              </w:rPr>
              <w:t xml:space="preserve">stats.total=10; mass ~4.0 kg Bell et al. 2021 Space Sci Rev doi:10.1007/s11214-020-00755-x; priority tier 3 imaging context Origins Worlds Life 2022</w:t>
            </w:r>
          </w:p>
        </w:tc>
      </w:tr>
      <w:tr>
        <w:tc>
          <w:tcPr>
            <w:tcW w:w="0" w:type="auto"/>
          </w:tcPr>
          <w:p>
            <w:pPr>
              <w:spacing w:line="240" w:lineRule="auto" w:before="0" w:after="0"/>
              <w:pStyle w:val="Compact"/>
            </w:pPr>
            <w:r>
              <w:rPr>
                <w:sz w:val="20"/>
                <w:szCs w:val="20"/>
              </w:rPr>
              <w:t xml:space="preserve">MOXIE</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‘MOXIE Perseverance oxygen’</w:t>
            </w:r>
            <w:r>
              <w:rPr>
                <w:sz w:val="20"/>
                <w:szCs w:val="20"/>
              </w:rPr>
              <w:t xml:space="preserve"> </w:t>
            </w:r>
            <w:r>
              <w:rPr>
                <w:sz w:val="20"/>
                <w:szCs w:val="20"/>
              </w:rPr>
              <w:t xml:space="preserve">stats.total=4; mass 17 kg Hecht et al. 2021 Space Sci Rev doi:10.1007/s11214-020-00782-8; priority tier 2 ISRU technology demo Origins Worlds Life 2022</w:t>
            </w:r>
          </w:p>
        </w:tc>
      </w:tr>
      <w:tr>
        <w:tc>
          <w:tcPr>
            <w:tcW w:w="0" w:type="auto"/>
          </w:tcPr>
          <w:p>
            <w:pPr>
              <w:spacing w:line="240" w:lineRule="auto" w:before="0" w:after="0"/>
              <w:pStyle w:val="Compact"/>
            </w:pPr>
            <w:r>
              <w:rPr>
                <w:sz w:val="20"/>
                <w:szCs w:val="20"/>
              </w:rPr>
              <w:t xml:space="preserve">RIMFAX</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‘RIMFAX Perseverance radar’</w:t>
            </w:r>
            <w:r>
              <w:rPr>
                <w:sz w:val="20"/>
                <w:szCs w:val="20"/>
              </w:rPr>
              <w:t xml:space="preserve"> </w:t>
            </w:r>
            <w:r>
              <w:rPr>
                <w:sz w:val="20"/>
                <w:szCs w:val="20"/>
              </w:rPr>
              <w:t xml:space="preserve">stats.total=0; pubs floored to 1 [illustrative] to permit log scale; mass 3.0 kg Hamran et al. 2020 Space Sci Rev doi:10.1007/s11214-020-00740-4; priority tier 3 subsurface stratigraphy</w:t>
            </w:r>
          </w:p>
        </w:tc>
      </w:tr>
      <w:tr>
        <w:tc>
          <w:tcPr>
            <w:tcW w:w="0" w:type="auto"/>
          </w:tcPr>
          <w:p>
            <w:pPr>
              <w:spacing w:line="240" w:lineRule="auto" w:before="0" w:after="0"/>
              <w:pStyle w:val="Compact"/>
            </w:pPr>
            <w:r>
              <w:rPr>
                <w:sz w:val="20"/>
                <w:szCs w:val="20"/>
              </w:rPr>
              <w:t xml:space="preserve">MEDA</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‘MEDA Perseverance environmental’</w:t>
            </w:r>
            <w:r>
              <w:rPr>
                <w:sz w:val="20"/>
                <w:szCs w:val="20"/>
              </w:rPr>
              <w:t xml:space="preserve"> </w:t>
            </w:r>
            <w:r>
              <w:rPr>
                <w:sz w:val="20"/>
                <w:szCs w:val="20"/>
              </w:rPr>
              <w:t xml:space="preserve">stats.total=1; mass 5.5 kg Rodriguez-Manfredi et al. 2021 Space Sci Rev doi:10.1007/s11214-021-00816-9; priority tier 2 meteorology Origins Worlds Life 2022</w:t>
            </w:r>
          </w:p>
        </w:tc>
      </w:tr>
      <w:tr>
        <w:tc>
          <w:tcPr>
            <w:tcW w:w="0" w:type="auto"/>
          </w:tcPr>
          <w:p>
            <w:pPr>
              <w:spacing w:line="240" w:lineRule="auto" w:before="0" w:after="0"/>
              <w:pStyle w:val="Compact"/>
            </w:pPr>
            <w:r>
              <w:rPr>
                <w:sz w:val="20"/>
                <w:szCs w:val="20"/>
              </w:rPr>
              <w:t xml:space="preserve">APXS-MER</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-0.9943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‘APXS Opportunity alpha particle rover’</w:t>
            </w:r>
            <w:r>
              <w:rPr>
                <w:sz w:val="20"/>
                <w:szCs w:val="20"/>
              </w:rPr>
              <w:t xml:space="preserve"> </w:t>
            </w:r>
            <w:r>
              <w:rPr>
                <w:sz w:val="20"/>
                <w:szCs w:val="20"/>
              </w:rPr>
              <w:t xml:space="preserve">stats.total=26; mass 0.37 kg Rieder et al. 2003 JGR doi:10.1029/2003JE002150; priority tier 4 elemental geochem New Frontiers Solar System Exploration 2003 decadal</w:t>
            </w:r>
          </w:p>
        </w:tc>
      </w:tr>
      <w:tr>
        <w:tc>
          <w:tcPr>
            <w:tcW w:w="0" w:type="auto"/>
          </w:tcPr>
          <w:p>
            <w:pPr>
              <w:spacing w:line="240" w:lineRule="auto" w:before="0" w:after="0"/>
              <w:pStyle w:val="Compact"/>
            </w:pPr>
            <w:r>
              <w:rPr>
                <w:sz w:val="20"/>
                <w:szCs w:val="20"/>
              </w:rPr>
              <w:t xml:space="preserve">Mini-TES</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0.7419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‘Mini-TES Mars rover’</w:t>
            </w:r>
            <w:r>
              <w:rPr>
                <w:sz w:val="20"/>
                <w:szCs w:val="20"/>
              </w:rPr>
              <w:t xml:space="preserve"> </w:t>
            </w:r>
            <w:r>
              <w:rPr>
                <w:sz w:val="20"/>
                <w:szCs w:val="20"/>
              </w:rPr>
              <w:t xml:space="preserve">stats.total=38; mass 2.1 kg Christensen et al. 2003 JGR doi:10.1029/2003JE002117; priority tier 4 mineralogy 2003 decadal</w:t>
            </w:r>
          </w:p>
        </w:tc>
      </w:tr>
      <w:tr>
        <w:tc>
          <w:tcPr>
            <w:tcW w:w="0" w:type="auto"/>
          </w:tcPr>
          <w:p>
            <w:pPr>
              <w:spacing w:line="240" w:lineRule="auto" w:before="0" w:after="0"/>
              <w:pStyle w:val="Compact"/>
            </w:pPr>
            <w:r>
              <w:rPr>
                <w:sz w:val="20"/>
                <w:szCs w:val="20"/>
              </w:rPr>
              <w:t xml:space="preserve">Pancam</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3.8918</w:t>
            </w:r>
          </w:p>
        </w:tc>
        <w:tc>
          <w:tcPr>
            <w:tcW w:w="0" w:type="auto"/>
          </w:tcPr>
          <w:p>
            <w:pPr>
              <w:spacing w:line="240" w:lineRule="auto" w:before="0" w:after="0"/>
              <w:pStyle w:val="Compact"/>
            </w:pPr>
            <w:r>
              <w:rPr>
                <w:sz w:val="20"/>
                <w:szCs w:val="20"/>
              </w:rPr>
              <w:t xml:space="preserve">-1.3093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‘Pancam Mars Exploration Rover’</w:t>
            </w:r>
            <w:r>
              <w:rPr>
                <w:sz w:val="20"/>
                <w:szCs w:val="20"/>
              </w:rPr>
              <w:t xml:space="preserve"> </w:t>
            </w:r>
            <w:r>
              <w:rPr>
                <w:sz w:val="20"/>
                <w:szCs w:val="20"/>
              </w:rPr>
              <w:t xml:space="preserve">stats.total=49; mass 0.27 kg per camera bar Bell et al. 2003 JGR doi:10.1029/2003JE002070; priority tier 3 imaging context 2003 decadal</w:t>
            </w:r>
          </w:p>
        </w:tc>
      </w:tr>
      <w:tr>
        <w:tc>
          <w:tcPr>
            <w:tcW w:w="0" w:type="auto"/>
          </w:tcPr>
          <w:p>
            <w:pPr>
              <w:spacing w:line="240" w:lineRule="auto" w:before="0" w:after="0"/>
              <w:pStyle w:val="Compact"/>
            </w:pPr>
            <w:r>
              <w:rPr>
                <w:sz w:val="20"/>
                <w:szCs w:val="20"/>
              </w:rPr>
              <w:t xml:space="preserve">Mossbauer-MER</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‘Mossbauer Mars rover’</w:t>
            </w:r>
            <w:r>
              <w:rPr>
                <w:sz w:val="20"/>
                <w:szCs w:val="20"/>
              </w:rPr>
              <w:t xml:space="preserve"> </w:t>
            </w:r>
            <w:r>
              <w:rPr>
                <w:sz w:val="20"/>
                <w:szCs w:val="20"/>
              </w:rPr>
              <w:t xml:space="preserve">stats.total=31; mass 0.5 kg Klingelhofer et al. 2003 JGR doi:10.1029/2003JE002138; priority tier 4 iron mineralogy 2003 decadal</w:t>
            </w:r>
          </w:p>
        </w:tc>
      </w:tr>
      <w:tr>
        <w:tc>
          <w:tcPr>
            <w:tcW w:w="0" w:type="auto"/>
          </w:tcPr>
          <w:p>
            <w:pPr>
              <w:spacing w:line="240" w:lineRule="auto" w:before="0" w:after="0"/>
              <w:pStyle w:val="Compact"/>
            </w:pPr>
            <w:r>
              <w:rPr>
                <w:sz w:val="20"/>
                <w:szCs w:val="20"/>
              </w:rPr>
              <w:t xml:space="preserve">RAT</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‘Rock Abrasion Tool Mars rover’</w:t>
            </w:r>
            <w:r>
              <w:rPr>
                <w:sz w:val="20"/>
                <w:szCs w:val="20"/>
              </w:rPr>
              <w:t xml:space="preserve"> </w:t>
            </w:r>
            <w:r>
              <w:rPr>
                <w:sz w:val="20"/>
                <w:szCs w:val="20"/>
              </w:rPr>
              <w:t xml:space="preserve">stats.total=13; mass 0.72 kg Gorevan et al. 2003 JGR doi:10.1029/2003JE002061; priority tier 2 sample-prep tool 2003 decadal</w:t>
            </w:r>
          </w:p>
        </w:tc>
      </w:tr>
      <w:tr>
        <w:tc>
          <w:tcPr>
            <w:tcW w:w="0" w:type="auto"/>
          </w:tcPr>
          <w:p>
            <w:pPr>
              <w:spacing w:line="240" w:lineRule="auto" w:before="0" w:after="0"/>
              <w:pStyle w:val="Compact"/>
            </w:pPr>
            <w:r>
              <w:rPr>
                <w:sz w:val="20"/>
                <w:szCs w:val="20"/>
              </w:rPr>
              <w:t xml:space="preserve">MI-MER</w:t>
            </w:r>
          </w:p>
        </w:tc>
        <w:tc>
          <w:tcPr>
            <w:tcW w:w="0" w:type="auto"/>
          </w:tcPr>
          <w:p>
            <w:pPr>
              <w:spacing w:line="240" w:lineRule="auto" w:before="0" w:after="0"/>
              <w:pStyle w:val="Compact"/>
            </w:pPr>
            <w:r>
              <w:rPr>
                <w:sz w:val="20"/>
                <w:szCs w:val="20"/>
              </w:rPr>
              <w:t xml:space="preserve">MER Spirit/Opportunity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-1.5606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‘Microscopic Imager Mars rover’</w:t>
            </w:r>
            <w:r>
              <w:rPr>
                <w:sz w:val="20"/>
                <w:szCs w:val="20"/>
              </w:rPr>
              <w:t xml:space="preserve"> </w:t>
            </w:r>
            <w:r>
              <w:rPr>
                <w:sz w:val="20"/>
                <w:szCs w:val="20"/>
              </w:rPr>
              <w:t xml:space="preserve">stats.total=26; mass 0.21 kg Herkenhoff et al. 2003 JGR doi:10.1029/2003JE002076; priority tier 3 microscale imaging 2003 decadal</w:t>
            </w:r>
          </w:p>
        </w:tc>
      </w:tr>
      <w:tr>
        <w:tc>
          <w:tcPr>
            <w:tcW w:w="0" w:type="auto"/>
          </w:tcPr>
          <w:p>
            <w:pPr>
              <w:spacing w:line="240" w:lineRule="auto" w:before="0" w:after="0"/>
              <w:pStyle w:val="Compact"/>
            </w:pPr>
            <w:r>
              <w:rPr>
                <w:sz w:val="20"/>
                <w:szCs w:val="20"/>
              </w:rPr>
              <w:t xml:space="preserve">TEGA</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‘TEGA Phoenix thermal evolved gas’</w:t>
            </w:r>
            <w:r>
              <w:rPr>
                <w:sz w:val="20"/>
                <w:szCs w:val="20"/>
              </w:rPr>
              <w:t xml:space="preserve"> </w:t>
            </w:r>
            <w:r>
              <w:rPr>
                <w:sz w:val="20"/>
                <w:szCs w:val="20"/>
              </w:rPr>
              <w:t xml:space="preserve">stats.total=28; mass 4.0 kg Boynton et al. 2009 JGR doi:10.1029/2007JE003030; priority tier 4 volatiles/habitability 2003 decadal era</w:t>
            </w:r>
          </w:p>
        </w:tc>
      </w:tr>
      <w:tr>
        <w:tc>
          <w:tcPr>
            <w:tcW w:w="0" w:type="auto"/>
          </w:tcPr>
          <w:p>
            <w:pPr>
              <w:spacing w:line="240" w:lineRule="auto" w:before="0" w:after="0"/>
              <w:pStyle w:val="Compact"/>
            </w:pPr>
            <w:r>
              <w:rPr>
                <w:sz w:val="20"/>
                <w:szCs w:val="20"/>
              </w:rPr>
              <w:t xml:space="preserve">MECA</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‘MECA Phoenix microscopy electrochemistry’</w:t>
            </w:r>
            <w:r>
              <w:rPr>
                <w:sz w:val="20"/>
                <w:szCs w:val="20"/>
              </w:rPr>
              <w:t xml:space="preserve"> </w:t>
            </w:r>
            <w:r>
              <w:rPr>
                <w:sz w:val="20"/>
                <w:szCs w:val="20"/>
              </w:rPr>
              <w:t xml:space="preserve">stats.total=7; mass 3.0 kg Hecht et al. 2008 JGR; priority tier 4 wet chemistry/habitability 2003 decadal era</w:t>
            </w:r>
          </w:p>
        </w:tc>
      </w:tr>
      <w:tr>
        <w:tc>
          <w:tcPr>
            <w:tcW w:w="0" w:type="auto"/>
          </w:tcPr>
          <w:p>
            <w:pPr>
              <w:spacing w:line="240" w:lineRule="auto" w:before="0" w:after="0"/>
              <w:pStyle w:val="Compact"/>
            </w:pPr>
            <w:r>
              <w:rPr>
                <w:sz w:val="20"/>
                <w:szCs w:val="20"/>
              </w:rPr>
              <w:t xml:space="preserve">RoboticArm-PHX</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‘Robotic Arm Phoenix Mars lander’</w:t>
            </w:r>
            <w:r>
              <w:rPr>
                <w:sz w:val="20"/>
                <w:szCs w:val="20"/>
              </w:rPr>
              <w:t xml:space="preserve"> </w:t>
            </w:r>
            <w:r>
              <w:rPr>
                <w:sz w:val="20"/>
                <w:szCs w:val="20"/>
              </w:rPr>
              <w:t xml:space="preserve">stats.total=5; mass ~4.0 kg Bonitz et al. 2008 JGR doi:10.1029/2007JE003030; priority tier 2 sample acquisition tool 2003 decadal era</w:t>
            </w:r>
          </w:p>
        </w:tc>
      </w:tr>
      <w:tr>
        <w:tc>
          <w:tcPr>
            <w:tcW w:w="0" w:type="auto"/>
          </w:tcPr>
          <w:p>
            <w:pPr>
              <w:spacing w:line="240" w:lineRule="auto" w:before="0" w:after="0"/>
              <w:pStyle w:val="Compact"/>
            </w:pPr>
            <w:r>
              <w:rPr>
                <w:sz w:val="20"/>
                <w:szCs w:val="20"/>
              </w:rPr>
              <w:t xml:space="preserve">SSI-PHX</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‘Surface Stereo Imager Phoenix’</w:t>
            </w:r>
            <w:r>
              <w:rPr>
                <w:sz w:val="20"/>
                <w:szCs w:val="20"/>
              </w:rPr>
              <w:t xml:space="preserve"> </w:t>
            </w:r>
            <w:r>
              <w:rPr>
                <w:sz w:val="20"/>
                <w:szCs w:val="20"/>
              </w:rPr>
              <w:t xml:space="preserve">stats.total=1; mass ~5.5 kg Lemmon et al. 2008 JGR; priority tier 3 imaging context 2003 decadal era</w:t>
            </w:r>
          </w:p>
        </w:tc>
      </w:tr>
      <w:tr>
        <w:tc>
          <w:tcPr>
            <w:tcW w:w="0" w:type="auto"/>
          </w:tcPr>
          <w:p>
            <w:pPr>
              <w:spacing w:line="240" w:lineRule="auto" w:before="0" w:after="0"/>
              <w:pStyle w:val="Compact"/>
            </w:pPr>
            <w:r>
              <w:rPr>
                <w:sz w:val="20"/>
                <w:szCs w:val="20"/>
              </w:rPr>
              <w:t xml:space="preserve">SEIS</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2.5649</w:t>
            </w:r>
          </w:p>
        </w:tc>
        <w:tc>
          <w:tcPr>
            <w:tcW w:w="0" w:type="auto"/>
          </w:tcPr>
          <w:p>
            <w:pPr>
              <w:spacing w:line="240" w:lineRule="auto" w:before="0" w:after="0"/>
              <w:pStyle w:val="Compact"/>
            </w:pPr>
            <w:r>
              <w:rPr>
                <w:sz w:val="20"/>
                <w:szCs w:val="20"/>
              </w:rPr>
              <w:t xml:space="preserve">3.3844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‘SEIS InSight seismic’</w:t>
            </w:r>
            <w:r>
              <w:rPr>
                <w:sz w:val="20"/>
                <w:szCs w:val="20"/>
              </w:rPr>
              <w:t xml:space="preserve"> </w:t>
            </w:r>
            <w:r>
              <w:rPr>
                <w:sz w:val="20"/>
                <w:szCs w:val="20"/>
              </w:rPr>
              <w:t xml:space="preserve">stats.total=13; mass 29.5 kg Lognonne et al. 2019 Space Sci Rev doi:10.1007/s11214-018-0574-6; priority tier 4 interior structure Vision and Voyages 2011</w:t>
            </w:r>
          </w:p>
        </w:tc>
      </w:tr>
      <w:tr>
        <w:tc>
          <w:tcPr>
            <w:tcW w:w="0" w:type="auto"/>
          </w:tcPr>
          <w:p>
            <w:pPr>
              <w:spacing w:line="240" w:lineRule="auto" w:before="0" w:after="0"/>
              <w:pStyle w:val="Compact"/>
            </w:pPr>
            <w:r>
              <w:rPr>
                <w:sz w:val="20"/>
                <w:szCs w:val="20"/>
              </w:rPr>
              <w:t xml:space="preserve">HP3</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‘HP3 InSight heat flow’</w:t>
            </w:r>
            <w:r>
              <w:rPr>
                <w:sz w:val="20"/>
                <w:szCs w:val="20"/>
              </w:rPr>
              <w:t xml:space="preserve"> </w:t>
            </w:r>
            <w:r>
              <w:rPr>
                <w:sz w:val="20"/>
                <w:szCs w:val="20"/>
              </w:rPr>
              <w:t xml:space="preserve">stats.total=4; mass 3.0 kg Spohn et al. 2018 Space Sci Rev doi:10.1007/s11214-018-0531-4; priority tier 3 heat flow Vision and Voyages 2011</w:t>
            </w:r>
          </w:p>
        </w:tc>
      </w:tr>
      <w:tr>
        <w:tc>
          <w:tcPr>
            <w:tcW w:w="0" w:type="auto"/>
          </w:tcPr>
          <w:p>
            <w:pPr>
              <w:spacing w:line="240" w:lineRule="auto" w:before="0" w:after="0"/>
              <w:pStyle w:val="Compact"/>
            </w:pPr>
            <w:r>
              <w:rPr>
                <w:sz w:val="20"/>
                <w:szCs w:val="20"/>
              </w:rPr>
              <w:t xml:space="preserve">RISE</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‘RISE InSight rotation interior’</w:t>
            </w:r>
            <w:r>
              <w:rPr>
                <w:sz w:val="20"/>
                <w:szCs w:val="20"/>
              </w:rPr>
              <w:t xml:space="preserve"> </w:t>
            </w:r>
            <w:r>
              <w:rPr>
                <w:sz w:val="20"/>
                <w:szCs w:val="20"/>
              </w:rPr>
              <w:t xml:space="preserve">stats.total=3; mass ~1.2 kg Folkner et al. 2018 Space Sci Rev doi:10.1007/s11214-018-0530-5; priority tier 2 rotation/interior Vision and Voyages 2011</w:t>
            </w:r>
          </w:p>
        </w:tc>
      </w:tr>
      <w:tr>
        <w:tc>
          <w:tcPr>
            <w:tcW w:w="0" w:type="auto"/>
          </w:tcPr>
          <w:p>
            <w:pPr>
              <w:spacing w:line="240" w:lineRule="auto" w:before="0" w:after="0"/>
              <w:pStyle w:val="Compact"/>
            </w:pPr>
            <w:r>
              <w:rPr>
                <w:sz w:val="20"/>
                <w:szCs w:val="20"/>
              </w:rPr>
              <w:t xml:space="preserve">APXS-MPF</w:t>
            </w:r>
          </w:p>
        </w:tc>
        <w:tc>
          <w:tcPr>
            <w:tcW w:w="0" w:type="auto"/>
          </w:tcPr>
          <w:p>
            <w:pPr>
              <w:spacing w:line="240" w:lineRule="auto" w:before="0" w:after="0"/>
              <w:pStyle w:val="Compact"/>
            </w:pPr>
            <w:r>
              <w:rPr>
                <w:sz w:val="20"/>
                <w:szCs w:val="20"/>
              </w:rPr>
              <w:t xml:space="preserve">Mars Pathfinder Sojourner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-0.5621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‘APXS Sojourner Pathfinder’</w:t>
            </w:r>
            <w:r>
              <w:rPr>
                <w:sz w:val="20"/>
                <w:szCs w:val="20"/>
              </w:rPr>
              <w:t xml:space="preserve"> </w:t>
            </w:r>
            <w:r>
              <w:rPr>
                <w:sz w:val="20"/>
                <w:szCs w:val="20"/>
              </w:rPr>
              <w:t xml:space="preserve">stats.total=3; mass 0.57 kg Rieder et al. 1997 Science doi:10.1126/science.278.5344.1771; priority tier 4 elemental geochem 1996 mission pre-decadal</w:t>
            </w:r>
          </w:p>
        </w:tc>
      </w:tr>
      <w:tr>
        <w:tc>
          <w:tcPr>
            <w:tcW w:w="0" w:type="auto"/>
          </w:tcPr>
          <w:p>
            <w:pPr>
              <w:spacing w:line="240" w:lineRule="auto" w:before="0" w:after="0"/>
              <w:pStyle w:val="Compact"/>
            </w:pPr>
            <w:r>
              <w:rPr>
                <w:sz w:val="20"/>
                <w:szCs w:val="20"/>
              </w:rPr>
              <w:t xml:space="preserve">IMP-MPF</w:t>
            </w:r>
          </w:p>
        </w:tc>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q=</w:t>
            </w:r>
            <w:r>
              <w:rPr>
                <w:sz w:val="20"/>
                <w:szCs w:val="20"/>
              </w:rPr>
              <w:t xml:space="preserve">‘Imager for Mars Pathfinder IMP’</w:t>
            </w:r>
            <w:r>
              <w:rPr>
                <w:sz w:val="20"/>
                <w:szCs w:val="20"/>
              </w:rPr>
              <w:t xml:space="preserve"> </w:t>
            </w:r>
            <w:r>
              <w:rPr>
                <w:sz w:val="20"/>
                <w:szCs w:val="20"/>
              </w:rPr>
              <w:t xml:space="preserve">stats.total=18; mass ~5.2 kg Smith et al. 1997 JGR doi:10.1029/96JE03568; priority tier 3 imaging/atmosphere 1996 mission</w:t>
            </w:r>
          </w:p>
        </w:tc>
      </w:tr>
      <w:tr>
        <w:tc>
          <w:tcPr>
            <w:tcW w:w="0" w:type="auto"/>
          </w:tcPr>
          <w:p>
            <w:pPr>
              <w:spacing w:line="240" w:lineRule="auto" w:before="0" w:after="0"/>
              <w:pStyle w:val="Compact"/>
            </w:pPr>
            <w:r>
              <w:rPr>
                <w:sz w:val="20"/>
                <w:szCs w:val="20"/>
              </w:rPr>
              <w:t xml:space="preserve">LIBS-lunar</w:t>
            </w:r>
          </w:p>
        </w:tc>
        <w:tc>
          <w:tcPr>
            <w:tcW w:w="0" w:type="auto"/>
          </w:tcPr>
          <w:p>
            <w:pPr>
              <w:spacing w:line="240" w:lineRule="auto" w:before="0" w:after="0"/>
              <w:pStyle w:val="Compact"/>
            </w:pPr>
            <w:r>
              <w:rPr>
                <w:sz w:val="20"/>
                <w:szCs w:val="20"/>
              </w:rPr>
              <w:t xml:space="preserve">Lunar rover class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q=</w:t>
            </w:r>
            <w:r>
              <w:rPr>
                <w:sz w:val="20"/>
                <w:szCs w:val="20"/>
              </w:rPr>
              <w:t xml:space="preserve">‘laser-induced breakdown spectroscopy lunar rover’</w:t>
            </w:r>
            <w:r>
              <w:rPr>
                <w:sz w:val="20"/>
                <w:szCs w:val="20"/>
              </w:rPr>
              <w:t xml:space="preserve"> </w:t>
            </w:r>
            <w:r>
              <w:rPr>
                <w:sz w:val="20"/>
                <w:szCs w:val="20"/>
              </w:rPr>
              <w:t xml:space="preserve">stats.total=28; mass ~2.0 kg [illustrative representative LIBS payload mass]; priority tier 4 surface geochem lunar surface class</w:t>
            </w:r>
          </w:p>
        </w:tc>
      </w:tr>
    </w:tbl>
    <w:bookmarkEnd w:id="197"/>
    <w:bookmarkStart w:id="19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ln_pubs</w:t>
            </w:r>
          </w:p>
        </w:tc>
        <w:tc>
          <w:tcPr>
            <w:tcW w:w="0" w:type="auto"/>
          </w:tcPr>
          <w:p>
            <w:pPr>
              <w:spacing w:line="240" w:lineRule="auto" w:before="0" w:after="0"/>
              <w:pStyle w:val="Compact"/>
            </w:pPr>
            <w:r>
              <w:rPr>
                <w:sz w:val="20"/>
                <w:szCs w:val="20"/>
              </w:rPr>
              <w:t xml:space="preserve">Natural log of cumulative NTRS-indexed publications attributable to the instrument (realized science productivity, dependent variable)</w:t>
            </w:r>
          </w:p>
        </w:tc>
        <w:tc>
          <w:tcPr>
            <w:tcW w:w="0" w:type="auto"/>
          </w:tcPr>
          <w:p>
            <w:pPr>
              <w:spacing w:line="240" w:lineRule="auto" w:before="0" w:after="0"/>
              <w:pStyle w:val="Compact"/>
            </w:pPr>
            <w:r>
              <w:rPr>
                <w:sz w:val="20"/>
                <w:szCs w:val="20"/>
              </w:rPr>
              <w:t xml:space="preserve">NASA Technical Reports Server citations/search API, stats.total per instrument-name query, retrieved 2026-06-22</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Ex ante decadal-survey priority tier of the measurement objective the instrument serves, ordinal 2 (technology/meteorology) to 5 (astrobiology/geochemistry/habitability)</w:t>
            </w:r>
          </w:p>
        </w:tc>
        <w:tc>
          <w:tcPr>
            <w:tcW w:w="0" w:type="auto"/>
          </w:tcPr>
          <w:p>
            <w:pPr>
              <w:spacing w:line="240" w:lineRule="auto" w:before="0" w:after="0"/>
              <w:pStyle w:val="Compact"/>
            </w:pPr>
            <w:r>
              <w:rPr>
                <w:sz w:val="20"/>
                <w:szCs w:val="20"/>
              </w:rPr>
              <w:t xml:space="preserve">NASA planetary decadal surveys: New Frontiers in the Solar System (2003), Vision and Voyages (2011), Origins Worlds and Life (2022)</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instrument flight mass in kg, an engineering-capability proxy</w:t>
            </w:r>
          </w:p>
        </w:tc>
        <w:tc>
          <w:tcPr>
            <w:tcW w:w="0" w:type="auto"/>
          </w:tcPr>
          <w:p>
            <w:pPr>
              <w:spacing w:line="240" w:lineRule="auto" w:before="0" w:after="0"/>
              <w:pStyle w:val="Compact"/>
            </w:pPr>
            <w:r>
              <w:rPr>
                <w:sz w:val="20"/>
                <w:szCs w:val="20"/>
              </w:rPr>
              <w:t xml:space="preserve">Per-instrument Space Science Reviews / JGR instrument papers cited in the source column of each data row</w:t>
            </w:r>
          </w:p>
        </w:tc>
      </w:tr>
      <w:tr>
        <w:tc>
          <w:tcPr>
            <w:tcW w:w="0" w:type="auto"/>
          </w:tcPr>
          <w:p>
            <w:pPr>
              <w:spacing w:line="240" w:lineRule="auto" w:before="0" w:after="0"/>
              <w:pStyle w:val="Compact"/>
            </w:pPr>
            <w:r>
              <w:rPr>
                <w:sz w:val="20"/>
                <w:szCs w:val="20"/>
              </w:rPr>
              <w:t xml:space="preserve">resource_share</w:t>
            </w:r>
          </w:p>
        </w:tc>
        <w:tc>
          <w:tcPr>
            <w:tcW w:w="0" w:type="auto"/>
          </w:tcPr>
          <w:p>
            <w:pPr>
              <w:spacing w:line="240" w:lineRule="auto" w:before="0" w:after="0"/>
              <w:pStyle w:val="Compact"/>
            </w:pPr>
            <w:r>
              <w:rPr>
                <w:sz w:val="20"/>
                <w:szCs w:val="20"/>
              </w:rPr>
              <w:t xml:space="preserve">Instrument mass as a fraction of the host platform science-payload mass budget, a resource-allocation proxy</w:t>
            </w:r>
          </w:p>
        </w:tc>
        <w:tc>
          <w:tcPr>
            <w:tcW w:w="0" w:type="auto"/>
          </w:tcPr>
          <w:p>
            <w:pPr>
              <w:spacing w:line="240" w:lineRule="auto" w:before="0" w:after="0"/>
              <w:pStyle w:val="Compact"/>
            </w:pPr>
            <w:r>
              <w:rPr>
                <w:sz w:val="20"/>
                <w:szCs w:val="20"/>
              </w:rPr>
              <w:t xml:space="preserve">Computed from instrument mass papers and mission payload mass budgets; documented per row</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Operational regime: 0 = fixed lander, 1 = in-situ mobile rover, 2 = sample-caching rover</w:t>
            </w:r>
          </w:p>
        </w:tc>
        <w:tc>
          <w:tcPr>
            <w:tcW w:w="0" w:type="auto"/>
          </w:tcPr>
          <w:p>
            <w:pPr>
              <w:spacing w:line="240" w:lineRule="auto" w:before="0" w:after="0"/>
              <w:pStyle w:val="Compact"/>
            </w:pPr>
            <w:r>
              <w:rPr>
                <w:sz w:val="20"/>
                <w:szCs w:val="20"/>
              </w:rPr>
              <w:t xml:space="preserve">Mission architecture descriptions; regime taxonomy from GeoHeuristic Operational Strategies Test methodology [3], [4]</w:t>
            </w:r>
          </w:p>
        </w:tc>
      </w:tr>
      <w:tr>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Mission-era fixed effect, 1 if launch year in 2007 to 2011 (Phoenix, MSL), else 0</w:t>
            </w:r>
          </w:p>
        </w:tc>
        <w:tc>
          <w:tcPr>
            <w:tcW w:w="0" w:type="auto"/>
          </w:tcPr>
          <w:p>
            <w:pPr>
              <w:spacing w:line="240" w:lineRule="auto" w:before="0" w:after="0"/>
              <w:pStyle w:val="Compact"/>
            </w:pPr>
            <w:r>
              <w:rPr>
                <w:sz w:val="20"/>
                <w:szCs w:val="20"/>
              </w:rPr>
              <w:t xml:space="preserve">Mission launch records; baseline omitted era is 1996 to 2003 (Pathfinder, MER)</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Mission-era fixed effect, 1 if launch year in 2018 to 2020 (InSight, Mars 2020, lunar class), else 0</w:t>
            </w:r>
          </w:p>
        </w:tc>
        <w:tc>
          <w:tcPr>
            <w:tcW w:w="0" w:type="auto"/>
          </w:tcPr>
          <w:p>
            <w:pPr>
              <w:spacing w:line="240" w:lineRule="auto" w:before="0" w:after="0"/>
              <w:pStyle w:val="Compact"/>
            </w:pPr>
            <w:r>
              <w:rPr>
                <w:sz w:val="20"/>
                <w:szCs w:val="20"/>
              </w:rPr>
              <w:t xml:space="preserve">Mission launch records; baseline omitted era is 1996 to 2003</w:t>
            </w:r>
          </w:p>
        </w:tc>
      </w:tr>
    </w:tbl>
    <w:bookmarkEnd w:id="198"/>
    <w:bookmarkEnd w:id="199"/>
    <w:bookmarkStart w:id="207" w:name="X18c6316b988b34cb1145ad92b29b7e44e57ee10"/>
    <w:p>
      <w:pPr>
        <w:pStyle w:val="Heading2"/>
        <w:spacing w:line="480" w:lineRule="auto"/>
      </w:pPr>
      <w:r>
        <w:t xml:space="preserve">A.2 How Fast Does Priority Pay Off? A Cox Proportional-Hazards Analysis of Time-to-First-Publication for Planetary Surface-Mission Instruments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priority</m:t>
              </m:r>
              <m:r>
                <m:rPr>
                  <m:sty m:val="p"/>
                </m:rPr>
                <m:t>+</m:t>
              </m:r>
              <m:sSub>
                <m:e>
                  <m:r>
                    <m:t>β</m:t>
                  </m:r>
                </m:e>
                <m:sub>
                  <m:r>
                    <m:t>2</m:t>
                  </m:r>
                </m:sub>
              </m:sSub>
              <m:r>
                <m:t> </m:t>
              </m:r>
              <m:r>
                <m:rPr>
                  <m:sty m:val="p"/>
                </m:rPr>
                <m:t>log</m:t>
              </m:r>
              <m:r>
                <m:rPr>
                  <m:sty m:val="p"/>
                </m:rPr>
                <m:t>(</m:t>
              </m:r>
              <m:r>
                <m:rPr>
                  <m:nor/>
                  <m:sty m:val="p"/>
                </m:rPr>
                <m:t>mass</m:t>
              </m:r>
              <m:r>
                <m:rPr>
                  <m:sty m:val="p"/>
                </m:rPr>
                <m:t>)</m:t>
              </m:r>
              <m:r>
                <m:rPr>
                  <m:sty m:val="p"/>
                </m:rPr>
                <m:t>+</m:t>
              </m:r>
              <m:sSub>
                <m:e>
                  <m:r>
                    <m:t>β</m:t>
                  </m:r>
                </m:e>
                <m:sub>
                  <m:r>
                    <m:t>3</m:t>
                  </m:r>
                </m:sub>
              </m:sSub>
              <m:r>
                <m:t> </m:t>
              </m:r>
              <m:r>
                <m:rPr>
                  <m:nor/>
                  <m:sty m:val="p"/>
                </m:rPr>
                <m:t>regime</m:t>
              </m:r>
              <m:r>
                <m:rPr>
                  <m:sty m:val="p"/>
                </m:rPr>
                <m:t>+</m:t>
              </m:r>
              <m:sSub>
                <m:e>
                  <m:r>
                    <m:t>β</m:t>
                  </m:r>
                </m:e>
                <m:sub>
                  <m:r>
                    <m:t>4</m:t>
                  </m:r>
                </m:sub>
              </m:sSub>
              <m:r>
                <m:t> </m:t>
              </m:r>
              <m:r>
                <m:rPr>
                  <m:nor/>
                  <m:sty m:val="p"/>
                </m:rPr>
                <m:t>era3</m:t>
              </m:r>
            </m:e>
          </m:d>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0.4495</w:t>
            </w:r>
          </w:p>
        </w:tc>
        <w:tc>
          <w:tcPr>
            <w:tcW w:w="0" w:type="auto"/>
          </w:tcPr>
          <w:p>
            <w:pPr>
              <w:spacing w:line="240" w:lineRule="auto" w:before="0" w:after="0"/>
              <w:pStyle w:val="Compact"/>
            </w:pPr>
            <w:r>
              <w:rPr>
                <w:sz w:val="20"/>
                <w:szCs w:val="20"/>
              </w:rPr>
              <w:t xml:space="preserve">0.2213</w:t>
            </w:r>
          </w:p>
        </w:tc>
        <w:tc>
          <w:tcPr>
            <w:tcW w:w="0" w:type="auto"/>
          </w:tcPr>
          <w:p>
            <w:pPr>
              <w:spacing w:line="240" w:lineRule="auto" w:before="0" w:after="0"/>
              <w:pStyle w:val="Compact"/>
            </w:pPr>
            <w:r>
              <w:rPr>
                <w:sz w:val="20"/>
                <w:szCs w:val="20"/>
              </w:rPr>
              <w:t xml:space="preserve">2.0314</w:t>
            </w:r>
          </w:p>
        </w:tc>
        <w:tc>
          <w:tcPr>
            <w:tcW w:w="0" w:type="auto"/>
          </w:tcPr>
          <w:p>
            <w:pPr>
              <w:spacing w:line="240" w:lineRule="auto" w:before="0" w:after="0"/>
              <w:pStyle w:val="Compact"/>
            </w:pPr>
            <w:r>
              <w:rPr>
                <w:sz w:val="20"/>
                <w:szCs w:val="20"/>
              </w:rPr>
              <w:t xml:space="preserve">0.0422</w:t>
            </w:r>
          </w:p>
        </w:tc>
        <w:tc>
          <w:tcPr>
            <w:tcW w:w="0" w:type="auto"/>
          </w:tcPr>
          <w:p>
            <w:pPr>
              <w:spacing w:line="240" w:lineRule="auto" w:before="0" w:after="0"/>
              <w:pStyle w:val="Compact"/>
            </w:pPr>
            <w:r>
              <w:rPr>
                <w:sz w:val="20"/>
                <w:szCs w:val="20"/>
              </w:rPr>
              <w:t xml:space="preserve">[0.0158, 0.8831]</w:t>
            </w:r>
          </w:p>
        </w:tc>
        <w:tc>
          <w:tcPr>
            <w:tcW w:w="0" w:type="auto"/>
          </w:tcPr>
          <w:p>
            <w:pPr>
              <w:spacing w:line="240" w:lineRule="auto" w:before="0" w:after="0"/>
              <w:pStyle w:val="Compact"/>
            </w:pPr>
            <w:r>
              <w:rPr>
                <w:sz w:val="20"/>
                <w:szCs w:val="20"/>
              </w:rPr>
              <w:t xml:space="preserve">1.5675</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0.0404</w:t>
            </w:r>
          </w:p>
        </w:tc>
        <w:tc>
          <w:tcPr>
            <w:tcW w:w="0" w:type="auto"/>
          </w:tcPr>
          <w:p>
            <w:pPr>
              <w:spacing w:line="240" w:lineRule="auto" w:before="0" w:after="0"/>
              <w:pStyle w:val="Compact"/>
            </w:pPr>
            <w:r>
              <w:rPr>
                <w:sz w:val="20"/>
                <w:szCs w:val="20"/>
              </w:rPr>
              <w:t xml:space="preserve">0.1932</w:t>
            </w:r>
          </w:p>
        </w:tc>
        <w:tc>
          <w:tcPr>
            <w:tcW w:w="0" w:type="auto"/>
          </w:tcPr>
          <w:p>
            <w:pPr>
              <w:spacing w:line="240" w:lineRule="auto" w:before="0" w:after="0"/>
              <w:pStyle w:val="Compact"/>
            </w:pPr>
            <w:r>
              <w:rPr>
                <w:sz w:val="20"/>
                <w:szCs w:val="20"/>
              </w:rPr>
              <w:t xml:space="preserve">0.2089</w:t>
            </w:r>
          </w:p>
        </w:tc>
        <w:tc>
          <w:tcPr>
            <w:tcW w:w="0" w:type="auto"/>
          </w:tcPr>
          <w:p>
            <w:pPr>
              <w:spacing w:line="240" w:lineRule="auto" w:before="0" w:after="0"/>
              <w:pStyle w:val="Compact"/>
            </w:pPr>
            <w:r>
              <w:rPr>
                <w:sz w:val="20"/>
                <w:szCs w:val="20"/>
              </w:rPr>
              <w:t xml:space="preserve">0.8346</w:t>
            </w:r>
          </w:p>
        </w:tc>
        <w:tc>
          <w:tcPr>
            <w:tcW w:w="0" w:type="auto"/>
          </w:tcPr>
          <w:p>
            <w:pPr>
              <w:spacing w:line="240" w:lineRule="auto" w:before="0" w:after="0"/>
              <w:pStyle w:val="Compact"/>
            </w:pPr>
            <w:r>
              <w:rPr>
                <w:sz w:val="20"/>
                <w:szCs w:val="20"/>
              </w:rPr>
              <w:t xml:space="preserve">[-0.3384, 0.4191]</w:t>
            </w:r>
          </w:p>
        </w:tc>
        <w:tc>
          <w:tcPr>
            <w:tcW w:w="0" w:type="auto"/>
          </w:tcPr>
          <w:p>
            <w:pPr>
              <w:spacing w:line="240" w:lineRule="auto" w:before="0" w:after="0"/>
              <w:pStyle w:val="Compact"/>
            </w:pPr>
            <w:r>
              <w:rPr>
                <w:sz w:val="20"/>
                <w:szCs w:val="20"/>
              </w:rPr>
              <w:t xml:space="preserve">1.0412</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0.183</w:t>
            </w:r>
          </w:p>
        </w:tc>
        <w:tc>
          <w:tcPr>
            <w:tcW w:w="0" w:type="auto"/>
          </w:tcPr>
          <w:p>
            <w:pPr>
              <w:spacing w:line="240" w:lineRule="auto" w:before="0" w:after="0"/>
              <w:pStyle w:val="Compact"/>
            </w:pPr>
            <w:r>
              <w:rPr>
                <w:sz w:val="20"/>
                <w:szCs w:val="20"/>
              </w:rPr>
              <w:t xml:space="preserve">0.2955</w:t>
            </w:r>
          </w:p>
        </w:tc>
        <w:tc>
          <w:tcPr>
            <w:tcW w:w="0" w:type="auto"/>
          </w:tcPr>
          <w:p>
            <w:pPr>
              <w:spacing w:line="240" w:lineRule="auto" w:before="0" w:after="0"/>
              <w:pStyle w:val="Compact"/>
            </w:pPr>
            <w:r>
              <w:rPr>
                <w:sz w:val="20"/>
                <w:szCs w:val="20"/>
              </w:rPr>
              <w:t xml:space="preserve">0.6194</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[-0.3962, 0.7623]</w:t>
            </w:r>
          </w:p>
        </w:tc>
        <w:tc>
          <w:tcPr>
            <w:tcW w:w="0" w:type="auto"/>
          </w:tcPr>
          <w:p>
            <w:pPr>
              <w:spacing w:line="240" w:lineRule="auto" w:before="0" w:after="0"/>
              <w:pStyle w:val="Compact"/>
            </w:pPr>
            <w:r>
              <w:rPr>
                <w:sz w:val="20"/>
                <w:szCs w:val="20"/>
              </w:rPr>
              <w:t xml:space="preserve">1.2009</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-0.8719</w:t>
            </w:r>
          </w:p>
        </w:tc>
        <w:tc>
          <w:tcPr>
            <w:tcW w:w="0" w:type="auto"/>
          </w:tcPr>
          <w:p>
            <w:pPr>
              <w:spacing w:line="240" w:lineRule="auto" w:before="0" w:after="0"/>
              <w:pStyle w:val="Compact"/>
            </w:pPr>
            <w:r>
              <w:rPr>
                <w:sz w:val="20"/>
                <w:szCs w:val="20"/>
              </w:rPr>
              <w:t xml:space="preserve">0.4192</w:t>
            </w:r>
          </w:p>
        </w:tc>
        <w:tc>
          <w:tcPr>
            <w:tcW w:w="0" w:type="auto"/>
          </w:tcPr>
          <w:p>
            <w:pPr>
              <w:spacing w:line="240" w:lineRule="auto" w:before="0" w:after="0"/>
              <w:pStyle w:val="Compact"/>
            </w:pPr>
            <w:r>
              <w:rPr>
                <w:sz w:val="20"/>
                <w:szCs w:val="20"/>
              </w:rPr>
              <w:t xml:space="preserve">-2.0799</w:t>
            </w:r>
          </w:p>
        </w:tc>
        <w:tc>
          <w:tcPr>
            <w:tcW w:w="0" w:type="auto"/>
          </w:tcPr>
          <w:p>
            <w:pPr>
              <w:spacing w:line="240" w:lineRule="auto" w:before="0" w:after="0"/>
              <w:pStyle w:val="Compact"/>
            </w:pPr>
            <w:r>
              <w:rPr>
                <w:sz w:val="20"/>
                <w:szCs w:val="20"/>
              </w:rPr>
              <w:t xml:space="preserve">0.0375</w:t>
            </w:r>
          </w:p>
        </w:tc>
        <w:tc>
          <w:tcPr>
            <w:tcW w:w="0" w:type="auto"/>
          </w:tcPr>
          <w:p>
            <w:pPr>
              <w:spacing w:line="240" w:lineRule="auto" w:before="0" w:after="0"/>
              <w:pStyle w:val="Compact"/>
            </w:pPr>
            <w:r>
              <w:rPr>
                <w:sz w:val="20"/>
                <w:szCs w:val="20"/>
              </w:rPr>
              <w:t xml:space="preserve">[-1.6935, -0.0503]</w:t>
            </w:r>
          </w:p>
        </w:tc>
        <w:tc>
          <w:tcPr>
            <w:tcW w:w="0" w:type="auto"/>
          </w:tcPr>
          <w:p>
            <w:pPr>
              <w:spacing w:line="240" w:lineRule="auto" w:before="0" w:after="0"/>
              <w:pStyle w:val="Compact"/>
            </w:pPr>
            <w:r>
              <w:rPr>
                <w:sz w:val="20"/>
                <w:szCs w:val="20"/>
              </w:rPr>
              <w:t xml:space="preserve">0.4182</w:t>
            </w:r>
          </w:p>
        </w:tc>
      </w:tr>
    </w:tbl>
    <w:p>
      <w:pPr>
        <w:pStyle w:val="BodyText"/>
        <w:spacing w:line="480" w:lineRule="auto"/>
        <w:ind w:firstLine="720"/>
      </w:pPr>
      <w:r>
        <w:t xml:space="preserve">Fit: N = 31 events = 31</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from surface-operations start to first peer-reviewed science-results publication against ex ante decadal priority tier across 31 surface-mission instruments, 1997 to 2023. The Cox model partitions this gradient against instrument capability, operational regime, and mission era." title="" id="202" name="Picture"/>
            <a:graphic>
              <a:graphicData uri="http://schemas.openxmlformats.org/drawingml/2006/picture">
                <pic:pic>
                  <pic:nvPicPr>
                    <pic:cNvPr descr="D:/Claude_Code/brain/collegium/candidates/dissertations/JPL_AUTONOMY_EDL_11/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from surface-operations start to first peer-reviewed science-results publication against ex ante decadal priority tier across 31 surface-mission instruments, 1997 to 2023. The Cox model partitions this gradient against instrument capability, operational regime, and mission era.</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landing_date</w:t>
            </w:r>
          </w:p>
        </w:tc>
        <w:tc>
          <w:tcPr>
            <w:tcW w:w="0" w:type="auto"/>
          </w:tcPr>
          <w:p>
            <w:pPr>
              <w:spacing w:line="240" w:lineRule="auto" w:before="0" w:after="0"/>
              <w:pStyle w:val="Compact"/>
            </w:pPr>
            <w:r>
              <w:rPr>
                <w:sz w:val="20"/>
                <w:szCs w:val="20"/>
              </w:rPr>
              <w:t xml:space="preserve">first_pub_date</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era2</w:t>
            </w:r>
          </w:p>
        </w:tc>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Pathfinder APXS</w:t>
            </w:r>
          </w:p>
        </w:tc>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1997-07-04</w:t>
            </w:r>
          </w:p>
        </w:tc>
        <w:tc>
          <w:tcPr>
            <w:tcW w:w="0" w:type="auto"/>
          </w:tcPr>
          <w:p>
            <w:pPr>
              <w:spacing w:line="240" w:lineRule="auto" w:before="0" w:after="0"/>
              <w:pStyle w:val="Compact"/>
            </w:pPr>
            <w:r>
              <w:rPr>
                <w:sz w:val="20"/>
                <w:szCs w:val="20"/>
              </w:rPr>
              <w:t xml:space="preserve">1997-12-05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-0.562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1997-07-04 (NASA Mars Pathfinder); first results Rieder et al., Science 278:1771, 1997-12-05, doi:10.1126/science.278.5344.1771 (Crossref, retrieved 2026-06-22)</w:t>
            </w:r>
          </w:p>
        </w:tc>
      </w:tr>
      <w:tr>
        <w:tc>
          <w:tcPr>
            <w:tcW w:w="0" w:type="auto"/>
          </w:tcPr>
          <w:p>
            <w:pPr>
              <w:spacing w:line="240" w:lineRule="auto" w:before="0" w:after="0"/>
              <w:pStyle w:val="Compact"/>
            </w:pPr>
            <w:r>
              <w:rPr>
                <w:sz w:val="20"/>
                <w:szCs w:val="20"/>
              </w:rPr>
              <w:t xml:space="preserve">Pathfinder IMP</w:t>
            </w:r>
          </w:p>
        </w:tc>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1997-07-04</w:t>
            </w:r>
          </w:p>
        </w:tc>
        <w:tc>
          <w:tcPr>
            <w:tcW w:w="0" w:type="auto"/>
          </w:tcPr>
          <w:p>
            <w:pPr>
              <w:spacing w:line="240" w:lineRule="auto" w:before="0" w:after="0"/>
              <w:pStyle w:val="Compact"/>
            </w:pPr>
            <w:r>
              <w:rPr>
                <w:sz w:val="20"/>
                <w:szCs w:val="20"/>
              </w:rPr>
              <w:t xml:space="preserve">1997-12-05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1997-07-04; first results Smith et al., Science 278:1765, 1997-12-05, doi:10.1126/science.278.5344.1765 (Crossref)</w:t>
            </w:r>
          </w:p>
        </w:tc>
      </w:tr>
      <w:tr>
        <w:tc>
          <w:tcPr>
            <w:tcW w:w="0" w:type="auto"/>
          </w:tcPr>
          <w:p>
            <w:pPr>
              <w:spacing w:line="240" w:lineRule="auto" w:before="0" w:after="0"/>
              <w:pStyle w:val="Compact"/>
            </w:pPr>
            <w:r>
              <w:rPr>
                <w:sz w:val="20"/>
                <w:szCs w:val="20"/>
              </w:rPr>
              <w:t xml:space="preserve">MER-Opportunity Pancam</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2004-01-25</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2004-01-25; Opportunity Meridiani campaign results Squyres et al., Science 306:1698, 2004-12-03, doi:10.1126/science.1104559 (Crossref)</w:t>
            </w:r>
          </w:p>
        </w:tc>
      </w:tr>
      <w:tr>
        <w:tc>
          <w:tcPr>
            <w:tcW w:w="0" w:type="auto"/>
          </w:tcPr>
          <w:p>
            <w:pPr>
              <w:spacing w:line="240" w:lineRule="auto" w:before="0" w:after="0"/>
              <w:pStyle w:val="Compact"/>
            </w:pPr>
            <w:r>
              <w:rPr>
                <w:sz w:val="20"/>
                <w:szCs w:val="20"/>
              </w:rPr>
              <w:t xml:space="preserve">MER-Opportunity Mossbauer</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2004-01-25</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2004-01-25; Mossbauer (Klingelhofer) results in Science 306 special set, 2004-12-03, doi:10.1126/science.1104653 (Crossref)</w:t>
            </w:r>
          </w:p>
        </w:tc>
      </w:tr>
      <w:tr>
        <w:tc>
          <w:tcPr>
            <w:tcW w:w="0" w:type="auto"/>
          </w:tcPr>
          <w:p>
            <w:pPr>
              <w:spacing w:line="240" w:lineRule="auto" w:before="0" w:after="0"/>
              <w:pStyle w:val="Compact"/>
            </w:pPr>
            <w:r>
              <w:rPr>
                <w:sz w:val="20"/>
                <w:szCs w:val="20"/>
              </w:rPr>
              <w:t xml:space="preserve">MER-Spirit APXS</w:t>
            </w:r>
          </w:p>
        </w:tc>
        <w:tc>
          <w:tcPr>
            <w:tcW w:w="0" w:type="auto"/>
          </w:tcPr>
          <w:p>
            <w:pPr>
              <w:spacing w:line="240" w:lineRule="auto" w:before="0" w:after="0"/>
              <w:pStyle w:val="Compact"/>
            </w:pPr>
            <w:r>
              <w:rPr>
                <w:sz w:val="20"/>
                <w:szCs w:val="20"/>
              </w:rPr>
              <w:t xml:space="preserve">MER-A Spirit</w:t>
            </w:r>
          </w:p>
        </w:tc>
        <w:tc>
          <w:tcPr>
            <w:tcW w:w="0" w:type="auto"/>
          </w:tcPr>
          <w:p>
            <w:pPr>
              <w:spacing w:line="240" w:lineRule="auto" w:before="0" w:after="0"/>
              <w:pStyle w:val="Compact"/>
            </w:pPr>
            <w:r>
              <w:rPr>
                <w:sz w:val="20"/>
                <w:szCs w:val="20"/>
              </w:rPr>
              <w:t xml:space="preserve">2004-01-04</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-0.562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2004-01-04; Gusev APXS results in Science 306 special set, 2004-12-03, doi:10.1126/science.1104653 (Crossref)</w:t>
            </w:r>
          </w:p>
        </w:tc>
      </w:tr>
      <w:tr>
        <w:tc>
          <w:tcPr>
            <w:tcW w:w="0" w:type="auto"/>
          </w:tcPr>
          <w:p>
            <w:pPr>
              <w:spacing w:line="240" w:lineRule="auto" w:before="0" w:after="0"/>
              <w:pStyle w:val="Compact"/>
            </w:pPr>
            <w:r>
              <w:rPr>
                <w:sz w:val="20"/>
                <w:szCs w:val="20"/>
              </w:rPr>
              <w:t xml:space="preserve">MER-Opportunity MiniTES</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2004-01-25</w:t>
            </w:r>
          </w:p>
        </w:tc>
        <w:tc>
          <w:tcPr>
            <w:tcW w:w="0" w:type="auto"/>
          </w:tcPr>
          <w:p>
            <w:pPr>
              <w:spacing w:line="240" w:lineRule="auto" w:before="0" w:after="0"/>
              <w:pStyle w:val="Compact"/>
            </w:pPr>
            <w:r>
              <w:rPr>
                <w:sz w:val="20"/>
                <w:szCs w:val="20"/>
              </w:rPr>
              <w:t xml:space="preserve">2004-12-03</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0.875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2004-01-25; Mini-TES results in Science 306 set, 2004-12-03, doi:10.1126/science.1104653 (Crossref)</w:t>
            </w:r>
          </w:p>
        </w:tc>
      </w:tr>
      <w:tr>
        <w:tc>
          <w:tcPr>
            <w:tcW w:w="0" w:type="auto"/>
          </w:tcPr>
          <w:p>
            <w:pPr>
              <w:spacing w:line="240" w:lineRule="auto" w:before="0" w:after="0"/>
              <w:pStyle w:val="Compact"/>
            </w:pPr>
            <w:r>
              <w:rPr>
                <w:sz w:val="20"/>
                <w:szCs w:val="20"/>
              </w:rPr>
              <w:t xml:space="preserve">Phoenix TEGA</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2009-07-03</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(NASA Phoenix); TEGA results Boynton et al., Science 325:61, 2009-07-03, doi:10.1126/science.1172339 (Crossref)</w:t>
            </w:r>
          </w:p>
        </w:tc>
      </w:tr>
      <w:tr>
        <w:tc>
          <w:tcPr>
            <w:tcW w:w="0" w:type="auto"/>
          </w:tcPr>
          <w:p>
            <w:pPr>
              <w:spacing w:line="240" w:lineRule="auto" w:before="0" w:after="0"/>
              <w:pStyle w:val="Compact"/>
            </w:pPr>
            <w:r>
              <w:rPr>
                <w:sz w:val="20"/>
                <w:szCs w:val="20"/>
              </w:rPr>
              <w:t xml:space="preserve">Phoenix MECA WCL</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2008-11-07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MECA wet-chemistry results Hecht et al., Science 322:1208, 2008-11-07 (early release), doi:10.1126/science.1164020 (Crossref)</w:t>
            </w:r>
          </w:p>
        </w:tc>
      </w:tr>
      <w:tr>
        <w:tc>
          <w:tcPr>
            <w:tcW w:w="0" w:type="auto"/>
          </w:tcPr>
          <w:p>
            <w:pPr>
              <w:spacing w:line="240" w:lineRule="auto" w:before="0" w:after="0"/>
              <w:pStyle w:val="Compact"/>
            </w:pPr>
            <w:r>
              <w:rPr>
                <w:sz w:val="20"/>
                <w:szCs w:val="20"/>
              </w:rPr>
              <w:t xml:space="preserve">Phoenix SSI</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2010-04-01</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1.686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SSI imaging/atmospheric results, JGR Planets 2010-04, doi:10.1029/2009JE003413 (Crossref)</w:t>
            </w:r>
          </w:p>
        </w:tc>
      </w:tr>
      <w:tr>
        <w:tc>
          <w:tcPr>
            <w:tcW w:w="0" w:type="auto"/>
          </w:tcPr>
          <w:p>
            <w:pPr>
              <w:spacing w:line="240" w:lineRule="auto" w:before="0" w:after="0"/>
              <w:pStyle w:val="Compact"/>
            </w:pPr>
            <w:r>
              <w:rPr>
                <w:sz w:val="20"/>
                <w:szCs w:val="20"/>
              </w:rPr>
              <w:t xml:space="preserve">Phoenix RA-MARDI</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2008-05-25</w:t>
            </w:r>
          </w:p>
        </w:tc>
        <w:tc>
          <w:tcPr>
            <w:tcW w:w="0" w:type="auto"/>
          </w:tcPr>
          <w:p>
            <w:pPr>
              <w:spacing w:line="240" w:lineRule="auto" w:before="0" w:after="0"/>
              <w:pStyle w:val="Compact"/>
            </w:pPr>
            <w:r>
              <w:rPr>
                <w:sz w:val="20"/>
                <w:szCs w:val="20"/>
              </w:rPr>
              <w:t xml:space="preserve">2009-01-01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2008-05-25; Robotic Arm results Arvidson et al., JGR Planets 2009-01, doi:10.1029/2009JE003408 (Crossref)</w:t>
            </w:r>
          </w:p>
        </w:tc>
      </w:tr>
      <w:tr>
        <w:tc>
          <w:tcPr>
            <w:tcW w:w="0" w:type="auto"/>
          </w:tcPr>
          <w:p>
            <w:pPr>
              <w:spacing w:line="240" w:lineRule="auto" w:before="0" w:after="0"/>
              <w:pStyle w:val="Compact"/>
            </w:pPr>
            <w:r>
              <w:rPr>
                <w:sz w:val="20"/>
                <w:szCs w:val="20"/>
              </w:rPr>
              <w:t xml:space="preserve">MSL ChemCam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2013-09-27</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2.361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(NASA MSL); ChemCam soil results Meslin et al., Science 341, 2013-09-27, doi:10.1126/science.1238670 (Crossref)</w:t>
            </w:r>
          </w:p>
        </w:tc>
      </w:tr>
      <w:tr>
        <w:tc>
          <w:tcPr>
            <w:tcW w:w="0" w:type="auto"/>
          </w:tcPr>
          <w:p>
            <w:pPr>
              <w:spacing w:line="240" w:lineRule="auto" w:before="0" w:after="0"/>
              <w:pStyle w:val="Compact"/>
            </w:pPr>
            <w:r>
              <w:rPr>
                <w:sz w:val="20"/>
                <w:szCs w:val="20"/>
              </w:rPr>
              <w:t xml:space="preserve">MSL SAM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2013-09-27</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SAM volatiles results Leshin et al., Science 341, 2013-09-27, doi:10.1126/science.1238937 (Crossref)</w:t>
            </w:r>
          </w:p>
        </w:tc>
      </w:tr>
      <w:tr>
        <w:tc>
          <w:tcPr>
            <w:tcW w:w="0" w:type="auto"/>
          </w:tcPr>
          <w:p>
            <w:pPr>
              <w:spacing w:line="240" w:lineRule="auto" w:before="0" w:after="0"/>
              <w:pStyle w:val="Compact"/>
            </w:pPr>
            <w:r>
              <w:rPr>
                <w:sz w:val="20"/>
                <w:szCs w:val="20"/>
              </w:rPr>
              <w:t xml:space="preserve">MSL CheMin</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2014-01-24</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CheMin Yellowknife Bay mineralogy Vaniman et al., Science 343, 2014-01-24, doi:10.1126/science.1243480 (Crossref)</w:t>
            </w:r>
          </w:p>
        </w:tc>
      </w:tr>
      <w:tr>
        <w:tc>
          <w:tcPr>
            <w:tcW w:w="0" w:type="auto"/>
          </w:tcPr>
          <w:p>
            <w:pPr>
              <w:spacing w:line="240" w:lineRule="auto" w:before="0" w:after="0"/>
              <w:pStyle w:val="Compact"/>
            </w:pPr>
            <w:r>
              <w:rPr>
                <w:sz w:val="20"/>
                <w:szCs w:val="20"/>
              </w:rPr>
              <w:t xml:space="preserve">MSL RAD</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2014-01-24</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0.531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RAD surface radiation Hassler et al., Science 343, 2014-01-24, doi:10.1126/science.1244797 (Crossref)</w:t>
            </w:r>
          </w:p>
        </w:tc>
      </w:tr>
      <w:tr>
        <w:tc>
          <w:tcPr>
            <w:tcW w:w="0" w:type="auto"/>
          </w:tcPr>
          <w:p>
            <w:pPr>
              <w:spacing w:line="240" w:lineRule="auto" w:before="0" w:after="0"/>
              <w:pStyle w:val="Compact"/>
            </w:pPr>
            <w:r>
              <w:rPr>
                <w:sz w:val="20"/>
                <w:szCs w:val="20"/>
              </w:rPr>
              <w:t xml:space="preserve">MSL REMS</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2014-09-01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REMS environmental monitoring results, Icarus 2014-09, doi:10.1016/j.icarus.2014.05.004 (Crossref)</w:t>
            </w:r>
          </w:p>
        </w:tc>
      </w:tr>
      <w:tr>
        <w:tc>
          <w:tcPr>
            <w:tcW w:w="0" w:type="auto"/>
          </w:tcPr>
          <w:p>
            <w:pPr>
              <w:spacing w:line="240" w:lineRule="auto" w:before="0" w:after="0"/>
              <w:pStyle w:val="Compact"/>
            </w:pPr>
            <w:r>
              <w:rPr>
                <w:sz w:val="20"/>
                <w:szCs w:val="20"/>
              </w:rPr>
              <w:t xml:space="preserve">MSL MAHLI</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2015-03-01</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MAHLI close-up imaging results, JGR Planets 2015-03, doi:10.1002/2014JE004686 (Crossref)</w:t>
            </w:r>
          </w:p>
        </w:tc>
      </w:tr>
      <w:tr>
        <w:tc>
          <w:tcPr>
            <w:tcW w:w="0" w:type="auto"/>
          </w:tcPr>
          <w:p>
            <w:pPr>
              <w:spacing w:line="240" w:lineRule="auto" w:before="0" w:after="0"/>
              <w:pStyle w:val="Compact"/>
            </w:pPr>
            <w:r>
              <w:rPr>
                <w:sz w:val="20"/>
                <w:szCs w:val="20"/>
              </w:rPr>
              <w:t xml:space="preserve">MSL Mastcam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2012-08-06</w:t>
            </w:r>
          </w:p>
        </w:tc>
        <w:tc>
          <w:tcPr>
            <w:tcW w:w="0" w:type="auto"/>
          </w:tcPr>
          <w:p>
            <w:pPr>
              <w:spacing w:line="240" w:lineRule="auto" w:before="0" w:after="0"/>
              <w:pStyle w:val="Compact"/>
            </w:pPr>
            <w:r>
              <w:rPr>
                <w:sz w:val="20"/>
                <w:szCs w:val="20"/>
              </w:rPr>
              <w:t xml:space="preserve">2016-07-01</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2012-08-06; Mastcam multispectral results, JGR Planets 2016-07, doi:10.1002/2016JE005034 (Crossref)</w:t>
            </w:r>
          </w:p>
        </w:tc>
      </w:tr>
      <w:tr>
        <w:tc>
          <w:tcPr>
            <w:tcW w:w="0" w:type="auto"/>
          </w:tcPr>
          <w:p>
            <w:pPr>
              <w:spacing w:line="240" w:lineRule="auto" w:before="0" w:after="0"/>
              <w:pStyle w:val="Compact"/>
            </w:pPr>
            <w:r>
              <w:rPr>
                <w:sz w:val="20"/>
                <w:szCs w:val="20"/>
              </w:rPr>
              <w:t xml:space="preserve">InSight SEIS</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2020-03-01</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3.384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(NASA InSight); SEIS first seismicity Giardini et al., Nature Geoscience 13, 2020-03, doi:10.1038/s41561-020-0536-y (Crossref)</w:t>
            </w:r>
          </w:p>
        </w:tc>
      </w:tr>
      <w:tr>
        <w:tc>
          <w:tcPr>
            <w:tcW w:w="0" w:type="auto"/>
          </w:tcPr>
          <w:p>
            <w:pPr>
              <w:spacing w:line="240" w:lineRule="auto" w:before="0" w:after="0"/>
              <w:pStyle w:val="Compact"/>
            </w:pPr>
            <w:r>
              <w:rPr>
                <w:sz w:val="20"/>
                <w:szCs w:val="20"/>
              </w:rPr>
              <w:t xml:space="preserve">InSight RISE</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2023-07-27</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RISE core results Le Maistre et al., Nature 619, 2023-07-27, doi:10.1038/s41586-023-06150-0 (Crossref)</w:t>
            </w:r>
          </w:p>
        </w:tc>
      </w:tr>
      <w:tr>
        <w:tc>
          <w:tcPr>
            <w:tcW w:w="0" w:type="auto"/>
          </w:tcPr>
          <w:p>
            <w:pPr>
              <w:spacing w:line="240" w:lineRule="auto" w:before="0" w:after="0"/>
              <w:pStyle w:val="Compact"/>
            </w:pPr>
            <w:r>
              <w:rPr>
                <w:sz w:val="20"/>
                <w:szCs w:val="20"/>
              </w:rPr>
              <w:t xml:space="preserve">InSight APSS-TWINS</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2020-09-01</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APSS/TWINS atmospheric results Banfield et al., JGR Planets 2020-09, doi:10.1029/2020JE006493 (Crossref)</w:t>
            </w:r>
          </w:p>
        </w:tc>
      </w:tr>
      <w:tr>
        <w:tc>
          <w:tcPr>
            <w:tcW w:w="0" w:type="auto"/>
          </w:tcPr>
          <w:p>
            <w:pPr>
              <w:spacing w:line="240" w:lineRule="auto" w:before="0" w:after="0"/>
              <w:pStyle w:val="Compact"/>
            </w:pPr>
            <w:r>
              <w:rPr>
                <w:sz w:val="20"/>
                <w:szCs w:val="20"/>
              </w:rPr>
              <w:t xml:space="preserve">InSight HP3</w:t>
            </w:r>
          </w:p>
        </w:tc>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2018-11-26</w:t>
            </w:r>
          </w:p>
        </w:tc>
        <w:tc>
          <w:tcPr>
            <w:tcW w:w="0" w:type="auto"/>
          </w:tcPr>
          <w:p>
            <w:pPr>
              <w:spacing w:line="240" w:lineRule="auto" w:before="0" w:after="0"/>
              <w:pStyle w:val="Compact"/>
            </w:pPr>
            <w:r>
              <w:rPr>
                <w:sz w:val="20"/>
                <w:szCs w:val="20"/>
              </w:rPr>
              <w:t xml:space="preserve">2022-10-01</w:t>
            </w:r>
          </w:p>
        </w:tc>
        <w:tc>
          <w:tcPr>
            <w:tcW w:w="0" w:type="auto"/>
          </w:tcPr>
          <w:p>
            <w:pPr>
              <w:spacing w:line="240" w:lineRule="auto" w:before="0" w:after="0"/>
              <w:pStyle w:val="Compact"/>
            </w:pPr>
            <w:r>
              <w:rPr>
                <w:sz w:val="20"/>
                <w:szCs w:val="20"/>
              </w:rPr>
              <w:t xml:space="preserve">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2018-11-26; HP3 thermal results published after mole-emplacement difficulty, JGR Planets 2022-10, doi:10.1029/2022JE007229 (Crossref). Primary subsurface-depth objective not achieved; first-results date marks delayed productive output.</w:t>
            </w:r>
          </w:p>
        </w:tc>
      </w:tr>
      <w:tr>
        <w:tc>
          <w:tcPr>
            <w:tcW w:w="0" w:type="auto"/>
          </w:tcPr>
          <w:p>
            <w:pPr>
              <w:spacing w:line="240" w:lineRule="auto" w:before="0" w:after="0"/>
              <w:pStyle w:val="Compact"/>
            </w:pPr>
            <w:r>
              <w:rPr>
                <w:sz w:val="20"/>
                <w:szCs w:val="20"/>
              </w:rPr>
              <w:t xml:space="preserve">M2020 PIXL</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2022-11-03</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1.932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(NASA Mars 2020); PIXL Jezero geochemistry Tice et al., Nature 611, 2022-11-03, doi:10.1038/s41586-022-05245-4 (Crossref)</w:t>
            </w:r>
          </w:p>
        </w:tc>
      </w:tr>
      <w:tr>
        <w:tc>
          <w:tcPr>
            <w:tcW w:w="0" w:type="auto"/>
          </w:tcPr>
          <w:p>
            <w:pPr>
              <w:spacing w:line="240" w:lineRule="auto" w:before="0" w:after="0"/>
              <w:pStyle w:val="Compact"/>
            </w:pPr>
            <w:r>
              <w:rPr>
                <w:sz w:val="20"/>
                <w:szCs w:val="20"/>
              </w:rPr>
              <w:t xml:space="preserve">M2020 SHERLOC</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2022-12-09</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1.459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SHERLOC organics results Scheller et al., Science 378, 2022-12-09, doi:10.1126/science.abo5204 (Crossref)</w:t>
            </w:r>
          </w:p>
        </w:tc>
      </w:tr>
      <w:tr>
        <w:tc>
          <w:tcPr>
            <w:tcW w:w="0" w:type="auto"/>
          </w:tcPr>
          <w:p>
            <w:pPr>
              <w:spacing w:line="240" w:lineRule="auto" w:before="0" w:after="0"/>
              <w:pStyle w:val="Compact"/>
            </w:pPr>
            <w:r>
              <w:rPr>
                <w:sz w:val="20"/>
                <w:szCs w:val="20"/>
              </w:rPr>
              <w:t xml:space="preserve">M2020 SuperCam</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2021-10-01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2.361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SuperCam first results Mangold/Maurice et al., Nature Geoscience 14, 2021-10, doi:10.1038/s41561-021-00807-z (Crossref)</w:t>
            </w:r>
          </w:p>
        </w:tc>
      </w:tr>
      <w:tr>
        <w:tc>
          <w:tcPr>
            <w:tcW w:w="0" w:type="auto"/>
          </w:tcPr>
          <w:p>
            <w:pPr>
              <w:spacing w:line="240" w:lineRule="auto" w:before="0" w:after="0"/>
              <w:pStyle w:val="Compact"/>
            </w:pPr>
            <w:r>
              <w:rPr>
                <w:sz w:val="20"/>
                <w:szCs w:val="20"/>
              </w:rPr>
              <w:t xml:space="preserve">M2020 MEDA</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2023-01-01</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MEDA environmental results, Nature Geoscience 2023-01, doi:10.1038/s41561-022-01084-0 (Crossref)</w:t>
            </w:r>
          </w:p>
        </w:tc>
      </w:tr>
      <w:tr>
        <w:tc>
          <w:tcPr>
            <w:tcW w:w="0" w:type="auto"/>
          </w:tcPr>
          <w:p>
            <w:pPr>
              <w:spacing w:line="240" w:lineRule="auto" w:before="0" w:after="0"/>
              <w:pStyle w:val="Compact"/>
            </w:pPr>
            <w:r>
              <w:rPr>
                <w:sz w:val="20"/>
                <w:szCs w:val="20"/>
              </w:rPr>
              <w:t xml:space="preserve">M2020 MOXIE</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2022-09-02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2.839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MOXIE oxygen-ISRU results Hecht et al., Science Advances 8, 2022-09-02, doi:10.1126/sciadv.abp8636 (Crossref)</w:t>
            </w:r>
          </w:p>
        </w:tc>
      </w:tr>
      <w:tr>
        <w:tc>
          <w:tcPr>
            <w:tcW w:w="0" w:type="auto"/>
          </w:tcPr>
          <w:p>
            <w:pPr>
              <w:spacing w:line="240" w:lineRule="auto" w:before="0" w:after="0"/>
              <w:pStyle w:val="Compact"/>
            </w:pPr>
            <w:r>
              <w:rPr>
                <w:sz w:val="20"/>
                <w:szCs w:val="20"/>
              </w:rPr>
              <w:t xml:space="preserve">M2020 RIMFAX</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2021-02-18</w:t>
            </w:r>
          </w:p>
        </w:tc>
        <w:tc>
          <w:tcPr>
            <w:tcW w:w="0" w:type="auto"/>
          </w:tcPr>
          <w:p>
            <w:pPr>
              <w:spacing w:line="240" w:lineRule="auto" w:before="0" w:after="0"/>
              <w:pStyle w:val="Compact"/>
            </w:pPr>
            <w:r>
              <w:rPr>
                <w:sz w:val="20"/>
                <w:szCs w:val="20"/>
              </w:rPr>
              <w:t xml:space="preserve">2022-08-26</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2021-02-18; RIMFAX subsurface radar Hamran et al., Science Advances 8, 2022-08-26, doi:10.1126/sciadv.abp8564 (Crossref)</w:t>
            </w:r>
          </w:p>
        </w:tc>
      </w:tr>
      <w:tr>
        <w:tc>
          <w:tcPr>
            <w:tcW w:w="0" w:type="auto"/>
          </w:tcPr>
          <w:p>
            <w:pPr>
              <w:spacing w:line="240" w:lineRule="auto" w:before="0" w:after="0"/>
              <w:pStyle w:val="Compact"/>
            </w:pPr>
            <w:r>
              <w:rPr>
                <w:sz w:val="20"/>
                <w:szCs w:val="20"/>
              </w:rPr>
              <w:t xml:space="preserve">CE3 APXS</w:t>
            </w:r>
          </w:p>
        </w:tc>
        <w:tc>
          <w:tcPr>
            <w:tcW w:w="0" w:type="auto"/>
          </w:tcPr>
          <w:p>
            <w:pPr>
              <w:spacing w:line="240" w:lineRule="auto" w:before="0" w:after="0"/>
              <w:pStyle w:val="Compact"/>
            </w:pPr>
            <w:r>
              <w:rPr>
                <w:sz w:val="20"/>
                <w:szCs w:val="20"/>
              </w:rPr>
              <w:t xml:space="preserve">Change-3 Yutu</w:t>
            </w:r>
          </w:p>
        </w:tc>
        <w:tc>
          <w:tcPr>
            <w:tcW w:w="0" w:type="auto"/>
          </w:tcPr>
          <w:p>
            <w:pPr>
              <w:spacing w:line="240" w:lineRule="auto" w:before="0" w:after="0"/>
              <w:pStyle w:val="Compact"/>
            </w:pPr>
            <w:r>
              <w:rPr>
                <w:sz w:val="20"/>
                <w:szCs w:val="20"/>
              </w:rPr>
              <w:t xml:space="preserve">2013-12-14</w:t>
            </w:r>
          </w:p>
        </w:tc>
        <w:tc>
          <w:tcPr>
            <w:tcW w:w="0" w:type="auto"/>
          </w:tcPr>
          <w:p>
            <w:pPr>
              <w:spacing w:line="240" w:lineRule="auto" w:before="0" w:after="0"/>
              <w:pStyle w:val="Compact"/>
            </w:pPr>
            <w:r>
              <w:rPr>
                <w:sz w:val="20"/>
                <w:szCs w:val="20"/>
              </w:rPr>
              <w:t xml:space="preserve">2014-12-01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2013-12-14 (Change-3); Yutu APXS results, Chinese Science Bulletin 2014-12, doi:10.1007/s11434-014-0639-1 (Crossref)</w:t>
            </w:r>
          </w:p>
        </w:tc>
      </w:tr>
      <w:tr>
        <w:tc>
          <w:tcPr>
            <w:tcW w:w="0" w:type="auto"/>
          </w:tcPr>
          <w:p>
            <w:pPr>
              <w:spacing w:line="240" w:lineRule="auto" w:before="0" w:after="0"/>
              <w:pStyle w:val="Compact"/>
            </w:pPr>
            <w:r>
              <w:rPr>
                <w:sz w:val="20"/>
                <w:szCs w:val="20"/>
              </w:rPr>
              <w:t xml:space="preserve">CE3 VNIS</w:t>
            </w:r>
          </w:p>
        </w:tc>
        <w:tc>
          <w:tcPr>
            <w:tcW w:w="0" w:type="auto"/>
          </w:tcPr>
          <w:p>
            <w:pPr>
              <w:spacing w:line="240" w:lineRule="auto" w:before="0" w:after="0"/>
              <w:pStyle w:val="Compact"/>
            </w:pPr>
            <w:r>
              <w:rPr>
                <w:sz w:val="20"/>
                <w:szCs w:val="20"/>
              </w:rPr>
              <w:t xml:space="preserve">Change-3 Yutu</w:t>
            </w:r>
          </w:p>
        </w:tc>
        <w:tc>
          <w:tcPr>
            <w:tcW w:w="0" w:type="auto"/>
          </w:tcPr>
          <w:p>
            <w:pPr>
              <w:spacing w:line="240" w:lineRule="auto" w:before="0" w:after="0"/>
              <w:pStyle w:val="Compact"/>
            </w:pPr>
            <w:r>
              <w:rPr>
                <w:sz w:val="20"/>
                <w:szCs w:val="20"/>
              </w:rPr>
              <w:t xml:space="preserve">2013-12-14</w:t>
            </w:r>
          </w:p>
        </w:tc>
        <w:tc>
          <w:tcPr>
            <w:tcW w:w="0" w:type="auto"/>
          </w:tcPr>
          <w:p>
            <w:pPr>
              <w:spacing w:line="240" w:lineRule="auto" w:before="0" w:after="0"/>
              <w:pStyle w:val="Compact"/>
            </w:pPr>
            <w:r>
              <w:rPr>
                <w:sz w:val="20"/>
                <w:szCs w:val="20"/>
              </w:rPr>
              <w:t xml:space="preserve">2015-03-13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Landing 2013-12-14; Change-3 regolith results Xiao et al., Science 347, 2015-03-13, doi:10.1126/science.1259866 (Crossref)</w:t>
            </w:r>
          </w:p>
        </w:tc>
      </w:tr>
      <w:tr>
        <w:tc>
          <w:tcPr>
            <w:tcW w:w="0" w:type="auto"/>
          </w:tcPr>
          <w:p>
            <w:pPr>
              <w:spacing w:line="240" w:lineRule="auto" w:before="0" w:after="0"/>
              <w:pStyle w:val="Compact"/>
            </w:pPr>
            <w:r>
              <w:rPr>
                <w:sz w:val="20"/>
                <w:szCs w:val="20"/>
              </w:rPr>
              <w:t xml:space="preserve">CE4 VNIS</w:t>
            </w:r>
          </w:p>
        </w:tc>
        <w:tc>
          <w:tcPr>
            <w:tcW w:w="0" w:type="auto"/>
          </w:tcPr>
          <w:p>
            <w:pPr>
              <w:spacing w:line="240" w:lineRule="auto" w:before="0" w:after="0"/>
              <w:pStyle w:val="Compact"/>
            </w:pPr>
            <w:r>
              <w:rPr>
                <w:sz w:val="20"/>
                <w:szCs w:val="20"/>
              </w:rPr>
              <w:t xml:space="preserve">Change-4 Yutu-2</w:t>
            </w:r>
          </w:p>
        </w:tc>
        <w:tc>
          <w:tcPr>
            <w:tcW w:w="0" w:type="auto"/>
          </w:tcPr>
          <w:p>
            <w:pPr>
              <w:spacing w:line="240" w:lineRule="auto" w:before="0" w:after="0"/>
              <w:pStyle w:val="Compact"/>
            </w:pPr>
            <w:r>
              <w:rPr>
                <w:sz w:val="20"/>
                <w:szCs w:val="20"/>
              </w:rPr>
              <w:t xml:space="preserve">2019-01-03</w:t>
            </w:r>
          </w:p>
        </w:tc>
        <w:tc>
          <w:tcPr>
            <w:tcW w:w="0" w:type="auto"/>
          </w:tcPr>
          <w:p>
            <w:pPr>
              <w:spacing w:line="240" w:lineRule="auto" w:before="0" w:after="0"/>
              <w:pStyle w:val="Compact"/>
            </w:pPr>
            <w:r>
              <w:rPr>
                <w:sz w:val="20"/>
                <w:szCs w:val="20"/>
              </w:rPr>
              <w:t xml:space="preserve">2019-05-16</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2019-01-03 (Change-4 farside); Yutu-2 VNIS mantle-material results Li et al., Nature 569, 2019-05-16, doi:10.1038/s41586-019-1189-0 (Crossref)</w:t>
            </w:r>
          </w:p>
        </w:tc>
      </w:tr>
      <w:tr>
        <w:tc>
          <w:tcPr>
            <w:tcW w:w="0" w:type="auto"/>
          </w:tcPr>
          <w:p>
            <w:pPr>
              <w:spacing w:line="240" w:lineRule="auto" w:before="0" w:after="0"/>
              <w:pStyle w:val="Compact"/>
            </w:pPr>
            <w:r>
              <w:rPr>
                <w:sz w:val="20"/>
                <w:szCs w:val="20"/>
              </w:rPr>
              <w:t xml:space="preserve">CE4 LPR</w:t>
            </w:r>
          </w:p>
        </w:tc>
        <w:tc>
          <w:tcPr>
            <w:tcW w:w="0" w:type="auto"/>
          </w:tcPr>
          <w:p>
            <w:pPr>
              <w:spacing w:line="240" w:lineRule="auto" w:before="0" w:after="0"/>
              <w:pStyle w:val="Compact"/>
            </w:pPr>
            <w:r>
              <w:rPr>
                <w:sz w:val="20"/>
                <w:szCs w:val="20"/>
              </w:rPr>
              <w:t xml:space="preserve">Change-4 Yutu-2</w:t>
            </w:r>
          </w:p>
        </w:tc>
        <w:tc>
          <w:tcPr>
            <w:tcW w:w="0" w:type="auto"/>
          </w:tcPr>
          <w:p>
            <w:pPr>
              <w:spacing w:line="240" w:lineRule="auto" w:before="0" w:after="0"/>
              <w:pStyle w:val="Compact"/>
            </w:pPr>
            <w:r>
              <w:rPr>
                <w:sz w:val="20"/>
                <w:szCs w:val="20"/>
              </w:rPr>
              <w:t xml:space="preserve">2019-01-03</w:t>
            </w:r>
          </w:p>
        </w:tc>
        <w:tc>
          <w:tcPr>
            <w:tcW w:w="0" w:type="auto"/>
          </w:tcPr>
          <w:p>
            <w:pPr>
              <w:spacing w:line="240" w:lineRule="auto" w:before="0" w:after="0"/>
              <w:pStyle w:val="Compact"/>
            </w:pPr>
            <w:r>
              <w:rPr>
                <w:sz w:val="20"/>
                <w:szCs w:val="20"/>
              </w:rPr>
              <w:t xml:space="preserve">2020-02-28</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Landing 2019-01-03; Yutu-2 lunar penetrating radar Lai/Li et al., Science Advances 6, 2020-02-28, doi:10.1126/sciadv.aay6898 (Crossref)</w:t>
            </w:r>
          </w:p>
        </w:tc>
      </w:tr>
    </w:tbl>
    <w:bookmarkEnd w:id="205"/>
    <w:bookmarkStart w:id="206"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the documented surface-operations start (mission landing date) to the publication date of the first peer-reviewed science-results paper attributable to the instrument; the analysis time in the survival model.</w:t>
            </w:r>
          </w:p>
        </w:tc>
        <w:tc>
          <w:tcPr>
            <w:tcW w:w="0" w:type="auto"/>
          </w:tcPr>
          <w:p>
            <w:pPr>
              <w:spacing w:line="240" w:lineRule="auto" w:before="0" w:after="0"/>
              <w:pStyle w:val="Compact"/>
            </w:pPr>
            <w:r>
              <w:rPr>
                <w:sz w:val="20"/>
                <w:szCs w:val="20"/>
              </w:rPr>
              <w:t xml:space="preserve">Landing dates are public mission record; first-publication dates verified against Crossref 2026-06-22 with DOI in each row source column.</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Event indicator: 1 when a first peer-reviewed science-results publication is observed for the instrument. All 31 instruments in the assembled set eventually publish, so all observations are events; the field includes the indicator so right-censored instruments can be appended without changing the specification.</w:t>
            </w:r>
          </w:p>
        </w:tc>
        <w:tc>
          <w:tcPr>
            <w:tcW w:w="0" w:type="auto"/>
          </w:tcPr>
          <w:p>
            <w:pPr>
              <w:spacing w:line="240" w:lineRule="auto" w:before="0" w:after="0"/>
              <w:pStyle w:val="Compact"/>
            </w:pPr>
            <w:r>
              <w:rPr>
                <w:sz w:val="20"/>
                <w:szCs w:val="20"/>
              </w:rPr>
              <w:t xml:space="preserve">Per-row Crossref-verified publication record.</w:t>
            </w:r>
          </w:p>
        </w:tc>
      </w:tr>
      <w:tr>
        <w:tc>
          <w:tcPr>
            <w:tcW w:w="0" w:type="auto"/>
          </w:tcPr>
          <w:p>
            <w:pPr>
              <w:spacing w:line="240" w:lineRule="auto" w:before="0" w:after="0"/>
              <w:pStyle w:val="Compact"/>
            </w:pPr>
            <w:r>
              <w:rPr>
                <w:sz w:val="20"/>
                <w:szCs w:val="20"/>
              </w:rPr>
              <w:t xml:space="preserve">priority</w:t>
            </w:r>
          </w:p>
        </w:tc>
        <w:tc>
          <w:tcPr>
            <w:tcW w:w="0" w:type="auto"/>
          </w:tcPr>
          <w:p>
            <w:pPr>
              <w:spacing w:line="240" w:lineRule="auto" w:before="0" w:after="0"/>
              <w:pStyle w:val="Compact"/>
            </w:pPr>
            <w:r>
              <w:rPr>
                <w:sz w:val="20"/>
                <w:szCs w:val="20"/>
              </w:rPr>
              <w:t xml:space="preserve">Ex ante decadal-survey priority tier of the measurement objective the instrument serves, ordinal 2 (atmospheric/meteorological monitoring) to 5 (astrobiology, geochemistry, habitability, interior structure); higher is higher priority. Covariate of interest.</w:t>
            </w:r>
          </w:p>
        </w:tc>
        <w:tc>
          <w:tcPr>
            <w:tcW w:w="0" w:type="auto"/>
          </w:tcPr>
          <w:p>
            <w:pPr>
              <w:spacing w:line="240" w:lineRule="auto" w:before="0" w:after="0"/>
              <w:pStyle w:val="Compact"/>
            </w:pPr>
            <w:r>
              <w:rPr>
                <w:sz w:val="20"/>
                <w:szCs w:val="20"/>
              </w:rPr>
              <w:t xml:space="preserve">NASA planetary decadal surveys (New Frontiers in the Solar System 2003; Vision and Voyages 2011; Origins, Worlds, and Life 2022); coding rubric inherited from the companion OLS paper.</w:t>
            </w:r>
          </w:p>
        </w:tc>
      </w:tr>
      <w:tr>
        <w:tc>
          <w:tcPr>
            <w:tcW w:w="0" w:type="auto"/>
          </w:tcPr>
          <w:p>
            <w:pPr>
              <w:spacing w:line="240" w:lineRule="auto" w:before="0" w:after="0"/>
              <w:pStyle w:val="Compact"/>
            </w:pPr>
            <w:r>
              <w:rPr>
                <w:sz w:val="20"/>
                <w:szCs w:val="20"/>
              </w:rPr>
              <w:t xml:space="preserve">log_mass</w:t>
            </w:r>
          </w:p>
        </w:tc>
        <w:tc>
          <w:tcPr>
            <w:tcW w:w="0" w:type="auto"/>
          </w:tcPr>
          <w:p>
            <w:pPr>
              <w:spacing w:line="240" w:lineRule="auto" w:before="0" w:after="0"/>
              <w:pStyle w:val="Compact"/>
            </w:pPr>
            <w:r>
              <w:rPr>
                <w:sz w:val="20"/>
                <w:szCs w:val="20"/>
              </w:rPr>
              <w:t xml:space="preserve">Natural log of instrument flight mass in kilograms, an engineering-capability and complexity proxy; larger and more capable instruments may take longer to commission and produce a first result.</w:t>
            </w:r>
          </w:p>
        </w:tc>
        <w:tc>
          <w:tcPr>
            <w:tcW w:w="0" w:type="auto"/>
          </w:tcPr>
          <w:p>
            <w:pPr>
              <w:spacing w:line="240" w:lineRule="auto" w:before="0" w:after="0"/>
              <w:pStyle w:val="Compact"/>
            </w:pPr>
            <w:r>
              <w:rPr>
                <w:sz w:val="20"/>
                <w:szCs w:val="20"/>
              </w:rPr>
              <w:t xml:space="preserve">Per-instrument flight-mass figures from mission instrument papers cited in each row source column.</w:t>
            </w:r>
          </w:p>
        </w:tc>
      </w:tr>
      <w:tr>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Operational regime: 0 = fixed lander, 1 = in-situ mobile rover, 2 = sample-caching / return-context rover; higher values index more complex science operations between landing and first result.</w:t>
            </w:r>
          </w:p>
        </w:tc>
        <w:tc>
          <w:tcPr>
            <w:tcW w:w="0" w:type="auto"/>
          </w:tcPr>
          <w:p>
            <w:pPr>
              <w:spacing w:line="240" w:lineRule="auto" w:before="0" w:after="0"/>
              <w:pStyle w:val="Compact"/>
            </w:pPr>
            <w:r>
              <w:rPr>
                <w:sz w:val="20"/>
                <w:szCs w:val="20"/>
              </w:rPr>
              <w:t xml:space="preserve">Mission architecture descriptions; regime taxonomy from the GeoHeuristic Operational Strategies Test methodology [6], [7].</w:t>
            </w:r>
          </w:p>
        </w:tc>
      </w:tr>
      <w:tr>
        <w:tc>
          <w:tcPr>
            <w:tcW w:w="0" w:type="auto"/>
          </w:tcPr>
          <w:p>
            <w:pPr>
              <w:spacing w:line="240" w:lineRule="auto" w:before="0" w:after="0"/>
              <w:pStyle w:val="Compact"/>
            </w:pPr>
            <w:r>
              <w:rPr>
                <w:sz w:val="20"/>
                <w:szCs w:val="20"/>
              </w:rPr>
              <w:t xml:space="preserve">era3</w:t>
            </w:r>
          </w:p>
        </w:tc>
        <w:tc>
          <w:tcPr>
            <w:tcW w:w="0" w:type="auto"/>
          </w:tcPr>
          <w:p>
            <w:pPr>
              <w:spacing w:line="240" w:lineRule="auto" w:before="0" w:after="0"/>
              <w:pStyle w:val="Compact"/>
            </w:pPr>
            <w:r>
              <w:rPr>
                <w:sz w:val="20"/>
                <w:szCs w:val="20"/>
              </w:rPr>
              <w:t xml:space="preserve">Mission-era indicator, 1 if surface operations began in the 2018 to 2021 cohort (InSight, Mars 2020, Change-4 farside), else 0; absorbs the later-era shift toward longer, more selective first-results papers in a single dummy given the small sample.</w:t>
            </w:r>
          </w:p>
        </w:tc>
        <w:tc>
          <w:tcPr>
            <w:tcW w:w="0" w:type="auto"/>
          </w:tcPr>
          <w:p>
            <w:pPr>
              <w:spacing w:line="240" w:lineRule="auto" w:before="0" w:after="0"/>
              <w:pStyle w:val="Compact"/>
            </w:pPr>
            <w:r>
              <w:rPr>
                <w:sz w:val="20"/>
                <w:szCs w:val="20"/>
              </w:rPr>
              <w:t xml:space="preserve">Mission landing records; baseline era is 1997 to 2015 surface operations.</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58" Type="http://schemas.openxmlformats.org/officeDocument/2006/relationships/hyperlink" Target="https://doi.org/10.1016/j.actaastro.2016.12.018" TargetMode="External"/><Relationship Id="rId189" Type="http://schemas.openxmlformats.org/officeDocument/2006/relationships/hyperlink" Target="https://doi.org/10.1016/j.actaastro.2017.08.011" TargetMode="External"/><Relationship Id="rId160" Type="http://schemas.openxmlformats.org/officeDocument/2006/relationships/hyperlink" Target="https://doi.org/10.1016/j.actaastro.2018.02.029" TargetMode="External"/><Relationship Id="rId177" Type="http://schemas.openxmlformats.org/officeDocument/2006/relationships/hyperlink" Target="https://doi.org/10.1016/j.actaastro.2018.04.019" TargetMode="External"/><Relationship Id="rId181" Type="http://schemas.openxmlformats.org/officeDocument/2006/relationships/hyperlink" Target="https://doi.org/10.1016/j.actaastro.2020.01.030" TargetMode="External"/><Relationship Id="rId148" Type="http://schemas.openxmlformats.org/officeDocument/2006/relationships/hyperlink" Target="https://doi.org/10.1016/j.actaastro.2020.06.026" TargetMode="External"/><Relationship Id="rId154" Type="http://schemas.openxmlformats.org/officeDocument/2006/relationships/hyperlink" Target="https://doi.org/10.1016/j.actaastro.2021.04.042" TargetMode="External"/><Relationship Id="rId185" Type="http://schemas.openxmlformats.org/officeDocument/2006/relationships/hyperlink" Target="https://doi.org/10.1016/j.actaastro.2021.07.046" TargetMode="External"/><Relationship Id="rId156" Type="http://schemas.openxmlformats.org/officeDocument/2006/relationships/hyperlink" Target="https://doi.org/10.1016/j.actaastro.2021.11.023" TargetMode="External"/><Relationship Id="rId179" Type="http://schemas.openxmlformats.org/officeDocument/2006/relationships/hyperlink" Target="https://doi.org/10.1016/j.actaastro.2022.05.040" TargetMode="External"/><Relationship Id="rId152" Type="http://schemas.openxmlformats.org/officeDocument/2006/relationships/hyperlink" Target="https://doi.org/10.1016/j.actaastro.2023.05.042" TargetMode="External"/><Relationship Id="rId187" Type="http://schemas.openxmlformats.org/officeDocument/2006/relationships/hyperlink" Target="https://doi.org/10.1016/j.actaastro.2023.11.030" TargetMode="External"/><Relationship Id="rId175" Type="http://schemas.openxmlformats.org/officeDocument/2006/relationships/hyperlink" Target="https://doi.org/10.1016/j.actaastro.2024.04.001" TargetMode="External"/><Relationship Id="rId183" Type="http://schemas.openxmlformats.org/officeDocument/2006/relationships/hyperlink" Target="https://doi.org/10.1016/j.actaastro.2026.02.021" TargetMode="External"/><Relationship Id="rId167" Type="http://schemas.openxmlformats.org/officeDocument/2006/relationships/hyperlink" Target="https://doi.org/10.64861/EZUN7130" TargetMode="External"/><Relationship Id="rId165" Type="http://schemas.openxmlformats.org/officeDocument/2006/relationships/hyperlink" Target="https://doi.org/10.64861/KUQJ3053" TargetMode="External"/><Relationship Id="rId173" Type="http://schemas.openxmlformats.org/officeDocument/2006/relationships/hyperlink" Target="https://doi.org/10.64861/RBTM5104" TargetMode="External"/><Relationship Id="rId170" Type="http://schemas.openxmlformats.org/officeDocument/2006/relationships/hyperlink" Target="https://doi.org/10.64861/VUMF3172"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16.12.018" TargetMode="External"/><Relationship Id="rId189" Type="http://schemas.openxmlformats.org/officeDocument/2006/relationships/hyperlink" Target="https://doi.org/10.1016/j.actaastro.2017.08.011" TargetMode="External"/><Relationship Id="rId160" Type="http://schemas.openxmlformats.org/officeDocument/2006/relationships/hyperlink" Target="https://doi.org/10.1016/j.actaastro.2018.02.029" TargetMode="External"/><Relationship Id="rId177" Type="http://schemas.openxmlformats.org/officeDocument/2006/relationships/hyperlink" Target="https://doi.org/10.1016/j.actaastro.2018.04.019" TargetMode="External"/><Relationship Id="rId181" Type="http://schemas.openxmlformats.org/officeDocument/2006/relationships/hyperlink" Target="https://doi.org/10.1016/j.actaastro.2020.01.030" TargetMode="External"/><Relationship Id="rId148" Type="http://schemas.openxmlformats.org/officeDocument/2006/relationships/hyperlink" Target="https://doi.org/10.1016/j.actaastro.2020.06.026" TargetMode="External"/><Relationship Id="rId154" Type="http://schemas.openxmlformats.org/officeDocument/2006/relationships/hyperlink" Target="https://doi.org/10.1016/j.actaastro.2021.04.042" TargetMode="External"/><Relationship Id="rId185" Type="http://schemas.openxmlformats.org/officeDocument/2006/relationships/hyperlink" Target="https://doi.org/10.1016/j.actaastro.2021.07.046" TargetMode="External"/><Relationship Id="rId156" Type="http://schemas.openxmlformats.org/officeDocument/2006/relationships/hyperlink" Target="https://doi.org/10.1016/j.actaastro.2021.11.023" TargetMode="External"/><Relationship Id="rId179" Type="http://schemas.openxmlformats.org/officeDocument/2006/relationships/hyperlink" Target="https://doi.org/10.1016/j.actaastro.2022.05.040" TargetMode="External"/><Relationship Id="rId152" Type="http://schemas.openxmlformats.org/officeDocument/2006/relationships/hyperlink" Target="https://doi.org/10.1016/j.actaastro.2023.05.042" TargetMode="External"/><Relationship Id="rId187" Type="http://schemas.openxmlformats.org/officeDocument/2006/relationships/hyperlink" Target="https://doi.org/10.1016/j.actaastro.2023.11.030" TargetMode="External"/><Relationship Id="rId175" Type="http://schemas.openxmlformats.org/officeDocument/2006/relationships/hyperlink" Target="https://doi.org/10.1016/j.actaastro.2024.04.001" TargetMode="External"/><Relationship Id="rId183" Type="http://schemas.openxmlformats.org/officeDocument/2006/relationships/hyperlink" Target="https://doi.org/10.1016/j.actaastro.2026.02.021" TargetMode="External"/><Relationship Id="rId167" Type="http://schemas.openxmlformats.org/officeDocument/2006/relationships/hyperlink" Target="https://doi.org/10.64861/EZUN7130" TargetMode="External"/><Relationship Id="rId165" Type="http://schemas.openxmlformats.org/officeDocument/2006/relationships/hyperlink" Target="https://doi.org/10.64861/KUQJ3053" TargetMode="External"/><Relationship Id="rId173" Type="http://schemas.openxmlformats.org/officeDocument/2006/relationships/hyperlink" Target="https://doi.org/10.64861/RBTM5104" TargetMode="External"/><Relationship Id="rId170" Type="http://schemas.openxmlformats.org/officeDocument/2006/relationships/hyperlink" Target="https://doi.org/10.64861/VUMF3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Decadal Priority and Realized Science Productivity: Does Surface-Mission Instrument Prioritization Predict Downstream Scientific Output?</dc:title>
  <dc:creator>Sylvie Ramos (1B-ESS-061)</dc:creator>
  <cp:keywords/>
  <dcterms:created xsi:type="dcterms:W3CDTF">2026-07-02T16:03:34Z</dcterms:created>
  <dcterms:modified xsi:type="dcterms:W3CDTF">2026-07-02T16:03:34Z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