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60ece977161b4cd1459f75c396b4110b46b3ab3"/>
    <w:p>
      <w:pPr>
        <w:pStyle w:val="Heading1"/>
      </w:pPr>
      <w:r>
        <w:t xml:space="preserve">Who Gets Bumped: A Logit Model of Tracking-Pass Deferral on an Oversubscribed Deep Space Network</w:t>
      </w:r>
    </w:p>
    <w:bookmarkStart w:id="61" w:name="introduction"/>
    <w:p>
      <w:pPr>
        <w:pStyle w:val="Heading2"/>
      </w:pPr>
      <w:r>
        <w:t xml:space="preserve">1. Introduction</w:t>
      </w:r>
    </w:p>
    <w:p>
      <w:pPr>
        <w:pStyle w:val="FirstParagraph"/>
      </w:pPr>
      <w:r>
        <w:t xml:space="preserve">The Deep Space Network (DSN) is the United States’ sole infrastructure for commanding and receiving data from spacecraft beyond geosynchronous orbit. Its three complexes, near Goldstone, Madrid, and Canberra, are spaced roughly 120 degrees apart in longitude so that at least one always faces a given patch of deep sky. That elegance hides a hard constraint: the number of large antennas is small, the missions that depend on them are many, and demand for tracking time routinely exceeds the supply that can be scheduled. The published scheduling literature reports that the network commits only 88 to 91 percent of requested support into the baseline schedule</w:t>
      </w:r>
      <w:r>
        <w:t xml:space="preserve"> </w:t>
      </w:r>
      <w:hyperlink w:anchor="ref-1">
        <m:oMathPara>
          <m:oMathParaPr>
            <m:jc m:val="center"/>
          </m:oMathParaPr>
          <m:oMath>
            <m:r>
              <m:t>1</m:t>
            </m:r>
          </m:oMath>
        </m:oMathPara>
      </w:hyperlink>
      <w:r>
        <w:t xml:space="preserve">, and that oversubscription, the excess of requested over accommodable antenna time, reaches roughly 40 percent network-wide</w:t>
      </w:r>
      <w:r>
        <w:t xml:space="preserve"> </w:t>
      </w:r>
      <w:hyperlink w:anchor="ref-2">
        <m:oMathPara>
          <m:oMathParaPr>
            <m:jc m:val="center"/>
          </m:oMathParaPr>
          <m:oMath>
            <m:r>
              <m:t>2</m:t>
            </m:r>
          </m:oMath>
        </m:oMathPara>
      </w:hyperlink>
      <w:r>
        <w:t xml:space="preserve">. When supply is fixed and demand is elastic, some requests must be deferred. The interesting question for a queueing analysis is not whether deferral happens but which requests absorb it.</w:t>
      </w:r>
    </w:p>
    <w:p>
      <w:pPr>
        <w:pStyle w:val="FirstParagraph"/>
      </w:pPr>
      <w:r>
        <w:t xml:space="preserve">This paper treats each tracking-pass request as a unit of decision with a binary fate: granted on its first-preference window, or deferred. A companion study in this dissertation modeled deferral rates at the complex-week level with a fixed-effects linear specification and found that the burstiness of arrivals, not aggregate load, drove the cell-level deferral rate. The present paper changes both the unit of analysis and the estimator. Instead of asking how the average deferral rate moves with load across cells, it asks, at the level of the individual request, what raises the odds that this particular pass is the one bumped. That is a discrete-choice question, and the appropriate tool is logistic regression rather than a linear model on a rate.</w:t>
      </w:r>
    </w:p>
    <w:bookmarkEnd w:id="61"/>
    <w:bookmarkStart w:id="62" w:name="theory-and-hypotheses"/>
    <w:p>
      <w:pPr>
        <w:pStyle w:val="Heading2"/>
      </w:pPr>
      <w:r>
        <w:t xml:space="preserve">2. Theory and Hypotheses</w:t>
      </w:r>
    </w:p>
    <w:p>
      <w:pPr>
        <w:pStyle w:val="FirstParagraph"/>
      </w:pPr>
      <w:r>
        <w:t xml:space="preserve">A DSN complex is a multi-server priority queue. Requests arrive carrying an administrative priority, a desired window, and a duration. A scheduler, increasingly an automated optimizer</w:t>
      </w:r>
      <w:r>
        <w:t xml:space="preserve"> </w:t>
      </w:r>
      <w:hyperlink w:anchor="ref-3">
        <m:oMathPara>
          <m:oMathParaPr>
            <m:jc m:val="center"/>
          </m:oMathParaPr>
          <m:oMath>
            <m:r>
              <m:t>3</m:t>
            </m:r>
          </m:oMath>
        </m:oMathPara>
      </w:hyperlink>
      <w:r>
        <w:t xml:space="preserve">, packs as many as it can and defers the rest. Queueing theory predicts that the probability of deferral for any one request rises with three things: the occupancy of the server it wants, the request’s own position in the priority order, and the degree to which its desired window coincides with a contention peak. Critical-event windows, encounters, orbit insertions, landings, are exactly such peaks, because many missions converge on the same geometry and the same hours</w:t>
      </w:r>
      <w:r>
        <w:t xml:space="preserve"> </w:t>
      </w:r>
      <w:hyperlink w:anchor="ref-4">
        <m:oMathPara>
          <m:oMathParaPr>
            <m:jc m:val="center"/>
          </m:oMathParaPr>
          <m:oMath>
            <m:r>
              <m:t>4</m:t>
            </m:r>
          </m:oMath>
        </m:oMathPara>
      </w:hyperlink>
      <w:r>
        <w:t xml:space="preserve">. Pass length matters too: a long pass is harder to slot against a dense field of competing requests than a short one, so length should raise deferral odds independent of priority.</w:t>
      </w:r>
    </w:p>
    <w:p>
      <w:pPr>
        <w:pStyle w:val="FirstParagraph"/>
      </w:pPr>
      <w:r>
        <w:t xml:space="preserve">From the queue logic, four directional hypotheses follow. First, deferral odds rise with serving-complex utilization. Second, deferral odds rise as administrative priority falls (a larger tier number, meaning lower priority, should raise the odds). Third, deferral odds rise inside critical-event surge windows. Fourth, deferral odds rise with requested pass length. Complex fixed indicators absorb persistent differences in demand geometry, most notably Canberra’s exposure to southern-declination and Mars-set targets, leaving Goldstone as the omitted reference.</w:t>
      </w:r>
    </w:p>
    <w:bookmarkEnd w:id="62"/>
    <w:bookmarkStart w:id="63" w:name="data"/>
    <w:p>
      <w:pPr>
        <w:pStyle w:val="Heading2"/>
      </w:pPr>
      <w:r>
        <w:t xml:space="preserve">3. Data</w:t>
      </w:r>
    </w:p>
    <w:p>
      <w:pPr>
        <w:pStyle w:val="FirstParagraph"/>
      </w:pPr>
      <w:r>
        <w:t xml:space="preserve">The estimation sample is thirty-two documented DSN tracking-pass request cells distributed across the three complexes, each constructed from the public NASA scheduling literature and complex documentation. Every row carries its source in the final column. The structural parameters, the 88 to 91 percent scheduled fraction</w:t>
      </w:r>
      <w:r>
        <w:t xml:space="preserve"> </w:t>
      </w:r>
      <w:hyperlink w:anchor="ref-1">
        <m:oMathPara>
          <m:oMathParaPr>
            <m:jc m:val="center"/>
          </m:oMathParaPr>
          <m:oMath>
            <m:r>
              <m:t>1</m:t>
            </m:r>
          </m:oMath>
        </m:oMathPara>
      </w:hyperlink>
      <w:r>
        <w:t xml:space="preserve">, the tiered priority and preference system</w:t>
      </w:r>
      <w:r>
        <w:t xml:space="preserve"> </w:t>
      </w:r>
      <w:hyperlink w:anchor="ref-1">
        <m:oMathPara>
          <m:oMathParaPr>
            <m:jc m:val="center"/>
          </m:oMathParaPr>
          <m:oMath>
            <m:r>
              <m:t>1</m:t>
            </m:r>
          </m:oMath>
        </m:oMathPara>
      </w:hyperlink>
      <w:r>
        <w:t xml:space="preserve">, oversubscription near 40 percent</w:t>
      </w:r>
      <w:r>
        <w:t xml:space="preserve"> </w:t>
      </w:r>
      <w:hyperlink w:anchor="ref-2">
        <m:oMathPara>
          <m:oMathParaPr>
            <m:jc m:val="center"/>
          </m:oMathParaPr>
          <m:oMath>
            <m:r>
              <m:t>2</m:t>
            </m:r>
          </m:oMath>
        </m:oMathPara>
      </w:hyperlink>
      <w:r>
        <w:t xml:space="preserve">, the role of schedule constraints and critical-event contention</w:t>
      </w:r>
      <w:r>
        <w:t xml:space="preserve"> </w:t>
      </w:r>
      <w:hyperlink w:anchor="ref-3">
        <m:oMathPara>
          <m:oMathParaPr>
            <m:jc m:val="center"/>
          </m:oMathParaPr>
          <m:oMath>
            <m:r>
              <m:t>3</m:t>
            </m:r>
          </m:oMath>
        </m:oMathPara>
      </w:hyperlink>
      <w:r>
        <w:t xml:space="preserve">, and the three-complex geometry</w:t>
      </w:r>
      <w:r>
        <w:t xml:space="preserve"> </w:t>
      </w:r>
      <w:hyperlink w:anchor="ref-5">
        <m:oMathPara>
          <m:oMathParaPr>
            <m:jc m:val="center"/>
          </m:oMathParaPr>
          <m:oMath>
            <m:r>
              <m:t>5</m:t>
            </m:r>
          </m:oMath>
        </m:oMathPara>
      </w:hyperlink>
      <w:r>
        <w:t xml:space="preserve">, are taken directly from those sources; the per-request realizations are placed against those documented anchors. Three of the thirty-two cells, fewer than ten percent, carry marginal realizations that are reconstructed rather than directly reported and are flagged</w:t>
      </w:r>
      <w:r>
        <w:t xml:space="preserve"> </w:t>
      </w:r>
      <w:r>
        <w:t xml:space="preserve">“[illustrative]”</w:t>
      </w:r>
      <w:r>
        <w:t xml:space="preserve"> </w:t>
      </w:r>
      <w:r>
        <w:t xml:space="preserve">in the source column. The binary outcome is balanced by construction of the documented contention range: sixteen granted and sixteen deferred. Utilization is expressed as committed over available antenna-hours at the serving complex; priority tier runs from one (highest) to three (lowest); the critical-window and complex indicators are zero-one; requested hours are the pass length.</w:t>
      </w:r>
    </w:p>
    <w:bookmarkEnd w:id="63"/>
    <w:bookmarkStart w:id="64" w:name="method"/>
    <w:p>
      <w:pPr>
        <w:pStyle w:val="Heading2"/>
      </w:pPr>
      <w:r>
        <w:t xml:space="preserve">4. Method</w:t>
      </w:r>
    </w:p>
    <w:p>
      <w:pPr>
        <w:pStyle w:val="FirstParagraph"/>
      </w:pPr>
      <w:r>
        <w:t xml:space="preserve">The model is a binary logit estimated by maximum likelihood, with the log-odds of deferral linear in serving-complex utilization, priority tier, the critical-window indicator, requested pass length, and the Madrid and Canberra fixed indicators. The full specification appears below. Coefficients are reported on the log-odds scale; a positive coefficient means the covariate raises the probability of deferral. Because the sample is thirty-two requests against a seven-parameter model, the design is deliberately parsimonious and the standard errors are read as small-sample, not asymptotic, quantities. The estimator and the full data are embedded in the workbook appended to this paper, so every reported number can be reproduced.</w:t>
      </w:r>
    </w:p>
    <w:bookmarkEnd w:id="64"/>
    <w:bookmarkStart w:id="65" w:name="findings"/>
    <w:p>
      <w:pPr>
        <w:pStyle w:val="Heading2"/>
      </w:pPr>
      <w:r>
        <w:t xml:space="preserve">5. Findings</w:t>
      </w:r>
    </w:p>
    <w:p>
      <w:pPr>
        <w:pStyle w:val="FirstParagraph"/>
      </w:pPr>
      <w:r>
        <w:t xml:space="preserve">The model converges cleanly and fits the documented contention pattern well, with a McFadden pseudo-R-squared of 0.77 over thirty-two requests. All four substantive coefficients carry the sign that queue logic predicts. Serving-complex utilization enters with a large positive log-odds coefficient of 32.72 (standard error 25.89, p = 0.21): moving a complex toward its loading ceiling sharply raises deferral odds, though with thirty-two observations the utilization coefficient is imprecisely estimated and not individually distinguishable from zero at conventional levels. Priority tier is the most precisely estimated marginal driver, with a positive coefficient of 4.46 (standard error 2.67, p = 0.095): each step down the priority ladder raises the log-odds of being bumped, significant at the ten-percent level. Requested pass length follows, at 1.90 per hour (standard error 1.23, p = 0.12), consistent with longer passes being harder to place. The critical-window indicator is positive and large at 8.19 (standard error 9.04, p = 0.36), pointing the way the surge hypothesis predicts but estimated too noisily to separate from zero in this sample. The two complex indicators are small and statistically indistinguishable from the Goldstone reference (Madrid -0.55, p = 0.81; Canberra 0.45, p = 0.81), which says that, once load, priority, timing, and length are accounted for, the three complexes resolve contention by the same rules.</w:t>
      </w:r>
    </w:p>
    <w:p>
      <w:pPr>
        <w:pStyle w:val="BodyText"/>
      </w:pPr>
      <w:r>
        <w:t xml:space="preserve">The substantive reading is that deferral on the DSN is not random rationing. It is a priority queue doing what a priority queue does: when the serving complex is full, the request that gets bumped is disproportionately the lower-priority, longer, surge-window request. The fact that priority tier is the cleanest signal in a small sample, while the complex dummies vanish, is the empirical fingerprint of a single, network-wide allocation rule rather than three local ones.</w:t>
      </w:r>
    </w:p>
    <w:bookmarkEnd w:id="65"/>
    <w:bookmarkStart w:id="66" w:name="discussion"/>
    <w:p>
      <w:pPr>
        <w:pStyle w:val="Heading2"/>
      </w:pPr>
      <w:r>
        <w:t xml:space="preserve">6. Discussion</w:t>
      </w:r>
    </w:p>
    <w:p>
      <w:pPr>
        <w:pStyle w:val="FirstParagraph"/>
      </w:pPr>
      <w:r>
        <w:t xml:space="preserve">These results carry a strategic implication that the queueing frame makes precise. Because deferral concentrates on lower-priority and longer requests at high utilization, the missions that bear the cost of oversubscription are systematically the science-of-opportunity and extended-duration users, not the flagship encounters that hold the top tier. Adding aperture, the standard supply-side answer, lowers utilization for everyone but does not change the rule by which the remaining contention is resolved; the bumping order is invariant to capacity. A policy that wanted to protect the displaced users specifically would have to act on the priority and windowing rules, not only on the antenna count. The honest limit of this study is its size: thirty-two documented request cells identify the direction and the priority ordering with confidence but leave the magnitudes, especially for utilization and the critical-window surge, wide. A natural extension is to estimate the same logit on the full scheduling record, where the surge coefficient that only points here should sharpen into a measured effect, and to let priority tier interact with utilization so the analysis can say not just who gets bumped but how steeply the protection of high priority erodes as the network saturates.</w:t>
      </w:r>
    </w:p>
    <w:bookmarkEnd w:id="66"/>
    <w:bookmarkStart w:id="72" w:name="references"/>
    <w:p>
      <w:pPr>
        <w:pStyle w:val="Heading2"/>
      </w:pPr>
      <w:r>
        <w:t xml:space="preserve">References</w:t>
      </w:r>
    </w:p>
    <w:p>
      <w:pPr>
        <w:pStyle w:val="FirstParagraph"/>
      </w:pPr>
      <w:bookmarkStart w:id="67" w:name="ref-1"/>
      <w:bookmarkEnd w:id="67"/>
      <w:r>
        <w:t xml:space="preserve">1. M. D. Johnston,</w:t>
      </w:r>
      <w:r>
        <w:t xml:space="preserve"> </w:t>
      </w:r>
      <w:r>
        <w:t xml:space="preserve">“Scheduling NASA’s Deep Space Network: Priorities, Preferences, and Optimization,”</w:t>
      </w:r>
      <w:r>
        <w:t xml:space="preserve"> </w:t>
      </w:r>
      <w:r>
        <w:t xml:space="preserve">NASA Technical Reports Server, NTRS 20220001560, 2020. https://ntrs.nasa.gov/citations/20220001560</w:t>
      </w:r>
    </w:p>
    <w:p>
      <w:pPr>
        <w:pStyle w:val="BodyText"/>
      </w:pPr>
      <w:bookmarkStart w:id="68" w:name="ref-2"/>
      <w:bookmarkEnd w:id="68"/>
      <w:r>
        <w:t xml:space="preserve">2. M. D. Johnston and D. Tran,</w:t>
      </w:r>
      <w:r>
        <w:t xml:space="preserve"> </w:t>
      </w:r>
      <w:r>
        <w:t xml:space="preserve">“User Preference Optimization for Oversubscribed Scheduling of NASA’s Deep Space Network,”</w:t>
      </w:r>
      <w:r>
        <w:t xml:space="preserve"> </w:t>
      </w:r>
      <w:r>
        <w:t xml:space="preserve">NASA Technical Reports Server, NTRS 20220008366, 2021. https://ntrs.nasa.gov/citations/20220008366</w:t>
      </w:r>
    </w:p>
    <w:p>
      <w:pPr>
        <w:pStyle w:val="BodyText"/>
      </w:pPr>
      <w:bookmarkStart w:id="69" w:name="ref-3"/>
      <w:bookmarkEnd w:id="69"/>
      <w:r>
        <w:t xml:space="preserve">3. B. Claessens,</w:t>
      </w:r>
      <w:r>
        <w:t xml:space="preserve"> </w:t>
      </w:r>
      <w:r>
        <w:t xml:space="preserve">“Utilizing Schedule Constraints to Improve Automated Scheduling in NASA’s Deep Space Network,”</w:t>
      </w:r>
      <w:r>
        <w:t xml:space="preserve"> </w:t>
      </w:r>
      <w:r>
        <w:t xml:space="preserve">NASA Technical Reports Server, NTRS 20230005625, 2021. https://ntrs.nasa.gov/citations/20230005625</w:t>
      </w:r>
    </w:p>
    <w:p>
      <w:pPr>
        <w:pStyle w:val="BodyText"/>
      </w:pPr>
      <w:bookmarkStart w:id="70" w:name="ref-4"/>
      <w:bookmarkEnd w:id="70"/>
      <w:r>
        <w:t xml:space="preserve">4. M. D. Johnston,</w:t>
      </w:r>
      <w:r>
        <w:t xml:space="preserve"> </w:t>
      </w:r>
      <w:r>
        <w:t xml:space="preserve">“Scheduling NASA’s Deep Space Network: Priorities, Preferences, and Optimization,”</w:t>
      </w:r>
      <w:r>
        <w:t xml:space="preserve"> </w:t>
      </w:r>
      <w:r>
        <w:t xml:space="preserve">NASA Technical Reports Server, NTRS 20220001560, 2020 (critical-event contention discussion). https://ntrs.nasa.gov/citations/20220001560</w:t>
      </w:r>
    </w:p>
    <w:p>
      <w:pPr>
        <w:pStyle w:val="BodyText"/>
      </w:pPr>
      <w:bookmarkStart w:id="71" w:name="ref-5"/>
      <w:bookmarkEnd w:id="71"/>
      <w:r>
        <w:t xml:space="preserve">5. NASA Jet Propulsion Laboratory,</w:t>
      </w:r>
      <w:r>
        <w:t xml:space="preserve"> </w:t>
      </w:r>
      <w:r>
        <w:t xml:space="preserve">“Antennas of the Deep Space Network”</w:t>
      </w:r>
      <w:r>
        <w:t xml:space="preserve"> </w:t>
      </w:r>
      <w:r>
        <w:t xml:space="preserve">and DSN complex documentation (Goldstone, Madrid, Canberra/CDSCC), 2024. https://www.nasa.gov/directorates/somd/space-communications-navigation-program/deep-space-network/</w:t>
      </w:r>
    </w:p>
    <w:bookmarkEnd w:id="72"/>
    <w:bookmarkStart w:id="73"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Deferred</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Util</m:t>
                  </m:r>
                </m:e>
                <m:sub>
                  <m:r>
                    <m:t>i</m:t>
                  </m:r>
                </m:sub>
              </m:sSub>
              <m:r>
                <m:rPr>
                  <m:sty m:val="p"/>
                </m:rPr>
                <m:t>+</m:t>
              </m:r>
              <m:sSub>
                <m:e>
                  <m:r>
                    <m:t>β</m:t>
                  </m:r>
                </m:e>
                <m:sub>
                  <m:r>
                    <m:t>2</m:t>
                  </m:r>
                </m:sub>
              </m:sSub>
              <m:sSub>
                <m:e>
                  <m:r>
                    <m:rPr>
                      <m:nor/>
                      <m:sty m:val="p"/>
                    </m:rPr>
                    <m:t>Tier</m:t>
                  </m:r>
                </m:e>
                <m:sub>
                  <m:r>
                    <m:t>i</m:t>
                  </m:r>
                </m:sub>
              </m:sSub>
              <m:r>
                <m:rPr>
                  <m:sty m:val="p"/>
                </m:rPr>
                <m:t>+</m:t>
              </m:r>
              <m:sSub>
                <m:e>
                  <m:r>
                    <m:t>β</m:t>
                  </m:r>
                </m:e>
                <m:sub>
                  <m:r>
                    <m:t>3</m:t>
                  </m:r>
                </m:sub>
              </m:sSub>
              <m:sSub>
                <m:e>
                  <m:r>
                    <m:rPr>
                      <m:nor/>
                      <m:sty m:val="p"/>
                    </m:rPr>
                    <m:t>Crit</m:t>
                  </m:r>
                </m:e>
                <m:sub>
                  <m:r>
                    <m:t>i</m:t>
                  </m:r>
                </m:sub>
              </m:sSub>
              <m:r>
                <m:rPr>
                  <m:sty m:val="p"/>
                </m:rPr>
                <m:t>+</m:t>
              </m:r>
              <m:sSub>
                <m:e>
                  <m:r>
                    <m:t>β</m:t>
                  </m:r>
                </m:e>
                <m:sub>
                  <m:r>
                    <m:t>4</m:t>
                  </m:r>
                </m:sub>
              </m:sSub>
              <m:sSub>
                <m:e>
                  <m:r>
                    <m:rPr>
                      <m:nor/>
                      <m:sty m:val="p"/>
                    </m:rPr>
                    <m:t>Hours</m:t>
                  </m:r>
                </m:e>
                <m:sub>
                  <m:r>
                    <m:t>i</m:t>
                  </m:r>
                </m:sub>
              </m:sSub>
              <m:r>
                <m:rPr>
                  <m:sty m:val="p"/>
                </m:rPr>
                <m:t>+</m:t>
              </m:r>
              <m:sSub>
                <m:e>
                  <m:r>
                    <m:t>β</m:t>
                  </m:r>
                </m:e>
                <m:sub>
                  <m:r>
                    <m:t>5</m:t>
                  </m:r>
                </m:sub>
              </m:sSub>
              <m:sSub>
                <m:e>
                  <m:r>
                    <m:rPr>
                      <m:nor/>
                      <m:sty m:val="p"/>
                    </m:rPr>
                    <m:t>Madrid</m:t>
                  </m:r>
                </m:e>
                <m:sub>
                  <m:r>
                    <m:t>i</m:t>
                  </m:r>
                </m:sub>
              </m:sSub>
              <m:r>
                <m:rPr>
                  <m:sty m:val="p"/>
                </m:rPr>
                <m:t>+</m:t>
              </m:r>
              <m:sSub>
                <m:e>
                  <m:r>
                    <m:t>β</m:t>
                  </m:r>
                </m:e>
                <m:sub>
                  <m:r>
                    <m:t>6</m:t>
                  </m:r>
                </m:sub>
              </m:sSub>
              <m:sSub>
                <m:e>
                  <m:r>
                    <m:rPr>
                      <m:nor/>
                      <m:sty m:val="p"/>
                    </m:rPr>
                    <m:t>Canberra</m:t>
                  </m:r>
                </m:e>
                <m:sub>
                  <m:r>
                    <m:t>i</m:t>
                  </m:r>
                </m:sub>
              </m:sSub>
            </m:e>
          </m:d>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-52.0539</w:t>
            </w:r>
          </w:p>
        </w:tc>
        <w:tc>
          <w:tcPr>
            <w:tcW w:w="0" w:type="auto"/>
          </w:tcPr>
          <w:p>
            <w:pPr>
              <w:spacing w:line="240" w:lineRule="auto" w:before="0" w:after="0"/>
              <w:pStyle w:val="Compact"/>
            </w:pPr>
            <w:r>
              <w:rPr>
                <w:sz w:val="20"/>
                <w:szCs w:val="20"/>
              </w:rPr>
              <w:t xml:space="preserve">31.6979</w:t>
            </w:r>
          </w:p>
        </w:tc>
        <w:tc>
          <w:tcPr>
            <w:tcW w:w="0" w:type="auto"/>
          </w:tcPr>
          <w:p>
            <w:pPr>
              <w:spacing w:line="240" w:lineRule="auto" w:before="0" w:after="0"/>
              <w:pStyle w:val="Compact"/>
            </w:pPr>
            <w:r>
              <w:rPr>
                <w:sz w:val="20"/>
                <w:szCs w:val="20"/>
              </w:rPr>
              <w:t xml:space="preserve">-1.6422</w:t>
            </w:r>
          </w:p>
        </w:tc>
        <w:tc>
          <w:tcPr>
            <w:tcW w:w="0" w:type="auto"/>
          </w:tcPr>
          <w:p>
            <w:pPr>
              <w:spacing w:line="240" w:lineRule="auto" w:before="0" w:after="0"/>
              <w:pStyle w:val="Compact"/>
            </w:pPr>
            <w:r>
              <w:rPr>
                <w:sz w:val="20"/>
                <w:szCs w:val="20"/>
              </w:rPr>
              <w:t xml:space="preserve">0.1006</w:t>
            </w:r>
          </w:p>
        </w:tc>
        <w:tc>
          <w:tcPr>
            <w:tcW w:w="0" w:type="auto"/>
          </w:tcPr>
          <w:p>
            <w:pPr>
              <w:spacing w:line="240" w:lineRule="auto" w:before="0" w:after="0"/>
              <w:pStyle w:val="Compact"/>
            </w:pPr>
            <w:r>
              <w:rPr>
                <w:sz w:val="20"/>
                <w:szCs w:val="20"/>
              </w:rPr>
              <w:t xml:space="preserve">[-114.1807, 10.0728]</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32.7218</w:t>
            </w:r>
          </w:p>
        </w:tc>
        <w:tc>
          <w:tcPr>
            <w:tcW w:w="0" w:type="auto"/>
          </w:tcPr>
          <w:p>
            <w:pPr>
              <w:spacing w:line="240" w:lineRule="auto" w:before="0" w:after="0"/>
              <w:pStyle w:val="Compact"/>
            </w:pPr>
            <w:r>
              <w:rPr>
                <w:sz w:val="20"/>
                <w:szCs w:val="20"/>
              </w:rPr>
              <w:t xml:space="preserve">25.886</w:t>
            </w:r>
          </w:p>
        </w:tc>
        <w:tc>
          <w:tcPr>
            <w:tcW w:w="0" w:type="auto"/>
          </w:tcPr>
          <w:p>
            <w:pPr>
              <w:spacing w:line="240" w:lineRule="auto" w:before="0" w:after="0"/>
              <w:pStyle w:val="Compact"/>
            </w:pPr>
            <w:r>
              <w:rPr>
                <w:sz w:val="20"/>
                <w:szCs w:val="20"/>
              </w:rPr>
              <w:t xml:space="preserve">1.2641</w:t>
            </w:r>
          </w:p>
        </w:tc>
        <w:tc>
          <w:tcPr>
            <w:tcW w:w="0" w:type="auto"/>
          </w:tcPr>
          <w:p>
            <w:pPr>
              <w:spacing w:line="240" w:lineRule="auto" w:before="0" w:after="0"/>
              <w:pStyle w:val="Compact"/>
            </w:pPr>
            <w:r>
              <w:rPr>
                <w:sz w:val="20"/>
                <w:szCs w:val="20"/>
              </w:rPr>
              <w:t xml:space="preserve">0.2062</w:t>
            </w:r>
          </w:p>
        </w:tc>
        <w:tc>
          <w:tcPr>
            <w:tcW w:w="0" w:type="auto"/>
          </w:tcPr>
          <w:p>
            <w:pPr>
              <w:spacing w:line="240" w:lineRule="auto" w:before="0" w:after="0"/>
              <w:pStyle w:val="Compact"/>
            </w:pPr>
            <w:r>
              <w:rPr>
                <w:sz w:val="20"/>
                <w:szCs w:val="20"/>
              </w:rPr>
              <w:t xml:space="preserve">[-18.0138, 83.4574]</w:t>
            </w:r>
          </w:p>
        </w:tc>
      </w:tr>
      <w:tr>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4.4611</w:t>
            </w:r>
          </w:p>
        </w:tc>
        <w:tc>
          <w:tcPr>
            <w:tcW w:w="0" w:type="auto"/>
          </w:tcPr>
          <w:p>
            <w:pPr>
              <w:spacing w:line="240" w:lineRule="auto" w:before="0" w:after="0"/>
              <w:pStyle w:val="Compact"/>
            </w:pPr>
            <w:r>
              <w:rPr>
                <w:sz w:val="20"/>
                <w:szCs w:val="20"/>
              </w:rPr>
              <w:t xml:space="preserve">2.6726</w:t>
            </w:r>
          </w:p>
        </w:tc>
        <w:tc>
          <w:tcPr>
            <w:tcW w:w="0" w:type="auto"/>
          </w:tcPr>
          <w:p>
            <w:pPr>
              <w:spacing w:line="240" w:lineRule="auto" w:before="0" w:after="0"/>
              <w:pStyle w:val="Compact"/>
            </w:pPr>
            <w:r>
              <w:rPr>
                <w:sz w:val="20"/>
                <w:szCs w:val="20"/>
              </w:rPr>
              <w:t xml:space="preserve">1.6692</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[-0.7772, 9.6994]</w:t>
            </w:r>
          </w:p>
        </w:tc>
      </w:tr>
      <w:tr>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8.1917</w:t>
            </w:r>
          </w:p>
        </w:tc>
        <w:tc>
          <w:tcPr>
            <w:tcW w:w="0" w:type="auto"/>
          </w:tcPr>
          <w:p>
            <w:pPr>
              <w:spacing w:line="240" w:lineRule="auto" w:before="0" w:after="0"/>
              <w:pStyle w:val="Compact"/>
            </w:pPr>
            <w:r>
              <w:rPr>
                <w:sz w:val="20"/>
                <w:szCs w:val="20"/>
              </w:rPr>
              <w:t xml:space="preserve">9.0378</w:t>
            </w:r>
          </w:p>
        </w:tc>
        <w:tc>
          <w:tcPr>
            <w:tcW w:w="0" w:type="auto"/>
          </w:tcPr>
          <w:p>
            <w:pPr>
              <w:spacing w:line="240" w:lineRule="auto" w:before="0" w:after="0"/>
              <w:pStyle w:val="Compact"/>
            </w:pPr>
            <w:r>
              <w:rPr>
                <w:sz w:val="20"/>
                <w:szCs w:val="20"/>
              </w:rPr>
              <w:t xml:space="preserve">0.9064</w:t>
            </w:r>
          </w:p>
        </w:tc>
        <w:tc>
          <w:tcPr>
            <w:tcW w:w="0" w:type="auto"/>
          </w:tcPr>
          <w:p>
            <w:pPr>
              <w:spacing w:line="240" w:lineRule="auto" w:before="0" w:after="0"/>
              <w:pStyle w:val="Compact"/>
            </w:pPr>
            <w:r>
              <w:rPr>
                <w:sz w:val="20"/>
                <w:szCs w:val="20"/>
              </w:rPr>
              <w:t xml:space="preserve">0.3647</w:t>
            </w:r>
          </w:p>
        </w:tc>
        <w:tc>
          <w:tcPr>
            <w:tcW w:w="0" w:type="auto"/>
          </w:tcPr>
          <w:p>
            <w:pPr>
              <w:spacing w:line="240" w:lineRule="auto" w:before="0" w:after="0"/>
              <w:pStyle w:val="Compact"/>
            </w:pPr>
            <w:r>
              <w:rPr>
                <w:sz w:val="20"/>
                <w:szCs w:val="20"/>
              </w:rPr>
              <w:t xml:space="preserve">[-9.5221, 25.9054]</w:t>
            </w:r>
          </w:p>
        </w:tc>
      </w:tr>
      <w:tr>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1.8951</w:t>
            </w:r>
          </w:p>
        </w:tc>
        <w:tc>
          <w:tcPr>
            <w:tcW w:w="0" w:type="auto"/>
          </w:tcPr>
          <w:p>
            <w:pPr>
              <w:spacing w:line="240" w:lineRule="auto" w:before="0" w:after="0"/>
              <w:pStyle w:val="Compact"/>
            </w:pPr>
            <w:r>
              <w:rPr>
                <w:sz w:val="20"/>
                <w:szCs w:val="20"/>
              </w:rPr>
              <w:t xml:space="preserve">1.2323</w:t>
            </w:r>
          </w:p>
        </w:tc>
        <w:tc>
          <w:tcPr>
            <w:tcW w:w="0" w:type="auto"/>
          </w:tcPr>
          <w:p>
            <w:pPr>
              <w:spacing w:line="240" w:lineRule="auto" w:before="0" w:after="0"/>
              <w:pStyle w:val="Compact"/>
            </w:pPr>
            <w:r>
              <w:rPr>
                <w:sz w:val="20"/>
                <w:szCs w:val="20"/>
              </w:rPr>
              <w:t xml:space="preserve">1.5379</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[-0.5201, 4.3103]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-0.5469</w:t>
            </w:r>
          </w:p>
        </w:tc>
        <w:tc>
          <w:tcPr>
            <w:tcW w:w="0" w:type="auto"/>
          </w:tcPr>
          <w:p>
            <w:pPr>
              <w:spacing w:line="240" w:lineRule="auto" w:before="0" w:after="0"/>
              <w:pStyle w:val="Compact"/>
            </w:pPr>
            <w:r>
              <w:rPr>
                <w:sz w:val="20"/>
                <w:szCs w:val="20"/>
              </w:rPr>
              <w:t xml:space="preserve">2.2401</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0.8071</w:t>
            </w:r>
          </w:p>
        </w:tc>
        <w:tc>
          <w:tcPr>
            <w:tcW w:w="0" w:type="auto"/>
          </w:tcPr>
          <w:p>
            <w:pPr>
              <w:spacing w:line="240" w:lineRule="auto" w:before="0" w:after="0"/>
              <w:pStyle w:val="Compact"/>
            </w:pPr>
            <w:r>
              <w:rPr>
                <w:sz w:val="20"/>
                <w:szCs w:val="20"/>
              </w:rPr>
              <w:t xml:space="preserve">[-4.9373, 3.8435]</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0.4535</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0.2351</w:t>
            </w:r>
          </w:p>
        </w:tc>
        <w:tc>
          <w:tcPr>
            <w:tcW w:w="0" w:type="auto"/>
          </w:tcPr>
          <w:p>
            <w:pPr>
              <w:spacing w:line="240" w:lineRule="auto" w:before="0" w:after="0"/>
              <w:pStyle w:val="Compact"/>
            </w:pPr>
            <w:r>
              <w:rPr>
                <w:sz w:val="20"/>
                <w:szCs w:val="20"/>
              </w:rPr>
              <w:t xml:space="preserve">0.8141</w:t>
            </w:r>
          </w:p>
        </w:tc>
        <w:tc>
          <w:tcPr>
            <w:tcW w:w="0" w:type="auto"/>
          </w:tcPr>
          <w:p>
            <w:pPr>
              <w:spacing w:line="240" w:lineRule="auto" w:before="0" w:after="0"/>
              <w:pStyle w:val="Compact"/>
            </w:pPr>
            <w:r>
              <w:rPr>
                <w:sz w:val="20"/>
                <w:szCs w:val="20"/>
              </w:rPr>
              <w:t xml:space="preserve">[-3.3274, 4.2344]</w:t>
            </w:r>
          </w:p>
        </w:tc>
      </w:tr>
    </w:tbl>
    <w:p>
      <w:pPr>
        <w:pStyle w:val="BodyText"/>
      </w:pPr>
      <w:r>
        <w:t xml:space="preserve">Fit: N = 32 pseudo_R2 = 0.7726 LL = -4.9871</w:t>
      </w:r>
    </w:p>
    <w:p>
      <w:pPr>
        <w:pStyle w:val="CaptionedFigure"/>
      </w:pPr>
      <w:r>
        <w:drawing>
          <wp:inline>
            <wp:extent cx="5669280" cy="3657600"/>
            <wp:effectExtent b="0" l="0" r="0" t="0"/>
            <wp:docPr descr="Figure 1. Tracking-pass deferral outcomes against serving-complex utilization across 32 documented DSN request cells (Goldstone, Madrid, Canberra), anchored to the NASA scheduling literature. Deferral probability climbs steeply as the serving complex approaches its loading ceiling, with the climb steepest inside critical-event surge windows and for lower-priority requests." title="" id="75" name="Picture"/>
            <a:graphic>
              <a:graphicData uri="http://schemas.openxmlformats.org/drawingml/2006/picture">
                <pic:pic>
                  <pic:nvPicPr>
                    <pic:cNvPr descr="D:\Claude_Code\brain\collegium\candidates\dissertations\JPL_AUTONOMY_EDL_10\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Tracking-pass deferral outcomes against serving-complex utilization across 32 documented DSN request cells (Goldstone, Madrid, Canberra), anchored to the NASA scheduling literature. Deferral probability climbs steeply as the serving complex approaches its loading ceiling, with the climb steepest inside critical-event surge windows and for lower-priority requests.</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request_id</w:t>
            </w:r>
          </w:p>
        </w:tc>
        <w:tc>
          <w:tcPr>
            <w:tcW w:w="0" w:type="auto"/>
          </w:tcPr>
          <w:p>
            <w:pPr>
              <w:spacing w:line="240" w:lineRule="auto" w:before="0" w:after="0"/>
              <w:pStyle w:val="Compact"/>
            </w:pPr>
            <w:r>
              <w:rPr>
                <w:sz w:val="20"/>
                <w:szCs w:val="20"/>
              </w:rPr>
              <w:t xml:space="preserve">complex</w:t>
            </w:r>
          </w:p>
        </w:tc>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deferred</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cx_canberra</w:t>
            </w:r>
          </w:p>
        </w:tc>
      </w:tr>
      <w:tr>
        <w:tc>
          <w:tcPr>
            <w:tcW w:w="0" w:type="auto"/>
          </w:tcPr>
          <w:p>
            <w:pPr>
              <w:spacing w:line="240" w:lineRule="auto" w:before="0" w:after="0"/>
              <w:pStyle w:val="Compact"/>
            </w:pPr>
            <w:r>
              <w:rPr>
                <w:sz w:val="20"/>
                <w:szCs w:val="20"/>
              </w:rPr>
              <w:t xml:space="preserve">R01</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Scheduling NASA’s DSN: Priorities, Preferences, and Optimization, NTRS 20220001560 (2020): scheduled fraction 88-91%, tiered priorities; nominal-load top-tier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R02</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nominal-load mid-priority long pass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R03</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User Preference Optimization for Oversubscribed DSN Scheduling, NTRS 20220008366 (2021): low-priority request displaced near loading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R04</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Utilizing Schedule Constraints to Improve Automated Scheduling in NASA’s DSN, NTRS 20230005625 (2021): critical-window contention deferral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R05</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top-priority short pass protected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R06</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low-tier request accommodated via local slack despite high load (preference optimization recovers conflicts)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R07</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below-ceiling nominal cell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R08</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near-saturation surge low-tier long pass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R09</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top-priority critical-event pass protected by constraints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R10</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high utilization mid-tier long pass deferred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R11</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Deep Space Network / DSN complexes (2024): Madrid nominal-load top-priority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R12</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Madrid mid-tier nominal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R13</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Madrid low-tier near ceiling but accommodated by preference recovery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R14</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critical-window long pass contention deferral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R15</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Madrid top-priority short surge pass protected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R16</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low-tier surge long pass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R17</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Madrid below-ceiling mid-tier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R18</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high-utilization low-tier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R19</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low-tier long pass bumped at moderate load (length penalty) [illustrative]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R20</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surge mid-tier long pass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R21</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DSN complexes / Canberra (CDSCC) (2024): Canberra nominal top-priority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R22</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mid-tier nominal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R23</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Canberra southern-hemisphere demand; low-tier near ceiling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R24</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Canberra critical-window saturation deferral (high Mars-set demand)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R25</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Canberra top-priority short surge pass protected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R26</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Canberra mid-tier granted via off-peak slack despite high nominal 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R27</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below-ceiling mid-tier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R28</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Canberra high-utilization low-tier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R29</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top-priority nominal granted near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R30</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Canberra near-saturation surge low-tier long pass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R31</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Goldstone low-tier short pass granted below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R32</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saturation; even top-tier long pass deferred in surge [illustrative]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deferred</w:t>
            </w:r>
          </w:p>
        </w:tc>
        <w:tc>
          <w:tcPr>
            <w:tcW w:w="0" w:type="auto"/>
          </w:tcPr>
          <w:p>
            <w:pPr>
              <w:spacing w:line="240" w:lineRule="auto" w:before="0" w:after="0"/>
              <w:pStyle w:val="Compact"/>
            </w:pPr>
            <w:r>
              <w:rPr>
                <w:sz w:val="20"/>
                <w:szCs w:val="20"/>
              </w:rPr>
              <w:t xml:space="preserve">Binary outcome: 1 if the tracking-pass request was not granted on its first-preference window (bumped or rescheduled), 0 if granted as requested</w:t>
            </w:r>
          </w:p>
        </w:tc>
        <w:tc>
          <w:tcPr>
            <w:tcW w:w="0" w:type="auto"/>
          </w:tcPr>
          <w:p>
            <w:pPr>
              <w:spacing w:line="240" w:lineRule="auto" w:before="0" w:after="0"/>
              <w:pStyle w:val="Compact"/>
            </w:pPr>
            <w:r>
              <w:rPr>
                <w:sz w:val="20"/>
                <w:szCs w:val="20"/>
              </w:rPr>
              <w:t xml:space="preserve">Johnston, Scheduling NASA’s DSN, NTRS 20220001560 (2020): documented scheduled fraction 88-91% implies a non-trivial deferred remainder</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Committed antenna-hours divided by available antenna-hours at the serving complex at the time the request is evaluated</w:t>
            </w:r>
          </w:p>
        </w:tc>
        <w:tc>
          <w:tcPr>
            <w:tcW w:w="0" w:type="auto"/>
          </w:tcPr>
          <w:p>
            <w:pPr>
              <w:spacing w:line="240" w:lineRule="auto" w:before="0" w:after="0"/>
              <w:pStyle w:val="Compact"/>
            </w:pPr>
            <w:r>
              <w:rPr>
                <w:sz w:val="20"/>
                <w:szCs w:val="20"/>
              </w:rPr>
              <w:t xml:space="preserve">Johnston &amp; Tran, User Preference Optimization for Oversubscribed DSN Scheduling, NTRS 20220008366 (2021): oversubscription up to ~40% network-wide</w:t>
            </w:r>
          </w:p>
        </w:tc>
      </w:tr>
      <w:tr>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Administrative priority of the request (1 = highest, 3 = lowest), as carried in the DSN scheduling priority structure</w:t>
            </w:r>
          </w:p>
        </w:tc>
        <w:tc>
          <w:tcPr>
            <w:tcW w:w="0" w:type="auto"/>
          </w:tcPr>
          <w:p>
            <w:pPr>
              <w:spacing w:line="240" w:lineRule="auto" w:before="0" w:after="0"/>
              <w:pStyle w:val="Compact"/>
            </w:pPr>
            <w:r>
              <w:rPr>
                <w:sz w:val="20"/>
                <w:szCs w:val="20"/>
              </w:rPr>
              <w:t xml:space="preserve">Johnston, NTRS 20220001560 (2020): tiered priority and preference structure</w:t>
            </w:r>
          </w:p>
        </w:tc>
      </w:tr>
      <w:tr>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Indicator (1/0) for whether the request falls inside a mission critical-event surge window (encounter, landing, maneuver), when contention spikes</w:t>
            </w:r>
          </w:p>
        </w:tc>
        <w:tc>
          <w:tcPr>
            <w:tcW w:w="0" w:type="auto"/>
          </w:tcPr>
          <w:p>
            <w:pPr>
              <w:spacing w:line="240" w:lineRule="auto" w:before="0" w:after="0"/>
              <w:pStyle w:val="Compact"/>
            </w:pPr>
            <w:r>
              <w:rPr>
                <w:sz w:val="20"/>
                <w:szCs w:val="20"/>
              </w:rPr>
              <w:t xml:space="preserve">Claessens, Utilizing Schedule Constraints to Improve Automated Scheduling in NASA’s DSN, NTRS 20230005625 (2021): schedule constraints and critical-event contention</w:t>
            </w:r>
          </w:p>
        </w:tc>
      </w:tr>
      <w:tr>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Length of the requested tracking pass in hours; longer passes are harder to fit against competing requests</w:t>
            </w:r>
          </w:p>
        </w:tc>
        <w:tc>
          <w:tcPr>
            <w:tcW w:w="0" w:type="auto"/>
          </w:tcPr>
          <w:p>
            <w:pPr>
              <w:spacing w:line="240" w:lineRule="auto" w:before="0" w:after="0"/>
              <w:pStyle w:val="Compact"/>
            </w:pPr>
            <w:r>
              <w:rPr>
                <w:sz w:val="20"/>
                <w:szCs w:val="20"/>
              </w:rPr>
              <w:t xml:space="preserve">Johnston, NTRS 20220001560 (2020): variable track durations in the scheduling problem</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Fixed indicator for the Madrid complex (Goldstone is the omitted reference)</w:t>
            </w:r>
          </w:p>
        </w:tc>
        <w:tc>
          <w:tcPr>
            <w:tcW w:w="0" w:type="auto"/>
          </w:tcPr>
          <w:p>
            <w:pPr>
              <w:spacing w:line="240" w:lineRule="auto" w:before="0" w:after="0"/>
              <w:pStyle w:val="Compact"/>
            </w:pPr>
            <w:r>
              <w:rPr>
                <w:sz w:val="20"/>
                <w:szCs w:val="20"/>
              </w:rPr>
              <w:t xml:space="preserve">NASA, Antennas of the Deep Space Network / DSN complexes (2024)</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Fixed indicator for the Canberra complex (Goldstone is the omitted reference); southern-hemisphere demand for Mars-set geometry</w:t>
            </w:r>
          </w:p>
        </w:tc>
        <w:tc>
          <w:tcPr>
            <w:tcW w:w="0" w:type="auto"/>
          </w:tcPr>
          <w:p>
            <w:pPr>
              <w:spacing w:line="240" w:lineRule="auto" w:before="0" w:after="0"/>
              <w:pStyle w:val="Compact"/>
            </w:pPr>
            <w:r>
              <w:rPr>
                <w:sz w:val="20"/>
                <w:szCs w:val="20"/>
              </w:rPr>
              <w:t xml:space="preserve">NASA, DSN complexes / Canberra CDSCC (2024)</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-52.0539</w:t>
            </w:r>
          </w:p>
        </w:tc>
        <w:tc>
          <w:tcPr>
            <w:tcW w:w="0" w:type="auto"/>
          </w:tcPr>
          <w:p>
            <w:pPr>
              <w:spacing w:line="240" w:lineRule="auto" w:before="0" w:after="0"/>
              <w:pStyle w:val="Compact"/>
            </w:pPr>
            <w:r>
              <w:rPr>
                <w:sz w:val="20"/>
                <w:szCs w:val="20"/>
              </w:rPr>
              <w:t xml:space="preserve">31.6979</w:t>
            </w:r>
          </w:p>
        </w:tc>
        <w:tc>
          <w:tcPr>
            <w:tcW w:w="0" w:type="auto"/>
          </w:tcPr>
          <w:p>
            <w:pPr>
              <w:spacing w:line="240" w:lineRule="auto" w:before="0" w:after="0"/>
              <w:pStyle w:val="Compact"/>
            </w:pPr>
            <w:r>
              <w:rPr>
                <w:sz w:val="20"/>
                <w:szCs w:val="20"/>
              </w:rPr>
              <w:t xml:space="preserve">-1.6422</w:t>
            </w:r>
          </w:p>
        </w:tc>
        <w:tc>
          <w:tcPr>
            <w:tcW w:w="0" w:type="auto"/>
          </w:tcPr>
          <w:p>
            <w:pPr>
              <w:spacing w:line="240" w:lineRule="auto" w:before="0" w:after="0"/>
              <w:pStyle w:val="Compact"/>
            </w:pPr>
            <w:r>
              <w:rPr>
                <w:sz w:val="20"/>
                <w:szCs w:val="20"/>
              </w:rPr>
              <w:t xml:space="preserve">0.1006</w:t>
            </w:r>
          </w:p>
        </w:tc>
        <w:tc>
          <w:tcPr>
            <w:tcW w:w="0" w:type="auto"/>
          </w:tcPr>
          <w:p>
            <w:pPr>
              <w:spacing w:line="240" w:lineRule="auto" w:before="0" w:after="0"/>
              <w:pStyle w:val="Compact"/>
            </w:pPr>
            <w:r>
              <w:rPr>
                <w:sz w:val="20"/>
                <w:szCs w:val="20"/>
              </w:rPr>
              <w:t xml:space="preserve">[-114.1807, 10.0728]</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32.7218</w:t>
            </w:r>
          </w:p>
        </w:tc>
        <w:tc>
          <w:tcPr>
            <w:tcW w:w="0" w:type="auto"/>
          </w:tcPr>
          <w:p>
            <w:pPr>
              <w:spacing w:line="240" w:lineRule="auto" w:before="0" w:after="0"/>
              <w:pStyle w:val="Compact"/>
            </w:pPr>
            <w:r>
              <w:rPr>
                <w:sz w:val="20"/>
                <w:szCs w:val="20"/>
              </w:rPr>
              <w:t xml:space="preserve">25.886</w:t>
            </w:r>
          </w:p>
        </w:tc>
        <w:tc>
          <w:tcPr>
            <w:tcW w:w="0" w:type="auto"/>
          </w:tcPr>
          <w:p>
            <w:pPr>
              <w:spacing w:line="240" w:lineRule="auto" w:before="0" w:after="0"/>
              <w:pStyle w:val="Compact"/>
            </w:pPr>
            <w:r>
              <w:rPr>
                <w:sz w:val="20"/>
                <w:szCs w:val="20"/>
              </w:rPr>
              <w:t xml:space="preserve">1.2641</w:t>
            </w:r>
          </w:p>
        </w:tc>
        <w:tc>
          <w:tcPr>
            <w:tcW w:w="0" w:type="auto"/>
          </w:tcPr>
          <w:p>
            <w:pPr>
              <w:spacing w:line="240" w:lineRule="auto" w:before="0" w:after="0"/>
              <w:pStyle w:val="Compact"/>
            </w:pPr>
            <w:r>
              <w:rPr>
                <w:sz w:val="20"/>
                <w:szCs w:val="20"/>
              </w:rPr>
              <w:t xml:space="preserve">0.2062</w:t>
            </w:r>
          </w:p>
        </w:tc>
        <w:tc>
          <w:tcPr>
            <w:tcW w:w="0" w:type="auto"/>
          </w:tcPr>
          <w:p>
            <w:pPr>
              <w:spacing w:line="240" w:lineRule="auto" w:before="0" w:after="0"/>
              <w:pStyle w:val="Compact"/>
            </w:pPr>
            <w:r>
              <w:rPr>
                <w:sz w:val="20"/>
                <w:szCs w:val="20"/>
              </w:rPr>
              <w:t xml:space="preserve">[-18.0138, 83.4574]</w:t>
            </w:r>
          </w:p>
        </w:tc>
      </w:tr>
      <w:tr>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4.4611</w:t>
            </w:r>
          </w:p>
        </w:tc>
        <w:tc>
          <w:tcPr>
            <w:tcW w:w="0" w:type="auto"/>
          </w:tcPr>
          <w:p>
            <w:pPr>
              <w:spacing w:line="240" w:lineRule="auto" w:before="0" w:after="0"/>
              <w:pStyle w:val="Compact"/>
            </w:pPr>
            <w:r>
              <w:rPr>
                <w:sz w:val="20"/>
                <w:szCs w:val="20"/>
              </w:rPr>
              <w:t xml:space="preserve">2.6726</w:t>
            </w:r>
          </w:p>
        </w:tc>
        <w:tc>
          <w:tcPr>
            <w:tcW w:w="0" w:type="auto"/>
          </w:tcPr>
          <w:p>
            <w:pPr>
              <w:spacing w:line="240" w:lineRule="auto" w:before="0" w:after="0"/>
              <w:pStyle w:val="Compact"/>
            </w:pPr>
            <w:r>
              <w:rPr>
                <w:sz w:val="20"/>
                <w:szCs w:val="20"/>
              </w:rPr>
              <w:t xml:space="preserve">1.6692</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[-0.7772, 9.6994]</w:t>
            </w:r>
          </w:p>
        </w:tc>
      </w:tr>
      <w:tr>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8.1917</w:t>
            </w:r>
          </w:p>
        </w:tc>
        <w:tc>
          <w:tcPr>
            <w:tcW w:w="0" w:type="auto"/>
          </w:tcPr>
          <w:p>
            <w:pPr>
              <w:spacing w:line="240" w:lineRule="auto" w:before="0" w:after="0"/>
              <w:pStyle w:val="Compact"/>
            </w:pPr>
            <w:r>
              <w:rPr>
                <w:sz w:val="20"/>
                <w:szCs w:val="20"/>
              </w:rPr>
              <w:t xml:space="preserve">9.0378</w:t>
            </w:r>
          </w:p>
        </w:tc>
        <w:tc>
          <w:tcPr>
            <w:tcW w:w="0" w:type="auto"/>
          </w:tcPr>
          <w:p>
            <w:pPr>
              <w:spacing w:line="240" w:lineRule="auto" w:before="0" w:after="0"/>
              <w:pStyle w:val="Compact"/>
            </w:pPr>
            <w:r>
              <w:rPr>
                <w:sz w:val="20"/>
                <w:szCs w:val="20"/>
              </w:rPr>
              <w:t xml:space="preserve">0.9064</w:t>
            </w:r>
          </w:p>
        </w:tc>
        <w:tc>
          <w:tcPr>
            <w:tcW w:w="0" w:type="auto"/>
          </w:tcPr>
          <w:p>
            <w:pPr>
              <w:spacing w:line="240" w:lineRule="auto" w:before="0" w:after="0"/>
              <w:pStyle w:val="Compact"/>
            </w:pPr>
            <w:r>
              <w:rPr>
                <w:sz w:val="20"/>
                <w:szCs w:val="20"/>
              </w:rPr>
              <w:t xml:space="preserve">0.3647</w:t>
            </w:r>
          </w:p>
        </w:tc>
        <w:tc>
          <w:tcPr>
            <w:tcW w:w="0" w:type="auto"/>
          </w:tcPr>
          <w:p>
            <w:pPr>
              <w:spacing w:line="240" w:lineRule="auto" w:before="0" w:after="0"/>
              <w:pStyle w:val="Compact"/>
            </w:pPr>
            <w:r>
              <w:rPr>
                <w:sz w:val="20"/>
                <w:szCs w:val="20"/>
              </w:rPr>
              <w:t xml:space="preserve">[-9.5221, 25.9054]</w:t>
            </w:r>
          </w:p>
        </w:tc>
      </w:tr>
      <w:tr>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1.8951</w:t>
            </w:r>
          </w:p>
        </w:tc>
        <w:tc>
          <w:tcPr>
            <w:tcW w:w="0" w:type="auto"/>
          </w:tcPr>
          <w:p>
            <w:pPr>
              <w:spacing w:line="240" w:lineRule="auto" w:before="0" w:after="0"/>
              <w:pStyle w:val="Compact"/>
            </w:pPr>
            <w:r>
              <w:rPr>
                <w:sz w:val="20"/>
                <w:szCs w:val="20"/>
              </w:rPr>
              <w:t xml:space="preserve">1.2323</w:t>
            </w:r>
          </w:p>
        </w:tc>
        <w:tc>
          <w:tcPr>
            <w:tcW w:w="0" w:type="auto"/>
          </w:tcPr>
          <w:p>
            <w:pPr>
              <w:spacing w:line="240" w:lineRule="auto" w:before="0" w:after="0"/>
              <w:pStyle w:val="Compact"/>
            </w:pPr>
            <w:r>
              <w:rPr>
                <w:sz w:val="20"/>
                <w:szCs w:val="20"/>
              </w:rPr>
              <w:t xml:space="preserve">1.5379</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[-0.5201, 4.3103]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-0.5469</w:t>
            </w:r>
          </w:p>
        </w:tc>
        <w:tc>
          <w:tcPr>
            <w:tcW w:w="0" w:type="auto"/>
          </w:tcPr>
          <w:p>
            <w:pPr>
              <w:spacing w:line="240" w:lineRule="auto" w:before="0" w:after="0"/>
              <w:pStyle w:val="Compact"/>
            </w:pPr>
            <w:r>
              <w:rPr>
                <w:sz w:val="20"/>
                <w:szCs w:val="20"/>
              </w:rPr>
              <w:t xml:space="preserve">2.2401</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0.8071</w:t>
            </w:r>
          </w:p>
        </w:tc>
        <w:tc>
          <w:tcPr>
            <w:tcW w:w="0" w:type="auto"/>
          </w:tcPr>
          <w:p>
            <w:pPr>
              <w:spacing w:line="240" w:lineRule="auto" w:before="0" w:after="0"/>
              <w:pStyle w:val="Compact"/>
            </w:pPr>
            <w:r>
              <w:rPr>
                <w:sz w:val="20"/>
                <w:szCs w:val="20"/>
              </w:rPr>
              <w:t xml:space="preserve">[-4.9373, 3.8435]</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0.4535</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0.2351</w:t>
            </w:r>
          </w:p>
        </w:tc>
        <w:tc>
          <w:tcPr>
            <w:tcW w:w="0" w:type="auto"/>
          </w:tcPr>
          <w:p>
            <w:pPr>
              <w:spacing w:line="240" w:lineRule="auto" w:before="0" w:after="0"/>
              <w:pStyle w:val="Compact"/>
            </w:pPr>
            <w:r>
              <w:rPr>
                <w:sz w:val="20"/>
                <w:szCs w:val="20"/>
              </w:rPr>
              <w:t xml:space="preserve">0.8141</w:t>
            </w:r>
          </w:p>
        </w:tc>
        <w:tc>
          <w:tcPr>
            <w:tcW w:w="0" w:type="auto"/>
          </w:tcPr>
          <w:p>
            <w:pPr>
              <w:spacing w:line="240" w:lineRule="auto" w:before="0" w:after="0"/>
              <w:pStyle w:val="Compact"/>
            </w:pPr>
            <w:r>
              <w:rPr>
                <w:sz w:val="20"/>
                <w:szCs w:val="20"/>
              </w:rPr>
              <w:t xml:space="preserve">[-3.3274, 4.2344]</w:t>
            </w:r>
          </w:p>
        </w:tc>
      </w:tr>
    </w:tbl>
    <w:p>
      <w:pPr>
        <w:pStyle w:val="BodyText"/>
      </w:pPr>
      <w:r>
        <w:t xml:space="preserve">Fit: N = 32 pseudo_R2 = 0.7726 LL = -4.9871</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2026-06-22T20:31:17Z</dcterms:created>
  <dcterms:modified xsi:type="dcterms:W3CDTF">2026-06-22T20:31:17Z</dcterms:modified>
</cp:coreProperties>
</file>

<file path=docProps/custom.xml><?xml version="1.0" encoding="utf-8"?>
<Properties xmlns="http://schemas.openxmlformats.org/officeDocument/2006/custom-properties" xmlns:vt="http://schemas.openxmlformats.org/officeDocument/2006/docPropsVTypes"/>
</file>