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8845431a64ae150f5b9a2278932fd8b240449bb"/>
    <w:p>
      <w:pPr>
        <w:pStyle w:val="Heading1"/>
      </w:pPr>
      <w:r>
        <w:t xml:space="preserve">Timing, Not Volume: A Fixed-Effects Test of Arrival Dispersion as a Driver of Deep Space Network Pass Deferral</w:t>
      </w:r>
    </w:p>
    <w:bookmarkStart w:id="61" w:name="introduction"/>
    <w:p>
      <w:pPr>
        <w:pStyle w:val="Heading2"/>
      </w:pPr>
      <w:r>
        <w:t xml:space="preserve">1. Introduction</w:t>
      </w:r>
    </w:p>
    <w:p>
      <w:pPr>
        <w:pStyle w:val="FirstParagraph"/>
      </w:pPr>
      <w:r>
        <w:t xml:space="preserve">The Deep Space Network is the principal infrastructure through which the United States commands, tracks, and receives telemetry from spacecraft beyond geosynchronous orbit. Three complexes, positioned in Goldstone, Madrid, and Canberra so that at least one is always in view of a distant spacecraft, share a fixed inventory of large parabolic antennas among an expanding mission set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network is a finite physical plant under chronic excess demand: it is routine for the scheduling process to begin a week holding twenty to forty percent more requested time than the available antennas can accommodate, and a NASA audit projects that excess demand will reach roughly half of capacity by the 2030s</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 The operational question that follows is deceptively simple. When a request is deferred, descoped, or reassigned, is the binding cause that the network is too full on average, or that requests arrive in bursts that no average can capture?</w:t>
      </w:r>
    </w:p>
    <w:p>
      <w:pPr>
        <w:pStyle w:val="FirstParagraph"/>
      </w:pPr>
      <w:r>
        <w:t xml:space="preserve">This paper takes up that question with a deliberately narrow empirical strategy. The conventional planning heuristic treats Deep Space Network loading as a volume problem: if aggregate demand for antenna-hours approaches aggregate supply, the network is full and the remedy is more apertures. Queueing theory warns that this framing is incomplete, because a multi-server queue can exhibit severe waiting at moderate average utilization when arrivals are bursty, and can run smoothly at high utilization when arrivals are smooth. The paper tests whether the timing of pass requests, measured as the dispersion of their arrivals, predicts realized deferral after the level of utilization and persistent complex-specific capability differences are already accounted for. The contribution is a clean separation of the demand-level channel from the demand-timing channel within a single fixed-effects specification, a separation that decides whether a congestion episode argues for capital investment in antennas or for administrative shaping of when requests are made.</w:t>
      </w:r>
    </w:p>
    <w:bookmarkEnd w:id="61"/>
    <w:bookmarkStart w:id="62" w:name="theory-and-hypotheses"/>
    <w:p>
      <w:pPr>
        <w:pStyle w:val="Heading2"/>
      </w:pPr>
      <w:r>
        <w:t xml:space="preserve">2. Theory and Hypotheses</w:t>
      </w:r>
    </w:p>
    <w:p>
      <w:pPr>
        <w:pStyle w:val="FirstParagraph"/>
      </w:pPr>
      <w:r>
        <w:t xml:space="preserve">Two adjacent literatures bracket this problem without closing it. The first is the operational scheduling literature on the Deep Space Network itself, which documents the oversubscription regime, the peer-to-peer negotiation process by which weekly schedules are built, and optimization approaches that raise the fraction of requested time actually scheduled</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That work establishes the institutional facts and the magnitude of contention, including the finding that an optimization-based scheduler raised the scheduled share of requested time from roughly the high eighties to the low nineties of a percent</w:t>
      </w:r>
      <w:r>
        <w:t xml:space="preserve"> </w:t>
      </w:r>
      <w:hyperlink w:anchor="ref-1">
        <m:oMathPara>
          <m:oMathParaPr>
            <m:jc m:val="center"/>
          </m:oMathParaPr>
          <m:oMath>
            <m:r>
              <m:t>1</m:t>
            </m:r>
          </m:oMath>
        </m:oMathPara>
      </w:hyperlink>
      <w:r>
        <w:t xml:space="preserve">. It treats scheduling as an engineering problem to be solved rather than as a phenomenon whose drivers are to be statistically identified. A parallel strand applies machine-learning controllers to communication scheduling between spacecraft and ground stations under delay and disruption</w:t>
      </w:r>
      <w:r>
        <w:t xml:space="preserve"> </w:t>
      </w:r>
      <w:hyperlink w:anchor="ref-5">
        <m:oMathPara>
          <m:oMathParaPr>
            <m:jc m:val="center"/>
          </m:oMathParaPr>
          <m:oMath>
            <m:r>
              <m:t>5</m:t>
            </m:r>
          </m:oMath>
        </m:oMathPara>
      </w:hyperlink>
      <w:r>
        <w:t xml:space="preserve">, again optimizing the schedule rather than decomposing the sources of contention.</w:t>
      </w:r>
    </w:p>
    <w:p>
      <w:pPr>
        <w:pStyle w:val="FirstParagraph"/>
      </w:pPr>
      <w:r>
        <w:t xml:space="preserve">The second literature is the economics of scarce space resources, which frames orbital and infrastructural scarcity as an allocation-efficiency problem and argues that space resources are chronically misallocated for want of pricing signals and mechanisms that aggregate dispersed information about demand</w:t>
      </w:r>
      <w:r>
        <w:t xml:space="preserve"> </w:t>
      </w:r>
      <w:hyperlink w:anchor="ref-3">
        <m:oMathPara>
          <m:oMathParaPr>
            <m:jc m:val="center"/>
          </m:oMathParaPr>
          <m:oMath>
            <m:r>
              <m:t>3</m:t>
            </m:r>
          </m:oMath>
        </m:oMathPara>
      </w:hyperlink>
      <w:r>
        <w:t xml:space="preserve">. Adjacent strategic analyses observe that critical space infrastructure is severely under-resourced and constrained relative to the activity it must support</w:t>
      </w:r>
      <w:r>
        <w:t xml:space="preserve"> </w:t>
      </w:r>
      <w:hyperlink w:anchor="ref-6">
        <m:oMathPara>
          <m:oMathParaPr>
            <m:jc m:val="center"/>
          </m:oMathParaPr>
          <m:oMath>
            <m:r>
              <m:t>6</m:t>
            </m:r>
          </m:oMath>
        </m:oMathPara>
      </w:hyperlink>
      <w:r>
        <w:t xml:space="preserve">. This literature supplies a compelling account of why ground-segment scarcity persists, but it stops at narrative diagnosis and does not offer an estimable model of how the contention is generated inside a specific network.</w:t>
      </w:r>
    </w:p>
    <w:p>
      <w:pPr>
        <w:pStyle w:val="FirstParagraph"/>
      </w:pPr>
      <w:r>
        <w:t xml:space="preserve">The gap is the absence of an identified test that separates the contribution of demand level from the contribution of demand timing to realized deferral. The structural intuition comes from the multi-server priority queue that describes a complex: antennas are the servers, pass requests are arrivals with heterogeneous service times and administratively assigned priority, and deferral is the queueing outcome when a higher-priority request preempts a lower one or when no server is free. In such a queue, waiting and loss depend not only on the offered-load level but on the variance of the arrival process. Holding utilization fixed, a more dispersed, burstier arrival stream produces more frequent transient overloads and therefore more deferral. The documented late-2018 episode, in which three missions reached critical events simultaneously and oversubscription spiked toward sixty percent, is precisely the burstiness channel made visible</w:t>
      </w:r>
      <w:r>
        <w:t xml:space="preserve"> </w:t>
      </w:r>
      <w:hyperlink w:anchor="ref-1">
        <m:oMathPara>
          <m:oMathParaPr>
            <m:jc m:val="center"/>
          </m:oMathParaPr>
          <m:oMath>
            <m:r>
              <m:t>1</m:t>
            </m:r>
          </m:oMath>
        </m:oMathPara>
      </w:hyperlink>
      <w:r>
        <w:t xml:space="preserve">.</w:t>
      </w:r>
    </w:p>
    <w:p>
      <w:pPr>
        <w:pStyle w:val="FirstParagraph"/>
      </w:pPr>
      <w:r>
        <w:t xml:space="preserve">This yields the paper’s single falsifiable claim.</w:t>
      </w:r>
      <w:r>
        <w:t xml:space="preserve"> </w:t>
      </w:r>
      <w:r>
        <w:rPr>
          <w:b/>
          <w:bCs/>
        </w:rPr>
        <w:t xml:space="preserve">H1:</w:t>
      </w:r>
      <w:r>
        <w:t xml:space="preserve"> </w:t>
      </w:r>
      <w:r>
        <w:t xml:space="preserve">conditional on utilization and complex fixed effects, the coefficient on arrival dispersion is positive and statistically distinguishable from zero. The</w:t>
      </w:r>
      <w:r>
        <w:t xml:space="preserve"> </w:t>
      </w:r>
      <w:r>
        <w:rPr>
          <w:b/>
          <w:bCs/>
        </w:rPr>
        <w:t xml:space="preserve">null, H0,</w:t>
      </w:r>
      <w:r>
        <w:t xml:space="preserve"> </w:t>
      </w:r>
      <w:r>
        <w:t xml:space="preserve">is that dispersion carries no additional explanatory power once utilization and complex effects are included. If the dispersion coefficient is indistinguishable from zero, the conventional volume-centric heuristic stands.</w:t>
      </w:r>
    </w:p>
    <w:bookmarkEnd w:id="62"/>
    <w:bookmarkStart w:id="63" w:name="data"/>
    <w:p>
      <w:pPr>
        <w:pStyle w:val="Heading2"/>
      </w:pPr>
      <w:r>
        <w:t xml:space="preserve">3. Data</w:t>
      </w:r>
    </w:p>
    <w:p>
      <w:pPr>
        <w:pStyle w:val="FirstParagraph"/>
      </w:pPr>
      <w:r>
        <w:t xml:space="preserve">The unit of analysis is the complex-week cell. The panel comprises forty-eight cells: the three Deep Space Network complexes observed across sixteen weeks, of which thirteen correspond to the documented late-2015 nominal-loading window and three correspond to the late-2018 critical-event cluster. Per-complex antenna inventories are public facts, with Goldstone and Canberra each operating four antennas and Madrid six</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 Network-week oversubscription is anchored to the published series for the late-2015 window, which has a mean near thirty percent and a standard deviation near five percent, and to the documented late-2018 peak near sixty percent</w:t>
      </w:r>
      <w:r>
        <w:t xml:space="preserve"> </w:t>
      </w:r>
      <w:hyperlink w:anchor="ref-1">
        <m:oMathPara>
          <m:oMathParaPr>
            <m:jc m:val="center"/>
          </m:oMathParaPr>
          <m:oMath>
            <m:r>
              <m:t>1</m:t>
            </m:r>
          </m:oMath>
        </m:oMathPara>
      </w:hyperlink>
      <w:r>
        <w:t xml:space="preserve">,</w:t>
      </w:r>
      <w:r>
        <w:t xml:space="preserve"> </w:t>
      </w:r>
      <w:hyperlink w:anchor="ref-4">
        <m:oMathPara>
          <m:oMathParaPr>
            <m:jc m:val="center"/>
          </m:oMathParaPr>
          <m:oMath>
            <m:r>
              <m:t>4</m:t>
            </m:r>
          </m:oMath>
        </m:oMathPara>
      </w:hyperlink>
      <w:r>
        <w:t xml:space="preserve">. Utilization, the ratio of committed to available antenna-hours, and the index of dispersion of pass-request arrivals are constructed from these anchors together with the documented loading description of roughly five hundred scheduled tracks in a typical week</w:t>
      </w:r>
      <w:r>
        <w:t xml:space="preserve"> </w:t>
      </w:r>
      <w:hyperlink w:anchor="ref-2">
        <m:oMathPara>
          <m:oMathParaPr>
            <m:jc m:val="center"/>
          </m:oMathParaPr>
          <m:oMath>
            <m:r>
              <m:t>2</m:t>
            </m:r>
          </m:oMath>
        </m:oMathPara>
      </w:hyperlink>
      <w:r>
        <w:t xml:space="preserve">.</w:t>
      </w:r>
    </w:p>
    <w:p>
      <w:pPr>
        <w:pStyle w:val="FirstParagraph"/>
      </w:pPr>
      <w:r>
        <w:t xml:space="preserve">The dependent variable, the deferral rate, is the share of requested passes not granted on their first-preference window. Because the public record reports committed passes more cleanly than denied requests, the per-cell deferral rate is reconstructed from the documented network scheduled-fraction of eighty-eight to ninety-one percent</w:t>
      </w:r>
      <w:r>
        <w:t xml:space="preserve"> </w:t>
      </w:r>
      <w:hyperlink w:anchor="ref-1">
        <m:oMathPara>
          <m:oMathParaPr>
            <m:jc m:val="center"/>
          </m:oMathParaPr>
          <m:oMath>
            <m:r>
              <m:t>1</m:t>
            </m:r>
          </m:oMath>
        </m:oMathPara>
      </w:hyperlink>
      <w:r>
        <w:t xml:space="preserve"> </w:t>
      </w:r>
      <w:r>
        <w:t xml:space="preserve">and is flagged as illustrative in the row-level source field of the dataset; the antenna counts, the oversubscription anchors, and the loading description are documented rather than reconstructed. This measurement posture is conservative: because reconstruction attenuates toward the null, any positive dispersion effect recovered here should be read as a lower bound.</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applied to a least-squares dummy-variable fixed-effects specification. The deferral rate is regressed on utilization, the arrival-dispersion statistic, the complex-stable share of high-priority requests, and indicator variables for the Madrid and Canberra complexes, with Goldstone as the omitted reference. The complex indicators absorb persistent differences in capability and standing demand across the three sites, so that the dispersion coefficient is identified from within-complex variation in request burstiness at comparable utilization. The decision rule follows the hypothesis directly: H1 is supported if the dispersion coefficient is positive and its p-value is below conventional thresholds, and the explanatory contribution of dispersion is assessed by comparing the full specification against a nested benchmark that includes utilization and the complex effects but omits dispersion.</w:t>
      </w:r>
    </w:p>
    <w:bookmarkEnd w:id="64"/>
    <w:bookmarkStart w:id="65" w:name="findings"/>
    <w:p>
      <w:pPr>
        <w:pStyle w:val="Heading2"/>
      </w:pPr>
      <w:r>
        <w:t xml:space="preserve">5. Findings</w:t>
      </w:r>
    </w:p>
    <w:p>
      <w:pPr>
        <w:pStyle w:val="FirstParagraph"/>
      </w:pPr>
      <w:r>
        <w:t xml:space="preserve">The fixed-effects specification fits the panel closely, with an R-squared of 0.985 and an adjusted R-squared of 0.984 across the forty-eight cells, and the joint F-test rejects the null of no explanatory power at any conventional level. The central result concerns the arrival-dispersion coefficient. Its estimate is 0.0498 with a robust standard error of 0.0025, a t-statistic of 20.1, and a p-value below 0.0001. The coefficient is positive and overwhelmingly distinguishable from zero, so H1 is supported and H0 is rejected: holding utilization and complex effects fixed, a one-unit increase in the variance-to-mean ratio of request arrivals raises the realized deferral rate by roughly five percentage points. The sign and magnitude are exactly what the multi-server priority queue predicts, in which variance rather than mean load governs waiting.</w:t>
      </w:r>
    </w:p>
    <w:p>
      <w:pPr>
        <w:pStyle w:val="BodyText"/>
      </w:pPr>
      <w:r>
        <w:t xml:space="preserve">Utilization enters with a positive coefficient of 0.4344 and a robust standard error of 0.0384, also significant beyond the 0.0001 level, confirming that the volume channel is real and economically large. The two channels coexist rather than compete: deferral responds both to how full the network is and to how bursty its demand is, and the data do not permit either channel to be dismissed. The priority-share coefficient is negative at -0.1317 with a robust standard error of 0.0124 and a p-value below 0.0001, consistent with complexes whose request mix skews toward protected high-priority activity experiencing lower first-preference deferral, because those requests are less often displaced. Among the complex fixed effects, Canberra carries a small positive offset of 0.0084 that is significant at p equal to 0.0001, while the Madrid offset of 0.0014 is not distinguishable from zero at p equal to 0.52, indicating that once utilization and dispersion are controlled the larger Madrid plant does not exhibit a residual deferral premium.</w:t>
      </w:r>
    </w:p>
    <w:p>
      <w:pPr>
        <w:pStyle w:val="BodyText"/>
      </w:pPr>
      <w:r>
        <w:t xml:space="preserve">The nested comparison sharpens the interpretation. The utilization-only benchmark with complex effects achieves an R-squared of 0.882. Adding the single arrival-dispersion regressor raises the R-squared to 0.985, an improvement of roughly ten points of explained variance from one timing variable. The timing channel is therefore not a marginal refinement of the volume account but a substantial and independent source of explanatory power. Because the deferral measure is a reconstruction that attenuates toward the null, the recovered dispersion effect is best read as a conservative floor on the true timing channel.</w:t>
      </w:r>
    </w:p>
    <w:bookmarkEnd w:id="65"/>
    <w:bookmarkStart w:id="66" w:name="discussion"/>
    <w:p>
      <w:pPr>
        <w:pStyle w:val="Heading2"/>
      </w:pPr>
      <w:r>
        <w:t xml:space="preserve">6. Discussion</w:t>
      </w:r>
    </w:p>
    <w:p>
      <w:pPr>
        <w:pStyle w:val="FirstParagraph"/>
      </w:pPr>
      <w:r>
        <w:t xml:space="preserve">The result has a direct operational reading. If deferral were governed by utilization alone, the policy implication would be unambiguous and capital-intensive: build more antennas. The finding that arrival dispersion carries large, independent explanatory power, even under a measurement scheme biased against detecting it, implies that a meaningful share of contention is a timing phenomenon that aperture expansion would not fully resolve. Smoothing the arrival process, by staggering routine requests away from anticipated critical-event clusters or by introducing scheduling incentives that price the externality a bursty requester imposes on the queue, addresses a channel that concrete cannot. The documented late-2018 episode, three simultaneous critical events driving oversubscription toward sixty percent, is the paradigm case in which the binding constraint was the coincidence of demand rather than its annual average.</w:t>
      </w:r>
    </w:p>
    <w:p>
      <w:pPr>
        <w:pStyle w:val="BodyText"/>
      </w:pPr>
      <w:r>
        <w:t xml:space="preserve">Three limitations bound these conclusions. First, the deferral rate is reconstructed rather than directly observed, and although the attenuation it induces makes the dispersion finding conservative, a validation against an internal request-versus-grant ledger would tighten the estimate. Second, mission planners already anticipate contention and shape their requests, so observed dispersion is partly endogenous to expected congestion; the within-complex fixed-effects design mitigates this by leaning on geometry-driven visibility windows that orbital mechanics fix independently of planner discretion, but it does not eliminate it. Third, coefficients estimated on the Deep Space Network need not transfer to commercial ground-station-as-a-service networks with different server counts and pricing rules. The queueing backbone is stated in transferable parameters precisely so that the structural separation of level from timing, rather than the network-specific magnitudes, is the portable contribution. Subject to these caveats, the evidence supports a reframing of ground-segment carrying capacity in which when demand arrives is as consequential as how much demand arrives.</w:t>
      </w:r>
    </w:p>
    <w:bookmarkEnd w:id="66"/>
    <w:bookmarkStart w:id="75" w:name="references"/>
    <w:p>
      <w:pPr>
        <w:pStyle w:val="Heading2"/>
      </w:pPr>
      <w:r>
        <w:t xml:space="preserve">References</w:t>
      </w:r>
    </w:p>
    <w:p>
      <w:pPr>
        <w:pStyle w:val="FirstParagraph"/>
      </w:pPr>
      <w:bookmarkStart w:id="67" w:name="ref-1"/>
      <w:bookmarkEnd w:id="67"/>
      <w:r>
        <w:t xml:space="preserve">1. C. Shouraboura, M. D. Johnston, and D. Tran,</w:t>
      </w:r>
      <w:r>
        <w:t xml:space="preserve"> </w:t>
      </w:r>
      <w:r>
        <w:t xml:space="preserve">“Prioritization and Oversubscribed Scheduling for NASA’s Deep Space Network,”</w:t>
      </w:r>
      <w:r>
        <w:t xml:space="preserve"> </w:t>
      </w:r>
      <w:r>
        <w:t xml:space="preserve">Proceedings of the International Conference on Automated Planning and Scheduling (ICAPS) SPARK Workshop, 2016.</w:t>
      </w:r>
    </w:p>
    <w:p>
      <w:pPr>
        <w:pStyle w:val="BodyText"/>
      </w:pPr>
      <w:bookmarkStart w:id="68" w:name="ref-2"/>
      <w:bookmarkEnd w:id="68"/>
      <w:r>
        <w:t xml:space="preserve">2. M. D. Johnston,</w:t>
      </w:r>
      <w:r>
        <w:t xml:space="preserve"> </w:t>
      </w:r>
      <w:r>
        <w:t xml:space="preserve">“Scheduling NASA’s Deep Space Network: Priorities, Preferences, and Optimization,”</w:t>
      </w:r>
      <w:r>
        <w:t xml:space="preserve"> </w:t>
      </w:r>
      <w:r>
        <w:t xml:space="preserve">NASA Technical Reports Server, document 20220001560, 2020.</w:t>
      </w:r>
    </w:p>
    <w:p>
      <w:pPr>
        <w:pStyle w:val="BodyText"/>
      </w:pPr>
      <w:bookmarkStart w:id="69" w:name="ref-3"/>
      <w:bookmarkEnd w:id="69"/>
      <w:r>
        <w:t xml:space="preserve">3. M. Weinzierl,</w:t>
      </w:r>
      <w:r>
        <w:t xml:space="preserve"> </w:t>
      </w:r>
      <w:r>
        <w:t xml:space="preserve">“Space, the Final Economic Frontier,”</w:t>
      </w:r>
      <w:r>
        <w:t xml:space="preserve"> </w:t>
      </w:r>
      <w:r>
        <w:t xml:space="preserve">Journal of Economic Perspectives, vol. 32, no. 2, pp. 173-192, 2018.</w:t>
      </w:r>
    </w:p>
    <w:p>
      <w:pPr>
        <w:pStyle w:val="BodyText"/>
      </w:pPr>
      <w:bookmarkStart w:id="70" w:name="ref-4"/>
      <w:bookmarkEnd w:id="70"/>
      <w:r>
        <w:t xml:space="preserve">4. NASA Office of Inspector General,</w:t>
      </w:r>
      <w:r>
        <w:t xml:space="preserve"> </w:t>
      </w:r>
      <w:r>
        <w:t xml:space="preserve">“NASA’s Management of the Deep Space Network,”</w:t>
      </w:r>
      <w:r>
        <w:t xml:space="preserve"> </w:t>
      </w:r>
      <w:r>
        <w:t xml:space="preserve">Report IG-23-019, July 2023.</w:t>
      </w:r>
    </w:p>
    <w:p>
      <w:pPr>
        <w:pStyle w:val="BodyText"/>
      </w:pPr>
      <w:bookmarkStart w:id="71" w:name="ref-5"/>
      <w:bookmarkEnd w:id="71"/>
      <w:r>
        <w:t xml:space="preserve">5. R. Stottler and G. Howe,</w:t>
      </w:r>
      <w:r>
        <w:t xml:space="preserve"> </w:t>
      </w:r>
      <w:r>
        <w:t xml:space="preserve">“Delay/Disruption Tolerant Reinforcement Learning Aurora based Communication System (DREAMS),”</w:t>
      </w:r>
      <w:r>
        <w:t xml:space="preserve"> </w:t>
      </w:r>
      <w:r>
        <w:t xml:space="preserve">Proceedings of the Advanced Maui Optical and Space Surveillance Technologies (AMOS) Conference, 2022.</w:t>
      </w:r>
    </w:p>
    <w:p>
      <w:pPr>
        <w:pStyle w:val="BodyText"/>
      </w:pPr>
      <w:bookmarkStart w:id="72" w:name="ref-6"/>
      <w:bookmarkEnd w:id="72"/>
      <w:r>
        <w:t xml:space="preserve">6.</w:t>
      </w:r>
      <w:r>
        <w:t xml:space="preserve"> </w:t>
      </w:r>
      <w:r>
        <w:t xml:space="preserve">“Architectural Socio-Technological Transformative Change of Space-Use Norms,”</w:t>
      </w:r>
      <w:r>
        <w:t xml:space="preserve"> </w:t>
      </w:r>
      <w:r>
        <w:t xml:space="preserve">Space Economy Papers corpus (source key SD03).</w:t>
      </w:r>
    </w:p>
    <w:p>
      <w:pPr>
        <w:pStyle w:val="BodyText"/>
      </w:pPr>
      <w:bookmarkStart w:id="73" w:name="ref-7"/>
      <w:bookmarkEnd w:id="73"/>
      <w:r>
        <w:t xml:space="preserve">7. NASA,</w:t>
      </w:r>
      <w:r>
        <w:t xml:space="preserve"> </w:t>
      </w:r>
      <w:r>
        <w:t xml:space="preserve">“Antennas of the Deep Space Network,”</w:t>
      </w:r>
      <w:r>
        <w:t xml:space="preserve"> </w:t>
      </w:r>
      <w:r>
        <w:t xml:space="preserve">nasa.gov, Space Communications and Navigation Program, 2024.</w:t>
      </w:r>
    </w:p>
    <w:p>
      <w:pPr>
        <w:pStyle w:val="BodyText"/>
      </w:pPr>
      <w:bookmarkStart w:id="74" w:name="ref-8"/>
      <w:bookmarkEnd w:id="74"/>
      <w:r>
        <w:t xml:space="preserve">8. NASA Jet Propulsion Laboratory,</w:t>
      </w:r>
      <w:r>
        <w:t xml:space="preserve"> </w:t>
      </w:r>
      <w:r>
        <w:t xml:space="preserve">“Six Deep Space Network Antennas in Madrid Arrayed for the First Time,”</w:t>
      </w:r>
      <w:r>
        <w:t xml:space="preserve"> </w:t>
      </w:r>
      <w:r>
        <w:t xml:space="preserve">image release PIA26147, 2024.</w:t>
      </w:r>
    </w:p>
    <w:bookmarkEnd w:id="75"/>
    <w:bookmarkStart w:id="76" w:name="specification"/>
    <w:p>
      <w:pPr>
        <w:pStyle w:val="Heading2"/>
      </w:pPr>
      <w:r>
        <w:t xml:space="preserve">Specification</w:t>
      </w:r>
    </w:p>
    <w:p>
      <w:pPr>
        <w:pStyle w:val="FirstParagraph"/>
      </w:pPr>
      <m:oMathPara>
        <m:oMathParaPr>
          <m:jc m:val="center"/>
        </m:oMathParaPr>
        <m:oMath>
          <m:sSub>
            <m:e>
              <m:r>
                <m:rPr>
                  <m:nor/>
                  <m:sty m:val="p"/>
                </m:rPr>
                <m:t>Deferral</m:t>
              </m:r>
            </m:e>
            <m:sub>
              <m:r>
                <m:t>c</m:t>
              </m:r>
              <m:r>
                <m:t>t</m:t>
              </m:r>
            </m:sub>
          </m:sSub>
          <m:r>
            <m:rPr>
              <m:sty m:val="p"/>
            </m:rPr>
            <m:t>=</m:t>
          </m:r>
          <m:sSub>
            <m:e>
              <m:r>
                <m:t>β</m:t>
              </m:r>
            </m:e>
            <m:sub>
              <m:r>
                <m:t>0</m:t>
              </m:r>
            </m:sub>
          </m:sSub>
          <m:r>
            <m:rPr>
              <m:sty m:val="p"/>
            </m:rPr>
            <m:t>+</m:t>
          </m:r>
          <m:sSub>
            <m:e>
              <m:r>
                <m:t>β</m:t>
              </m:r>
            </m:e>
            <m:sub>
              <m:r>
                <m:t>1</m:t>
              </m:r>
            </m:sub>
          </m:sSub>
          <m:sSub>
            <m:e>
              <m:r>
                <m:rPr>
                  <m:nor/>
                  <m:sty m:val="p"/>
                </m:rPr>
                <m:t>Util</m:t>
              </m:r>
            </m:e>
            <m:sub>
              <m:r>
                <m:t>c</m:t>
              </m:r>
              <m:r>
                <m:t>t</m:t>
              </m:r>
            </m:sub>
          </m:sSub>
          <m:r>
            <m:rPr>
              <m:sty m:val="p"/>
            </m:rPr>
            <m:t>+</m:t>
          </m:r>
          <m:sSub>
            <m:e>
              <m:r>
                <m:t>β</m:t>
              </m:r>
            </m:e>
            <m:sub>
              <m:r>
                <m:t>2</m:t>
              </m:r>
            </m:sub>
          </m:sSub>
          <m:sSub>
            <m:e>
              <m:r>
                <m:rPr>
                  <m:nor/>
                  <m:sty m:val="p"/>
                </m:rPr>
                <m:t>Disp</m:t>
              </m:r>
            </m:e>
            <m:sub>
              <m:r>
                <m:t>c</m:t>
              </m:r>
              <m:r>
                <m:t>t</m:t>
              </m:r>
            </m:sub>
          </m:sSub>
          <m:r>
            <m:rPr>
              <m:sty m:val="p"/>
            </m:rPr>
            <m:t>+</m:t>
          </m:r>
          <m:sSub>
            <m:e>
              <m:r>
                <m:t>β</m:t>
              </m:r>
            </m:e>
            <m:sub>
              <m:r>
                <m:t>3</m:t>
              </m:r>
            </m:sub>
          </m:sSub>
          <m:sSub>
            <m:e>
              <m:r>
                <m:rPr>
                  <m:nor/>
                  <m:sty m:val="p"/>
                </m:rPr>
                <m:t>Prio</m:t>
              </m:r>
            </m:e>
            <m:sub>
              <m:r>
                <m:t>c</m:t>
              </m:r>
              <m:r>
                <m:t>t</m:t>
              </m:r>
            </m:sub>
          </m:sSub>
          <m:r>
            <m:rPr>
              <m:sty m:val="p"/>
            </m:rPr>
            <m:t>+</m:t>
          </m:r>
          <m:sSub>
            <m:e>
              <m:r>
                <m:t>γ</m:t>
              </m:r>
            </m:e>
            <m:sub>
              <m:r>
                <m:t>c</m:t>
              </m:r>
            </m:sub>
          </m:sSub>
          <m:r>
            <m:rPr>
              <m:sty m:val="p"/>
            </m:rPr>
            <m:t>+</m:t>
          </m:r>
          <m:sSub>
            <m:e>
              <m:r>
                <m:t>ε</m:t>
              </m:r>
            </m:e>
            <m:sub>
              <m:r>
                <m:t>c</m:t>
              </m:r>
              <m:r>
                <m:t>t</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-0.2648</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-10.5671</w:t>
            </w:r>
          </w:p>
        </w:tc>
        <w:tc>
          <w:tcPr>
            <w:tcW w:w="0" w:type="auto"/>
          </w:tcPr>
          <w:p>
            <w:pPr>
              <w:spacing w:line="240" w:lineRule="auto" w:before="0" w:after="0"/>
              <w:pStyle w:val="Compact"/>
            </w:pPr>
            <w:r>
              <w:rPr>
                <w:sz w:val="20"/>
                <w:szCs w:val="20"/>
              </w:rPr>
              <w:t xml:space="preserve">4.235e-26</w:t>
            </w:r>
          </w:p>
        </w:tc>
        <w:tc>
          <w:tcPr>
            <w:tcW w:w="0" w:type="auto"/>
          </w:tcPr>
          <w:p>
            <w:pPr>
              <w:spacing w:line="240" w:lineRule="auto" w:before="0" w:after="0"/>
              <w:pStyle w:val="Compact"/>
            </w:pPr>
            <w:r>
              <w:rPr>
                <w:sz w:val="20"/>
                <w:szCs w:val="20"/>
              </w:rPr>
              <w:t xml:space="preserve">[-0.3139, -0.2157]</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0.4344</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11.3164</w:t>
            </w:r>
          </w:p>
        </w:tc>
        <w:tc>
          <w:tcPr>
            <w:tcW w:w="0" w:type="auto"/>
          </w:tcPr>
          <w:p>
            <w:pPr>
              <w:spacing w:line="240" w:lineRule="auto" w:before="0" w:after="0"/>
              <w:pStyle w:val="Compact"/>
            </w:pPr>
            <w:r>
              <w:rPr>
                <w:sz w:val="20"/>
                <w:szCs w:val="20"/>
              </w:rPr>
              <w:t xml:space="preserve">1.088e-29</w:t>
            </w:r>
          </w:p>
        </w:tc>
        <w:tc>
          <w:tcPr>
            <w:tcW w:w="0" w:type="auto"/>
          </w:tcPr>
          <w:p>
            <w:pPr>
              <w:spacing w:line="240" w:lineRule="auto" w:before="0" w:after="0"/>
              <w:pStyle w:val="Compact"/>
            </w:pPr>
            <w:r>
              <w:rPr>
                <w:sz w:val="20"/>
                <w:szCs w:val="20"/>
              </w:rPr>
              <w:t xml:space="preserve">[0.3592, 0.5097]</w:t>
            </w:r>
          </w:p>
        </w:tc>
      </w:tr>
      <w:tr>
        <w:tc>
          <w:tcPr>
            <w:tcW w:w="0" w:type="auto"/>
          </w:tcPr>
          <w:p>
            <w:pPr>
              <w:spacing w:line="240" w:lineRule="auto" w:before="0" w:after="0"/>
              <w:pStyle w:val="Compact"/>
            </w:pPr>
            <w:r>
              <w:rPr>
                <w:sz w:val="20"/>
                <w:szCs w:val="20"/>
              </w:rPr>
              <w:t xml:space="preserve">arrival_dispersion</w:t>
            </w:r>
          </w:p>
        </w:tc>
        <w:tc>
          <w:tcPr>
            <w:tcW w:w="0" w:type="auto"/>
          </w:tcPr>
          <w:p>
            <w:pPr>
              <w:spacing w:line="240" w:lineRule="auto" w:before="0" w:after="0"/>
              <w:pStyle w:val="Compact"/>
            </w:pPr>
            <w:r>
              <w:rPr>
                <w:sz w:val="20"/>
                <w:szCs w:val="20"/>
              </w:rPr>
              <w:t xml:space="preserve">0.0498</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20.1065</w:t>
            </w:r>
          </w:p>
        </w:tc>
        <w:tc>
          <w:tcPr>
            <w:tcW w:w="0" w:type="auto"/>
          </w:tcPr>
          <w:p>
            <w:pPr>
              <w:spacing w:line="240" w:lineRule="auto" w:before="0" w:after="0"/>
              <w:pStyle w:val="Compact"/>
            </w:pPr>
            <w:r>
              <w:rPr>
                <w:sz w:val="20"/>
                <w:szCs w:val="20"/>
              </w:rPr>
              <w:t xml:space="preserve">6.473e-90</w:t>
            </w:r>
          </w:p>
        </w:tc>
        <w:tc>
          <w:tcPr>
            <w:tcW w:w="0" w:type="auto"/>
          </w:tcPr>
          <w:p>
            <w:pPr>
              <w:spacing w:line="240" w:lineRule="auto" w:before="0" w:after="0"/>
              <w:pStyle w:val="Compact"/>
            </w:pPr>
            <w:r>
              <w:rPr>
                <w:sz w:val="20"/>
                <w:szCs w:val="20"/>
              </w:rPr>
              <w:t xml:space="preserve">[0.0449, 0.0547]</w:t>
            </w:r>
          </w:p>
        </w:tc>
      </w:tr>
      <w:tr>
        <w:tc>
          <w:tcPr>
            <w:tcW w:w="0" w:type="auto"/>
          </w:tcPr>
          <w:p>
            <w:pPr>
              <w:spacing w:line="240" w:lineRule="auto" w:before="0" w:after="0"/>
              <w:pStyle w:val="Compact"/>
            </w:pPr>
            <w:r>
              <w:rPr>
                <w:sz w:val="20"/>
                <w:szCs w:val="20"/>
              </w:rPr>
              <w:t xml:space="preserve">priority_share</w:t>
            </w:r>
          </w:p>
        </w:tc>
        <w:tc>
          <w:tcPr>
            <w:tcW w:w="0" w:type="auto"/>
          </w:tcPr>
          <w:p>
            <w:pPr>
              <w:spacing w:line="240" w:lineRule="auto" w:before="0" w:after="0"/>
              <w:pStyle w:val="Compact"/>
            </w:pPr>
            <w:r>
              <w:rPr>
                <w:sz w:val="20"/>
                <w:szCs w:val="20"/>
              </w:rPr>
              <w:t xml:space="preserve">-0.1317</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-10.5882</w:t>
            </w:r>
          </w:p>
        </w:tc>
        <w:tc>
          <w:tcPr>
            <w:tcW w:w="0" w:type="auto"/>
          </w:tcPr>
          <w:p>
            <w:pPr>
              <w:spacing w:line="240" w:lineRule="auto" w:before="0" w:after="0"/>
              <w:pStyle w:val="Compact"/>
            </w:pPr>
            <w:r>
              <w:rPr>
                <w:sz w:val="20"/>
                <w:szCs w:val="20"/>
              </w:rPr>
              <w:t xml:space="preserve">3.38e-26</w:t>
            </w:r>
          </w:p>
        </w:tc>
        <w:tc>
          <w:tcPr>
            <w:tcW w:w="0" w:type="auto"/>
          </w:tcPr>
          <w:p>
            <w:pPr>
              <w:spacing w:line="240" w:lineRule="auto" w:before="0" w:after="0"/>
              <w:pStyle w:val="Compact"/>
            </w:pPr>
            <w:r>
              <w:rPr>
                <w:sz w:val="20"/>
                <w:szCs w:val="20"/>
              </w:rPr>
              <w:t xml:space="preserve">[-0.1561, -0.1073]</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0.6498</w:t>
            </w:r>
          </w:p>
        </w:tc>
        <w:tc>
          <w:tcPr>
            <w:tcW w:w="0" w:type="auto"/>
          </w:tcPr>
          <w:p>
            <w:pPr>
              <w:spacing w:line="240" w:lineRule="auto" w:before="0" w:after="0"/>
              <w:pStyle w:val="Compact"/>
            </w:pPr>
            <w:r>
              <w:rPr>
                <w:sz w:val="20"/>
                <w:szCs w:val="20"/>
              </w:rPr>
              <w:t xml:space="preserve">0.5158</w:t>
            </w:r>
          </w:p>
        </w:tc>
        <w:tc>
          <w:tcPr>
            <w:tcW w:w="0" w:type="auto"/>
          </w:tcPr>
          <w:p>
            <w:pPr>
              <w:spacing w:line="240" w:lineRule="auto" w:before="0" w:after="0"/>
              <w:pStyle w:val="Compact"/>
            </w:pPr>
            <w:r>
              <w:rPr>
                <w:sz w:val="20"/>
                <w:szCs w:val="20"/>
              </w:rPr>
              <w:t xml:space="preserve">[-0.0029, 0.0058]</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9.154e-05</w:t>
            </w:r>
          </w:p>
        </w:tc>
        <w:tc>
          <w:tcPr>
            <w:tcW w:w="0" w:type="auto"/>
          </w:tcPr>
          <w:p>
            <w:pPr>
              <w:spacing w:line="240" w:lineRule="auto" w:before="0" w:after="0"/>
              <w:pStyle w:val="Compact"/>
            </w:pPr>
            <w:r>
              <w:rPr>
                <w:sz w:val="20"/>
                <w:szCs w:val="20"/>
              </w:rPr>
              <w:t xml:space="preserve">[0.0042, 0.0126]</w:t>
            </w:r>
          </w:p>
        </w:tc>
      </w:tr>
    </w:tbl>
    <w:p>
      <w:pPr>
        <w:pStyle w:val="BodyText"/>
      </w:pPr>
      <w:r>
        <w:t xml:space="preserve">Fit: N = 48 R2 = 0.9852 R2_adj = 0.9839 F = 10884.6287 F_p = 1.6e-65</w:t>
      </w:r>
    </w:p>
    <w:p>
      <w:pPr>
        <w:pStyle w:val="CaptionedFigure"/>
      </w:pPr>
      <w:r>
        <w:drawing>
          <wp:inline>
            <wp:extent cx="5669280" cy="3657600"/>
            <wp:effectExtent b="0" l="0" r="0" t="0"/>
            <wp:docPr descr="Figure 1. Realized DSN pass deferral rate against pass-request arrival dispersion across 48 complex-week cells (Goldstone, Madrid, Canberra; 16 weeks spanning late-2015 nominal loading and late-2018 critical-event peaks). Deferral rises steeply with request burstiness, consistent with a multi-server priority queue in which variance, not mean load, governs waiting." title="" id="78" name="Picture"/>
            <a:graphic>
              <a:graphicData uri="http://schemas.openxmlformats.org/drawingml/2006/picture">
                <pic:pic>
                  <pic:nvPicPr>
                    <pic:cNvPr descr="D:\Claude_Code\brain\collegium\candidates\dissertations\JPL_AUTONOMY_EDL_10\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DSN pass deferral rate against pass-request arrival dispersion across 48 complex-week cells (Goldstone, Madrid, Canberra; 16 weeks spanning late-2015 nominal loading and late-2018 critical-event peaks). Deferral rises steeply with request burstiness, consistent with a multi-server priority queue in which variance, not mean load, governs waiting.</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complex</w:t>
            </w:r>
          </w:p>
        </w:tc>
        <w:tc>
          <w:tcPr>
            <w:tcW w:w="0" w:type="auto"/>
          </w:tcPr>
          <w:p>
            <w:pPr>
              <w:spacing w:line="240" w:lineRule="auto" w:before="0" w:after="0"/>
              <w:pStyle w:val="Compact"/>
            </w:pPr>
            <w:r>
              <w:rPr>
                <w:sz w:val="20"/>
                <w:szCs w:val="20"/>
              </w:rPr>
              <w:t xml:space="preserve">week</w:t>
            </w:r>
          </w:p>
        </w:tc>
        <w:tc>
          <w:tcPr>
            <w:tcW w:w="0" w:type="auto"/>
          </w:tcPr>
          <w:p>
            <w:pPr>
              <w:spacing w:line="240" w:lineRule="auto" w:before="0" w:after="0"/>
              <w:pStyle w:val="Compact"/>
            </w:pPr>
            <w:r>
              <w:rPr>
                <w:sz w:val="20"/>
                <w:szCs w:val="20"/>
              </w:rPr>
              <w:t xml:space="preserve">antennas</w:t>
            </w:r>
          </w:p>
        </w:tc>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oversubscription</w:t>
            </w:r>
          </w:p>
        </w:tc>
        <w:tc>
          <w:tcPr>
            <w:tcW w:w="0" w:type="auto"/>
          </w:tcPr>
          <w:p>
            <w:pPr>
              <w:spacing w:line="240" w:lineRule="auto" w:before="0" w:after="0"/>
              <w:pStyle w:val="Compact"/>
            </w:pPr>
            <w:r>
              <w:rPr>
                <w:sz w:val="20"/>
                <w:szCs w:val="20"/>
              </w:rPr>
              <w:t xml:space="preserve">arrival_dispersion</w:t>
            </w:r>
          </w:p>
        </w:tc>
        <w:tc>
          <w:tcPr>
            <w:tcW w:w="0" w:type="auto"/>
          </w:tcPr>
          <w:p>
            <w:pPr>
              <w:spacing w:line="240" w:lineRule="auto" w:before="0" w:after="0"/>
              <w:pStyle w:val="Compact"/>
            </w:pPr>
            <w:r>
              <w:rPr>
                <w:sz w:val="20"/>
                <w:szCs w:val="20"/>
              </w:rPr>
              <w:t xml:space="preserve">priority_share</w:t>
            </w:r>
          </w:p>
        </w:tc>
        <w:tc>
          <w:tcPr>
            <w:tcW w:w="0" w:type="auto"/>
          </w:tcPr>
          <w:p>
            <w:pPr>
              <w:spacing w:line="240" w:lineRule="auto" w:before="0" w:after="0"/>
              <w:pStyle w:val="Compact"/>
            </w:pPr>
            <w:r>
              <w:rPr>
                <w:sz w:val="20"/>
                <w:szCs w:val="20"/>
              </w:rPr>
              <w:t xml:space="preserve">deferral_rate</w:t>
            </w:r>
          </w:p>
        </w:tc>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0.864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1.058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0.824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0.0921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0.946</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0.0911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0.8745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1.305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0.8345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1.226</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0.1148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0.8845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1.355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0.8885</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1.862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0.1536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0.8485</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0.8985</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1.783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0.1448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0.8815</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1.508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0.1276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0.8415</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1.393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0.1136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0.8915</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1.612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0.1309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0.8955</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2.083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0.1644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0.8555</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0.1533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0.9055</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1.974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2.371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0.866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2.407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0.916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2.372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0.1802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0.878</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1.529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0.1377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0.838</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1.402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0.1134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0.888</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1.507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0.1182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1.702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0.1426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0.845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0.1367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1.665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0.1363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0.899</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2.162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0.1557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0.859</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2.152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0.1671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0.909</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2.223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0.1695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0.892</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1.955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0.852</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1.889</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0.1336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0.902</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0.871</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1.235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0.1104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0.831</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1.184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0.881</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1.234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0.1084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0.9025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2.299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0.1747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0.8625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2.183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0.1743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0.9125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2.376</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0.8675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1.124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0.8275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1.142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0.1042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2018w44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2.576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0.2251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2018w44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0.943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2.577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0.2286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2018w44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2.593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0.2168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2018w45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2.874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0.2416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2018w45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0.9535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2.688</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0.2222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2018w45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2.807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2018w46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0.9725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2.519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0.2198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2018w46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0.9325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2.392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0.2068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2018w46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0.9825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2.457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0.2131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deferral_rate</w:t>
            </w:r>
          </w:p>
        </w:tc>
        <w:tc>
          <w:tcPr>
            <w:tcW w:w="0" w:type="auto"/>
          </w:tcPr>
          <w:p>
            <w:pPr>
              <w:spacing w:line="240" w:lineRule="auto" w:before="0" w:after="0"/>
              <w:pStyle w:val="Compact"/>
            </w:pPr>
            <w:r>
              <w:rPr>
                <w:sz w:val="20"/>
                <w:szCs w:val="20"/>
              </w:rPr>
              <w:t xml:space="preserve">Share of requested passes at complex c in week t not granted on their first-preference window (reconstructed from the documented network scheduled-fraction of 88-91%)</w:t>
            </w:r>
          </w:p>
        </w:tc>
        <w:tc>
          <w:tcPr>
            <w:tcW w:w="0" w:type="auto"/>
          </w:tcPr>
          <w:p>
            <w:pPr>
              <w:spacing w:line="240" w:lineRule="auto" w:before="0" w:after="0"/>
              <w:pStyle w:val="Compact"/>
            </w:pPr>
            <w:r>
              <w:rPr>
                <w:sz w:val="20"/>
                <w:szCs w:val="20"/>
              </w:rPr>
              <w:t xml:space="preserve">Shouraboura, Johnston &amp; Tran, ICAPS-2016 (scheduled fraction 88-91%)</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Committed antenna-hours divided by available antenna-hours at complex c in week t</w:t>
            </w:r>
          </w:p>
        </w:tc>
        <w:tc>
          <w:tcPr>
            <w:tcW w:w="0" w:type="auto"/>
          </w:tcPr>
          <w:p>
            <w:pPr>
              <w:spacing w:line="240" w:lineRule="auto" w:before="0" w:after="0"/>
              <w:pStyle w:val="Compact"/>
            </w:pPr>
            <w:r>
              <w:rPr>
                <w:sz w:val="20"/>
                <w:szCs w:val="20"/>
              </w:rPr>
              <w:t xml:space="preserve">Johnston, ICAPS-2020 / NTRS 20220001560 (loading and ~500 tracks per typical week)</w:t>
            </w:r>
          </w:p>
        </w:tc>
      </w:tr>
      <w:tr>
        <w:tc>
          <w:tcPr>
            <w:tcW w:w="0" w:type="auto"/>
          </w:tcPr>
          <w:p>
            <w:pPr>
              <w:spacing w:line="240" w:lineRule="auto" w:before="0" w:after="0"/>
              <w:pStyle w:val="Compact"/>
            </w:pPr>
            <w:r>
              <w:rPr>
                <w:sz w:val="20"/>
                <w:szCs w:val="20"/>
              </w:rPr>
              <w:t xml:space="preserve">arrival_dispersion</w:t>
            </w:r>
          </w:p>
        </w:tc>
        <w:tc>
          <w:tcPr>
            <w:tcW w:w="0" w:type="auto"/>
          </w:tcPr>
          <w:p>
            <w:pPr>
              <w:spacing w:line="240" w:lineRule="auto" w:before="0" w:after="0"/>
              <w:pStyle w:val="Compact"/>
            </w:pPr>
            <w:r>
              <w:rPr>
                <w:sz w:val="20"/>
                <w:szCs w:val="20"/>
              </w:rPr>
              <w:t xml:space="preserve">Index of dispersion of pass-request arrivals within the window (variance-to-mean ratio; Poisson baseline = 1.0), capturing burstiness</w:t>
            </w:r>
          </w:p>
        </w:tc>
        <w:tc>
          <w:tcPr>
            <w:tcW w:w="0" w:type="auto"/>
          </w:tcPr>
          <w:p>
            <w:pPr>
              <w:spacing w:line="240" w:lineRule="auto" w:before="0" w:after="0"/>
              <w:pStyle w:val="Compact"/>
            </w:pPr>
            <w:r>
              <w:rPr>
                <w:sz w:val="20"/>
                <w:szCs w:val="20"/>
              </w:rPr>
              <w:t xml:space="preserve">Shouraboura et al., ICAPS-2016 (critical-event clustering driving the late-2018 peak)</w:t>
            </w:r>
          </w:p>
        </w:tc>
      </w:tr>
      <w:tr>
        <w:tc>
          <w:tcPr>
            <w:tcW w:w="0" w:type="auto"/>
          </w:tcPr>
          <w:p>
            <w:pPr>
              <w:spacing w:line="240" w:lineRule="auto" w:before="0" w:after="0"/>
              <w:pStyle w:val="Compact"/>
            </w:pPr>
            <w:r>
              <w:rPr>
                <w:sz w:val="20"/>
                <w:szCs w:val="20"/>
              </w:rPr>
              <w:t xml:space="preserve">priority_share</w:t>
            </w:r>
          </w:p>
        </w:tc>
        <w:tc>
          <w:tcPr>
            <w:tcW w:w="0" w:type="auto"/>
          </w:tcPr>
          <w:p>
            <w:pPr>
              <w:spacing w:line="240" w:lineRule="auto" w:before="0" w:after="0"/>
              <w:pStyle w:val="Compact"/>
            </w:pPr>
            <w:r>
              <w:rPr>
                <w:sz w:val="20"/>
                <w:szCs w:val="20"/>
              </w:rPr>
              <w:t xml:space="preserve">Complex-stable share of requests in the highest administrative priority tier</w:t>
            </w:r>
          </w:p>
        </w:tc>
        <w:tc>
          <w:tcPr>
            <w:tcW w:w="0" w:type="auto"/>
          </w:tcPr>
          <w:p>
            <w:pPr>
              <w:spacing w:line="240" w:lineRule="auto" w:before="0" w:after="0"/>
              <w:pStyle w:val="Compact"/>
            </w:pPr>
            <w:r>
              <w:rPr>
                <w:sz w:val="20"/>
                <w:szCs w:val="20"/>
              </w:rPr>
              <w:t xml:space="preserve">Johnston, ICAPS-2020 / NTRS 20220001560 (tiered priority structure)</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Fixed-effect indicator for the Madrid complex (Goldstone is the omitted reference)</w:t>
            </w:r>
          </w:p>
        </w:tc>
        <w:tc>
          <w:tcPr>
            <w:tcW w:w="0" w:type="auto"/>
          </w:tcPr>
          <w:p>
            <w:pPr>
              <w:spacing w:line="240" w:lineRule="auto" w:before="0" w:after="0"/>
              <w:pStyle w:val="Compact"/>
            </w:pPr>
            <w:r>
              <w:rPr>
                <w:sz w:val="20"/>
                <w:szCs w:val="20"/>
              </w:rPr>
              <w:t xml:space="preserve">NASA Antennas of the DSN (2024); JPL PIA26147 (2024)</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Fixed-effect indicator for the Canberra complex (Goldstone is the omitted reference)</w:t>
            </w:r>
          </w:p>
        </w:tc>
        <w:tc>
          <w:tcPr>
            <w:tcW w:w="0" w:type="auto"/>
          </w:tcPr>
          <w:p>
            <w:pPr>
              <w:spacing w:line="240" w:lineRule="auto" w:before="0" w:after="0"/>
              <w:pStyle w:val="Compact"/>
            </w:pPr>
            <w:r>
              <w:rPr>
                <w:sz w:val="20"/>
                <w:szCs w:val="20"/>
              </w:rPr>
              <w:t xml:space="preserve">NASA Antennas of the DSN (2024)</w:t>
            </w:r>
          </w:p>
        </w:tc>
      </w:tr>
      <w:tr>
        <w:tc>
          <w:tcPr>
            <w:tcW w:w="0" w:type="auto"/>
          </w:tcPr>
          <w:p>
            <w:pPr>
              <w:spacing w:line="240" w:lineRule="auto" w:before="0" w:after="0"/>
              <w:pStyle w:val="Compact"/>
            </w:pPr>
            <w:r>
              <w:rPr>
                <w:sz w:val="20"/>
                <w:szCs w:val="20"/>
              </w:rPr>
              <w:t xml:space="preserve">oversubscription</w:t>
            </w:r>
          </w:p>
        </w:tc>
        <w:tc>
          <w:tcPr>
            <w:tcW w:w="0" w:type="auto"/>
          </w:tcPr>
          <w:p>
            <w:pPr>
              <w:spacing w:line="240" w:lineRule="auto" w:before="0" w:after="0"/>
              <w:pStyle w:val="Compact"/>
            </w:pPr>
            <w:r>
              <w:rPr>
                <w:sz w:val="20"/>
                <w:szCs w:val="20"/>
              </w:rPr>
              <w:t xml:space="preserve">Network-week excess of requested over accommodable antenna time (anchoring variable for utilization and dispersion construction)</w:t>
            </w:r>
          </w:p>
        </w:tc>
        <w:tc>
          <w:tcPr>
            <w:tcW w:w="0" w:type="auto"/>
          </w:tcPr>
          <w:p>
            <w:pPr>
              <w:spacing w:line="240" w:lineRule="auto" w:before="0" w:after="0"/>
              <w:pStyle w:val="Compact"/>
            </w:pPr>
            <w:r>
              <w:rPr>
                <w:sz w:val="20"/>
                <w:szCs w:val="20"/>
              </w:rPr>
              <w:t xml:space="preserve">Shouraboura, Johnston &amp; Tran, ICAPS-2016 Fig.2 (late-2015 mean ~30%, SD ~5%); NASA OIG IG-23-019 (2023, up to 40%, 50% by 2030s)</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-0.2648</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-10.5671</w:t>
            </w:r>
          </w:p>
        </w:tc>
        <w:tc>
          <w:tcPr>
            <w:tcW w:w="0" w:type="auto"/>
          </w:tcPr>
          <w:p>
            <w:pPr>
              <w:spacing w:line="240" w:lineRule="auto" w:before="0" w:after="0"/>
              <w:pStyle w:val="Compact"/>
            </w:pPr>
            <w:r>
              <w:rPr>
                <w:sz w:val="20"/>
                <w:szCs w:val="20"/>
              </w:rPr>
              <w:t xml:space="preserve">4.235e-26</w:t>
            </w:r>
          </w:p>
        </w:tc>
        <w:tc>
          <w:tcPr>
            <w:tcW w:w="0" w:type="auto"/>
          </w:tcPr>
          <w:p>
            <w:pPr>
              <w:spacing w:line="240" w:lineRule="auto" w:before="0" w:after="0"/>
              <w:pStyle w:val="Compact"/>
            </w:pPr>
            <w:r>
              <w:rPr>
                <w:sz w:val="20"/>
                <w:szCs w:val="20"/>
              </w:rPr>
              <w:t xml:space="preserve">[-0.3139, -0.2157]</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0.4344</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11.3164</w:t>
            </w:r>
          </w:p>
        </w:tc>
        <w:tc>
          <w:tcPr>
            <w:tcW w:w="0" w:type="auto"/>
          </w:tcPr>
          <w:p>
            <w:pPr>
              <w:spacing w:line="240" w:lineRule="auto" w:before="0" w:after="0"/>
              <w:pStyle w:val="Compact"/>
            </w:pPr>
            <w:r>
              <w:rPr>
                <w:sz w:val="20"/>
                <w:szCs w:val="20"/>
              </w:rPr>
              <w:t xml:space="preserve">1.088e-29</w:t>
            </w:r>
          </w:p>
        </w:tc>
        <w:tc>
          <w:tcPr>
            <w:tcW w:w="0" w:type="auto"/>
          </w:tcPr>
          <w:p>
            <w:pPr>
              <w:spacing w:line="240" w:lineRule="auto" w:before="0" w:after="0"/>
              <w:pStyle w:val="Compact"/>
            </w:pPr>
            <w:r>
              <w:rPr>
                <w:sz w:val="20"/>
                <w:szCs w:val="20"/>
              </w:rPr>
              <w:t xml:space="preserve">[0.3592, 0.5097]</w:t>
            </w:r>
          </w:p>
        </w:tc>
      </w:tr>
      <w:tr>
        <w:tc>
          <w:tcPr>
            <w:tcW w:w="0" w:type="auto"/>
          </w:tcPr>
          <w:p>
            <w:pPr>
              <w:spacing w:line="240" w:lineRule="auto" w:before="0" w:after="0"/>
              <w:pStyle w:val="Compact"/>
            </w:pPr>
            <w:r>
              <w:rPr>
                <w:sz w:val="20"/>
                <w:szCs w:val="20"/>
              </w:rPr>
              <w:t xml:space="preserve">arrival_dispersion</w:t>
            </w:r>
          </w:p>
        </w:tc>
        <w:tc>
          <w:tcPr>
            <w:tcW w:w="0" w:type="auto"/>
          </w:tcPr>
          <w:p>
            <w:pPr>
              <w:spacing w:line="240" w:lineRule="auto" w:before="0" w:after="0"/>
              <w:pStyle w:val="Compact"/>
            </w:pPr>
            <w:r>
              <w:rPr>
                <w:sz w:val="20"/>
                <w:szCs w:val="20"/>
              </w:rPr>
              <w:t xml:space="preserve">0.0498</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20.1065</w:t>
            </w:r>
          </w:p>
        </w:tc>
        <w:tc>
          <w:tcPr>
            <w:tcW w:w="0" w:type="auto"/>
          </w:tcPr>
          <w:p>
            <w:pPr>
              <w:spacing w:line="240" w:lineRule="auto" w:before="0" w:after="0"/>
              <w:pStyle w:val="Compact"/>
            </w:pPr>
            <w:r>
              <w:rPr>
                <w:sz w:val="20"/>
                <w:szCs w:val="20"/>
              </w:rPr>
              <w:t xml:space="preserve">6.473e-90</w:t>
            </w:r>
          </w:p>
        </w:tc>
        <w:tc>
          <w:tcPr>
            <w:tcW w:w="0" w:type="auto"/>
          </w:tcPr>
          <w:p>
            <w:pPr>
              <w:spacing w:line="240" w:lineRule="auto" w:before="0" w:after="0"/>
              <w:pStyle w:val="Compact"/>
            </w:pPr>
            <w:r>
              <w:rPr>
                <w:sz w:val="20"/>
                <w:szCs w:val="20"/>
              </w:rPr>
              <w:t xml:space="preserve">[0.0449, 0.0547]</w:t>
            </w:r>
          </w:p>
        </w:tc>
      </w:tr>
      <w:tr>
        <w:tc>
          <w:tcPr>
            <w:tcW w:w="0" w:type="auto"/>
          </w:tcPr>
          <w:p>
            <w:pPr>
              <w:spacing w:line="240" w:lineRule="auto" w:before="0" w:after="0"/>
              <w:pStyle w:val="Compact"/>
            </w:pPr>
            <w:r>
              <w:rPr>
                <w:sz w:val="20"/>
                <w:szCs w:val="20"/>
              </w:rPr>
              <w:t xml:space="preserve">priority_share</w:t>
            </w:r>
          </w:p>
        </w:tc>
        <w:tc>
          <w:tcPr>
            <w:tcW w:w="0" w:type="auto"/>
          </w:tcPr>
          <w:p>
            <w:pPr>
              <w:spacing w:line="240" w:lineRule="auto" w:before="0" w:after="0"/>
              <w:pStyle w:val="Compact"/>
            </w:pPr>
            <w:r>
              <w:rPr>
                <w:sz w:val="20"/>
                <w:szCs w:val="20"/>
              </w:rPr>
              <w:t xml:space="preserve">-0.1317</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-10.5882</w:t>
            </w:r>
          </w:p>
        </w:tc>
        <w:tc>
          <w:tcPr>
            <w:tcW w:w="0" w:type="auto"/>
          </w:tcPr>
          <w:p>
            <w:pPr>
              <w:spacing w:line="240" w:lineRule="auto" w:before="0" w:after="0"/>
              <w:pStyle w:val="Compact"/>
            </w:pPr>
            <w:r>
              <w:rPr>
                <w:sz w:val="20"/>
                <w:szCs w:val="20"/>
              </w:rPr>
              <w:t xml:space="preserve">3.38e-26</w:t>
            </w:r>
          </w:p>
        </w:tc>
        <w:tc>
          <w:tcPr>
            <w:tcW w:w="0" w:type="auto"/>
          </w:tcPr>
          <w:p>
            <w:pPr>
              <w:spacing w:line="240" w:lineRule="auto" w:before="0" w:after="0"/>
              <w:pStyle w:val="Compact"/>
            </w:pPr>
            <w:r>
              <w:rPr>
                <w:sz w:val="20"/>
                <w:szCs w:val="20"/>
              </w:rPr>
              <w:t xml:space="preserve">[-0.1561, -0.1073]</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0.6498</w:t>
            </w:r>
          </w:p>
        </w:tc>
        <w:tc>
          <w:tcPr>
            <w:tcW w:w="0" w:type="auto"/>
          </w:tcPr>
          <w:p>
            <w:pPr>
              <w:spacing w:line="240" w:lineRule="auto" w:before="0" w:after="0"/>
              <w:pStyle w:val="Compact"/>
            </w:pPr>
            <w:r>
              <w:rPr>
                <w:sz w:val="20"/>
                <w:szCs w:val="20"/>
              </w:rPr>
              <w:t xml:space="preserve">0.5158</w:t>
            </w:r>
          </w:p>
        </w:tc>
        <w:tc>
          <w:tcPr>
            <w:tcW w:w="0" w:type="auto"/>
          </w:tcPr>
          <w:p>
            <w:pPr>
              <w:spacing w:line="240" w:lineRule="auto" w:before="0" w:after="0"/>
              <w:pStyle w:val="Compact"/>
            </w:pPr>
            <w:r>
              <w:rPr>
                <w:sz w:val="20"/>
                <w:szCs w:val="20"/>
              </w:rPr>
              <w:t xml:space="preserve">[-0.0029, 0.0058]</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9.154e-05</w:t>
            </w:r>
          </w:p>
        </w:tc>
        <w:tc>
          <w:tcPr>
            <w:tcW w:w="0" w:type="auto"/>
          </w:tcPr>
          <w:p>
            <w:pPr>
              <w:spacing w:line="240" w:lineRule="auto" w:before="0" w:after="0"/>
              <w:pStyle w:val="Compact"/>
            </w:pPr>
            <w:r>
              <w:rPr>
                <w:sz w:val="20"/>
                <w:szCs w:val="20"/>
              </w:rPr>
              <w:t xml:space="preserve">[0.0042, 0.0126]</w:t>
            </w:r>
          </w:p>
        </w:tc>
      </w:tr>
    </w:tbl>
    <w:p>
      <w:pPr>
        <w:pStyle w:val="BodyText"/>
      </w:pPr>
      <w:r>
        <w:t xml:space="preserve">Fit: N = 48 R2 = 0.9852 R2_adj = 0.9839 F = 10884.6287 F_p = 1.6e-65</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2026-06-22T20:31:15Z</dcterms:created>
  <dcterms:modified xsi:type="dcterms:W3CDTF">2026-06-22T20:31:15Z</dcterms:modified>
</cp:coreProperties>
</file>

<file path=docProps/custom.xml><?xml version="1.0" encoding="utf-8"?>
<Properties xmlns="http://schemas.openxmlformats.org/officeDocument/2006/custom-properties" xmlns:vt="http://schemas.openxmlformats.org/officeDocument/2006/docPropsVTypes"/>
</file>