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DEEP SPACE NETWORK AS A CONSTRAINED RESOURCE: A QUEUEING ANALYSIS OF TRACKING-PASS CONTENTION</w:t>
      </w:r>
    </w:p>
    <w:p>
      <w:pPr>
        <w:jc w:val="center"/>
      </w:pPr>
    </w:p>
    <w:p>
      <w:pPr>
        <w:jc w:val="center"/>
      </w:pPr>
      <w:r>
        <w:rPr>
          <w:rFonts w:ascii="Times New Roman" w:hAnsi="Times New Roman"/>
          <w:sz w:val="24"/>
        </w:rPr>
        <w:t>by</w:t>
      </w:r>
    </w:p>
    <w:p>
      <w:pPr>
        <w:jc w:val="center"/>
      </w:pPr>
      <w:r>
        <w:rPr>
          <w:rFonts w:ascii="Times New Roman" w:hAnsi="Times New Roman"/>
          <w:b/>
          <w:sz w:val="28"/>
        </w:rPr>
        <w:t>Maya Nakamura</w:t>
      </w:r>
    </w:p>
    <w:p>
      <w:pPr>
        <w:jc w:val="center"/>
      </w:pPr>
      <w:r>
        <w:rPr>
          <w:rFonts w:ascii="Times New Roman" w:hAnsi="Times New Roman"/>
          <w:sz w:val="24"/>
        </w:rPr>
        <w:t>1B-SSE-016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X58bbbe5b21f0a7faf110f07c5ac2643b7a53ec5"/>
    <w:p>
      <w:pPr>
        <w:pStyle w:val="Heading2"/>
        <w:spacing w:line="480" w:lineRule="auto"/>
      </w:pPr>
      <w:r>
        <w:t xml:space="preserve">1.1 The Deep Space Network as a Constrained Resource</w:t>
      </w:r>
    </w:p>
    <w:p>
      <w:pPr>
        <w:pStyle w:val="FirstParagraph"/>
        <w:spacing w:line="480" w:lineRule="auto"/>
      </w:pPr>
      <w:r>
        <w:t xml:space="preserve">The Deep Space Network is the principal infrastructure through which the United States commands, tracks, and receives telemetry from spacecraft operating beyond geosynchronous orbit. Three ground complexes, sited near Goldstone in California, Madrid in Spain, and Canberra in Australia and spaced roughly one hundred twenty degrees apart in longitude, are positioned so that at least one always faces a given patch of distant sky</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That geometric elegance conceals a hard physical limit. Each complex operates a small inventory of large parabolic antennas, with Goldstone and Canberra each fielding four and Madrid six, and that inventory is fixed on planning horizons far shorter than the rate at which the deep-space mission set expands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The network is therefore a shared, capacity-limited resource for which an enlarging population of missions, each with its own geometry-driven visibility windows and telemetry cadence, must compete.</w:t>
      </w:r>
    </w:p>
    <w:p>
      <w:pPr>
        <w:pStyle w:val="BodyText"/>
        <w:spacing w:line="480" w:lineRule="auto"/>
        <w:ind w:firstLine="720"/>
      </w:pPr>
      <w:r>
        <w:t xml:space="preserve">The operational consequence of this scarcity is contention. When two or more missions require the same complex during overlapping view periods, the scheduling process cannot satisfy every request at its preferred time. One request is deferred, descoped, or reassigned to a less desirable window. Something gives. This is not an occasional event at the margin of an otherwise slack system. The published scheduling literature documents that the network routinely begins a planning week holding twenty to forty percent more requested antenna time than the available apertures can accommodate, and that the baseline schedule ultimately commits only roughly eighty-eight to ninety-one percent of requested support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 A NASA Office of Inspector General audit projects that excess demand will reach approximately half of capacity over the coming decade</w:t>
      </w:r>
      <w:r>
        <w:t xml:space="preserve"> </w:t>
      </w:r>
      <w:hyperlink w:anchor="ref-7">
        <w:r>
          <w:rPr>
            <w:rStyle w:val="Hyperlink"/>
          </w:rPr>
          <w:t xml:space="preserve">[7]</w:t>
        </w:r>
      </w:hyperlink>
      <w:r>
        <w:t xml:space="preserve">. The Deep Space Network, in short, is a system under chronic oversubscription, and the deferral of tracking passes is the routine mechanism by which that oversubscription is rationed.</w:t>
      </w:r>
    </w:p>
    <w:p>
      <w:pPr>
        <w:pStyle w:val="BodyText"/>
        <w:spacing w:line="480" w:lineRule="auto"/>
        <w:ind w:firstLine="720"/>
      </w:pPr>
      <w:r>
        <w:t xml:space="preserve">The stakes of this rationing fall directly on what NASA and the Jet Propulsion Laboratory can return from the deep-space portfolio. A tracking pass is the channel through which a spacecraft is commanded and through which its science and engineering telemetry reaches the ground. When a pass is deferred, the affected mission loses, delays, or compresses a commanding or data-return opportunity that the orbital geometry may not soon repeat. As deep-space activity grows, these collisions become the binding operational constraint on the science and exploration value the portfolio can actually deliver, independent of the capability of any individual spacecraft. The Deep Space Network is thus not merely a piece of communications hardware but a scarce shared infrastructure whose allocation governs the productivity of the entire deep-space enterprise.</w:t>
      </w:r>
    </w:p>
    <w:bookmarkEnd w:id="61"/>
    <w:bookmarkStart w:id="62" w:name="Xcb0f77f4348050868b365a065d591de0dfc7e77"/>
    <w:p>
      <w:pPr>
        <w:pStyle w:val="Heading2"/>
        <w:spacing w:line="480" w:lineRule="auto"/>
      </w:pPr>
      <w:r>
        <w:t xml:space="preserve">1.2 The Problem and Its Stakes for NASA and JPL</w:t>
      </w:r>
    </w:p>
    <w:p>
      <w:pPr>
        <w:pStyle w:val="FirstParagraph"/>
        <w:spacing w:line="480" w:lineRule="auto"/>
      </w:pPr>
      <w:r>
        <w:t xml:space="preserve">The institutional response to oversubscription has a standard analytic frame, and that frame is the object of this dissertation’s scrutiny. The conventional planning heuristic treats Deep Space Network loading as a volume problem. If aggregate demand for antenna-hours approaches aggregate supply, the network is judged to be full, and the indicated remedy is the construction of additional apertures. This framing is intuitive, it is administratively tractable, and it maps cleanly onto a capital program. It is also, this dissertation argues, incomplete. The incompleteness has material consequences for where NASA directs its ground-segment investment.</w:t>
      </w:r>
    </w:p>
    <w:p>
      <w:pPr>
        <w:pStyle w:val="BodyText"/>
        <w:spacing w:line="480" w:lineRule="auto"/>
        <w:ind w:firstLine="720"/>
      </w:pPr>
      <w:r>
        <w:t xml:space="preserve">The incompleteness is a matter of elementary queueing behavior. A multi-server queue can exhibit severe and persistent waiting at moderate average utilization when arrivals are bursty and service times are heterogeneous, and it can run smoothly at high average utilization when arrivals are smooth. Mean offered load is therefore an insufficient statistic for congestion. The variance of the arrival process, the degree to which requests cluster in time rather than spreading evenly across the planning window, can dominate the average in determining how often the queue overflows and a request is deferred. The motivating proposition of this study is that Deep Space Network contention is a timing phenomenon at least as much as it is a volume phenomenon, and that conflating the two leads to systematically wrong capital recommendations.</w:t>
      </w:r>
    </w:p>
    <w:p>
      <w:pPr>
        <w:pStyle w:val="BodyText"/>
        <w:spacing w:line="480" w:lineRule="auto"/>
        <w:ind w:firstLine="720"/>
      </w:pPr>
      <w:r>
        <w:t xml:space="preserve">The empirical record of network operations makes the timing channel visible rather than hypothetical. The documented late-2018 episode, in which three missions reached critical events simultaneously and network oversubscription spiked toward sixty percent, is precisely the burstiness mechanism made concrete: the binding constraint in that window was not the annual average load but the coincidence of demand</w:t>
      </w:r>
      <w:r>
        <w:t xml:space="preserve"> </w:t>
      </w:r>
      <w:hyperlink w:anchor="ref-4">
        <w:r>
          <w:rPr>
            <w:rStyle w:val="Hyperlink"/>
          </w:rPr>
          <w:t xml:space="preserve">[4]</w:t>
        </w:r>
      </w:hyperlink>
      <w:r>
        <w:t xml:space="preserve">. A planner who diagnosed that episode as evidence of insufficient aggregate capacity, and who responded by sizing an aperture program against it, would be treating a variance problem as a mean problem. The distinction is not academic. If a given congestion episode is driven by demand level, the appropriate remedy is aperture expansion, a multi-year, capital-intensive commitment. If it is driven by demand timing, the appropriate remedy is arrival-shaping, an administrative and incentive-based intervention that staggers requests away from anticipated contention peaks or prices the externality a bursty requester imposes on the shared queue. These remedies differ by an order of magnitude in cost and in implementation horizon. A planning apparatus that cannot tell the two channels apart cannot rationally choose between them.</w:t>
      </w:r>
    </w:p>
    <w:p>
      <w:pPr>
        <w:pStyle w:val="BodyText"/>
        <w:spacing w:line="480" w:lineRule="auto"/>
        <w:ind w:firstLine="720"/>
      </w:pPr>
      <w:r>
        <w:t xml:space="preserve">This decision problem is the concrete instance, internal to a specific federal ground network, of a broader pattern that the economics of space has identified at the level of the sector. That literature frames orbital and infrastructural scarcity as an allocation-efficiency problem and argues that space resources are chronically misallocated for want of pricing signals and of mechanisms that aggregate dispersed information about demand</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Adjacent strategic analyses observe that critical space infrastructure is severely under-resourced and constrained relative to the activity it must support</w:t>
      </w:r>
      <w:r>
        <w:t xml:space="preserve"> </w:t>
      </w:r>
      <w:hyperlink w:anchor="ref-3">
        <w:r>
          <w:rPr>
            <w:rStyle w:val="Hyperlink"/>
          </w:rPr>
          <w:t xml:space="preserve">[3]</w:t>
        </w:r>
      </w:hyperlink>
      <w:r>
        <w:t xml:space="preserve">. The Deep Space Network scheduling problem is exactly such an allocation challenge, rendered unusually measurable because the network logs its passes and publishes its loading. It is, for NASA and JPL specifically, the difference between spending on concrete and spending on coordination.</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Two adjacent bodies of work bracket this problem without closing it, and the structure of the gap between them defines the opening for this dissertation.</w:t>
      </w:r>
    </w:p>
    <w:p>
      <w:pPr>
        <w:pStyle w:val="BodyText"/>
        <w:spacing w:line="480" w:lineRule="auto"/>
        <w:ind w:firstLine="720"/>
      </w:pPr>
      <w:r>
        <w:t xml:space="preserve">The first body of work is the operational scheduling literature on the Deep Space Network itself. This literature is mature and quantitatively serious. It documents the oversubscription regime, the tiered priority and preference system, and the peer-to-peer negotiation process by which weekly schedules are assembled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 It develops optimization-based schedulers that raise the fraction of requested time actually committed, reporting improvements from the high eighties to the low nineties of a percent of requested support scheduled, and it studies the use of schedule constraints to improve automated allocation</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 A parallel engineering strand applies machine-learning and reinforcement-learning controllers to communication scheduling between spacecraft and ground stations under delay and disruption</w:t>
      </w:r>
      <w:r>
        <w:t xml:space="preserve"> </w:t>
      </w:r>
      <w:hyperlink w:anchor="ref-8">
        <w:r>
          <w:rPr>
            <w:rStyle w:val="Hyperlink"/>
          </w:rPr>
          <w:t xml:space="preserve">[8]</w:t>
        </w:r>
      </w:hyperlink>
      <w:r>
        <w:t xml:space="preserve">. One posture runs through all of it: scheduling is treated as an engineering problem to be solved. It seeks to pack more requests into the schedule, and it succeeds. It does not treat contention as a phenomenon whose generative drivers are to be statistically identified, and in particular it does not decompose realized deferral into the part attributable to demand level and the part attributable to demand timing.</w:t>
      </w:r>
    </w:p>
    <w:p>
      <w:pPr>
        <w:pStyle w:val="BodyText"/>
        <w:spacing w:line="480" w:lineRule="auto"/>
        <w:ind w:firstLine="720"/>
      </w:pPr>
      <w:r>
        <w:t xml:space="preserve">The second body of work is the econometric and economic-method literature on the allocation of scarce resources, together with the economics of space that applies it. This literature supplies the conceptual apparatus for exactly the decomposition the domain literature lacks. It frames scarcity as an allocation-efficiency problem, it distinguishes the level of demand from its structure, and it furnishes identification strategies, fixed-effects panels, nested specification tests, and out-of-sample validation, that can separate competing channels of causation in observational data</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But this literature stops at the level of narrative diagnosis when it touches space infrastructure. It supplies the why of ground-segment scarcity, and it supplies the methodological grammar for analyzing it, but it does not descend to an estimable model of how contention is generated inside a specific ground network. It diagnoses misallocation; it does not measure the mechanism.</w:t>
      </w:r>
    </w:p>
    <w:p>
      <w:pPr>
        <w:pStyle w:val="BodyText"/>
        <w:spacing w:line="480" w:lineRule="auto"/>
        <w:ind w:firstLine="720"/>
      </w:pPr>
      <w:r>
        <w:t xml:space="preserve">The gap, stated precisely, is the absence of an identified, falsifiable queueing model of Deep Space Network tracking-pass contention that separates the contribution of demand level from the contribution of demand timing. The domain literature has the institution and the data but treats scheduling as optimization rather than identification. The method literature has the identification machinery but stops at sectoral narrative and never reaches a specific network. Neither, on its own, can tell a NASA planner whether a particular congestion episode argues for aperture investment or for arrival-shaping, and neither supplies a diagnosis transferable to other ground networks. This dissertation occupies that gap by importing the identification discipline of the econometric method literature into the operational substance of the Deep Space Network domain literature, treating each allocation cycle as a multi-server priority queue and asking the data which channel governs deferral.</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advances one testable claim about what drives Deep Space Network pass deferral, and it stakes its contribution on the outcome of a single decisive test.</w:t>
      </w:r>
    </w:p>
    <w:p>
      <w:pPr>
        <w:pStyle w:val="BodyText"/>
        <w:spacing w:line="480" w:lineRule="auto"/>
        <w:ind w:firstLine="720"/>
      </w:pPr>
      <w:r>
        <w:t xml:space="preserve">The contribution is an identification strategy for ground-segment carrying capacity that distinguishes congestion driven by demand level from congestion driven by demand timing. The unit of analysis is the cell defined by a complex and a scheduling cycle. For each cell the study constructs, from the public schedule record, three quantities: realized utilization, defined as committed antenna-hours divided by available antenna-hours; an arrival-dispersion statistic for requested passes, operationalized as the index of dispersion, the variance-to-mean ratio, of request arrivals within the window relative to a Poisson baseline; and the realized deferral rate, defined as the share of requested passes not granted on their first-preference window. The structural backbone is a multi-server priority queue in which the antennas at a complex are the servers, pass requests are arrivals carrying heterogeneous service times and administratively assigned priority, and deferral is the queueing outcome when a higher-priority request preempts a lower-priority one or when no server is free.</w:t>
      </w:r>
    </w:p>
    <w:p>
      <w:pPr>
        <w:pStyle w:val="BodyText"/>
        <w:spacing w:line="480" w:lineRule="auto"/>
        <w:ind w:firstLine="720"/>
      </w:pPr>
      <w:r>
        <w:t xml:space="preserve">The claim is stated as a pair of mutually exclusive hypotheses about whether arrival dispersion carries explanatory power for deferral beyond that carried by aggregate utilization.</w:t>
      </w:r>
    </w:p>
    <w:p>
      <w:pPr>
        <w:pStyle w:val="BodyText"/>
        <w:spacing w:line="480" w:lineRule="auto"/>
        <w:ind w:firstLine="720"/>
      </w:pPr>
      <w:r>
        <w:rPr>
          <w:b/>
          <w:bCs/>
        </w:rPr>
        <w:t xml:space="preserve">H0 (null).</w:t>
      </w:r>
      <w:r>
        <w:t xml:space="preserve"> </w:t>
      </w:r>
      <w:r>
        <w:t xml:space="preserve">Conditional on aggregate antenna-hours utilization within a scheduling cycle and complex, the dispersion of pass-request arrivals carries no additional explanatory power for the realized rate of pass deferral. Formally, in a model of deferral that already includes utilization and the appropriate fixed effects, the coefficient on the arrival-dispersion term is zero, and the addition of that term does not improve out-of-sample prediction of deferral over a utilization-only benchmark.</w:t>
      </w:r>
    </w:p>
    <w:p>
      <w:pPr>
        <w:pStyle w:val="BodyText"/>
        <w:spacing w:line="480" w:lineRule="auto"/>
        <w:ind w:firstLine="720"/>
      </w:pPr>
      <w:r>
        <w:rPr>
          <w:b/>
          <w:bCs/>
        </w:rPr>
        <w:t xml:space="preserve">H1 (alternative).</w:t>
      </w:r>
      <w:r>
        <w:t xml:space="preserve"> </w:t>
      </w:r>
      <w:r>
        <w:t xml:space="preserve">Arrival dispersion carries explanatory power beyond utilization. The coefficient on the arrival-dispersion term is positive and statistically distinguishable from zero, and the dispersion-aware specification achieves strictly lower out-of-sample deferral-prediction error than the utilization-only benchmark.</w:t>
      </w:r>
    </w:p>
    <w:p>
      <w:pPr>
        <w:pStyle w:val="BodyText"/>
        <w:spacing w:line="480" w:lineRule="auto"/>
        <w:ind w:firstLine="720"/>
      </w:pPr>
      <w:r>
        <w:t xml:space="preserve">The claim is falsifiable in the strict sense. The decision criterion is not in-sample fit, which rewards the addition of any regressor, but out-of-sample prediction error on held-out cells, which rewards only genuine generalization. If a dispersion-aware queueing specification does not beat a utilization-only benchmark out of sample, H1 is rejected, the timing channel is judged inconsequential, and the conventional volume-centric planning heuristic stands vindicated. The contribution survives only if the data discriminate in its favor under a criterion designed to be hard to satisfy.</w:t>
      </w:r>
    </w:p>
    <w:p>
      <w:pPr>
        <w:pStyle w:val="BodyText"/>
        <w:spacing w:line="480" w:lineRule="auto"/>
        <w:ind w:firstLine="720"/>
      </w:pPr>
      <w:r>
        <w:t xml:space="preserve">Identification of the dispersion effect rests on within-complex, within-cycle variation. Comparing cells at similar utilization but different request burstiness isolates the timing channel from the volume channel, while fixed effects for complex and cycle absorb persistent complex-level capability differences and seasonal demand structure. The specification conditions on priority class so that the dispersion effect is identified within priority tiers rather than confounded with the administrative assignment of priority. The measurement posture is deliberately conservative: because the public feed reports committed passes more cleanly than denied requests, the deferral rate is partly reconstructed, and that reconstruction attenuates any true effect toward the null. Any positive dispersion effect recovered under this scheme should therefore be read as a lower bound on the true magnitude of the timing channel.</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develops, tests, and interprets this single contribution as follows.</w:t>
      </w:r>
    </w:p>
    <w:p>
      <w:pPr>
        <w:pStyle w:val="BodyText"/>
        <w:spacing w:line="480" w:lineRule="auto"/>
        <w:ind w:firstLine="720"/>
      </w:pPr>
      <w:r>
        <w:t xml:space="preserve">Chapter 2 situates the study in its two bracketing literatures and makes the gap precise. It reviews the Deep Space Network operational scheduling literature, including the oversubscription regime, the priority and preference system, and the optimization approaches that treat scheduling as a packing problem</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It then reviews the econometric and space-economic method literature on the allocation of scarce resources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and it argues that the absence of an identified model separating demand level from demand timing inside a specific ground network is the unfilled space the dissertation occupies.</w:t>
      </w:r>
    </w:p>
    <w:p>
      <w:pPr>
        <w:pStyle w:val="BodyText"/>
        <w:spacing w:line="480" w:lineRule="auto"/>
        <w:ind w:firstLine="720"/>
      </w:pPr>
      <w:r>
        <w:t xml:space="preserve">Chapter 3 develops the queueing theory that supplies the structural backbone. It formalizes a complex as a multi-server priority queue, derives the deferral function in terms of offered-load level and arrival-dispersion parameters, and shows how the structural form motivates the regression specification and the hypotheses stated in Section 1.4.</w:t>
      </w:r>
    </w:p>
    <w:p>
      <w:pPr>
        <w:pStyle w:val="BodyText"/>
        <w:spacing w:line="480" w:lineRule="auto"/>
        <w:ind w:firstLine="720"/>
      </w:pPr>
      <w:r>
        <w:t xml:space="preserve">Chapter 4 presents the data and its provenance. It describes the construction of the complex-by-cycle panel from the public NASA scheduling record and complex documentation, anchors utilization, dispersion, and deferral to documented loading facts, and states explicitly which quantities are documented and which are reconstructed, together with the conservative measurement posture that follows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Chapter 5 presents the primary empirical analysis: a fixed-effects test of arrival dispersion as a driver of complex-level deferral, comparing a utilization-only benchmark against a dispersion-aware specification and reporting both the dispersion coefficient and the nested out-of-sample comparison that adjudicates between H0 and H1.</w:t>
      </w:r>
    </w:p>
    <w:p>
      <w:pPr>
        <w:pStyle w:val="BodyText"/>
        <w:spacing w:line="480" w:lineRule="auto"/>
        <w:ind w:firstLine="720"/>
      </w:pPr>
      <w:r>
        <w:t xml:space="preserve">Chapter 6 changes the unit of analysis from the cell to the individual request and estimates a discrete-choice model of which pass is bumped, testing whether deferral concentrates on lower-priority, longer, and surge-window requests as the priority-queue logic predicts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Chapter 7 manages the threats to validity, deferral measurement, endogeneity of arrivals, priority structure, and external validity, and bounds the inferences accordingly. Chapter 8 draws out the operational and policy implications for NASA and JPL, distinguishing the conditions under which the indicated remedy is aperture expansion from those under which it is arrival-shaping, and states the transferable contribution: a structural separation of when demand arrives from how much demand arrives that reframes ground-segment carrying capacity for the Deep Space Network and for the commercial ground networks that increasingly resemble it.</w:t>
      </w:r>
    </w:p>
    <w:bookmarkEnd w:id="65"/>
    <w:bookmarkEnd w:id="66"/>
    <w:bookmarkStart w:id="87" w:name="chapter-2.-literature-review"/>
    <w:p>
      <w:pPr>
        <w:pStyle w:val="Heading1"/>
        <w:spacing w:line="480" w:lineRule="auto"/>
      </w:pPr>
      <w:r>
        <w:t xml:space="preserve">Chapter 2. Literature Review</w:t>
      </w:r>
    </w:p>
    <w:bookmarkStart w:id="67" w:name="Xed474cd8d1325411cd24c8cbe9c0aa65f0ff2b0"/>
    <w:p>
      <w:pPr>
        <w:pStyle w:val="Heading2"/>
        <w:spacing w:line="480" w:lineRule="auto"/>
      </w:pPr>
      <w:r>
        <w:t xml:space="preserve">2.1 Orientation: Two Literatures That Do Not Speak</w:t>
      </w:r>
    </w:p>
    <w:p>
      <w:pPr>
        <w:pStyle w:val="FirstParagraph"/>
        <w:spacing w:line="480" w:lineRule="auto"/>
      </w:pPr>
      <w:r>
        <w:t xml:space="preserve">This dissertation sits in the seam between two mature bodies of scholarship that have, to date, developed in mutual isolation. The first is the domain-technical literature on the Deep Space Network (DSN) and, more broadly, on the scheduling of ground assets that must serve many spacecraft from a small number of fixed apertures. This literature is engineering in temperament. It asks how a contested schedule can be built, how oversubscription can be reduced, and how automated optimizers can extract more accommodated tracking time from a finite plant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second is the cliometric and econometric literature on the allocation of scarce resources, which supplies the analytical machinery for asking not how to build a better schedule but how to identify, from observed outcomes, the causal structure that generates contention in the first place. The economics-of-space strand of that second literature has already named ground-segment and orbital scarcity as an allocation-efficiency problem and has argued that space resources are chronically misallocated for want of pricing and of mechanisms that aggregate dispersed information about demand</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The argument of this chapter is that these two literatures bracket the problem of DSN tracking-pass contention without closing it. The domain-technical literature possesses the institutional facts, the loading magnitudes, and the queueing primitives, but it treats scheduling as an optimization target rather than as a phenomenon whose drivers are to be statistically identified. The econometric literature possesses the identification logic, the language of level versus timing, and the discipline of out-of-sample falsification, but it has not been brought to bear on the specific, measurable, publicly logged process by which the DSN defers passes. The gap this dissertation occupies is precisely the unjoined region: an identified, falsifiable model of DSN tracking-pass contention that separates the contribution of demand level from the contribution of demand timing, estimated on the public schedule record, and adjudicated by held-out prediction rather than by in-sample fit.</w:t>
      </w:r>
    </w:p>
    <w:p>
      <w:pPr>
        <w:pStyle w:val="BodyText"/>
        <w:spacing w:line="480" w:lineRule="auto"/>
        <w:ind w:firstLine="720"/>
      </w:pPr>
      <w:r>
        <w:t xml:space="preserve">The chapter proceeds in five movements. Section 2.2 reviews the domain-technical literature on DSN scheduling, oversubscription, and ground-asset tasking. Section 2.3 reviews the adjacent operational literature on ground-sensor scheduling and on the broader ground segment that frames the DSN as one instance of a recurring class of problems. Section 2.4 turns to the cliometric and econometric methodology literature, reading it for the identification strategy it lends to a queueing problem. Section 2.5 synthesizes the two and states the gap formally. Section 2.6 positions the dissertation’s two companion studies against that gap and closes the loop to the chapters that follow.</w:t>
      </w:r>
    </w:p>
    <w:bookmarkEnd w:id="67"/>
    <w:bookmarkStart w:id="72" w:name="Xf614e566161fd0d1bb7dd0fac2f8f0b6bf3695f"/>
    <w:p>
      <w:pPr>
        <w:pStyle w:val="Heading2"/>
        <w:spacing w:line="480" w:lineRule="auto"/>
      </w:pPr>
      <w:r>
        <w:t xml:space="preserve">2.2 The Domain-Technical Literature on DSN Scheduling</w:t>
      </w:r>
    </w:p>
    <w:bookmarkStart w:id="68" w:name="X6efcc17c93d0050e08c7aff93b3c379a2a415aa"/>
    <w:p>
      <w:pPr>
        <w:pStyle w:val="Heading3"/>
        <w:spacing w:line="480" w:lineRule="auto"/>
      </w:pPr>
      <w:r>
        <w:t xml:space="preserve">2.2.1 The Network as a Finite, Oversubscribed Plant</w:t>
      </w:r>
    </w:p>
    <w:p>
      <w:pPr>
        <w:pStyle w:val="FirstParagraph"/>
        <w:spacing w:line="480" w:lineRule="auto"/>
      </w:pPr>
      <w:r>
        <w:t xml:space="preserve">The foundational fact established across the DSN technical literature is that the network is chronically oversubscribed. The three complexes, near Goldstone, Madrid, and Canberra, are positioned roughly 120 degrees apart in longitude so that at least one always faces a given patch of deep sky, and they share a small inventory of large parabolic antennas across an expanding mission set</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The published scheduling literature reports that the network commits only 88 to 91 percent of requested support into the baseline schedule</w:t>
      </w:r>
      <w:r>
        <w:t xml:space="preserve"> </w:t>
      </w:r>
      <w:hyperlink w:anchor="ref-4">
        <w:r>
          <w:rPr>
            <w:rStyle w:val="Hyperlink"/>
          </w:rPr>
          <w:t xml:space="preserve">[4]</w:t>
        </w:r>
      </w:hyperlink>
      <w:r>
        <w:t xml:space="preserve">, and that oversubscription, the excess of requested over accommodable antenna time, reaches roughly 40 percent network-wide in routine operation</w:t>
      </w:r>
      <w:r>
        <w:t xml:space="preserve"> </w:t>
      </w:r>
      <w:hyperlink w:anchor="ref-11">
        <w:r>
          <w:rPr>
            <w:rStyle w:val="Hyperlink"/>
          </w:rPr>
          <w:t xml:space="preserve">[11]</w:t>
        </w:r>
      </w:hyperlink>
      <w:r>
        <w:t xml:space="preserve">. The NASA Office of Inspector General audit reinforces this picture and projects that excess demand will grow toward roughly half of capacity by the 2030s, formalizing the trajectory that the operational literature observes anecdotally</w:t>
      </w:r>
      <w:r>
        <w:t xml:space="preserve"> </w:t>
      </w:r>
      <w:hyperlink w:anchor="ref-7">
        <w:r>
          <w:rPr>
            <w:rStyle w:val="Hyperlink"/>
          </w:rPr>
          <w:t xml:space="preserve">[7]</w:t>
        </w:r>
      </w:hyperlink>
      <w:r>
        <w:t xml:space="preserve">. The physical inventory that bounds supply is itself a matter of public record: Goldstone and Canberra each operate four antennas while Madrid operates six, and recent arraying demonstrations at Madrid show the network actively reconfiguring its apertures to wring additional effective capacity from the existing plant</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These facts matter for the present dissertation because they establish the regime in which the queueing question becomes nontrivial. A network that ran comfortably below capacity would present no contention worth modeling; a network that ran at uniform saturation would collapse the level and timing channels into a single binding constraint. The DSN instead occupies the intermediate regime that queueing theory finds most interesting: average loading well below the ceiling, punctuated by transient overloads driven by the coincidence of demand. The technical literature documents exactly such an episode in late 2018, when three missions reached critical events simultaneously and oversubscription spiked toward sixty percent</w:t>
      </w:r>
      <w:r>
        <w:t xml:space="preserve"> </w:t>
      </w:r>
      <w:hyperlink w:anchor="ref-4">
        <w:r>
          <w:rPr>
            <w:rStyle w:val="Hyperlink"/>
          </w:rPr>
          <w:t xml:space="preserve">[4]</w:t>
        </w:r>
      </w:hyperlink>
      <w:r>
        <w:t xml:space="preserve">. That episode is, in the language this dissertation will adopt, the burstiness channel made directly visible. The technical literature records it as an operational stress event; it does not extract from it a generalizable claim about whether variance or mean load is the governing quantity.</w:t>
      </w:r>
    </w:p>
    <w:bookmarkEnd w:id="68"/>
    <w:bookmarkStart w:id="69" w:name="Xd7e8a68f9c42df88a66885860af4f44591acc42"/>
    <w:p>
      <w:pPr>
        <w:pStyle w:val="Heading3"/>
        <w:spacing w:line="480" w:lineRule="auto"/>
      </w:pPr>
      <w:r>
        <w:t xml:space="preserve">2.2.2 Prioritization and Oversubscribed Scheduling</w:t>
      </w:r>
    </w:p>
    <w:p>
      <w:pPr>
        <w:pStyle w:val="FirstParagraph"/>
        <w:spacing w:line="480" w:lineRule="auto"/>
      </w:pPr>
      <w:r>
        <w:t xml:space="preserve">The core methodological contribution of the DSN scheduling literature is the formalization of oversubscribed, priority-driven scheduling. Shouraboura, Johnston, and Tran</w:t>
      </w:r>
      <w:r>
        <w:t xml:space="preserve"> </w:t>
      </w:r>
      <w:hyperlink w:anchor="ref-4">
        <w:r>
          <w:rPr>
            <w:rStyle w:val="Hyperlink"/>
          </w:rPr>
          <w:t xml:space="preserve">[4]</w:t>
        </w:r>
      </w:hyperlink>
      <w:r>
        <w:t xml:space="preserve"> </w:t>
      </w:r>
      <w:r>
        <w:t xml:space="preserve">describe the peer-to-peer negotiation process through which weekly schedules are assembled, the tiered priority and preference system that governs which requests are protected, and optimization approaches that raise the fraction of requested time actually scheduled. Their reported result, that an optimization-based scheduler raised the scheduled share of requested time from roughly the high eighties to the low nineties of a percent</w:t>
      </w:r>
      <w:r>
        <w:t xml:space="preserve"> </w:t>
      </w:r>
      <w:hyperlink w:anchor="ref-4">
        <w:r>
          <w:rPr>
            <w:rStyle w:val="Hyperlink"/>
          </w:rPr>
          <w:t xml:space="preserve">[4]</w:t>
        </w:r>
      </w:hyperlink>
      <w:r>
        <w:t xml:space="preserve">, is a genuine engineering advance, and it anchors the empirical magnitudes used throughout this dissertation’s companion studies. Johnston’s broader treatment of DSN scheduling priorities, preferences, and optimization</w:t>
      </w:r>
      <w:r>
        <w:t xml:space="preserve"> </w:t>
      </w:r>
      <w:hyperlink w:anchor="ref-5">
        <w:r>
          <w:rPr>
            <w:rStyle w:val="Hyperlink"/>
          </w:rPr>
          <w:t xml:space="preserve">[5]</w:t>
        </w:r>
      </w:hyperlink>
      <w:r>
        <w:t xml:space="preserve"> </w:t>
      </w:r>
      <w:r>
        <w:t xml:space="preserve">supplies the institutional architecture: the loading description of roughly five hundred scheduled tracks in a typical week, the structure of the request-and-grant cycle, and the role of critical-event contention in driving deferral.</w:t>
      </w:r>
    </w:p>
    <w:p>
      <w:pPr>
        <w:pStyle w:val="BodyText"/>
        <w:spacing w:line="480" w:lineRule="auto"/>
        <w:ind w:firstLine="720"/>
      </w:pPr>
      <w:r>
        <w:t xml:space="preserve">What is decisive for the present argument is the orientation of this work. It treats the schedule as an object to be optimized. The dependent construct is the scheduled fraction, and the contribution is an algorithm or a heuristic that raises it. Nowhere in this literature is the deferral outcome treated as a random variable whose conditional expectation is to be modeled against competing covariates, and nowhere is the question posed in the falsifiable form, does demand timing carry explanatory power for deferral after demand level is controlled. The literature establishes that scheduling is a live, quantitatively tractable problem and that priority and preference structure the outcome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It stops short of decomposing the sources of contention into a level channel and a timing channel, because that decomposition is an econometric question and the literature’s instruments are optimization instruments.</w:t>
      </w:r>
    </w:p>
    <w:bookmarkEnd w:id="69"/>
    <w:bookmarkStart w:id="70" w:name="X13ab737f9720be969cd008ace2438d9ba9562ae"/>
    <w:p>
      <w:pPr>
        <w:pStyle w:val="Heading3"/>
        <w:spacing w:line="480" w:lineRule="auto"/>
      </w:pPr>
      <w:r>
        <w:t xml:space="preserve">2.2.3 Preference Optimization and Schedule Constraints</w:t>
      </w:r>
    </w:p>
    <w:p>
      <w:pPr>
        <w:pStyle w:val="FirstParagraph"/>
        <w:spacing w:line="480" w:lineRule="auto"/>
      </w:pPr>
      <w:r>
        <w:t xml:space="preserve">Two further strands sharpen the picture of how the DSN schedule is built and therefore of what an observed deferral encodes. Johnston and Tran’s work on user-preference optimization for oversubscribed scheduling</w:t>
      </w:r>
      <w:r>
        <w:t xml:space="preserve"> </w:t>
      </w:r>
      <w:hyperlink w:anchor="ref-11">
        <w:r>
          <w:rPr>
            <w:rStyle w:val="Hyperlink"/>
          </w:rPr>
          <w:t xml:space="preserve">[11]</w:t>
        </w:r>
      </w:hyperlink>
      <w:r>
        <w:t xml:space="preserve"> </w:t>
      </w:r>
      <w:r>
        <w:t xml:space="preserve">models the schedule as a constrained optimization over user preferences rather than over a single global objective, and in doing so makes explicit that the deferral a request suffers depends jointly on its own preferences and on the contention it meets. This matters for identification: it warns that observed dispersion in request arrivals is partly an artifact of planners shaping their preferences in anticipation of contention, a point the present dissertation must confront as an endogeneity threat rather than ignore. Claessens’ study of schedule constraints</w:t>
      </w:r>
      <w:r>
        <w:t xml:space="preserve"> </w:t>
      </w:r>
      <w:hyperlink w:anchor="ref-12">
        <w:r>
          <w:rPr>
            <w:rStyle w:val="Hyperlink"/>
          </w:rPr>
          <w:t xml:space="preserve">[12]</w:t>
        </w:r>
      </w:hyperlink>
      <w:r>
        <w:t xml:space="preserve"> </w:t>
      </w:r>
      <w:r>
        <w:t xml:space="preserve">complements this by demonstrating that the documented constraint structure, including critical-event windows, materially shapes the achievable schedule. The critical-event contention that Claessens and Johnston foreground</w:t>
      </w:r>
      <w:r>
        <w:t xml:space="preserve"> </w:t>
      </w:r>
      <w:hyperlink w:anchor="ref-5">
        <w:r>
          <w:rPr>
            <w:rStyle w:val="Hyperlink"/>
          </w:rPr>
          <w:t xml:space="preserve">[5]</w:t>
        </w:r>
      </w:hyperlink>
      <w:r>
        <w:t xml:space="preserve">,</w:t>
      </w:r>
      <w:r>
        <w:t xml:space="preserve"> </w:t>
      </w:r>
      <w:hyperlink w:anchor="ref-12">
        <w:r>
          <w:rPr>
            <w:rStyle w:val="Hyperlink"/>
          </w:rPr>
          <w:t xml:space="preserve">[12]</w:t>
        </w:r>
      </w:hyperlink>
      <w:r>
        <w:t xml:space="preserve"> </w:t>
      </w:r>
      <w:r>
        <w:t xml:space="preserve">is the institutional name for the timing channel that this dissertation seeks to identify statistically: the technical literature has already located the phenomenon and named its operational triggers; it has not measured the phenomenon’s marginal contribution to deferral net of load.</w:t>
      </w:r>
    </w:p>
    <w:bookmarkEnd w:id="70"/>
    <w:bookmarkStart w:id="71" w:name="X558d0667700877e4862b131441034ea401ce815"/>
    <w:p>
      <w:pPr>
        <w:pStyle w:val="Heading3"/>
        <w:spacing w:line="480" w:lineRule="auto"/>
      </w:pPr>
      <w:r>
        <w:t xml:space="preserve">2.2.4 Learning-Based Schedulers and Adjacent Optimizers</w:t>
      </w:r>
    </w:p>
    <w:p>
      <w:pPr>
        <w:pStyle w:val="FirstParagraph"/>
        <w:spacing w:line="480" w:lineRule="auto"/>
      </w:pPr>
      <w:r>
        <w:t xml:space="preserve">A parallel strand applies machine-learning controllers to communication scheduling between spacecraft and ground stations under delay and disruption. Stottler and Howe’s delay and disruption tolerant reinforcement-learning communication system</w:t>
      </w:r>
      <w:r>
        <w:t xml:space="preserve"> </w:t>
      </w:r>
      <w:hyperlink w:anchor="ref-8">
        <w:r>
          <w:rPr>
            <w:rStyle w:val="Hyperlink"/>
          </w:rPr>
          <w:t xml:space="preserve">[8]</w:t>
        </w:r>
      </w:hyperlink>
      <w:r>
        <w:t xml:space="preserve"> </w:t>
      </w:r>
      <w:r>
        <w:t xml:space="preserve">optimizes link scheduling under exactly the adverse conditions that characterize deep-space communication. The on-chain validation work of Latif, Chowdhury, and Bagchi</w:t>
      </w:r>
      <w:r>
        <w:t xml:space="preserve"> </w:t>
      </w:r>
      <w:hyperlink w:anchor="ref-14">
        <w:r>
          <w:rPr>
            <w:rStyle w:val="Hyperlink"/>
          </w:rPr>
          <w:t xml:space="preserve">[14]</w:t>
        </w:r>
      </w:hyperlink>
      <w:r>
        <w:t xml:space="preserve"> </w:t>
      </w:r>
      <w:r>
        <w:t xml:space="preserve">illustrates a different optimization frontier, the integrity and provenance of tracking data messages, again treating the scheduling and validation pipeline as an engineering artifact to be improved rather than a generative process to be identified. These contributions extend the optimization paradigm; they do not depart from it. The dependent question remains how to schedule better, not what statistically generates the contention that scheduling must absorb. The methodological point for this dissertation is that the entire domain-technical corpus, from negotiation heuristics</w:t>
      </w:r>
      <w:r>
        <w:t xml:space="preserve"> </w:t>
      </w:r>
      <w:hyperlink w:anchor="ref-4">
        <w:r>
          <w:rPr>
            <w:rStyle w:val="Hyperlink"/>
          </w:rPr>
          <w:t xml:space="preserve">[4]</w:t>
        </w:r>
      </w:hyperlink>
      <w:r>
        <w:t xml:space="preserve"> </w:t>
      </w:r>
      <w:r>
        <w:t xml:space="preserve">through preference optimization</w:t>
      </w:r>
      <w:r>
        <w:t xml:space="preserve"> </w:t>
      </w:r>
      <w:hyperlink w:anchor="ref-11">
        <w:r>
          <w:rPr>
            <w:rStyle w:val="Hyperlink"/>
          </w:rPr>
          <w:t xml:space="preserve">[11]</w:t>
        </w:r>
      </w:hyperlink>
      <w:r>
        <w:t xml:space="preserve"> </w:t>
      </w:r>
      <w:r>
        <w:t xml:space="preserve">to learning-based controllers</w:t>
      </w:r>
      <w:r>
        <w:t xml:space="preserve"> </w:t>
      </w:r>
      <w:hyperlink w:anchor="ref-8">
        <w:r>
          <w:rPr>
            <w:rStyle w:val="Hyperlink"/>
          </w:rPr>
          <w:t xml:space="preserve">[8]</w:t>
        </w:r>
      </w:hyperlink>
      <w:r>
        <w:t xml:space="preserve">, shares a single epistemic posture: the schedule is a thing to be improved, and contention is a constraint to be satisfied, not an outcome variable to be explained.</w:t>
      </w:r>
    </w:p>
    <w:bookmarkEnd w:id="71"/>
    <w:bookmarkEnd w:id="72"/>
    <w:bookmarkStart w:id="76" w:name="X9a0606055b4472745337657bfc56548622b354c"/>
    <w:p>
      <w:pPr>
        <w:pStyle w:val="Heading2"/>
        <w:spacing w:line="480" w:lineRule="auto"/>
      </w:pPr>
      <w:r>
        <w:t xml:space="preserve">2.3 The Adjacent Literature on Ground-Sensor Scheduling and the Ground Segment</w:t>
      </w:r>
    </w:p>
    <w:bookmarkStart w:id="73" w:name="X13049d49bb8dde5047dcbfe852cc6c41f61fdde"/>
    <w:p>
      <w:pPr>
        <w:pStyle w:val="Heading3"/>
        <w:spacing w:line="480" w:lineRule="auto"/>
      </w:pPr>
      <w:r>
        <w:t xml:space="preserve">2.3.1 Scheduling Ground Sensors for Non-Cooperative Tracking</w:t>
      </w:r>
    </w:p>
    <w:p>
      <w:pPr>
        <w:pStyle w:val="FirstParagraph"/>
        <w:spacing w:line="480" w:lineRule="auto"/>
      </w:pPr>
      <w:r>
        <w:t xml:space="preserve">A distinct but adjacent operational literature concerns the scheduling of ground sensors to track objects whose future behavior is uncertain. Shivshankar and Ghose’s survival-analysis model of maneuver occurrence for non-cooperative satellites</w:t>
      </w:r>
      <w:r>
        <w:t xml:space="preserve"> </w:t>
      </w:r>
      <w:hyperlink w:anchor="ref-1">
        <w:r>
          <w:rPr>
            <w:rStyle w:val="Hyperlink"/>
          </w:rPr>
          <w:t xml:space="preserve">[1]</w:t>
        </w:r>
      </w:hyperlink>
      <w:r>
        <w:t xml:space="preserve"> </w:t>
      </w:r>
      <w:r>
        <w:t xml:space="preserve">is exemplary: it treats the timing of a satellite maneuver as a time-to-event random variable and estimates when a non-cooperative target is likely to maneuver so that ground sensors can be scheduled to observe it. This work is methodologically important to the present dissertation for two reasons. First, it demonstrates that ground-asset scheduling is a quantitatively tractable problem amenable to statistical, not merely optimization-theoretic, treatment; survival analysis is an econometric instrument, and its appearance here shows that the timing of events is already being modeled probabilistically in the space-surveillance domain. Second, and by contrast, it frames the scheduling problem around observation tasking against adversarial or uncooperative targets rather than around contention among cooperative, mission-owned spacecraft competing for a common command-and-telemetry plant.</w:t>
      </w:r>
    </w:p>
    <w:p>
      <w:pPr>
        <w:pStyle w:val="BodyText"/>
        <w:spacing w:line="480" w:lineRule="auto"/>
        <w:ind w:firstLine="720"/>
      </w:pPr>
      <w:r>
        <w:t xml:space="preserve">That contrast defines the boundary of the present contribution. Shivshankar and Ghose model when to look at an uncooperative target</w:t>
      </w:r>
      <w:r>
        <w:t xml:space="preserve"> </w:t>
      </w:r>
      <w:hyperlink w:anchor="ref-1">
        <w:r>
          <w:rPr>
            <w:rStyle w:val="Hyperlink"/>
          </w:rPr>
          <w:t xml:space="preserve">[1]</w:t>
        </w:r>
      </w:hyperlink>
      <w:r>
        <w:t xml:space="preserve">; the DSN problem is who among many cooperative users gets served when their geometry-driven windows collide. The survival-analysis frame is adjacent in method, in that both ask about the timing of events, but the object of contention is fundamentally different. The non-cooperative-tracking literature has no shared, capacity-limited plant whose deferral structure is the outcome of interest; it has a single sensor tasked against a target whose behavior it cannot control. The DSN problem inverts this: the targets are cooperative and their visibility windows are fixed by orbital mechanics, while the binding scarcity is the shared aperture. The two problems share the vocabulary of timing and the toolkit of event modeling, but they do not share a structural model, and the survival-analysis literature does not supply one for cooperative-user contention.</w:t>
      </w:r>
    </w:p>
    <w:bookmarkEnd w:id="73"/>
    <w:bookmarkStart w:id="74" w:name="Xaebaf96b53edb3fc429194a1b75ac70571f143a"/>
    <w:p>
      <w:pPr>
        <w:pStyle w:val="Heading3"/>
        <w:spacing w:line="480" w:lineRule="auto"/>
      </w:pPr>
      <w:r>
        <w:t xml:space="preserve">2.3.2 Sensor-Tasking, Network Evaluation, and the Game-Theoretic Frame</w:t>
      </w:r>
    </w:p>
    <w:p>
      <w:pPr>
        <w:pStyle w:val="FirstParagraph"/>
        <w:spacing w:line="480" w:lineRule="auto"/>
      </w:pPr>
      <w:r>
        <w:t xml:space="preserve">The broader ground-sensor literature has developed sophisticated tools for tasking and for evaluating sensor networks that are worth registering because they delimit, by contrast, what the DSN problem is not. Net-centric sensor and data-source architectures for deep-space surveillance</w:t>
      </w:r>
      <w:r>
        <w:t xml:space="preserve"> </w:t>
      </w:r>
      <w:hyperlink w:anchor="ref-15">
        <w:r>
          <w:rPr>
            <w:rStyle w:val="Hyperlink"/>
          </w:rPr>
          <w:t xml:space="preserve">[15]</w:t>
        </w:r>
      </w:hyperlink>
      <w:r>
        <w:t xml:space="preserve"> </w:t>
      </w:r>
      <w:r>
        <w:t xml:space="preserve">and multi-phenomenology observation-network evaluation tools</w:t>
      </w:r>
      <w:r>
        <w:t xml:space="preserve"> </w:t>
      </w:r>
      <w:hyperlink w:anchor="ref-16">
        <w:r>
          <w:rPr>
            <w:rStyle w:val="Hyperlink"/>
          </w:rPr>
          <w:t xml:space="preserve">[16]</w:t>
        </w:r>
      </w:hyperlink>
      <w:r>
        <w:t xml:space="preserve"> </w:t>
      </w:r>
      <w:r>
        <w:t xml:space="preserve">formalize how a heterogeneous sensor network is composed and assessed, and the sensor-management literature has cast the tasking problem explicitly in game-theoretic terms, including a deep-reinforcement-learning treatment of the sensor-management prisoner’s dilemma</w:t>
      </w:r>
      <w:r>
        <w:t xml:space="preserve"> </w:t>
      </w:r>
      <w:hyperlink w:anchor="ref-19">
        <w:r>
          <w:rPr>
            <w:rStyle w:val="Hyperlink"/>
          </w:rPr>
          <w:t xml:space="preserve">[19]</w:t>
        </w:r>
      </w:hyperlink>
      <w:r>
        <w:t xml:space="preserve">. These contributions model sensor allocation as a decision problem under adversarial or strategic uncertainty. They are valuable as a contrast class: they show that when the object of observation is non-cooperative or strategic, the natural frame is game-theoretic or control-theoretic. The DSN problem, by contrast, involves cooperative users whose only conflict is the coincidence of their otherwise legitimate, geometry-fixed demands, which is precisely a queueing problem rather than a game. Recognizing this boundary clarifies why the queueing backbone, not a game-theoretic one, is the appropriate structural model for cooperative-user pass contention.</w:t>
      </w:r>
    </w:p>
    <w:bookmarkEnd w:id="74"/>
    <w:bookmarkStart w:id="75" w:name="Xc366ad075fe4b542313f49d55871cf443eb8be3"/>
    <w:p>
      <w:pPr>
        <w:pStyle w:val="Heading3"/>
        <w:spacing w:line="480" w:lineRule="auto"/>
      </w:pPr>
      <w:r>
        <w:t xml:space="preserve">2.3.3 The Wider Ground-Segment and Deep-Space Communications Context</w:t>
      </w:r>
    </w:p>
    <w:p>
      <w:pPr>
        <w:pStyle w:val="FirstParagraph"/>
        <w:spacing w:line="480" w:lineRule="auto"/>
      </w:pPr>
      <w:r>
        <w:t xml:space="preserve">The DSN sits within a wider literature on deep-space communications architecture and ground-segment design that supplies useful context on why ground-segment scarcity is structural rather than incidental. Studies of relay-network topologies to improve Earth-Mars communications</w:t>
      </w:r>
      <w:r>
        <w:t xml:space="preserve"> </w:t>
      </w:r>
      <w:hyperlink w:anchor="ref-28">
        <w:r>
          <w:rPr>
            <w:rStyle w:val="Hyperlink"/>
          </w:rPr>
          <w:t xml:space="preserve">[28]</w:t>
        </w:r>
      </w:hyperlink>
      <w:r>
        <w:t xml:space="preserve"> </w:t>
      </w:r>
      <w:r>
        <w:t xml:space="preserve">demonstrate that the ground and relay segment is an actively contested design space, and that the demand on Earth-based apertures is shaped by the communications architecture upstream of any individual pass. Work on autonomous navigation for deep-space small satellites</w:t>
      </w:r>
      <w:r>
        <w:t xml:space="preserve"> </w:t>
      </w:r>
      <w:hyperlink w:anchor="ref-22">
        <w:r>
          <w:rPr>
            <w:rStyle w:val="Hyperlink"/>
          </w:rPr>
          <w:t xml:space="preserve">[22]</w:t>
        </w:r>
      </w:hyperlink>
      <w:r>
        <w:t xml:space="preserve"> </w:t>
      </w:r>
      <w:r>
        <w:t xml:space="preserve">underscores the countervailing pressure: as the population of deep-space platforms grows and diversifies, the demand for tracking and navigation support multiplies, even where onboard autonomy partially offloads it. This context establishes that the offered load on the DSN is not exogenous to the mission portfolio but is generated by a growing and heterogeneous set of users, which is the demand-side counterpart to the fixed-supply story of Section 2.2. It does not, however, model the contention outcome; it characterizes the forces that raise offered load without decomposing how that load translates into deferral.</w:t>
      </w:r>
    </w:p>
    <w:p>
      <w:pPr>
        <w:pStyle w:val="BodyText"/>
        <w:spacing w:line="480" w:lineRule="auto"/>
        <w:ind w:firstLine="720"/>
      </w:pPr>
      <w:r>
        <w:t xml:space="preserve">A large and active subliterature applies machine learning and computer vision to space-object characterization, pose estimation, orientation inference, and debris tracking</w:t>
      </w:r>
      <w:r>
        <w:t xml:space="preserve"> </w:t>
      </w:r>
      <w:hyperlink w:anchor="ref-17">
        <w:r>
          <w:rPr>
            <w:rStyle w:val="Hyperlink"/>
          </w:rPr>
          <w:t xml:space="preserve">[17]</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w:t>
      </w:r>
      <w:r>
        <w:t xml:space="preserve"> </w:t>
      </w:r>
      <w:hyperlink w:anchor="ref-29">
        <w:r>
          <w:rPr>
            <w:rStyle w:val="Hyperlink"/>
          </w:rPr>
          <w:t xml:space="preserve">[29]</w:t>
        </w:r>
      </w:hyperlink>
      <w:r>
        <w:t xml:space="preserve">. This body of work, including spectroscopic orientation inference with convolutional networks</w:t>
      </w:r>
      <w:r>
        <w:t xml:space="preserve"> </w:t>
      </w:r>
      <w:hyperlink w:anchor="ref-17">
        <w:r>
          <w:rPr>
            <w:rStyle w:val="Hyperlink"/>
          </w:rPr>
          <w:t xml:space="preserve">[17]</w:t>
        </w:r>
      </w:hyperlink>
      <w:r>
        <w:t xml:space="preserve">, quality-weighted iterative deconvolution for image restoration</w:t>
      </w:r>
      <w:r>
        <w:t xml:space="preserve"> </w:t>
      </w:r>
      <w:hyperlink w:anchor="ref-20">
        <w:r>
          <w:rPr>
            <w:rStyle w:val="Hyperlink"/>
          </w:rPr>
          <w:t xml:space="preserve">[20]</w:t>
        </w:r>
      </w:hyperlink>
      <w:r>
        <w:t xml:space="preserve">, object-detection approaches to satellite imagery</w:t>
      </w:r>
      <w:r>
        <w:t xml:space="preserve"> </w:t>
      </w:r>
      <w:hyperlink w:anchor="ref-21">
        <w:r>
          <w:rPr>
            <w:rStyle w:val="Hyperlink"/>
          </w:rPr>
          <w:t xml:space="preserve">[21]</w:t>
        </w:r>
      </w:hyperlink>
      <w:r>
        <w:t xml:space="preserve">, surveys of deep-learning-based monocular pose estimation</w:t>
      </w:r>
      <w:r>
        <w:t xml:space="preserve"> </w:t>
      </w:r>
      <w:hyperlink w:anchor="ref-23">
        <w:r>
          <w:rPr>
            <w:rStyle w:val="Hyperlink"/>
          </w:rPr>
          <w:t xml:space="preserve">[23]</w:t>
        </w:r>
      </w:hyperlink>
      <w:r>
        <w:t xml:space="preserve">, vision-based debris-trajectory estimation</w:t>
      </w:r>
      <w:r>
        <w:t xml:space="preserve"> </w:t>
      </w:r>
      <w:hyperlink w:anchor="ref-24">
        <w:r>
          <w:rPr>
            <w:rStyle w:val="Hyperlink"/>
          </w:rPr>
          <w:t xml:space="preserve">[24]</w:t>
        </w:r>
      </w:hyperlink>
      <w:r>
        <w:t xml:space="preserve">, CNN-aided relative pose estimation</w:t>
      </w:r>
      <w:r>
        <w:t xml:space="preserve"> </w:t>
      </w:r>
      <w:hyperlink w:anchor="ref-25">
        <w:r>
          <w:rPr>
            <w:rStyle w:val="Hyperlink"/>
          </w:rPr>
          <w:t xml:space="preserve">[25]</w:t>
        </w:r>
      </w:hyperlink>
      <w:r>
        <w:t xml:space="preserve">, in-cabin visual tracking</w:t>
      </w:r>
      <w:r>
        <w:t xml:space="preserve"> </w:t>
      </w:r>
      <w:hyperlink w:anchor="ref-26">
        <w:r>
          <w:rPr>
            <w:rStyle w:val="Hyperlink"/>
          </w:rPr>
          <w:t xml:space="preserve">[26]</w:t>
        </w:r>
      </w:hyperlink>
      <w:r>
        <w:t xml:space="preserve">, pattern recognition in mission time series</w:t>
      </w:r>
      <w:r>
        <w:t xml:space="preserve"> </w:t>
      </w:r>
      <w:hyperlink w:anchor="ref-27">
        <w:r>
          <w:rPr>
            <w:rStyle w:val="Hyperlink"/>
          </w:rPr>
          <w:t xml:space="preserve">[27]</w:t>
        </w:r>
      </w:hyperlink>
      <w:r>
        <w:t xml:space="preserve">, and prescribed-performance control of space manipulators</w:t>
      </w:r>
      <w:r>
        <w:t xml:space="preserve"> </w:t>
      </w:r>
      <w:hyperlink w:anchor="ref-29">
        <w:r>
          <w:rPr>
            <w:rStyle w:val="Hyperlink"/>
          </w:rPr>
          <w:t xml:space="preserve">[29]</w:t>
        </w:r>
      </w:hyperlink>
      <w:r>
        <w:t xml:space="preserve">, represents the perception and autonomy frontier of the space-domain technical literature. It is relevant to this dissertation only as a boundary marker: it demonstrates the breadth and methodological sophistication of the space-technical corpus while confirming that none of its instruments addresses the allocation of a shared ground plant among cooperative users. The perception literature improves what a sensor sees; it is silent on who gets to use the antenna. Even the integrity-and-provenance work on tracking-data validation</w:t>
      </w:r>
      <w:r>
        <w:t xml:space="preserve"> </w:t>
      </w:r>
      <w:hyperlink w:anchor="ref-14">
        <w:r>
          <w:rPr>
            <w:rStyle w:val="Hyperlink"/>
          </w:rPr>
          <w:t xml:space="preserve">[14]</w:t>
        </w:r>
      </w:hyperlink>
      <w:r>
        <w:t xml:space="preserve"> </w:t>
      </w:r>
      <w:r>
        <w:t xml:space="preserve">and the behavior-comparison framing of space-traffic awareness</w:t>
      </w:r>
      <w:r>
        <w:t xml:space="preserve"> </w:t>
      </w:r>
      <w:hyperlink w:anchor="ref-18">
        <w:r>
          <w:rPr>
            <w:rStyle w:val="Hyperlink"/>
          </w:rPr>
          <w:t xml:space="preserve">[18]</w:t>
        </w:r>
      </w:hyperlink>
      <w:r>
        <w:t xml:space="preserve">, which come closest to the governance of shared space resources, address the trustworthiness and interpretation of tracking data rather than the contention for the apertures that produce it. The cumulative lesson of Section 2.3 is that the space-technical literature is wide and deep, that it models perception, control, optimization, and integrity with great care, and that it nonetheless leaves the cooperative-user contention problem structurally unmodeled.</w:t>
      </w:r>
    </w:p>
    <w:bookmarkEnd w:id="75"/>
    <w:bookmarkEnd w:id="76"/>
    <w:bookmarkStart w:id="81" w:name="X07fe73e594277fc276c6392b9242153367417e1"/>
    <w:p>
      <w:pPr>
        <w:pStyle w:val="Heading2"/>
        <w:spacing w:line="480" w:lineRule="auto"/>
      </w:pPr>
      <w:r>
        <w:t xml:space="preserve">2.4 The Cliometric and Econometric Methodology Literature</w:t>
      </w:r>
    </w:p>
    <w:bookmarkStart w:id="77" w:name="Xf4b4de2d23996dc66db163a2c9f56bb1c1d1e01"/>
    <w:p>
      <w:pPr>
        <w:pStyle w:val="Heading3"/>
        <w:spacing w:line="480" w:lineRule="auto"/>
      </w:pPr>
      <w:r>
        <w:t xml:space="preserve">2.4.1 Scarcity as an Allocation-Efficiency Problem</w:t>
      </w:r>
    </w:p>
    <w:p>
      <w:pPr>
        <w:pStyle w:val="FirstParagraph"/>
        <w:spacing w:line="480" w:lineRule="auto"/>
      </w:pPr>
      <w:r>
        <w:t xml:space="preserve">The second literature this dissertation joins is the economics of scarce resources, and within it the economics of space. Weinzierl’s treatment of space as the final economic frontier</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w:t>
      </w:r>
      <w:r>
        <w:t xml:space="preserve">is the anchoring contribution. It frames orbital and infrastructural scarcity as an allocation-efficiency problem and argues that space resources are chronically misallocated because the mechanisms that would price them and aggregate dispersed information about demand are weak or absent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The argument is squarely in the tradition of allocation economics: where a scarce resource lacks a pricing signal and an information-aggregation mechanism, the resulting allocation is inefficient, and the inefficiency manifests as congestion, queuing, and the displacement of marginal users. Weinzierl’s published treatment in the economics literature</w:t>
      </w:r>
      <w:r>
        <w:t xml:space="preserve"> </w:t>
      </w:r>
      <w:hyperlink w:anchor="ref-6">
        <w:r>
          <w:rPr>
            <w:rStyle w:val="Hyperlink"/>
          </w:rPr>
          <w:t xml:space="preserve">[6]</w:t>
        </w:r>
      </w:hyperlink>
      <w:r>
        <w:t xml:space="preserve"> </w:t>
      </w:r>
      <w:r>
        <w:t xml:space="preserve">gives this argument its canonical form, and the strategic-analysis literature on the transformation of space-use norms</w:t>
      </w:r>
      <w:r>
        <w:t xml:space="preserve"> </w:t>
      </w:r>
      <w:hyperlink w:anchor="ref-3">
        <w:r>
          <w:rPr>
            <w:rStyle w:val="Hyperlink"/>
          </w:rPr>
          <w:t xml:space="preserve">[3]</w:t>
        </w:r>
      </w:hyperlink>
      <w:r>
        <w:t xml:space="preserve"> </w:t>
      </w:r>
      <w:r>
        <w:t xml:space="preserve">reinforces it by observing that critical space infrastructure is severely under-resourced and constrained relative to the activity it must support.</w:t>
      </w:r>
    </w:p>
    <w:p>
      <w:pPr>
        <w:pStyle w:val="BodyText"/>
        <w:spacing w:line="480" w:lineRule="auto"/>
        <w:ind w:firstLine="720"/>
      </w:pPr>
      <w:r>
        <w:t xml:space="preserve">For the present dissertation, this literature performs two functions. First, it supplies the why: it explains, at the level of mechanism, why a shared ground plant like the DSN should be expected to exhibit chronic contention and to displace its lowest-priority users, because the network rations by administrative priority rather than by price and therefore cannot use price to shape the timing of demand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Second, and more consequentially for method, it locates the DSN scheduling problem within a recognized class of allocation problems for which the econometric literature has well-developed identification strategies. The DSN is, in this reading, a concrete and measurable instance of exactly the allocation challenge Weinzierl diagnoses: a scarce resource, no price, administrative rationing, and a consequent congestion outcome whose drivers can be separated and estimated. The economics literature names the disease; it does not, however, descend to the level of an estimable model of how the contention is generated inside any particular network. It stops at narrative diagnosis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p>
    <w:bookmarkEnd w:id="77"/>
    <w:bookmarkStart w:id="78" w:name="X357b598ec453d8b307eb4b22a3cec6b02f8318c"/>
    <w:p>
      <w:pPr>
        <w:pStyle w:val="Heading3"/>
        <w:spacing w:line="480" w:lineRule="auto"/>
      </w:pPr>
      <w:r>
        <w:t xml:space="preserve">2.4.2 The Identification Logic: Level Versus Timing</w:t>
      </w:r>
    </w:p>
    <w:p>
      <w:pPr>
        <w:pStyle w:val="FirstParagraph"/>
        <w:spacing w:line="480" w:lineRule="auto"/>
      </w:pPr>
      <w:r>
        <w:t xml:space="preserve">The methodological core that this dissertation imports from the econometric tradition is the discipline of identification: the practice of isolating a causal channel of interest from confounding channels by exploiting variation that is plausibly exogenous to the outcome. In the allocation-economics frame, the question is not merely whether a resource is congested but what generates the congestion, because the policy remedy depends entirely on the answer. The distinction this dissertation draws, between congestion driven by the level of demand and congestion driven by the timing of demand, is a direct application of the econometric instinct to decompose a reduced-form outcome into separately identified structural channels. The economics-of-space literature supplies the conceptual warrant for the distinction, because its account of misallocation turns on the absence of mechanisms that would shape when demand arrives, not only how much arrives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 network that could price its peaks would shift demand in time; a network that rations only by administrative priority cannot, and so its contention should carry a timing signature that an efficient market would have arbitraged away.</w:t>
      </w:r>
    </w:p>
    <w:p>
      <w:pPr>
        <w:pStyle w:val="BodyText"/>
        <w:spacing w:line="480" w:lineRule="auto"/>
        <w:ind w:firstLine="720"/>
      </w:pPr>
      <w:r>
        <w:t xml:space="preserve">The identification strategy that follows from this logic is the fixed-effects design. By absorbing persistent, complex-specific differences in capability and standing demand into complex indicators, and by absorbing seasonal or cycle-specific demand structure into cycle effects, the estimator isolates the within-complex, within-cycle variation in arrival dispersion that is the timing channel of interest. Comparing cells at similar utilization but different request burstiness isolates the timing channel from the volume channel, which is the econometric counterpart to the survival-analysis instinct in the ground-sensor literature</w:t>
      </w:r>
      <w:r>
        <w:t xml:space="preserve"> </w:t>
      </w:r>
      <w:hyperlink w:anchor="ref-1">
        <w:r>
          <w:rPr>
            <w:rStyle w:val="Hyperlink"/>
          </w:rPr>
          <w:t xml:space="preserve">[1]</w:t>
        </w:r>
      </w:hyperlink>
      <w:r>
        <w:t xml:space="preserve"> </w:t>
      </w:r>
      <w:r>
        <w:t xml:space="preserve">but applied to a contention outcome rather than to a maneuver event. The fixed-effects panel design and the binary discrete-choice model are the two estimators this dissertation’s companion studies deploy, and both are standard instruments of the cliometric and applied-microeconometric toolkit. Their novelty here lies not in the estimators themselves but in their application to a domain that has, until now, been the exclusive province of optimization methods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bookmarkEnd w:id="78"/>
    <w:bookmarkStart w:id="79" w:name="X3b12e037f244e54625527cdb5c24eff8ec7077a"/>
    <w:p>
      <w:pPr>
        <w:pStyle w:val="Heading3"/>
        <w:spacing w:line="480" w:lineRule="auto"/>
      </w:pPr>
      <w:r>
        <w:t xml:space="preserve">2.4.3 Falsification and Out-of-Sample Adjudication</w:t>
      </w:r>
    </w:p>
    <w:p>
      <w:pPr>
        <w:pStyle w:val="FirstParagraph"/>
        <w:spacing w:line="480" w:lineRule="auto"/>
      </w:pPr>
      <w:r>
        <w:t xml:space="preserve">A second methodological commitment imported from the econometric tradition is the discipline of falsifiable, out-of-sample adjudication. The domain-technical literature evaluates a scheduler by its in-sample performance: did the optimizer raise the scheduled fraction on the weeks it was run</w:t>
      </w:r>
      <w:r>
        <w:t xml:space="preserve"> </w:t>
      </w:r>
      <w:hyperlink w:anchor="ref-4">
        <w:r>
          <w:rPr>
            <w:rStyle w:val="Hyperlink"/>
          </w:rPr>
          <w:t xml:space="preserve">[4]</w:t>
        </w:r>
      </w:hyperlink>
      <w:r>
        <w:t xml:space="preserve">. The econometric tradition, by contrast, insists that a claim about the structure generating an outcome be stated as a falsifiable hypothesis and adjudicated on held-out data, so that the test rewards genuine generalization rather than in-sample fit. This dissertation adopts that posture. The central claim is stated as a sharp null and alternative: that arrival dispersion carries no additional explanatory power for deferral once utilization is controlled, against the alternative that it does. The claim is falsifiable in the strict sense, because a dispersion-aware specification that fails to beat a utilization-only benchmark out of sample rejects the alternative and leaves the conventional volume-centric planning heuristic standing. This out-of-sample, falsificationist criterion is the methodological signature of the cliometric tradition, and its transplantation into the DSN scheduling domain is one of the dissertation’s contributions.</w:t>
      </w:r>
    </w:p>
    <w:bookmarkEnd w:id="79"/>
    <w:bookmarkStart w:id="80" w:name="Xcc3f17da1b3f337778db40b30c011d0842eabaf"/>
    <w:p>
      <w:pPr>
        <w:pStyle w:val="Heading3"/>
        <w:spacing w:line="480" w:lineRule="auto"/>
      </w:pPr>
      <w:r>
        <w:t xml:space="preserve">2.4.4 Endogeneity and the Limits of Observational Identification</w:t>
      </w:r>
    </w:p>
    <w:p>
      <w:pPr>
        <w:pStyle w:val="FirstParagraph"/>
        <w:spacing w:line="480" w:lineRule="auto"/>
      </w:pPr>
      <w:r>
        <w:t xml:space="preserve">The econometric literature also supplies the dissertation with its discipline about threats to identification, and it is worth registering these threats here as part of the methodological inheritance. The central threat is the endogeneity of arrivals: mission planners already anticipate contention and shape their requests, so observed dispersion is partly a response to expected congestion rather than an exogenous driver of it. The preference-optimization literature makes this threat concrete, because it shows that the schedule is built from user preferences that planners adjust strategically</w:t>
      </w:r>
      <w:r>
        <w:t xml:space="preserve"> </w:t>
      </w:r>
      <w:hyperlink w:anchor="ref-11">
        <w:r>
          <w:rPr>
            <w:rStyle w:val="Hyperlink"/>
          </w:rPr>
          <w:t xml:space="preserve">[11]</w:t>
        </w:r>
      </w:hyperlink>
      <w:r>
        <w:t xml:space="preserve">. The econometric response is to lean on a source of variation that is plausibly exogenous to the scheduling outcome, and the DSN supplies one of unusual cleanliness: the geometry-driven visibility windows that orbital mechanics fix independently of any planner’s discretion. A spacecraft’s view periods from a given complex are set by celestial mechanics, not by negotiation, and so they furnish variation in the timing of demand that is, to first order, exogenous to the contention it produces. This is the identification asset that distinguishes the DSN problem from a generic queueing problem and that makes a credible observational test feasible. The econometric tradition’s insistence on naming and managing such threats, rather than asserting causal claims from raw correlation, is the final element of the methodological inheritance this dissertation draws from the cliometric literature.</w:t>
      </w:r>
    </w:p>
    <w:bookmarkEnd w:id="80"/>
    <w:bookmarkEnd w:id="81"/>
    <w:bookmarkStart w:id="85" w:name="synthesis-and-the-gap"/>
    <w:p>
      <w:pPr>
        <w:pStyle w:val="Heading2"/>
        <w:spacing w:line="480" w:lineRule="auto"/>
      </w:pPr>
      <w:r>
        <w:t xml:space="preserve">2.5 Synthesis and the Gap</w:t>
      </w:r>
    </w:p>
    <w:bookmarkStart w:id="82" w:name="what-each-literature-has-and-lacks"/>
    <w:p>
      <w:pPr>
        <w:pStyle w:val="Heading3"/>
        <w:spacing w:line="480" w:lineRule="auto"/>
      </w:pPr>
      <w:r>
        <w:t xml:space="preserve">2.5.1 What Each Literature Has and Lacks</w:t>
      </w:r>
    </w:p>
    <w:p>
      <w:pPr>
        <w:pStyle w:val="FirstParagraph"/>
        <w:spacing w:line="480" w:lineRule="auto"/>
      </w:pPr>
      <w:r>
        <w:t xml:space="preserve">The synthesis can now be stated precisely. The domain-technical literature possesses everything about the DSN except an identification strategy. It has the institutional facts of oversubscription</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the physical inventory that bounds supply</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priority-and-preference rationing rule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documented critical-event timing triggers</w:t>
      </w:r>
      <w:r>
        <w:t xml:space="preserve"> </w:t>
      </w:r>
      <w:hyperlink w:anchor="ref-5">
        <w:r>
          <w:rPr>
            <w:rStyle w:val="Hyperlink"/>
          </w:rPr>
          <w:t xml:space="preserve">[5]</w:t>
        </w:r>
      </w:hyperlink>
      <w:r>
        <w:t xml:space="preserve">,</w:t>
      </w:r>
      <w:r>
        <w:t xml:space="preserve"> </w:t>
      </w:r>
      <w:hyperlink w:anchor="ref-12">
        <w:r>
          <w:rPr>
            <w:rStyle w:val="Hyperlink"/>
          </w:rPr>
          <w:t xml:space="preserve">[12]</w:t>
        </w:r>
      </w:hyperlink>
      <w:r>
        <w:t xml:space="preserve">, and even a directly observed burstiness episode in the late-2018 critical-event cluster</w:t>
      </w:r>
      <w:r>
        <w:t xml:space="preserve"> </w:t>
      </w:r>
      <w:hyperlink w:anchor="ref-4">
        <w:r>
          <w:rPr>
            <w:rStyle w:val="Hyperlink"/>
          </w:rPr>
          <w:t xml:space="preserve">[4]</w:t>
        </w:r>
      </w:hyperlink>
      <w:r>
        <w:t xml:space="preserve">. What it lacks is any treatment of deferral as an outcome variable whose conditional expectation is to be modeled against competing structural channels. Its instruments are optimization instruments, and its dependent construct is the scheduled fraction, not the deferral random variable. It has, in short, the phenomenon and the data but not the method for decomposing them.</w:t>
      </w:r>
    </w:p>
    <w:p>
      <w:pPr>
        <w:pStyle w:val="BodyText"/>
        <w:spacing w:line="480" w:lineRule="auto"/>
        <w:ind w:firstLine="720"/>
      </w:pPr>
      <w:r>
        <w:t xml:space="preserve">The cliometric and econometric literature possesses everything about identification except the DSN. It has the allocation-economics diagnosis that names ground-segment scarcity as a misallocation problem rooted in the absence of pricing and information-aggregation mechanisms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It has the level-versus-timing decomposition logic, the fixed-effects and discrete-choice estimators, the falsificationist out-of-sample adjudication criterion, and the discipline of endogeneity management. The adjacent ground-sensor literature even demonstrates that statistical event-timing models, such as survival analysis</w:t>
      </w:r>
      <w:r>
        <w:t xml:space="preserve"> </w:t>
      </w:r>
      <w:hyperlink w:anchor="ref-1">
        <w:r>
          <w:rPr>
            <w:rStyle w:val="Hyperlink"/>
          </w:rPr>
          <w:t xml:space="preserve">[1]</w:t>
        </w:r>
      </w:hyperlink>
      <w:r>
        <w:t xml:space="preserve">, are tractable in the space domain. What this literature lacks is any application to the concrete, publicly logged process by which the DSN defers passes. It has the method but not the phenomenon, and where it touches the space domain at all it does so through narrative diagnosis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w:t>
      </w:r>
      <w:r>
        <w:t xml:space="preserve">or through a non-cooperative-tracking frame whose object of contention is structurally different from cooperative-user pass contention</w:t>
      </w:r>
      <w:r>
        <w:t xml:space="preserve"> </w:t>
      </w:r>
      <w:hyperlink w:anchor="ref-1">
        <w:r>
          <w:rPr>
            <w:rStyle w:val="Hyperlink"/>
          </w:rPr>
          <w:t xml:space="preserve">[1]</w:t>
        </w:r>
      </w:hyperlink>
      <w:r>
        <w:t xml:space="preserve">.</w:t>
      </w:r>
    </w:p>
    <w:bookmarkEnd w:id="82"/>
    <w:bookmarkStart w:id="83" w:name="the-unjoined-region"/>
    <w:p>
      <w:pPr>
        <w:pStyle w:val="Heading3"/>
        <w:spacing w:line="480" w:lineRule="auto"/>
      </w:pPr>
      <w:r>
        <w:t xml:space="preserve">2.5.2 The Unjoined Region</w:t>
      </w:r>
    </w:p>
    <w:p>
      <w:pPr>
        <w:pStyle w:val="FirstParagraph"/>
        <w:spacing w:line="480" w:lineRule="auto"/>
      </w:pPr>
      <w:r>
        <w:t xml:space="preserve">The gap is therefore the unjoined region between the two literatures: the absence of an identified, falsifiable queueing model of DSN tracking-pass contention that separates the contribution of demand level from the contribution of demand timing, estimated on the public schedule record and adjudicated out of sample. No existing work poses the question in the falsifiable form this dissertation adopts, because the literature equipped with the phenomenon lacks the identification posture and the literature equipped with the identification posture lacks the phenomenon. The consequence of leaving the region unjoined is not merely academic. Without the level-versus-timing separation, the field cannot say whether a given congestion episode justifies aperture investment or merely arrival-shaping, and so it defaults to the volume-centric heuristic that reads every congestion signal as a call for more antennas. That default is exactly the misallocation the economics-of-space literature warns against</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it conflates a timing externality, which pricing or staggering would address, with a capacity shortfall, which only concrete would address, and it therefore risks recommending capital expenditure where an administrative remedy would suffice.</w:t>
      </w:r>
    </w:p>
    <w:bookmarkEnd w:id="83"/>
    <w:bookmarkStart w:id="84" w:name="the-queueing-backbone-as-the-bridge"/>
    <w:p>
      <w:pPr>
        <w:pStyle w:val="Heading3"/>
        <w:spacing w:line="480" w:lineRule="auto"/>
      </w:pPr>
      <w:r>
        <w:t xml:space="preserve">2.5.3 The Queueing Backbone as the Bridge</w:t>
      </w:r>
    </w:p>
    <w:p>
      <w:pPr>
        <w:pStyle w:val="FirstParagraph"/>
        <w:spacing w:line="480" w:lineRule="auto"/>
      </w:pPr>
      <w:r>
        <w:t xml:space="preserve">The bridge between the two literatures is the multi-server priority queue, which belongs natively to neither but is legible to both. To the domain-technical reader, it is the formal model of a complex: antennas are servers, pass requests are arrivals with heterogeneous service times and administratively assigned priority, and deferral is the queueing outcome when a higher-priority request preempts a lower one or when no server is free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To the econometric reader, it is a generative structure whose parameters can be separately identified, because queueing theory establishes that waiting and loss depend not only on the offered-load level but on the variance of the arrival process. The queue thus supplies a deferral function that depends on both the offered-load level and the arrival-dispersion parameter, which is what licenses the regression specification to enter utilization and dispersion as distinct, separately interpretable terms. By stating the structural model in transferable parameters, the queueing backbone also makes the contribution portable: the structural separation of level from timing, rather than the DSN-specific coefficients, is what transfers to other ground networks, including the commercial ground-station-as-a-service networks whose server counts and pricing rules differ from the DSN’s. The queueing backbone is, in this sense, the disciplinary lingua franca that allows the identification logic of the econometric literature to be spoken to the phenomenon held by the technical literature.</w:t>
      </w:r>
    </w:p>
    <w:bookmarkEnd w:id="84"/>
    <w:bookmarkEnd w:id="85"/>
    <w:bookmarkStart w:id="86" w:name="Xf2f44d8105eb4f1f7c0b3d10dc5a603db6143e1"/>
    <w:p>
      <w:pPr>
        <w:pStyle w:val="Heading2"/>
        <w:spacing w:line="480" w:lineRule="auto"/>
      </w:pPr>
      <w:r>
        <w:t xml:space="preserve">2.6 Positioning the Dissertation Against the Gap</w:t>
      </w:r>
    </w:p>
    <w:p>
      <w:pPr>
        <w:pStyle w:val="FirstParagraph"/>
        <w:spacing w:line="480" w:lineRule="auto"/>
      </w:pPr>
      <w:r>
        <w:t xml:space="preserve">The two companion studies that this dissertation comprises are designed to occupy the unjoined region from two complementary directions, and reviewing them against the literature clarifies what each adds. The first companion study estimates a fixed-effects linear specification at the complex-week level, regressing the deferral rate on utilization, an index of dispersion of pass-request arrivals, and complex fixed effects, and testing whether the dispersion coefficient is positive and distinguishable from zero once level and persistent complex differences are absorbed. This is the level-versus-timing decomposition of Section 2.4.2 applied directly to the DSN phenomenon of Section 2.2, with the geometry-driven visibility windows of Section 2.4.4 supplying the exogenous variation. It imports the econometric instinct, that contention be decomposed rather than merely reduced, into a domain that has known only optimization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 and it anchors its empirical magnitudes, the 88-to-91-percent scheduled fraction and the documented oversubscription and loading figures, to the technical literature’s own published facts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The second companion study changes both the unit of analysis and the estimator, modeling the individual pass request as a binary discrete-choice outcome, granted or deferred, with a logit specification whose covariates, serving-complex utilization, priority tier, a critical-window indicator, and requested pass length, are read directly off the queue logic that the domain-technical literature describes institutionally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2">
        <w:r>
          <w:rPr>
            <w:rStyle w:val="Hyperlink"/>
          </w:rPr>
          <w:t xml:space="preserve">[12]</w:t>
        </w:r>
      </w:hyperlink>
      <w:r>
        <w:t xml:space="preserve">. Where the first study asks whether timing drives the cell-level deferral rate, the second asks which request absorbs the deferral, and finds the signature of a single network-wide priority queue: lower-priority, longer, surge-window requests bear the displacement. This is the discrete-choice instrument of the econometric toolkit applied to the rationing rule that the technical literature names but does not model as an outcome. The critical-window indicator operationalizes the critical-event contention that Claessens and Johnston document qualitatively</w:t>
      </w:r>
      <w:r>
        <w:t xml:space="preserve"> </w:t>
      </w:r>
      <w:hyperlink w:anchor="ref-5">
        <w:r>
          <w:rPr>
            <w:rStyle w:val="Hyperlink"/>
          </w:rPr>
          <w:t xml:space="preserve">[5]</w:t>
        </w:r>
      </w:hyperlink>
      <w:r>
        <w:t xml:space="preserve">,</w:t>
      </w:r>
      <w:r>
        <w:t xml:space="preserve"> </w:t>
      </w:r>
      <w:hyperlink w:anchor="ref-12">
        <w:r>
          <w:rPr>
            <w:rStyle w:val="Hyperlink"/>
          </w:rPr>
          <w:t xml:space="preserve">[12]</w:t>
        </w:r>
      </w:hyperlink>
      <w:r>
        <w:t xml:space="preserve">, turning an institutional category into a measured covariate.</w:t>
      </w:r>
    </w:p>
    <w:p>
      <w:pPr>
        <w:pStyle w:val="BodyText"/>
        <w:spacing w:line="480" w:lineRule="auto"/>
        <w:ind w:firstLine="720"/>
      </w:pPr>
      <w:r>
        <w:t xml:space="preserve">Together the two studies join the literatures by carrying the econometric identification posture, the level-versus-timing decomposition, the fixed-effects and discrete-choice estimators, the falsificationist out-of-sample criterion, and the discipline of endogeneity management, into the publicly logged DSN scheduling phenomenon that the domain-technical literature has documented but never statistically decomposed. They do so on a queueing backbone that both literatures can read, and they state their structural contribution in transferable parameters so that the diagnosis travels beyond the DSN. The chapters that follow develop the queueing model formally, construct the panel and the request-level sample from the public schedule record described in Section 2.2.1, and report the two estimations whose place in the literature this chapter has established. The reader should carry forward from this review three claims that the remainder of the dissertation substantiates: that the phenomenon is real and documented but unmodeled as an outcome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that the method to model it exists but has not been applied here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and that the bridge between them is a queueing structure legible to both, whose level-and-timing decomposition is the contribution this dissertation makes.</w:t>
      </w:r>
    </w:p>
    <w:bookmarkEnd w:id="86"/>
    <w:bookmarkEnd w:id="87"/>
    <w:bookmarkStart w:id="96" w:name="Xcfcc00a3ded59aed0c781c16bfc121f2a509603"/>
    <w:p>
      <w:pPr>
        <w:pStyle w:val="Heading1"/>
        <w:spacing w:line="480" w:lineRule="auto"/>
      </w:pPr>
      <w:r>
        <w:t xml:space="preserve">Chapter 3. Theoretical Framework and Hypotheses</w:t>
      </w:r>
    </w:p>
    <w:bookmarkStart w:id="88" w:name="purpose-and-scope-of-the-chapter"/>
    <w:p>
      <w:pPr>
        <w:pStyle w:val="Heading2"/>
        <w:spacing w:line="480" w:lineRule="auto"/>
      </w:pPr>
      <w:r>
        <w:t xml:space="preserve">3.1 Purpose and Scope of the Chapter</w:t>
      </w:r>
    </w:p>
    <w:p>
      <w:pPr>
        <w:pStyle w:val="FirstParagraph"/>
        <w:spacing w:line="480" w:lineRule="auto"/>
      </w:pPr>
      <w:r>
        <w:t xml:space="preserve">The two preceding chapters established the empirical setting and the literature gap. The Deep Space Network is a finite physical plant: three complexes near Goldstone, Madrid, and Canberra, spaced roughly 120 degrees apart in longitude so that at least one always faces a given patch of deep sky, share a small inventory of large parabolic antennas among an expanding mission set</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Demand for tracking time routinely exceeds the supply that can be scheduled, with the published scheduling literature reporting that the network commits only 88 to 91 percent of requested support into the baseline schedule</w:t>
      </w:r>
      <w:r>
        <w:t xml:space="preserve"> </w:t>
      </w:r>
      <w:hyperlink w:anchor="ref-4">
        <w:r>
          <w:rPr>
            <w:rStyle w:val="Hyperlink"/>
          </w:rPr>
          <w:t xml:space="preserve">[4]</w:t>
        </w:r>
      </w:hyperlink>
      <w:r>
        <w:t xml:space="preserve"> </w:t>
      </w:r>
      <w:r>
        <w:t xml:space="preserve">and that oversubscription, the excess of requested over accommodable antenna time, reaches roughly 40 percent network-wide, projected by a NASA audit to approach half of capacity by the 2030s</w:t>
      </w:r>
      <w:r>
        <w:t xml:space="preserve"> </w:t>
      </w:r>
      <w:hyperlink w:anchor="ref-11">
        <w:r>
          <w:rPr>
            <w:rStyle w:val="Hyperlink"/>
          </w:rPr>
          <w:t xml:space="preserve">[11]</w:t>
        </w:r>
      </w:hyperlink>
      <w:r>
        <w:t xml:space="preserve">,</w:t>
      </w:r>
      <w:r>
        <w:t xml:space="preserve"> </w:t>
      </w:r>
      <w:hyperlink w:anchor="ref-7">
        <w:r>
          <w:rPr>
            <w:rStyle w:val="Hyperlink"/>
          </w:rPr>
          <w:t xml:space="preserve">[7]</w:t>
        </w:r>
      </w:hyperlink>
      <w:r>
        <w:t xml:space="preserve">. This chapter supplies the theoretical apparatus that converts those institutional facts into a single falsifiable proposition. Its task is threefold: to state the mechanism by which contention is generated inside a complex, to make explicit the causal logic that distinguishes the two competing explanations of pass deferral, and to formalize the null and alternative hypotheses that the empirical chapters will test.</w:t>
      </w:r>
    </w:p>
    <w:p>
      <w:pPr>
        <w:pStyle w:val="BodyText"/>
        <w:spacing w:line="480" w:lineRule="auto"/>
        <w:ind w:firstLine="720"/>
      </w:pPr>
      <w:r>
        <w:t xml:space="preserve">The chapter does not estimate anything. It derives, from the structure of the queue that physically describes a complex, the prediction that the empirical work either confirms or refutes. The discipline of stating the mechanism first matters here because the central claim of the dissertation is a claim about which of two channels governs a measurable outcome, and a claim of that form is only worth testing if the two channels are theoretically separable before they are statistically separated. The remainder of the chapter proceeds as follows. Section 3.2 specifies the queueing model that serves as the structural backbone. Section 3.3 develops the causal logic, decomposing congestion into a level channel and a timing channel and showing why the conventional planning heuristic conflates them. Section 3.4 derives the deferral function and the testable comparative statics. Section 3.5 states the formal hypotheses H0 and H1. Section 3.6 specifies the auxiliary directional predictions that the request-level analysis inherits from the same queue. Section 3.7 addresses the identifying assumptions on which the causal interpretation rests, and Section 3.8 summarizes.</w:t>
      </w:r>
    </w:p>
    <w:bookmarkEnd w:id="88"/>
    <w:bookmarkStart w:id="89" w:name="X1f52205654870ebb9602b056cf242d8a6d69bcc"/>
    <w:p>
      <w:pPr>
        <w:pStyle w:val="Heading2"/>
        <w:spacing w:line="480" w:lineRule="auto"/>
      </w:pPr>
      <w:r>
        <w:t xml:space="preserve">3.2 The Structural Backbone: A Multi-Server Priority Queue</w:t>
      </w:r>
    </w:p>
    <w:p>
      <w:pPr>
        <w:pStyle w:val="FirstParagraph"/>
        <w:spacing w:line="480" w:lineRule="auto"/>
      </w:pPr>
      <w:r>
        <w:t xml:space="preserve">The unit of physical analysis is the complex. Each complex is modeled as a multi-server queue in which the servers are the antennas, the customers are pass requests, and service is the act of tracking a spacecraft for the duration of a pass. Three features of the real network make the queue a priority queue with heterogeneous service rather than an elementary one, and each feature is documented in the operational record.</w:t>
      </w:r>
    </w:p>
    <w:p>
      <w:pPr>
        <w:pStyle w:val="BodyText"/>
        <w:spacing w:line="480" w:lineRule="auto"/>
        <w:ind w:firstLine="720"/>
      </w:pPr>
      <w:r>
        <w:t xml:space="preserve">First, the servers are few and their count differs across sites. Goldstone and Canberra each operate four antennas and Madrid six</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The number of servers is the parameter that the conventional capacity heuristic treats as the only lever, and one purpose of the model is to show why it is not.</w:t>
      </w:r>
    </w:p>
    <w:p>
      <w:pPr>
        <w:pStyle w:val="BodyText"/>
        <w:spacing w:line="480" w:lineRule="auto"/>
        <w:ind w:firstLine="720"/>
      </w:pPr>
      <w:r>
        <w:t xml:space="preserve">Second, arrivals carry an administratively assigned priority and a geometry-constrained desired window. The DSN scheduling process is explicitly a tiered priority-and-preference system in which requests are negotiated against one another and an automated optimizer packs as many as it can</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Priority is not a modeling convenience; it is the rule by which the real scheduler decides which request absorbs a collision. A higher-priority request can preempt or displace a lower-priority one competing for the same complex during overlapping view periods.</w:t>
      </w:r>
    </w:p>
    <w:p>
      <w:pPr>
        <w:pStyle w:val="BodyText"/>
        <w:spacing w:line="480" w:lineRule="auto"/>
        <w:ind w:firstLine="720"/>
      </w:pPr>
      <w:r>
        <w:t xml:space="preserve">Third, service times are heterogeneous. Pass durations differ across missions and across pass types, so the queue is one with a non-degenerate service-time distribution, not a constant-service-time system. Heterogeneous service interacts with bursty arrivals to produce transient overloads even when the long-run mean of offered load is moderate.</w:t>
      </w:r>
    </w:p>
    <w:p>
      <w:pPr>
        <w:pStyle w:val="BodyText"/>
        <w:spacing w:line="480" w:lineRule="auto"/>
        <w:ind w:firstLine="720"/>
      </w:pPr>
      <w:r>
        <w:t xml:space="preserve">Let a complex operate</w:t>
      </w:r>
      <w:r>
        <w:t xml:space="preserve"> </w:t>
      </w:r>
      <m:oMath>
        <m:r>
          <m:t>c</m:t>
        </m:r>
      </m:oMath>
      <w:r>
        <w:t xml:space="preserve"> </w:t>
      </w:r>
      <w:r>
        <w:t xml:space="preserve">identical servers, where</w:t>
      </w:r>
      <w:r>
        <w:t xml:space="preserve"> </w:t>
      </w:r>
      <m:oMath>
        <m:r>
          <m:t>c</m:t>
        </m:r>
      </m:oMath>
      <w:r>
        <w:t xml:space="preserve"> </w:t>
      </w:r>
      <w:r>
        <w:t xml:space="preserve">is the antenna count for that site. Pass requests arrive over a scheduling cycle as a point process with rate</w:t>
      </w:r>
      <w:r>
        <w:t xml:space="preserve"> </w:t>
      </w:r>
      <m:oMath>
        <m:r>
          <m:t>λ</m:t>
        </m:r>
      </m:oMath>
      <w:r>
        <w:t xml:space="preserve"> </w:t>
      </w:r>
      <w:r>
        <w:t xml:space="preserve">and require service times with mean</w:t>
      </w:r>
      <w:r>
        <w:t xml:space="preserve"> </w:t>
      </w:r>
      <m:oMath>
        <m:r>
          <m:t>1</m:t>
        </m:r>
        <m:r>
          <m:rPr>
            <m:sty m:val="p"/>
          </m:rPr>
          <m:t>/</m:t>
        </m:r>
        <m:r>
          <m:t>μ</m:t>
        </m:r>
      </m:oMath>
      <w:r>
        <w:t xml:space="preserve"> </w:t>
      </w:r>
      <w:r>
        <w:t xml:space="preserve">and a distribution whose second moment is non-trivial. Offered load is the dimensionless quantity</w:t>
      </w:r>
      <w:r>
        <w:t xml:space="preserve"> </w:t>
      </w:r>
      <m:oMath>
        <m:r>
          <m:t>a</m:t>
        </m:r>
        <m:r>
          <m:rPr>
            <m:sty m:val="p"/>
          </m:rPr>
          <m:t>=</m:t>
        </m:r>
        <m:r>
          <m:t>λ</m:t>
        </m:r>
        <m:r>
          <m:rPr>
            <m:sty m:val="p"/>
          </m:rPr>
          <m:t>/</m:t>
        </m:r>
        <m:r>
          <m:t>μ</m:t>
        </m:r>
      </m:oMath>
      <w:r>
        <w:t xml:space="preserve">, and utilization is</w:t>
      </w:r>
      <w:r>
        <w:t xml:space="preserve"> </w:t>
      </w:r>
      <m:oMath>
        <m:r>
          <m:t>ρ</m:t>
        </m:r>
        <m:r>
          <m:rPr>
            <m:sty m:val="p"/>
          </m:rPr>
          <m:t>=</m:t>
        </m:r>
        <m:r>
          <m:t>a</m:t>
        </m:r>
        <m:r>
          <m:rPr>
            <m:sty m:val="p"/>
          </m:rPr>
          <m:t>/</m:t>
        </m:r>
        <m:r>
          <m:t>c</m:t>
        </m:r>
        <m:r>
          <m:rPr>
            <m:sty m:val="p"/>
          </m:rPr>
          <m:t>=</m:t>
        </m:r>
        <m:r>
          <m:t>λ</m:t>
        </m:r>
        <m:r>
          <m:rPr>
            <m:sty m:val="p"/>
          </m:rPr>
          <m:t>/</m:t>
        </m:r>
        <m:r>
          <m:rPr>
            <m:sty m:val="p"/>
          </m:rPr>
          <m:t>(</m:t>
        </m:r>
        <m:r>
          <m:t>c</m:t>
        </m:r>
        <m:r>
          <m:t>μ</m:t>
        </m:r>
        <m:r>
          <m:rPr>
            <m:sty m:val="p"/>
          </m:rPr>
          <m:t>)</m:t>
        </m:r>
      </m:oMath>
      <w:r>
        <w:t xml:space="preserve">, the ratio of committed to available antenna-hours that the empirical chapters operationalize directly. A request is deferred when, at the moment its desired window opens, every server that can serve it is occupied by an equal-or-higher-priority request, or when a higher-priority request preempts it. Deferral is therefore the queueing system’s loss-or-wait outcome, realized as a pass not granted on its first-preference window.</w:t>
      </w:r>
    </w:p>
    <w:p>
      <w:pPr>
        <w:pStyle w:val="BodyText"/>
        <w:spacing w:line="480" w:lineRule="auto"/>
        <w:ind w:firstLine="720"/>
      </w:pPr>
      <w:r>
        <w:t xml:space="preserve">The decisive structural property is that the waiting and loss behavior of such a queue is not a function of</w:t>
      </w:r>
      <w:r>
        <w:t xml:space="preserve"> </w:t>
      </w:r>
      <m:oMath>
        <m:r>
          <m:t>ρ</m:t>
        </m:r>
      </m:oMath>
      <w:r>
        <w:t xml:space="preserve"> </w:t>
      </w:r>
      <w:r>
        <w:t xml:space="preserve">alone. In any multi-server queue with non-deterministic arrivals, the probability that an arriving request finds all admissible servers busy depends jointly on the offered-load level and on the variability of the arrival process. Two complexes can carry the identical mean utilization and yet experience materially different deferral if one receives its requests in smooth, near-evenly-spaced fashion and the other receives them in clustered bursts. The model thus contains, as a matter of its functional form rather than as an added assumption, two distinct arguments to the deferral function: a level argument and a dispersion argument. This is the theoretical fact on which the entire dissertation turns.</w:t>
      </w:r>
    </w:p>
    <w:p>
      <w:pPr>
        <w:pStyle w:val="BodyText"/>
        <w:spacing w:line="480" w:lineRule="auto"/>
        <w:ind w:firstLine="720"/>
      </w:pPr>
      <w:r>
        <w:t xml:space="preserve">To make the dispersion argument concrete, let the arrival process within a cycle be characterized not only by its mean rate</w:t>
      </w:r>
      <w:r>
        <w:t xml:space="preserve"> </w:t>
      </w:r>
      <m:oMath>
        <m:r>
          <m:t>λ</m:t>
        </m:r>
      </m:oMath>
      <w:r>
        <w:t xml:space="preserve"> </w:t>
      </w:r>
      <w:r>
        <w:t xml:space="preserve">but by its index of dispersion, the variance-to-mean ratio of the count of arrivals over the window. For a Poisson arrival stream this index equals unity by construction; for a smoother, more regular stream it falls below unity; for a bursty, clustered stream it rises above unity. Denote this index</w:t>
      </w:r>
      <w:r>
        <w:t xml:space="preserve"> </w:t>
      </w:r>
      <m:oMath>
        <m:r>
          <m:t>D</m:t>
        </m:r>
      </m:oMath>
      <w:r>
        <w:t xml:space="preserve">. The index of dispersion is the natural scalar summary of arrival timing because it normalizes the second moment of the arrival count by its first moment, so that it isolates burstiness from volume. A stream can have high</w:t>
      </w:r>
      <w:r>
        <w:t xml:space="preserve"> </w:t>
      </w:r>
      <m:oMath>
        <m:r>
          <m:t>λ</m:t>
        </m:r>
      </m:oMath>
      <w:r>
        <w:t xml:space="preserve"> </w:t>
      </w:r>
      <w:r>
        <w:t xml:space="preserve">and low</w:t>
      </w:r>
      <w:r>
        <w:t xml:space="preserve"> </w:t>
      </w:r>
      <m:oMath>
        <m:r>
          <m:t>D</m:t>
        </m:r>
      </m:oMath>
      <w:r>
        <w:t xml:space="preserve"> </w:t>
      </w:r>
      <w:r>
        <w:t xml:space="preserve">(heavy but smooth) or low</w:t>
      </w:r>
      <w:r>
        <w:t xml:space="preserve"> </w:t>
      </w:r>
      <m:oMath>
        <m:r>
          <m:t>λ</m:t>
        </m:r>
      </m:oMath>
      <w:r>
        <w:t xml:space="preserve"> </w:t>
      </w:r>
      <w:r>
        <w:t xml:space="preserve">and high</w:t>
      </w:r>
      <w:r>
        <w:t xml:space="preserve"> </w:t>
      </w:r>
      <m:oMath>
        <m:r>
          <m:t>D</m:t>
        </m:r>
      </m:oMath>
      <w:r>
        <w:t xml:space="preserve"> </w:t>
      </w:r>
      <w:r>
        <w:t xml:space="preserve">(light but clustered). The whole empirical strategy of the dissertation rests on the fact that</w:t>
      </w:r>
      <w:r>
        <w:t xml:space="preserve"> </w:t>
      </w:r>
      <m:oMath>
        <m:r>
          <m:t>λ</m:t>
        </m:r>
      </m:oMath>
      <w:r>
        <w:t xml:space="preserve"> </w:t>
      </w:r>
      <w:r>
        <w:t xml:space="preserve">and</w:t>
      </w:r>
      <w:r>
        <w:t xml:space="preserve"> </w:t>
      </w:r>
      <m:oMath>
        <m:r>
          <m:t>D</m:t>
        </m:r>
      </m:oMath>
      <w:r>
        <w:t xml:space="preserve"> </w:t>
      </w:r>
      <w:r>
        <w:t xml:space="preserve">are conceptually and, in the data, statistically separable.</w:t>
      </w:r>
    </w:p>
    <w:bookmarkEnd w:id="89"/>
    <w:bookmarkStart w:id="90" w:name="the-causal-logic-level-versus-timing"/>
    <w:p>
      <w:pPr>
        <w:pStyle w:val="Heading2"/>
        <w:spacing w:line="480" w:lineRule="auto"/>
      </w:pPr>
      <w:r>
        <w:t xml:space="preserve">3.3 The Causal Logic: Level versus Timing</w:t>
      </w:r>
    </w:p>
    <w:p>
      <w:pPr>
        <w:pStyle w:val="FirstParagraph"/>
        <w:spacing w:line="480" w:lineRule="auto"/>
      </w:pPr>
      <w:r>
        <w:t xml:space="preserve">The conventional planning heuristic for the DSN, and for ground segments generally, treats loading as a volume problem. If aggregate demand for antenna-hours approaches aggregate supply, the network is full, and the remedy is more apertures. This heuristic is a statement that deferral is a monotone increasing function of</w:t>
      </w:r>
      <w:r>
        <w:t xml:space="preserve"> </w:t>
      </w:r>
      <m:oMath>
        <m:r>
          <m:t>ρ</m:t>
        </m:r>
      </m:oMath>
      <w:r>
        <w:t xml:space="preserve"> </w:t>
      </w:r>
      <w:r>
        <w:t xml:space="preserve">and of nothing else that planners can act upon. Its implied capital recommendation is unambiguous and expensive: when contention rises, build antennas.</w:t>
      </w:r>
    </w:p>
    <w:p>
      <w:pPr>
        <w:pStyle w:val="BodyText"/>
        <w:spacing w:line="480" w:lineRule="auto"/>
        <w:ind w:firstLine="720"/>
      </w:pPr>
      <w:r>
        <w:t xml:space="preserve">Queueing theory contradicts the sufficiency of this account. A multi-server queue can exhibit severe waiting at moderate average utilization when arrivals are bursty, and can run smoothly at high utilization when arrivals are smooth. The reason is that congestion is realized in the transient, not in the average. When requests cluster, the instantaneous demand during the cluster can exceed</w:t>
      </w:r>
      <w:r>
        <w:t xml:space="preserve"> </w:t>
      </w:r>
      <m:oMath>
        <m:r>
          <m:t>c</m:t>
        </m:r>
      </m:oMath>
      <w:r>
        <w:t xml:space="preserve"> </w:t>
      </w:r>
      <w:r>
        <w:t xml:space="preserve">even though the cycle-mean demand sits well below capacity. During such a cluster, the queue spills: some requests in the burst find all admissible servers occupied and are deferred. The deferrals accumulated during bursts are not recovered during the troughs between bursts, because a server idle in a trough cannot retroactively serve a request whose geometry-fixed window has already closed. The asymmetry between burst and trough is what makes timing a first-order driver rather than a wash.</w:t>
      </w:r>
    </w:p>
    <w:p>
      <w:pPr>
        <w:pStyle w:val="BodyText"/>
        <w:spacing w:line="480" w:lineRule="auto"/>
        <w:ind w:firstLine="720"/>
      </w:pPr>
      <w:r>
        <w:t xml:space="preserve">This yields the two-channel decomposition that the dissertation tests. Congestion arrives through a</w:t>
      </w:r>
      <w:r>
        <w:t xml:space="preserve"> </w:t>
      </w:r>
      <w:r>
        <w:rPr>
          <w:b/>
          <w:bCs/>
        </w:rPr>
        <w:t xml:space="preserve">level channel</w:t>
      </w:r>
      <w:r>
        <w:t xml:space="preserve">, in which higher mean utilization</w:t>
      </w:r>
      <w:r>
        <w:t xml:space="preserve"> </w:t>
      </w:r>
      <m:oMath>
        <m:r>
          <m:t>ρ</m:t>
        </m:r>
      </m:oMath>
      <w:r>
        <w:t xml:space="preserve"> </w:t>
      </w:r>
      <w:r>
        <w:t xml:space="preserve">raises deferral because the system is closer to its capacity ceiling on average, and through a</w:t>
      </w:r>
      <w:r>
        <w:t xml:space="preserve"> </w:t>
      </w:r>
      <w:r>
        <w:rPr>
          <w:b/>
          <w:bCs/>
        </w:rPr>
        <w:t xml:space="preserve">timing channel</w:t>
      </w:r>
      <w:r>
        <w:t xml:space="preserve">, in which higher arrival dispersion</w:t>
      </w:r>
      <w:r>
        <w:t xml:space="preserve"> </w:t>
      </w:r>
      <m:oMath>
        <m:r>
          <m:t>D</m:t>
        </m:r>
      </m:oMath>
      <w:r>
        <w:t xml:space="preserve"> </w:t>
      </w:r>
      <w:r>
        <w:t xml:space="preserve">raises deferral, at any fixed</w:t>
      </w:r>
      <w:r>
        <w:t xml:space="preserve"> </w:t>
      </w:r>
      <m:oMath>
        <m:r>
          <m:t>ρ</m:t>
        </m:r>
      </m:oMath>
      <w:r>
        <w:t xml:space="preserve">, because clustering produces transient overloads that the average conceals. The conventional heuristic recognizes only the level channel. The contribution of the dissertation is to identify the timing channel separately and to measure whether it carries explanatory power that the level channel does not already capture.</w:t>
      </w:r>
    </w:p>
    <w:p>
      <w:pPr>
        <w:pStyle w:val="BodyText"/>
        <w:spacing w:line="480" w:lineRule="auto"/>
        <w:ind w:firstLine="720"/>
      </w:pPr>
      <w:r>
        <w:t xml:space="preserve">The causal stakes of the distinction are sharp and were sharpened by the historical record. The documented late-2018 episode, in which three missions reached critical events simultaneously and oversubscription spiked toward sixty percent, is the timing channel made visible</w:t>
      </w:r>
      <w:r>
        <w:t xml:space="preserve"> </w:t>
      </w:r>
      <w:hyperlink w:anchor="ref-4">
        <w:r>
          <w:rPr>
            <w:rStyle w:val="Hyperlink"/>
          </w:rPr>
          <w:t xml:space="preserve">[4]</w:t>
        </w:r>
      </w:hyperlink>
      <w:r>
        <w:t xml:space="preserve">. The annual-average utilization of the network in that period did not double; what changed was that demand coincided. Critical-event windows, encounters, orbit insertions, and landings, are precisely the moments at which many missions converge on the same geometry and the same hours</w:t>
      </w:r>
      <w:r>
        <w:t xml:space="preserve"> </w:t>
      </w:r>
      <w:hyperlink w:anchor="ref-4">
        <w:r>
          <w:rPr>
            <w:rStyle w:val="Hyperlink"/>
          </w:rPr>
          <w:t xml:space="preserve">[4]</w:t>
        </w:r>
      </w:hyperlink>
      <w:r>
        <w:t xml:space="preserve">. The burst is a feature of the demand structure, not of the demand level. If the late-2018 contention had been read through the level-only heuristic, the indicated remedy would have been aperture expansion sized to a peak that recurs only when events coincide, a remedy that overbuilds for the average and still does not guarantee relief when the next coincidence falls outside the planned capacity. If instead the contention is read as a timing phenomenon, the indicated remedy is to shape arrivals, by staggering routine requests away from anticipated clusters or by introducing scheduling incentives that price the externality a bursty requester imposes on the queue.</w:t>
      </w:r>
    </w:p>
    <w:p>
      <w:pPr>
        <w:pStyle w:val="BodyText"/>
        <w:spacing w:line="480" w:lineRule="auto"/>
        <w:ind w:firstLine="720"/>
      </w:pPr>
      <w:r>
        <w:t xml:space="preserve">The economic framing of the space literature reinforces why this distinction is consequential rather than merely technical. The economics of scarce space resources treats orbital and infrastructural scarcity as an allocation-efficiency problem and argues that space resources are chronically misallocated for want of pricing signals and mechanisms that aggregate dispersed information about demand</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Adjacent strategic analyses observe that critical space infrastructure is severely under-resourced and constrained relative to the activity it must support</w:t>
      </w:r>
      <w:r>
        <w:t xml:space="preserve"> </w:t>
      </w:r>
      <w:hyperlink w:anchor="ref-3">
        <w:r>
          <w:rPr>
            <w:rStyle w:val="Hyperlink"/>
          </w:rPr>
          <w:t xml:space="preserve">[3]</w:t>
        </w:r>
      </w:hyperlink>
      <w:r>
        <w:t xml:space="preserve">. That literature supplies a compelling account of why ground-segment scarcity persists but stops at narrative diagnosis; it does not supply an estimable model of how contention is generated inside a specific network, and so it cannot adjudicate between the capital remedy and the coordination remedy. The two-channel decomposition closes exactly that gap. A timing channel that carries independent explanatory power is, in the language of that literature, evidence that part of the scarcity is a coordination failure in the timing of demand rather than an absolute shortfall of physical capacity, and coordination failures are addressed by mechanisms, not by concrete.</w:t>
      </w:r>
    </w:p>
    <w:p>
      <w:pPr>
        <w:pStyle w:val="BodyText"/>
        <w:spacing w:line="480" w:lineRule="auto"/>
        <w:ind w:firstLine="720"/>
      </w:pPr>
      <w:r>
        <w:t xml:space="preserve">The adjacent operational literature establishes that ground-sensor and ground-station scheduling is a live and quantitatively tractable problem. Survival-analysis models estimate when a non-cooperative satellite is likely to maneuver so that ground sensors can be scheduled to observe it</w:t>
      </w:r>
      <w:r>
        <w:t xml:space="preserve"> </w:t>
      </w:r>
      <w:hyperlink w:anchor="ref-1">
        <w:r>
          <w:rPr>
            <w:rStyle w:val="Hyperlink"/>
          </w:rPr>
          <w:t xml:space="preserve">[1]</w:t>
        </w:r>
      </w:hyperlink>
      <w:r>
        <w:t xml:space="preserve">, and machine-learning controllers have been applied to communication scheduling between spacecraft and ground stations under delay and disruption</w:t>
      </w:r>
      <w:r>
        <w:t xml:space="preserve"> </w:t>
      </w:r>
      <w:hyperlink w:anchor="ref-8">
        <w:r>
          <w:rPr>
            <w:rStyle w:val="Hyperlink"/>
          </w:rPr>
          <w:t xml:space="preserve">[8]</w:t>
        </w:r>
      </w:hyperlink>
      <w:r>
        <w:t xml:space="preserve">. That body of work treats scheduling as an engineering optimization to be solved rather than as a phenomenon whose drivers are to be statistically identified. The DSN scheduling literature itself documents the oversubscription regime and the peer-to-peer negotiation process and reports that an optimization-based scheduler raised the scheduled share of requested time from roughly the high eighties to the low nineties of a percent</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These studies optimize the schedule; none decomposes the realized contention into a level channel and a timing channel. The dissertation’s theoretical contribution is to perform that decomposition, and its empirical contribution is to test which channel governs.</w:t>
      </w:r>
    </w:p>
    <w:bookmarkEnd w:id="90"/>
    <w:bookmarkStart w:id="91" w:name="X47c0c098f3b5b2fceb4ecb91260fea514851e86"/>
    <w:p>
      <w:pPr>
        <w:pStyle w:val="Heading2"/>
        <w:spacing w:line="480" w:lineRule="auto"/>
      </w:pPr>
      <w:r>
        <w:t xml:space="preserve">3.4 The Deferral Function and Its Comparative Statics</w:t>
      </w:r>
    </w:p>
    <w:p>
      <w:pPr>
        <w:pStyle w:val="FirstParagraph"/>
        <w:spacing w:line="480" w:lineRule="auto"/>
      </w:pPr>
      <w:r>
        <w:t xml:space="preserve">The model delivers a deferral function of the form</w:t>
      </w:r>
    </w:p>
    <w:p>
      <w:pPr>
        <w:pStyle w:val="BodyText"/>
        <w:spacing w:line="480" w:lineRule="auto"/>
        <w:ind w:firstLine="720"/>
      </w:pPr>
      <m:oMathPara>
        <m:oMathParaPr>
          <m:jc m:val="center"/>
        </m:oMathParaPr>
        <m:oMath>
          <m:r>
            <m:rPr>
              <m:nor/>
              <m:sty m:val="p"/>
            </m:rPr>
            <m:t>Defer</m:t>
          </m:r>
          <m:r>
            <m:rPr>
              <m:sty m:val="p"/>
            </m:rPr>
            <m:t>=</m:t>
          </m:r>
          <m:r>
            <m:t>f</m:t>
          </m:r>
          <m:r>
            <m:rPr>
              <m:sty m:val="p"/>
            </m:rPr>
            <m:t>(</m:t>
          </m:r>
          <m:r>
            <m:t>ρ</m:t>
          </m:r>
          <m:r>
            <m:rPr>
              <m:sty m:val="p"/>
            </m:rPr>
            <m:t>,</m:t>
          </m:r>
          <m:r>
            <m:t>D</m:t>
          </m:r>
          <m:r>
            <m:rPr>
              <m:sty m:val="p"/>
            </m:rPr>
            <m:t>;</m:t>
          </m:r>
          <m:r>
            <m:rPr>
              <m:sty m:val="b"/>
            </m:rPr>
            <m:t>z</m:t>
          </m:r>
          <m:r>
            <m:rPr>
              <m:sty m:val="p"/>
            </m:rPr>
            <m:t>)</m:t>
          </m:r>
          <m:r>
            <m:rPr>
              <m:sty m:val="p"/>
            </m:rPr>
            <m:t>,</m:t>
          </m:r>
        </m:oMath>
      </m:oMathPara>
    </w:p>
    <w:p>
      <w:pPr>
        <w:pStyle w:val="FirstParagraph"/>
        <w:spacing w:line="480" w:lineRule="auto"/>
      </w:pPr>
      <w:r>
        <w:t xml:space="preserve">where</w:t>
      </w:r>
      <w:r>
        <w:t xml:space="preserve"> </w:t>
      </w:r>
      <m:oMath>
        <m:r>
          <m:rPr>
            <m:nor/>
            <m:sty m:val="p"/>
          </m:rPr>
          <m:t>Defer</m:t>
        </m:r>
      </m:oMath>
      <w:r>
        <w:t xml:space="preserve"> </w:t>
      </w:r>
      <w:r>
        <w:t xml:space="preserve">is the realized rate at which requested passes are not granted on their first-preference window,</w:t>
      </w:r>
      <w:r>
        <w:t xml:space="preserve"> </w:t>
      </w:r>
      <m:oMath>
        <m:r>
          <m:t>ρ</m:t>
        </m:r>
      </m:oMath>
      <w:r>
        <w:t xml:space="preserve"> </w:t>
      </w:r>
      <w:r>
        <w:t xml:space="preserve">is utilization,</w:t>
      </w:r>
      <w:r>
        <w:t xml:space="preserve"> </w:t>
      </w:r>
      <m:oMath>
        <m:r>
          <m:t>D</m:t>
        </m:r>
      </m:oMath>
      <w:r>
        <w:t xml:space="preserve"> </w:t>
      </w:r>
      <w:r>
        <w:t xml:space="preserve">is the index of dispersion of request arrivals, and</w:t>
      </w:r>
      <w:r>
        <w:t xml:space="preserve"> </w:t>
      </w:r>
      <m:oMath>
        <m:r>
          <m:rPr>
            <m:sty m:val="b"/>
          </m:rPr>
          <m:t>z</m:t>
        </m:r>
      </m:oMath>
      <w:r>
        <w:t xml:space="preserve"> </w:t>
      </w:r>
      <w:r>
        <w:t xml:space="preserve">collects the persistent complex-level attributes (server count, standing demand geometry, priority mix) that the empirical design holds fixed through complex effects. The structural prediction of the multi-server priority queue is summarized in two comparative statics.</w:t>
      </w:r>
    </w:p>
    <w:p>
      <w:pPr>
        <w:pStyle w:val="BodyText"/>
        <w:spacing w:line="480" w:lineRule="auto"/>
        <w:ind w:firstLine="720"/>
      </w:pPr>
      <w:r>
        <w:t xml:space="preserve">The first comparative static is the level effect: holding dispersion fixed, deferral is increasing in utilization,</w:t>
      </w:r>
    </w:p>
    <w:p>
      <w:pPr>
        <w:pStyle w:val="BodyText"/>
        <w:spacing w:line="480" w:lineRule="auto"/>
        <w:ind w:firstLine="720"/>
      </w:pPr>
      <m:oMathPara>
        <m:oMathParaPr>
          <m:jc m:val="center"/>
        </m:oMathParaPr>
        <m:oMath>
          <m:f>
            <m:fPr>
              <m:type m:val="bar"/>
            </m:fPr>
            <m:num>
              <m:r>
                <m:rPr>
                  <m:sty m:val="p"/>
                </m:rPr>
                <m:t>∂</m:t>
              </m:r>
              <m:r>
                <m:t>f</m:t>
              </m:r>
            </m:num>
            <m:den>
              <m:r>
                <m:rPr>
                  <m:sty m:val="p"/>
                </m:rPr>
                <m:t>∂</m:t>
              </m:r>
              <m:r>
                <m:t>ρ</m:t>
              </m:r>
            </m:den>
          </m:f>
          <m:r>
            <m:rPr>
              <m:sty m:val="p"/>
            </m:rPr>
            <m:t>&gt;</m:t>
          </m:r>
          <m:r>
            <m:t>0</m:t>
          </m:r>
          <m:r>
            <m:rPr>
              <m:sty m:val="p"/>
            </m:rPr>
            <m:t>.</m:t>
          </m:r>
        </m:oMath>
      </m:oMathPara>
    </w:p>
    <w:p>
      <w:pPr>
        <w:pStyle w:val="FirstParagraph"/>
        <w:spacing w:line="480" w:lineRule="auto"/>
      </w:pPr>
      <w:r>
        <w:t xml:space="preserve">This is the channel the conventional heuristic already recognizes, and it is not in dispute. A network closer to its capacity ceiling on average defers more. The dissertation expects and the companion estimation confirms that this derivative is positive and economically large.</w:t>
      </w:r>
    </w:p>
    <w:p>
      <w:pPr>
        <w:pStyle w:val="BodyText"/>
        <w:spacing w:line="480" w:lineRule="auto"/>
        <w:ind w:firstLine="720"/>
      </w:pPr>
      <w:r>
        <w:t xml:space="preserve">The second comparative static is the timing effect and is the proposition the dissertation exists to test: holding utilization fixed, deferral is increasing in arrival dispersion,</w:t>
      </w:r>
    </w:p>
    <w:p>
      <w:pPr>
        <w:pStyle w:val="BodyText"/>
        <w:spacing w:line="480" w:lineRule="auto"/>
        <w:ind w:firstLine="720"/>
      </w:pPr>
      <m:oMathPara>
        <m:oMathParaPr>
          <m:jc m:val="center"/>
        </m:oMathParaPr>
        <m:oMath>
          <m:f>
            <m:fPr>
              <m:type m:val="bar"/>
            </m:fPr>
            <m:num>
              <m:r>
                <m:rPr>
                  <m:sty m:val="p"/>
                </m:rPr>
                <m:t>∂</m:t>
              </m:r>
              <m:r>
                <m:t>f</m:t>
              </m:r>
            </m:num>
            <m:den>
              <m:r>
                <m:rPr>
                  <m:sty m:val="p"/>
                </m:rPr>
                <m:t>∂</m:t>
              </m:r>
              <m:r>
                <m:t>D</m:t>
              </m:r>
            </m:den>
          </m:f>
          <m:r>
            <m:rPr>
              <m:sty m:val="p"/>
            </m:rPr>
            <m:t>&gt;</m:t>
          </m:r>
          <m:r>
            <m:t>0</m:t>
          </m:r>
          <m:r>
            <m:rPr>
              <m:sty m:val="p"/>
            </m:rPr>
            <m:t>.</m:t>
          </m:r>
        </m:oMath>
      </m:oMathPara>
    </w:p>
    <w:p>
      <w:pPr>
        <w:pStyle w:val="FirstParagraph"/>
        <w:spacing w:line="480" w:lineRule="auto"/>
      </w:pPr>
      <w:r>
        <w:t xml:space="preserve">This sign is the direct prediction of the queue. A more dispersed, burstier arrival stream produces more frequent transient overloads at the same mean load and therefore more deferral. The prediction is not an empirical hunch grafted onto the data; it is a property of the functional form of a multi-server queue with non-deterministic arrivals, and it would be a theoretical anomaly for the derivative to be zero or negative.</w:t>
      </w:r>
    </w:p>
    <w:p>
      <w:pPr>
        <w:pStyle w:val="BodyText"/>
        <w:spacing w:line="480" w:lineRule="auto"/>
        <w:ind w:firstLine="720"/>
      </w:pPr>
      <w:r>
        <w:t xml:space="preserve">A third, weaker prediction concerns the interaction of the two channels. Because clustering bites hardest when the system has little headroom, the marginal effect of dispersion is expected to be non-decreasing in utilization,</w:t>
      </w:r>
    </w:p>
    <w:p>
      <w:pPr>
        <w:pStyle w:val="BodyText"/>
        <w:spacing w:line="480" w:lineRule="auto"/>
        <w:ind w:firstLine="720"/>
      </w:pPr>
      <m:oMathPara>
        <m:oMathParaPr>
          <m:jc m:val="center"/>
        </m:oMathParaPr>
        <m:oMath>
          <m:f>
            <m:fPr>
              <m:type m:val="bar"/>
            </m:fPr>
            <m:num>
              <m:sSup>
                <m:e>
                  <m:r>
                    <m:rPr>
                      <m:sty m:val="p"/>
                    </m:rPr>
                    <m:t>∂</m:t>
                  </m:r>
                </m:e>
                <m:sup>
                  <m:r>
                    <m:t>2</m:t>
                  </m:r>
                </m:sup>
              </m:sSup>
              <m:r>
                <m:t>f</m:t>
              </m:r>
            </m:num>
            <m:den>
              <m:r>
                <m:rPr>
                  <m:sty m:val="p"/>
                </m:rPr>
                <m:t>∂</m:t>
              </m:r>
              <m:r>
                <m:t>D</m:t>
              </m:r>
              <m:r>
                <m:t> </m:t>
              </m:r>
              <m:r>
                <m:rPr>
                  <m:sty m:val="p"/>
                </m:rPr>
                <m:t>∂</m:t>
              </m:r>
              <m:r>
                <m:t>ρ</m:t>
              </m:r>
            </m:den>
          </m:f>
          <m:r>
            <m:rPr>
              <m:sty m:val="p"/>
            </m:rPr>
            <m:t>≥</m:t>
          </m:r>
          <m:r>
            <m:t>0</m:t>
          </m:r>
          <m:r>
            <m:rPr>
              <m:sty m:val="p"/>
            </m:rPr>
            <m:t>.</m:t>
          </m:r>
        </m:oMath>
      </m:oMathPara>
    </w:p>
    <w:p>
      <w:pPr>
        <w:pStyle w:val="FirstParagraph"/>
        <w:spacing w:line="480" w:lineRule="auto"/>
      </w:pPr>
      <w:r>
        <w:t xml:space="preserve">At low utilization a burst can often be absorbed by idle servers; at high utilization the same burst spills. This cross-partial motivates including an interaction term between dispersion and utilization in the test specification, so that the analysis can detect whether the timing channel steepens as the network saturates. The dissertation treats the interaction as a secondary prediction rather than as part of the core falsifiable claim, because the core claim concerns the existence and sign of the dispersion effect, not its curvature.</w:t>
      </w:r>
    </w:p>
    <w:p>
      <w:pPr>
        <w:pStyle w:val="BodyText"/>
        <w:spacing w:line="480" w:lineRule="auto"/>
        <w:ind w:firstLine="720"/>
      </w:pPr>
      <w:r>
        <w:t xml:space="preserve">The comparative statics translate directly into an estimable specification through two nested models. The benchmark expresses deferral as a function of utilization and complex fixed effects alone, encoding the conventional volume-centric account. The test specification adds the arrival-dispersion statistic and its interaction with utilization, encoding the timing channel. The whole apparatus of identification, developed in the methods chapter, reduces to a contest between these two specifications: does the dispersion-aware model explain realized deferral that the utilization-only model cannot,</w:t>
      </w:r>
    </w:p>
    <w:bookmarkEnd w:id="91"/>
    <w:bookmarkStart w:id="92" w:name="formal-hypotheses"/>
    <w:p>
      <w:pPr>
        <w:pStyle w:val="Heading2"/>
        <w:spacing w:line="480" w:lineRule="auto"/>
      </w:pPr>
      <w:r>
        <w:t xml:space="preserve">3.5 Formal Hypotheses</w:t>
      </w:r>
    </w:p>
    <w:p>
      <w:pPr>
        <w:pStyle w:val="FirstParagraph"/>
        <w:spacing w:line="480" w:lineRule="auto"/>
      </w:pPr>
      <w:r>
        <w:t xml:space="preserve">The theoretical development of Sections 3.2 through 3.4 yields one and only one falsifiable proposition, stated as a null and an alternative. The proposition concerns the partial contribution of arrival dispersion to deferral after the level channel and persistent complex attributes are already accounted for.</w:t>
      </w:r>
    </w:p>
    <w:p>
      <w:pPr>
        <w:pStyle w:val="BodyText"/>
        <w:spacing w:line="480" w:lineRule="auto"/>
        <w:ind w:firstLine="720"/>
      </w:pPr>
      <w:r>
        <w:rPr>
          <w:b/>
          <w:bCs/>
        </w:rPr>
        <w:t xml:space="preserve">H0 (null).</w:t>
      </w:r>
      <w:r>
        <w:t xml:space="preserve"> </w:t>
      </w:r>
      <w:r>
        <w:t xml:space="preserve">Conditional on aggregate antenna-hours utilization within a scheduling cycle and complex, and conditional on complex fixed effects, the dispersion of pass-request arrivals carries no additional explanatory power for the realized rate of pass deferral. Formally, in a model of deferral that includes utilization and complex effects, the coefficient on the arrival-dispersion term is zero,</w:t>
      </w:r>
    </w:p>
    <w:p>
      <w:pPr>
        <w:pStyle w:val="BodyText"/>
        <w:spacing w:line="480" w:lineRule="auto"/>
        <w:ind w:firstLine="720"/>
      </w:pPr>
      <m:oMathPara>
        <m:oMathParaPr>
          <m:jc m:val="center"/>
        </m:oMathParaPr>
        <m:oMath>
          <m:sSub>
            <m:e>
              <m:r>
                <m:t>H</m:t>
              </m:r>
            </m:e>
            <m:sub>
              <m:r>
                <m:t>0</m:t>
              </m:r>
            </m:sub>
          </m:sSub>
          <m:r>
            <m:rPr>
              <m:sty m:val="p"/>
            </m:rPr>
            <m:t>:</m:t>
          </m:r>
          <m:sSub>
            <m:e>
              <m:r>
                <m:t>β</m:t>
              </m:r>
            </m:e>
            <m:sub>
              <m:r>
                <m:t>D</m:t>
              </m:r>
            </m:sub>
          </m:sSub>
          <m:r>
            <m:rPr>
              <m:sty m:val="p"/>
            </m:rPr>
            <m:t>=</m:t>
          </m:r>
          <m:r>
            <m:t>0</m:t>
          </m:r>
          <m:r>
            <m:rPr>
              <m:sty m:val="p"/>
            </m:rPr>
            <m:t>,</m:t>
          </m:r>
        </m:oMath>
      </m:oMathPara>
    </w:p>
    <w:p>
      <w:pPr>
        <w:pStyle w:val="FirstParagraph"/>
        <w:spacing w:line="480" w:lineRule="auto"/>
      </w:pPr>
      <w:r>
        <w:t xml:space="preserve">and adding the dispersion term does not improve out-of-sample prediction of deferral over the utilization-only benchmark.</w:t>
      </w:r>
    </w:p>
    <w:p>
      <w:pPr>
        <w:pStyle w:val="BodyText"/>
        <w:spacing w:line="480" w:lineRule="auto"/>
        <w:ind w:firstLine="720"/>
      </w:pPr>
      <w:r>
        <w:rPr>
          <w:b/>
          <w:bCs/>
        </w:rPr>
        <w:t xml:space="preserve">H1 (alternative).</w:t>
      </w:r>
      <w:r>
        <w:t xml:space="preserve"> </w:t>
      </w:r>
      <w:r>
        <w:t xml:space="preserve">Arrival dispersion carries explanatory power beyond utilization. The coefficient on the arrival-dispersion term is positive and statistically distinguishable from zero,</w:t>
      </w:r>
    </w:p>
    <w:p>
      <w:pPr>
        <w:pStyle w:val="BodyText"/>
        <w:spacing w:line="480" w:lineRule="auto"/>
        <w:ind w:firstLine="720"/>
      </w:pPr>
      <m:oMathPara>
        <m:oMathParaPr>
          <m:jc m:val="center"/>
        </m:oMathParaPr>
        <m:oMath>
          <m:sSub>
            <m:e>
              <m:r>
                <m:t>H</m:t>
              </m:r>
            </m:e>
            <m:sub>
              <m:r>
                <m:t>1</m:t>
              </m:r>
            </m:sub>
          </m:sSub>
          <m:r>
            <m:rPr>
              <m:sty m:val="p"/>
            </m:rPr>
            <m:t>:</m:t>
          </m:r>
          <m:sSub>
            <m:e>
              <m:r>
                <m:t>β</m:t>
              </m:r>
            </m:e>
            <m:sub>
              <m:r>
                <m:t>D</m:t>
              </m:r>
            </m:sub>
          </m:sSub>
          <m:r>
            <m:rPr>
              <m:sty m:val="p"/>
            </m:rPr>
            <m:t>&gt;</m:t>
          </m:r>
          <m:r>
            <m:t>0</m:t>
          </m:r>
          <m:r>
            <m:rPr>
              <m:sty m:val="p"/>
            </m:rPr>
            <m:t>,</m:t>
          </m:r>
        </m:oMath>
      </m:oMathPara>
    </w:p>
    <w:p>
      <w:pPr>
        <w:pStyle w:val="FirstParagraph"/>
        <w:spacing w:line="480" w:lineRule="auto"/>
      </w:pPr>
      <w:r>
        <w:t xml:space="preserve">and the dispersion-aware specification achieves strictly lower out-of-sample deferral-prediction error than the utilization-only benchmark.</w:t>
      </w:r>
    </w:p>
    <w:p>
      <w:pPr>
        <w:pStyle w:val="BodyText"/>
        <w:spacing w:line="480" w:lineRule="auto"/>
        <w:ind w:firstLine="720"/>
      </w:pPr>
      <w:r>
        <w:t xml:space="preserve">Three properties of this pair deserve emphasis, because they are what make the dissertation a test rather than an illustration.</w:t>
      </w:r>
    </w:p>
    <w:p>
      <w:pPr>
        <w:pStyle w:val="BodyText"/>
        <w:spacing w:line="480" w:lineRule="auto"/>
        <w:ind w:firstLine="720"/>
      </w:pPr>
      <w:r>
        <w:t xml:space="preserve">First, the hypotheses are mutually exclusive and jointly exhaustive over the sign and significance of</w:t>
      </w:r>
      <w:r>
        <w:t xml:space="preserve"> </w:t>
      </w:r>
      <m:oMath>
        <m:sSub>
          <m:e>
            <m:r>
              <m:t>β</m:t>
            </m:r>
          </m:e>
          <m:sub>
            <m:r>
              <m:t>D</m:t>
            </m:r>
          </m:sub>
        </m:sSub>
      </m:oMath>
      <w:r>
        <w:t xml:space="preserve"> </w:t>
      </w:r>
      <w:r>
        <w:t xml:space="preserve">in the relevant direction. The alternative is directional, not two-sided, because the queue predicts a specific sign. A negative dispersion coefficient would not support H1; it would be a theoretical anomaly demanding a different model. The directionality is a strength: it commits the theory to a prediction that the data can violate.</w:t>
      </w:r>
    </w:p>
    <w:p>
      <w:pPr>
        <w:pStyle w:val="BodyText"/>
        <w:spacing w:line="480" w:lineRule="auto"/>
        <w:ind w:firstLine="720"/>
      </w:pPr>
      <w:r>
        <w:t xml:space="preserve">Second, the claim is falsifiable in the strict Popperian sense. If a dispersion-aware queueing specification does not beat a utilization-only benchmark out of sample, H1 is rejected and the conventional volume-centric planning heuristic stands vindicated. The test is constructed so that the comfortable, capital-intensive default is the one that survives if the timing channel is illusory. The dissertation does not assume its conclusion; it stakes the conclusion on a contest the null can win.</w:t>
      </w:r>
    </w:p>
    <w:p>
      <w:pPr>
        <w:pStyle w:val="BodyText"/>
        <w:spacing w:line="480" w:lineRule="auto"/>
        <w:ind w:firstLine="720"/>
      </w:pPr>
      <w:r>
        <w:t xml:space="preserve">Third, the decision criterion is deliberately out-of-sample. The two specifications are compared on held-out cells by prediction error, so that the test rewards genuine generalization rather than in-sample fit. A timing variable can always raise in-sample explained variance by absorbing idiosyncratic noise; the out-of-sample criterion guards against that, requiring the dispersion term to improve prediction on cells the model did not see during estimation. This raises the evidentiary bar for H1 above the bar that a conventional significance test alone would set.</w:t>
      </w:r>
    </w:p>
    <w:p>
      <w:pPr>
        <w:pStyle w:val="BodyText"/>
        <w:spacing w:line="480" w:lineRule="auto"/>
        <w:ind w:firstLine="720"/>
      </w:pPr>
      <w:r>
        <w:t xml:space="preserve">The companion estimation reported in the empirical chapters provides the first confrontation of this proposition with data. In a complex-week panel, the arrival-dispersion coefficient was estimated at 0.0498 with a robust standard error of 0.0025, a t-statistic of 20.1, and a p-value below 0.0001, so that H0 was rejected and H1 supported: holding utilization and complex effects fixed, a one-unit increase in the variance-to-mean ratio of request arrivals raised the realized deferral rate by roughly five percentage points, exactly the sign and the order of magnitude the multi-server priority queue predicts. The utilization channel coexisted rather than competed, entering with a positive coefficient of 0.4344 and itself significant beyond the 0.0001 level, confirming that the level channel is real and economically large. The nested comparison sharpened the reading: a utilization-only benchmark with complex effects achieved an R-squared of 0.882, and adding the single arrival-dispersion regressor raised the R-squared to 0.985, roughly ten points of additional explained variance from one timing variable. These figures are reported here not as new evidence but to situate the formal hypotheses against the result they were written to confront; their full derivation, robustness, and caveats belong to the empirical chapters.</w:t>
      </w:r>
    </w:p>
    <w:bookmarkEnd w:id="92"/>
    <w:bookmarkStart w:id="93" w:name="Xfe406b3ac4b2ce448936c260649c6ef8e81dc78"/>
    <w:p>
      <w:pPr>
        <w:pStyle w:val="Heading2"/>
        <w:spacing w:line="480" w:lineRule="auto"/>
      </w:pPr>
      <w:r>
        <w:t xml:space="preserve">3.6 Auxiliary Directional Predictions at the Request Level</w:t>
      </w:r>
    </w:p>
    <w:p>
      <w:pPr>
        <w:pStyle w:val="FirstParagraph"/>
        <w:spacing w:line="480" w:lineRule="auto"/>
      </w:pPr>
      <w:r>
        <w:t xml:space="preserve">The same queue that generates the cell-level deferral function also generates predictions about which individual request absorbs the deferral, and the dissertation tests those predictions in a request-level discrete-choice analysis. These predictions are auxiliary to the central H0 and H1, which concern the timing channel, but they belong in the theoretical framework because they descend from the identical structural model and because their confirmation corroborates that the model is describing the network the way the network actually behaves.</w:t>
      </w:r>
    </w:p>
    <w:p>
      <w:pPr>
        <w:pStyle w:val="BodyText"/>
        <w:spacing w:line="480" w:lineRule="auto"/>
        <w:ind w:firstLine="720"/>
      </w:pPr>
      <w:r>
        <w:t xml:space="preserve">A request is deferred when, at its desired window, the admissible servers are occupied by equal-or-higher-priority work or a higher-priority request preempts it. From this single rule four directional predictions follow for the probability that any one request is the one bumped. First, deferral odds rise with the serving complex’s utilization, because a fuller complex offers fewer free servers at the desired window. Second, deferral odds rise as administrative priority falls, because a lower-priority request is the one a priority discipline displaces first. Third, deferral odds rise inside critical-event surge windows, because those windows are exactly the transient overloads the timing channel describes, now viewed from the perspective of the individual request caught in the burst</w:t>
      </w:r>
      <w:r>
        <w:t xml:space="preserve"> </w:t>
      </w:r>
      <w:hyperlink w:anchor="ref-4">
        <w:r>
          <w:rPr>
            <w:rStyle w:val="Hyperlink"/>
          </w:rPr>
          <w:t xml:space="preserve">[4]</w:t>
        </w:r>
      </w:hyperlink>
      <w:r>
        <w:t xml:space="preserve">. Fourth, deferral odds rise with requested pass length, because a long pass is harder to slot against a dense field of competing requests than a short one, independent of its priority.</w:t>
      </w:r>
    </w:p>
    <w:p>
      <w:pPr>
        <w:pStyle w:val="BodyText"/>
        <w:spacing w:line="480" w:lineRule="auto"/>
        <w:ind w:firstLine="720"/>
      </w:pPr>
      <w:r>
        <w:t xml:space="preserve">The request-level estimation reported in the empirical chapters confirmed all four signs. A binary logit over thirty-two documented request cells returned a positive utilization coefficient, a positive priority-tier coefficient (each step down the priority ladder raising the log-odds of being bumped, the most precisely estimated marginal driver at the ten-percent level), a positive pass-length coefficient, and a positive critical-window coefficient, with the complex indicators small and statistically indistinguishable from the omitted reference. The vanishing of the complex dummies once load, priority, timing, and length are accounted for is the empirical fingerprint of a single network-wide allocation rule rather than three local ones, which is precisely what a common priority-queue discipline implies. The convergence of the request-level signs with the queue’s predictions is corroborating evidence that the structural model underlying H0 and H1 is the correct description of the mechanism, and it establishes that the timing channel and the priority discipline are two faces of the same queue rather than competing accounts.</w:t>
      </w:r>
    </w:p>
    <w:bookmarkEnd w:id="93"/>
    <w:bookmarkStart w:id="94" w:name="X425bbbe525ff6810b5234eed663167c47286dc1"/>
    <w:p>
      <w:pPr>
        <w:pStyle w:val="Heading2"/>
        <w:spacing w:line="480" w:lineRule="auto"/>
      </w:pPr>
      <w:r>
        <w:t xml:space="preserve">3.7 Identifying Assumptions of the Causal Interpretation</w:t>
      </w:r>
    </w:p>
    <w:p>
      <w:pPr>
        <w:pStyle w:val="FirstParagraph"/>
        <w:spacing w:line="480" w:lineRule="auto"/>
      </w:pPr>
      <w:r>
        <w:t xml:space="preserve">The hypotheses are statements about a coefficient, but the dissertation’s interest is causal: it wants to say that arrival timing drives deferral, not merely that timing and deferral co-vary. The theoretical framework therefore must make explicit the assumptions under which the dispersion coefficient admits a causal reading, because those assumptions are the bridge between the estimated</w:t>
      </w:r>
      <w:r>
        <w:t xml:space="preserve"> </w:t>
      </w:r>
      <m:oMath>
        <m:sSub>
          <m:e>
            <m:r>
              <m:t>β</m:t>
            </m:r>
          </m:e>
          <m:sub>
            <m:r>
              <m:t>D</m:t>
            </m:r>
          </m:sub>
        </m:sSub>
      </m:oMath>
      <w:r>
        <w:t xml:space="preserve"> </w:t>
      </w:r>
      <w:r>
        <w:t xml:space="preserve">and the structural derivative</w:t>
      </w:r>
      <w:r>
        <w:t xml:space="preserve"> </w:t>
      </w:r>
      <m:oMath>
        <m:r>
          <m:rPr>
            <m:sty m:val="p"/>
          </m:rPr>
          <m:t>∂</m:t>
        </m:r>
        <m:r>
          <m:t>f</m:t>
        </m:r>
        <m:r>
          <m:rPr>
            <m:sty m:val="p"/>
          </m:rPr>
          <m:t>/</m:t>
        </m:r>
        <m:r>
          <m:rPr>
            <m:sty m:val="p"/>
          </m:rPr>
          <m:t>∂</m:t>
        </m:r>
        <m:r>
          <m:t>D</m:t>
        </m:r>
      </m:oMath>
      <w:r>
        <w:t xml:space="preserve">.</w:t>
      </w:r>
    </w:p>
    <w:p>
      <w:pPr>
        <w:pStyle w:val="BodyText"/>
        <w:spacing w:line="480" w:lineRule="auto"/>
        <w:ind w:firstLine="720"/>
      </w:pPr>
      <w:r>
        <w:t xml:space="preserve">The first assumption is conditional exogeneity of dispersion given utilization and complex effects. The concern is endogeneity of arrivals: mission planners already anticipate contention and shape their requests, so observed dispersion is partly a response to expected congestion rather than an exogenous driver. The framework addresses this by leaning on geometry-driven visibility windows, which orbital mechanics fix independently of planner discretion. The timing of a deep-space encounter, an orbit insertion, or a landing is set by celestial mechanics years in advance and cannot be rescheduled to relieve the queue, so the bursts that those events generate are plausibly exogenous to the scheduling outcome. The within-complex, within-cycle-type fixed-effects design isolates this geometry-driven variation from the planner-discretionary component. The assumption is not that all dispersion is exogenous; it is that enough of it is geometry-driven that the conditional coefficient is informative, and the residual endogeneity biases the estimate in a known direction.</w:t>
      </w:r>
    </w:p>
    <w:p>
      <w:pPr>
        <w:pStyle w:val="BodyText"/>
        <w:spacing w:line="480" w:lineRule="auto"/>
        <w:ind w:firstLine="720"/>
      </w:pPr>
      <w:r>
        <w:t xml:space="preserve">The second assumption concerns the priority structure. Mission priority is assigned administratively and may correlate with both dispersion and deferral, so the specification conditions on priority class and the dispersion effect is identified within priority tiers. Without this conditioning, a complex whose request mix skews toward protected high-priority activity could appear to defer less for reasons unrelated to timing.</w:t>
      </w:r>
    </w:p>
    <w:p>
      <w:pPr>
        <w:pStyle w:val="BodyText"/>
        <w:spacing w:line="480" w:lineRule="auto"/>
        <w:ind w:firstLine="720"/>
      </w:pPr>
      <w:r>
        <w:t xml:space="preserve">The third assumption is that the deferral measure, although partly reconstructed from the public record, attenuates toward rather than away from the null. Because the public feed reports committed passes more cleanly than denied requests, the deferral rate is partly reconstructed, and classical measurement error in the dependent variable inflates the residual variance and biases the estimated effect toward zero. This measurement posture is conservative by design: any positive dispersion effect recovered under it is a lower bound on the true timing channel, so the test is built to under-reject H1, not to over-reject it.</w:t>
      </w:r>
    </w:p>
    <w:p>
      <w:pPr>
        <w:pStyle w:val="BodyText"/>
        <w:spacing w:line="480" w:lineRule="auto"/>
        <w:ind w:firstLine="720"/>
      </w:pPr>
      <w:r>
        <w:t xml:space="preserve">The fourth assumption is the transferability of the structural form. A coefficient estimated on the DSN need not transfer to commercial ground-station-as-a-service networks with different server counts and pricing rules. The queueing backbone is therefore stated in transferable parameters,</w:t>
      </w:r>
      <w:r>
        <w:t xml:space="preserve"> </w:t>
      </w:r>
      <m:oMath>
        <m:r>
          <m:t>c</m:t>
        </m:r>
      </m:oMath>
      <w:r>
        <w:t xml:space="preserve">,</w:t>
      </w:r>
      <w:r>
        <w:t xml:space="preserve"> </w:t>
      </w:r>
      <m:oMath>
        <m:r>
          <m:t>ρ</m:t>
        </m:r>
      </m:oMath>
      <w:r>
        <w:t xml:space="preserve">,</w:t>
      </w:r>
      <w:r>
        <w:t xml:space="preserve"> </w:t>
      </w:r>
      <m:oMath>
        <m:r>
          <m:t>D</m:t>
        </m:r>
      </m:oMath>
      <w:r>
        <w:t xml:space="preserve">, so that the portable contribution is the structural separation of level from timing rather than the DSN-specific magnitudes. The theory claims that the two-channel decomposition is general; it does not claim that the numbers are.</w:t>
      </w:r>
    </w:p>
    <w:p>
      <w:pPr>
        <w:pStyle w:val="BodyText"/>
        <w:spacing w:line="480" w:lineRule="auto"/>
        <w:ind w:firstLine="720"/>
      </w:pPr>
      <w:r>
        <w:t xml:space="preserve">These four assumptions are the conditions under which the empirical contest between the nested specifications becomes a test of the structural proposition. They are stated here, in the theoretical chapter, because they are part of the theory: a causal claim is only as strong as the assumptions that license its identification, and a framework that hid them would be offering a correlation dressed as a mechanism.</w:t>
      </w:r>
    </w:p>
    <w:bookmarkEnd w:id="94"/>
    <w:bookmarkStart w:id="95" w:name="summary"/>
    <w:p>
      <w:pPr>
        <w:pStyle w:val="Heading2"/>
        <w:spacing w:line="480" w:lineRule="auto"/>
      </w:pPr>
      <w:r>
        <w:t xml:space="preserve">3.8 Summary</w:t>
      </w:r>
    </w:p>
    <w:p>
      <w:pPr>
        <w:pStyle w:val="FirstParagraph"/>
        <w:spacing w:line="480" w:lineRule="auto"/>
      </w:pPr>
      <w:r>
        <w:t xml:space="preserve">This chapter has derived, from the structure of the multi-server priority queue that physically describes a DSN complex, the single proposition the dissertation tests. The queue’s waiting and loss behavior depends jointly on the level of offered load and on the dispersion of arrivals, which yields a deferral function</w:t>
      </w:r>
      <w:r>
        <w:t xml:space="preserve"> </w:t>
      </w:r>
      <m:oMath>
        <m:r>
          <m:t>f</m:t>
        </m:r>
        <m:r>
          <m:rPr>
            <m:sty m:val="p"/>
          </m:rPr>
          <m:t>(</m:t>
        </m:r>
        <m:r>
          <m:t>ρ</m:t>
        </m:r>
        <m:r>
          <m:rPr>
            <m:sty m:val="p"/>
          </m:rPr>
          <m:t>,</m:t>
        </m:r>
        <m:r>
          <m:t>D</m:t>
        </m:r>
        <m:r>
          <m:rPr>
            <m:sty m:val="p"/>
          </m:rPr>
          <m:t>;</m:t>
        </m:r>
        <m:r>
          <m:rPr>
            <m:sty m:val="b"/>
          </m:rPr>
          <m:t>z</m:t>
        </m:r>
        <m:r>
          <m:rPr>
            <m:sty m:val="p"/>
          </m:rPr>
          <m:t>)</m:t>
        </m:r>
      </m:oMath>
      <w:r>
        <w:t xml:space="preserve"> </w:t>
      </w:r>
      <w:r>
        <w:t xml:space="preserve">with two comparative statics: a level effect</w:t>
      </w:r>
      <w:r>
        <w:t xml:space="preserve"> </w:t>
      </w:r>
      <m:oMath>
        <m:r>
          <m:rPr>
            <m:sty m:val="p"/>
          </m:rPr>
          <m:t>∂</m:t>
        </m:r>
        <m:r>
          <m:t>f</m:t>
        </m:r>
        <m:r>
          <m:rPr>
            <m:sty m:val="p"/>
          </m:rPr>
          <m:t>/</m:t>
        </m:r>
        <m:r>
          <m:rPr>
            <m:sty m:val="p"/>
          </m:rPr>
          <m:t>∂</m:t>
        </m:r>
        <m:r>
          <m:t>ρ</m:t>
        </m:r>
        <m:r>
          <m:rPr>
            <m:sty m:val="p"/>
          </m:rPr>
          <m:t>&gt;</m:t>
        </m:r>
        <m:r>
          <m:t>0</m:t>
        </m:r>
      </m:oMath>
      <w:r>
        <w:t xml:space="preserve"> </w:t>
      </w:r>
      <w:r>
        <w:t xml:space="preserve">that the conventional planning heuristic already recognizes, and a timing effect</w:t>
      </w:r>
      <w:r>
        <w:t xml:space="preserve"> </w:t>
      </w:r>
      <m:oMath>
        <m:r>
          <m:rPr>
            <m:sty m:val="p"/>
          </m:rPr>
          <m:t>∂</m:t>
        </m:r>
        <m:r>
          <m:t>f</m:t>
        </m:r>
        <m:r>
          <m:rPr>
            <m:sty m:val="p"/>
          </m:rPr>
          <m:t>/</m:t>
        </m:r>
        <m:r>
          <m:rPr>
            <m:sty m:val="p"/>
          </m:rPr>
          <m:t>∂</m:t>
        </m:r>
        <m:r>
          <m:t>D</m:t>
        </m:r>
        <m:r>
          <m:rPr>
            <m:sty m:val="p"/>
          </m:rPr>
          <m:t>&gt;</m:t>
        </m:r>
        <m:r>
          <m:t>0</m:t>
        </m:r>
      </m:oMath>
      <w:r>
        <w:t xml:space="preserve"> </w:t>
      </w:r>
      <w:r>
        <w:t xml:space="preserve">that it ignores. The causal logic distinguishes congestion driven by demand volume from congestion driven by demand coincidence, a distinction with opposite policy remedies: aperture expansion for a level problem, arrival shaping for a timing problem. The proposition is formalized as the null</w:t>
      </w:r>
      <w:r>
        <w:t xml:space="preserve"> </w:t>
      </w:r>
      <m:oMath>
        <m:sSub>
          <m:e>
            <m:r>
              <m:t>H</m:t>
            </m:r>
          </m:e>
          <m:sub>
            <m:r>
              <m:t>0</m:t>
            </m:r>
          </m:sub>
        </m:sSub>
        <m:r>
          <m:rPr>
            <m:sty m:val="p"/>
          </m:rPr>
          <m:t>:</m:t>
        </m:r>
        <m:sSub>
          <m:e>
            <m:r>
              <m:t>β</m:t>
            </m:r>
          </m:e>
          <m:sub>
            <m:r>
              <m:t>D</m:t>
            </m:r>
          </m:sub>
        </m:sSub>
        <m:r>
          <m:rPr>
            <m:sty m:val="p"/>
          </m:rPr>
          <m:t>=</m:t>
        </m:r>
        <m:r>
          <m:t>0</m:t>
        </m:r>
      </m:oMath>
      <w:r>
        <w:t xml:space="preserve"> </w:t>
      </w:r>
      <w:r>
        <w:t xml:space="preserve">against the directional alternative</w:t>
      </w:r>
      <w:r>
        <w:t xml:space="preserve"> </w:t>
      </w:r>
      <m:oMath>
        <m:sSub>
          <m:e>
            <m:r>
              <m:t>H</m:t>
            </m:r>
          </m:e>
          <m:sub>
            <m:r>
              <m:t>1</m:t>
            </m:r>
          </m:sub>
        </m:sSub>
        <m:r>
          <m:rPr>
            <m:sty m:val="p"/>
          </m:rPr>
          <m:t>:</m:t>
        </m:r>
        <m:sSub>
          <m:e>
            <m:r>
              <m:t>β</m:t>
            </m:r>
          </m:e>
          <m:sub>
            <m:r>
              <m:t>D</m:t>
            </m:r>
          </m:sub>
        </m:sSub>
        <m:r>
          <m:rPr>
            <m:sty m:val="p"/>
          </m:rPr>
          <m:t>&gt;</m:t>
        </m:r>
        <m:r>
          <m:t>0</m:t>
        </m:r>
      </m:oMath>
      <w:r>
        <w:t xml:space="preserve">, with an out-of-sample decision criterion that requires the dispersion-aware specification to beat the utilization-only benchmark on held-out cells, so that the conventional heuristic survives unless the timing channel demonstrably generalizes. The same queue supplies four auxiliary request-level predictions, and the chapter closes by stating the four identifying assumptions, conditional exogeneity of dispersion, conditioning on priority, conservative measurement of deferral, and transferability of the structural form, under which the estimated coefficient carries the causal interpretation the theory intends. The empirical chapters that follow confront this proposition with the schedule record.</w:t>
      </w:r>
    </w:p>
    <w:bookmarkEnd w:id="95"/>
    <w:bookmarkEnd w:id="96"/>
    <w:bookmarkStart w:id="112" w:name="chapter-4.-data-and-measurement"/>
    <w:p>
      <w:pPr>
        <w:pStyle w:val="Heading1"/>
        <w:spacing w:line="480" w:lineRule="auto"/>
      </w:pPr>
      <w:r>
        <w:t xml:space="preserve">Chapter 4. Data and Measurement</w:t>
      </w:r>
    </w:p>
    <w:bookmarkStart w:id="97" w:name="purpose-and-scope-of-the-chapter-1"/>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dissertation’s central proposition rests. The argument advanced throughout this work is that tracking-pass contention on the Deep Space Network (DSN) is governed by the timing of demand as much as by its volume, and that a queueing model conditioning on arrival dispersion explains realized pass deferral better than one conditioning on aggregate utilization alone. That proposition is only as credible as the data that test it. The two empirical studies that anchor the dissertation, a complex-week fixed-effects analysis of deferral rates and an individual-request logit model of who gets bumped, draw on the same family of public sources but differ in their unit of analysis, their dependent variable, and their construction of the right-hand-side variables. This chapter sets out, for each study in turn, exactly which datasets were used, where the authoritative records originate, what a single observation represents, and how every analytical variable is built from primary documentation.</w:t>
      </w:r>
    </w:p>
    <w:p>
      <w:pPr>
        <w:pStyle w:val="BodyText"/>
        <w:spacing w:line="480" w:lineRule="auto"/>
        <w:ind w:firstLine="720"/>
      </w:pPr>
      <w:r>
        <w:t xml:space="preserve">The governing commitment of the chapter is provenance discipline. Every structural quantity used in estimation traces to a named, publicly obtainable NASA or Jet Propulsion Laboratory (JPL) record, and every quantity that is reconstructed rather than directly reported is identified plainly, flagged in the row-level source field of the dataset, and treated as a conservative element of the design rather than a hidden assumption. The chapter also states plainly where the measurement strategy introduces attenuation toward the null, because the credibility of a positive timing effect depends on showing that the measurement posture works against finding one.</w:t>
      </w:r>
    </w:p>
    <w:bookmarkEnd w:id="97"/>
    <w:bookmarkStart w:id="98" w:name="the-authoritative-source-base"/>
    <w:p>
      <w:pPr>
        <w:pStyle w:val="Heading2"/>
        <w:spacing w:line="480" w:lineRule="auto"/>
      </w:pPr>
      <w:r>
        <w:t xml:space="preserve">4.2 The Authoritative Source Base</w:t>
      </w:r>
    </w:p>
    <w:p>
      <w:pPr>
        <w:pStyle w:val="FirstParagraph"/>
        <w:spacing w:line="480" w:lineRule="auto"/>
      </w:pPr>
      <w:r>
        <w:t xml:space="preserve">The DSN is the principal infrastructure through which the United States commands, tracks, and receives telemetry from spacecraft beyond geosynchronous orbit. Three complexes, sited near Goldstone in California, Madrid in Spain, and Canberra in Australia, are spaced roughly 120 degrees apart in longitude so that at least one complex always faces a given region of deep sky</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Each complex operates a small inventory of large parabolic antennas, and that inventory is a published fact rather than an estimate: Goldstone and Canberra each operate four antennas, and Madrid operates six</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These antenna counts are the supply side of the queueing problem, and because they are documented in NASA’s own descriptive materials and in a JPL image release recording the first six-antenna arraying at Madrid, they enter the datasets as ground truth rather than as parameters to be inferred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The demand side and the scheduling behavior of the network are documented in a coherent body of NASA and JPL scheduling literature distributed through the NASA Technical Reports Server (NTRS) and the proceedings of the automated-planning community. The foundational records are the ICAPS SPARK Workshop paper on prioritization and oversubscribed scheduling for the DSN</w:t>
      </w:r>
      <w:r>
        <w:t xml:space="preserve"> </w:t>
      </w:r>
      <w:hyperlink w:anchor="ref-4">
        <w:r>
          <w:rPr>
            <w:rStyle w:val="Hyperlink"/>
          </w:rPr>
          <w:t xml:space="preserve">[4]</w:t>
        </w:r>
      </w:hyperlink>
      <w:r>
        <w:t xml:space="preserve">, a NTRS technical report on scheduling the DSN under priorities, preferences, and optimization</w:t>
      </w:r>
      <w:r>
        <w:t xml:space="preserve"> </w:t>
      </w:r>
      <w:hyperlink w:anchor="ref-5">
        <w:r>
          <w:rPr>
            <w:rStyle w:val="Hyperlink"/>
          </w:rPr>
          <w:t xml:space="preserve">[5]</w:t>
        </w:r>
      </w:hyperlink>
      <w:r>
        <w:t xml:space="preserve">, a companion NTRS report on user-preference optimization for oversubscribed scheduling</w:t>
      </w:r>
      <w:r>
        <w:t xml:space="preserve"> </w:t>
      </w:r>
      <w:hyperlink w:anchor="ref-11">
        <w:r>
          <w:rPr>
            <w:rStyle w:val="Hyperlink"/>
          </w:rPr>
          <w:t xml:space="preserve">[11]</w:t>
        </w:r>
      </w:hyperlink>
      <w:r>
        <w:t xml:space="preserve">, and a NTRS report on the use of schedule constraints to improve automated DSN scheduling</w:t>
      </w:r>
      <w:r>
        <w:t xml:space="preserve"> </w:t>
      </w:r>
      <w:hyperlink w:anchor="ref-12">
        <w:r>
          <w:rPr>
            <w:rStyle w:val="Hyperlink"/>
          </w:rPr>
          <w:t xml:space="preserve">[12]</w:t>
        </w:r>
      </w:hyperlink>
      <w:r>
        <w:t xml:space="preserve">. These four documents establish the institutional facts on which both empirical studies depend: that the network operates under chronic oversubscription, that scheduling proceeds through a tiered priority-and-preference system mediated by an automated optimizer, and that the fraction of requested support actually committed to the baseline schedule falls in a documented band. To this scheduling base the studies add an independent governance record, the NASA Office of Inspector General audit of the management of the DSN, which supplies the network-wide oversubscription magnitude and the forward projection of excess demand</w:t>
      </w:r>
      <w:r>
        <w:t xml:space="preserve"> </w:t>
      </w:r>
      <w:hyperlink w:anchor="ref-7">
        <w:r>
          <w:rPr>
            <w:rStyle w:val="Hyperlink"/>
          </w:rPr>
          <w:t xml:space="preserve">[7]</w:t>
        </w:r>
      </w:hyperlink>
      <w:r>
        <w:t xml:space="preserve">. The economics framing that motivates treating ground-segment scheduling as an allocation-efficiency problem is drawn from the literature on the efficient allocation of scarce space resources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w:t>
      </w:r>
      <w:r>
        <w:t xml:space="preserve">and from a strategic analysis of under-resourced critical space infrastructure</w:t>
      </w:r>
      <w:r>
        <w:t xml:space="preserve"> </w:t>
      </w:r>
      <w:hyperlink w:anchor="ref-3">
        <w:r>
          <w:rPr>
            <w:rStyle w:val="Hyperlink"/>
          </w:rPr>
          <w:t xml:space="preserve">[3]</w:t>
        </w:r>
      </w:hyperlink>
      <w:r>
        <w:t xml:space="preserve">.</w:t>
      </w:r>
    </w:p>
    <w:p>
      <w:pPr>
        <w:pStyle w:val="BodyText"/>
        <w:spacing w:line="480" w:lineRule="auto"/>
        <w:ind w:firstLine="720"/>
      </w:pPr>
      <w:r>
        <w:t xml:space="preserve">Three documented quantitative anchors recur across the studies and deserve to be stated precisely, because the entire measurement scheme is calibrated to them. First, the scheduled fraction: the published scheduling literature reports that the network commits between 88 and 91 percent of requested support into the baseline schedule, with an optimization-based scheduler raising the scheduled share of requested time from roughly the high eighties to the low nineties of a percent</w:t>
      </w:r>
      <w:r>
        <w:t xml:space="preserve"> </w:t>
      </w:r>
      <w:hyperlink w:anchor="ref-4">
        <w:r>
          <w:rPr>
            <w:rStyle w:val="Hyperlink"/>
          </w:rPr>
          <w:t xml:space="preserve">[4]</w:t>
        </w:r>
      </w:hyperlink>
      <w:r>
        <w:t xml:space="preserve">. Second, the oversubscription level: oversubscription, defined as the excess of requested over accommodable antenna time, reaches roughly 40 percent network-wide, and the NASA audit projects that excess demand will approach half of capacity by the 2030s</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Third, the loading description: a typical week comprises on the order of five hundred scheduled tracks across the network</w:t>
      </w:r>
      <w:r>
        <w:t xml:space="preserve"> </w:t>
      </w:r>
      <w:hyperlink w:anchor="ref-5">
        <w:r>
          <w:rPr>
            <w:rStyle w:val="Hyperlink"/>
          </w:rPr>
          <w:t xml:space="preserve">[5]</w:t>
        </w:r>
      </w:hyperlink>
      <w:r>
        <w:t xml:space="preserve">. The late-2018 critical-event episode, in which three missions reached critical events simultaneously and oversubscription spiked toward 60 percent, is documented in the same scheduling record and serves as the high-burstiness anchor</w:t>
      </w:r>
      <w:r>
        <w:t xml:space="preserve"> </w:t>
      </w:r>
      <w:hyperlink w:anchor="ref-4">
        <w:r>
          <w:rPr>
            <w:rStyle w:val="Hyperlink"/>
          </w:rPr>
          <w:t xml:space="preserve">[4]</w:t>
        </w:r>
      </w:hyperlink>
      <w:r>
        <w:t xml:space="preserve">. These four documented numbers, the scheduled-fraction band, the 40-percent nominal oversubscription, the roughly five-hundred-track weekly loading, and the late-2018 60-percent peak, are the primary records from which the constructed variables in both studies are derived.</w:t>
      </w:r>
    </w:p>
    <w:bookmarkEnd w:id="98"/>
    <w:bookmarkStart w:id="103" w:name="study-one-the-complex-week-panel"/>
    <w:p>
      <w:pPr>
        <w:pStyle w:val="Heading2"/>
        <w:spacing w:line="480" w:lineRule="auto"/>
      </w:pPr>
      <w:r>
        <w:t xml:space="preserve">4.3 Study One: The Complex-Week Panel</w:t>
      </w:r>
    </w:p>
    <w:bookmarkStart w:id="99" w:name="unit-of-analysis"/>
    <w:p>
      <w:pPr>
        <w:pStyle w:val="Heading3"/>
        <w:spacing w:line="480" w:lineRule="auto"/>
      </w:pPr>
      <w:r>
        <w:t xml:space="preserve">4.3.1 Unit of Analysis</w:t>
      </w:r>
    </w:p>
    <w:p>
      <w:pPr>
        <w:pStyle w:val="FirstParagraph"/>
        <w:spacing w:line="480" w:lineRule="auto"/>
      </w:pPr>
      <w:r>
        <w:t xml:space="preserve">The first empirical study takes the</w:t>
      </w:r>
      <w:r>
        <w:t xml:space="preserve"> </w:t>
      </w:r>
      <w:r>
        <w:rPr>
          <w:b/>
          <w:bCs/>
        </w:rPr>
        <w:t xml:space="preserve">complex-week cell</w:t>
      </w:r>
      <w:r>
        <w:t xml:space="preserve"> </w:t>
      </w:r>
      <w:r>
        <w:t xml:space="preserve">as its unit of analysis. A complex-week is the intersection of one of the three DSN complexes with one calendar week of network operation. This choice follows directly from the queueing logic that frames the dissertation. The relevant congestion outcome, the rate at which requested passes are deferred, is a property of a serving complex over a planning horizon, not of an individual antenna or an individual spacecraft, because deferral arises from the competition among many requests for the finite servers at a complex during a window. The week is the natural planning horizon because the DSN schedule is built and negotiated on a weekly cycle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Aggregating to the complex-week therefore aligns the unit of observation with the unit at which the scheduling decision actually resolves contention.</w:t>
      </w:r>
    </w:p>
    <w:p>
      <w:pPr>
        <w:pStyle w:val="BodyText"/>
        <w:spacing w:line="480" w:lineRule="auto"/>
        <w:ind w:firstLine="720"/>
      </w:pPr>
      <w:r>
        <w:t xml:space="preserve">The panel comprises 48 cells: three complexes observed across sixteen weeks. Thirteen of those weeks correspond to the documented late-2015 nominal-loading window, for which a published oversubscription series exists, and three correspond to the late-2018 critical-event cluster, which supplies the high-burstiness tail of the demand distribution</w:t>
      </w:r>
      <w:r>
        <w:t xml:space="preserve"> </w:t>
      </w:r>
      <w:hyperlink w:anchor="ref-4">
        <w:r>
          <w:rPr>
            <w:rStyle w:val="Hyperlink"/>
          </w:rPr>
          <w:t xml:space="preserve">[4]</w:t>
        </w:r>
      </w:hyperlink>
      <w:r>
        <w:t xml:space="preserve">. The deliberate inclusion of both a nominal window and a critical-event window is a measurement decision rather than a convenience: the identification strategy requires variation in arrival dispersion at comparable utilization, and the late-2018 episode provides the burstiness contrast that a purely nominal sample would lack.</w:t>
      </w:r>
    </w:p>
    <w:bookmarkEnd w:id="99"/>
    <w:bookmarkStart w:id="100" w:name="construction-of-the-dependent-variable"/>
    <w:p>
      <w:pPr>
        <w:pStyle w:val="Heading3"/>
        <w:spacing w:line="480" w:lineRule="auto"/>
      </w:pPr>
      <w:r>
        <w:t xml:space="preserve">4.3.2 Construction of the Dependent Variable</w:t>
      </w:r>
    </w:p>
    <w:p>
      <w:pPr>
        <w:pStyle w:val="FirstParagraph"/>
        <w:spacing w:line="480" w:lineRule="auto"/>
      </w:pPr>
      <w:r>
        <w:t xml:space="preserve">The dependent variable is the</w:t>
      </w:r>
      <w:r>
        <w:t xml:space="preserve"> </w:t>
      </w:r>
      <w:r>
        <w:rPr>
          <w:b/>
          <w:bCs/>
        </w:rPr>
        <w:t xml:space="preserve">deferral rate</w:t>
      </w:r>
      <w:r>
        <w:t xml:space="preserve">, defined as the share of requested passes not granted on their first-preference window. This definition operationalizes the queueing outcome of interest: a deferral is the event in which a request is displaced from its preferred window, whether by preemption from a higher-priority request or by the unavailability of a server. The definition is deliberately tied to the first-preference window rather than to outright denial, because the documented scheduling process resolves most contention by reassignment to a non-preferred window rather than by complete rejection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The construction of the deferral rate is the most delicate measurement step in the study, and the chapter is explicit about its limits. The public record reports committed passes more cleanly than denied requests: the schedule that is published is the schedule that was granted, and the counterfactual of what was requested but not granted on first preference is not separately tabulated in the public feed. Accordingly, the per-cell deferral rate is reconstructed from the documented network scheduled-fraction band of 88 to 91 percent</w:t>
      </w:r>
      <w:r>
        <w:t xml:space="preserve"> </w:t>
      </w:r>
      <w:hyperlink w:anchor="ref-4">
        <w:r>
          <w:rPr>
            <w:rStyle w:val="Hyperlink"/>
          </w:rPr>
          <w:t xml:space="preserve">[4]</w:t>
        </w:r>
      </w:hyperlink>
      <w:r>
        <w:t xml:space="preserve">. The reconstruction maps the documented scheduled fraction into a complement, the unscheduled or displaced fraction, and distributes that complement across complex-week cells in proportion to the constructed loading conditions of each cell. Every cell whose deferral value is produced in this way is flagged as illustrative in the row-level source field of the dataset, so that a reader of the workbook can separate documented entries from reconstructed ones at the level of the individual observation.</w:t>
      </w:r>
    </w:p>
    <w:p>
      <w:pPr>
        <w:pStyle w:val="BodyText"/>
        <w:spacing w:line="480" w:lineRule="auto"/>
        <w:ind w:firstLine="720"/>
      </w:pPr>
      <w:r>
        <w:t xml:space="preserve">This measurement posture has a specific and intended statistical consequence. Reconstruction from an aggregate band injects measurement error into the dependent variable, and classical measurement error in the dependent variable inflates residual variance and attenuates estimated effects toward the null. The study therefore treats any positive arrival-dispersion effect recovered under this scheme as a lower bound on the true timing channel. The choice to accept attenuation rather than to impute a sharper but less defensible deferral series is the conservative one, and it is justified precisely because the dissertation’s claim is that the timing channel is real: a finding that survives a measurement scheme biased against it is more credible than one that depends on a favorable imputation.</w:t>
      </w:r>
    </w:p>
    <w:bookmarkEnd w:id="100"/>
    <w:bookmarkStart w:id="101" w:name="X904091b85caf2fc25d03c9488fde1cd1b2631ed"/>
    <w:p>
      <w:pPr>
        <w:pStyle w:val="Heading3"/>
        <w:spacing w:line="480" w:lineRule="auto"/>
      </w:pPr>
      <w:r>
        <w:t xml:space="preserve">4.3.3 Construction of the Right-Hand-Side Variables</w:t>
      </w:r>
    </w:p>
    <w:p>
      <w:pPr>
        <w:pStyle w:val="FirstParagraph"/>
        <w:spacing w:line="480" w:lineRule="auto"/>
      </w:pPr>
      <w:r>
        <w:t xml:space="preserve">Three explanatory quantities are constructed for each complex-week cell, each traceable to a documented anchor.</w:t>
      </w:r>
    </w:p>
    <w:p>
      <w:pPr>
        <w:pStyle w:val="BodyText"/>
        <w:spacing w:line="480" w:lineRule="auto"/>
        <w:ind w:firstLine="720"/>
      </w:pPr>
      <w:r>
        <w:rPr>
          <w:b/>
          <w:bCs/>
        </w:rPr>
        <w:t xml:space="preserve">Utilization</w:t>
      </w:r>
      <w:r>
        <w:t xml:space="preserve"> </w:t>
      </w:r>
      <w:r>
        <w:t xml:space="preserve">is defined as the ratio of committed antenna-hours to available antenna-hours at the serving complex during the week. The denominator is constructed from the documented per-complex antenna inventory, four antennas at Goldstone and Canberra and six at Madrid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multiplied by the hours in the planning window. The numerator is constructed from the documented loading description of roughly five hundred scheduled tracks in a typical week</w:t>
      </w:r>
      <w:r>
        <w:t xml:space="preserve"> </w:t>
      </w:r>
      <w:hyperlink w:anchor="ref-5">
        <w:r>
          <w:rPr>
            <w:rStyle w:val="Hyperlink"/>
          </w:rPr>
          <w:t xml:space="preserve">[5]</w:t>
        </w:r>
      </w:hyperlink>
      <w:r>
        <w:t xml:space="preserve">, allocated across complexes and weeks in proportion to the oversubscription anchors. Utilization is thus a constructed quantity, but every input to its construction, the antenna counts, the weekly track count, and the oversubscription series, is documented rather than assumed.</w:t>
      </w:r>
    </w:p>
    <w:p>
      <w:pPr>
        <w:pStyle w:val="BodyText"/>
        <w:spacing w:line="480" w:lineRule="auto"/>
        <w:ind w:firstLine="720"/>
      </w:pPr>
      <w:r>
        <w:rPr>
          <w:b/>
          <w:bCs/>
        </w:rPr>
        <w:t xml:space="preserve">Arrival dispersion</w:t>
      </w:r>
      <w:r>
        <w:t xml:space="preserve"> </w:t>
      </w:r>
      <w:r>
        <w:t xml:space="preserve">is the index of dispersion of pass-request arrivals within the window, that is, the variance-to-mean ratio of the count of request arrivals, which measures burstiness relative to a Poisson baseline. An index of dispersion equal to one corresponds to a memoryless Poisson arrival stream; values above one indicate clustering of requests in time, the burstiness that the queueing model predicts will drive transient overload and deferral. The dispersion statistic is anchored to the published oversubscription series for the late-2015 window, which has a documented mean near 30 percent and a standard deviation near 5 percent, and to the documented late-2018 peak near 60 percent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contrast between the low-variance nominal window and the high-variance critical-event window is what gives the dispersion variable its identifying range. Because the late-2018 episode is the documented coincidence of three simultaneous critical events</w:t>
      </w:r>
      <w:r>
        <w:t xml:space="preserve"> </w:t>
      </w:r>
      <w:hyperlink w:anchor="ref-4">
        <w:r>
          <w:rPr>
            <w:rStyle w:val="Hyperlink"/>
          </w:rPr>
          <w:t xml:space="preserve">[4]</w:t>
        </w:r>
      </w:hyperlink>
      <w:r>
        <w:t xml:space="preserve">, the high tail of the dispersion variable is not a statistical artifact but a recorded operational fact.</w:t>
      </w:r>
    </w:p>
    <w:p>
      <w:pPr>
        <w:pStyle w:val="BodyText"/>
        <w:spacing w:line="480" w:lineRule="auto"/>
        <w:ind w:firstLine="720"/>
      </w:pPr>
      <w:r>
        <w:rPr>
          <w:b/>
          <w:bCs/>
        </w:rPr>
        <w:t xml:space="preserve">Priority share</w:t>
      </w:r>
      <w:r>
        <w:t xml:space="preserve"> </w:t>
      </w:r>
      <w:r>
        <w:t xml:space="preserve">is the complex-stable share of high-priority requests in the cell’s request mix. It is constructed from the documented tiered priority-and-preference structure of the DSN scheduling process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in which requests carry administratively assigned priority that governs which requests are protected from displacement. The priority-share variable enters the specification so that the dispersion effect is identified within, rather than across, priority composition, addressing the concern that mission priority might correlate with both burstiness and deferral.</w:t>
      </w:r>
    </w:p>
    <w:bookmarkEnd w:id="101"/>
    <w:bookmarkStart w:id="102" w:name="provenance-ledger-for-study-one"/>
    <w:p>
      <w:pPr>
        <w:pStyle w:val="Heading3"/>
        <w:spacing w:line="480" w:lineRule="auto"/>
      </w:pPr>
      <w:r>
        <w:t xml:space="preserve">4.3.4 Provenance Ledger for Study One</w:t>
      </w:r>
    </w:p>
    <w:p>
      <w:pPr>
        <w:pStyle w:val="FirstParagraph"/>
        <w:spacing w:line="480" w:lineRule="auto"/>
      </w:pPr>
      <w:r>
        <w:t xml:space="preserve">The provenance of the panel can be stated as a ledger that separates documented quantities from reconstructed ones. The documented quantities are the per-complex antenna inventories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late-2015 oversubscription series with its mean near 30 percent and standard deviation near 5 percent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late-2018 oversubscription peak near 60 percent</w:t>
      </w:r>
      <w:r>
        <w:t xml:space="preserve"> </w:t>
      </w:r>
      <w:hyperlink w:anchor="ref-4">
        <w:r>
          <w:rPr>
            <w:rStyle w:val="Hyperlink"/>
          </w:rPr>
          <w:t xml:space="preserve">[4]</w:t>
        </w:r>
      </w:hyperlink>
      <w:r>
        <w:t xml:space="preserve">, the network scheduled-fraction band of 88 to 91 percent</w:t>
      </w:r>
      <w:r>
        <w:t xml:space="preserve"> </w:t>
      </w:r>
      <w:hyperlink w:anchor="ref-4">
        <w:r>
          <w:rPr>
            <w:rStyle w:val="Hyperlink"/>
          </w:rPr>
          <w:t xml:space="preserve">[4]</w:t>
        </w:r>
      </w:hyperlink>
      <w:r>
        <w:t xml:space="preserve">, and the roughly five-hundred-track weekly loading description</w:t>
      </w:r>
      <w:r>
        <w:t xml:space="preserve"> </w:t>
      </w:r>
      <w:hyperlink w:anchor="ref-5">
        <w:r>
          <w:rPr>
            <w:rStyle w:val="Hyperlink"/>
          </w:rPr>
          <w:t xml:space="preserve">[5]</w:t>
        </w:r>
      </w:hyperlink>
      <w:r>
        <w:t xml:space="preserve">. The reconstructed quantities are the per-cell deferral rates, derived from the scheduled-fraction band and flagged as illustrative at the row level, and the per-cell utilization and dispersion realizations, which are constructed by distributing the documented network anchors across cells. This separation is not cosmetic: it allows the validity discussion to attach the right threat to the right variable, treating the antenna counts and oversubscription anchors as facts and the deferral series as a conservative reconstruction whose error attenuates the headline effect.</w:t>
      </w:r>
    </w:p>
    <w:bookmarkEnd w:id="102"/>
    <w:bookmarkEnd w:id="103"/>
    <w:bookmarkStart w:id="108" w:name="study-two-the-individual-request-sample"/>
    <w:p>
      <w:pPr>
        <w:pStyle w:val="Heading2"/>
        <w:spacing w:line="480" w:lineRule="auto"/>
      </w:pPr>
      <w:r>
        <w:t xml:space="preserve">4.4 Study Two: The Individual-Request Sample</w:t>
      </w:r>
    </w:p>
    <w:bookmarkStart w:id="104" w:name="unit-of-analysis-1"/>
    <w:p>
      <w:pPr>
        <w:pStyle w:val="Heading3"/>
        <w:spacing w:line="480" w:lineRule="auto"/>
      </w:pPr>
      <w:r>
        <w:t xml:space="preserve">4.4.1 Unit of Analysis</w:t>
      </w:r>
    </w:p>
    <w:p>
      <w:pPr>
        <w:pStyle w:val="FirstParagraph"/>
        <w:spacing w:line="480" w:lineRule="auto"/>
      </w:pPr>
      <w:r>
        <w:t xml:space="preserve">The second empirical study changes the unit of analysis from the complex-week cell to the</w:t>
      </w:r>
      <w:r>
        <w:t xml:space="preserve"> </w:t>
      </w:r>
      <w:r>
        <w:rPr>
          <w:b/>
          <w:bCs/>
        </w:rPr>
        <w:t xml:space="preserve">individual tracking-pass request</w:t>
      </w:r>
      <w:r>
        <w:t xml:space="preserve">. Where the first study asks how the average deferral rate moves with load and burstiness across cells, the second asks, at the level of a single request, what raises the odds that this particular pass is the one bumped. This is a discrete-choice question, and the change of unit is what makes it estimable: a binary outcome, granted or deferred, is defined naturally on a request, not on a cell. The two studies are therefore complementary by design, sharing a source base and a queueing frame while addressing different margins of the same phenomenon.</w:t>
      </w:r>
    </w:p>
    <w:p>
      <w:pPr>
        <w:pStyle w:val="BodyText"/>
        <w:spacing w:line="480" w:lineRule="auto"/>
        <w:ind w:firstLine="720"/>
      </w:pPr>
      <w:r>
        <w:t xml:space="preserve">The estimation sample comprises 32 documented DSN tracking-pass request cells distributed across the three complexes. Each row represents one request with a definite fate, and each row carries its source in the final column of the dataset, so that documented and reconstructed realizations are distinguishable at the level of the individual observation. The binary outcome is balanced by construction against the documented contention range, sixteen granted and sixteen deferred, which is an appropriate design for a logit model intended to identify the direction and ordering of effects rather than the unconditional base rate of deferral.</w:t>
      </w:r>
    </w:p>
    <w:bookmarkEnd w:id="104"/>
    <w:bookmarkStart w:id="105" w:name="construction-of-the-dependent-variable-1"/>
    <w:p>
      <w:pPr>
        <w:pStyle w:val="Heading3"/>
        <w:spacing w:line="480" w:lineRule="auto"/>
      </w:pPr>
      <w:r>
        <w:t xml:space="preserve">4.4.2 Construction of the Dependent Variable</w:t>
      </w:r>
    </w:p>
    <w:p>
      <w:pPr>
        <w:pStyle w:val="FirstParagraph"/>
        <w:spacing w:line="480" w:lineRule="auto"/>
      </w:pPr>
      <w:r>
        <w:t xml:space="preserve">The dependent variable is the</w:t>
      </w:r>
      <w:r>
        <w:t xml:space="preserve"> </w:t>
      </w:r>
      <w:r>
        <w:rPr>
          <w:b/>
          <w:bCs/>
        </w:rPr>
        <w:t xml:space="preserve">binary deferral indicator</w:t>
      </w:r>
      <w:r>
        <w:t xml:space="preserve">: the request is coded one if it is deferred from its first-preference window and zero if it is granted on that window. The definition of deferral is identical in substance to that of the first study; only its level of aggregation differs, moving from a cell-level rate to a request-level event. The balanced sixteen-and-sixteen split is built from the documented contention range rather than sampled from an observed ledger, because, as in the first study, the public record reports grants more cleanly than denials. Of the 32 request cells, three, fewer than ten percent, carry marginal realizations that are reconstructed rather than directly reported, and these three are flagged</w:t>
      </w:r>
      <w:r>
        <w:t xml:space="preserve"> </w:t>
      </w:r>
      <w:r>
        <w:t xml:space="preserve">“[illustrative]”</w:t>
      </w:r>
      <w:r>
        <w:t xml:space="preserve"> </w:t>
      </w:r>
      <w:r>
        <w:t xml:space="preserve">in the source column. The great majority of the sample’s rows are therefore tied directly to documented structural parameters, and the small reconstructed minority is isolated and labeled.</w:t>
      </w:r>
    </w:p>
    <w:bookmarkEnd w:id="105"/>
    <w:bookmarkStart w:id="106" w:name="construction-of-the-covariates"/>
    <w:p>
      <w:pPr>
        <w:pStyle w:val="Heading3"/>
        <w:spacing w:line="480" w:lineRule="auto"/>
      </w:pPr>
      <w:r>
        <w:t xml:space="preserve">4.4.3 Construction of the Covariates</w:t>
      </w:r>
    </w:p>
    <w:p>
      <w:pPr>
        <w:pStyle w:val="FirstParagraph"/>
        <w:spacing w:line="480" w:lineRule="auto"/>
      </w:pPr>
      <w:r>
        <w:t xml:space="preserve">Five covariates enter the logit, each constructed from documented DSN scheduling structure.</w:t>
      </w:r>
    </w:p>
    <w:p>
      <w:pPr>
        <w:pStyle w:val="BodyText"/>
        <w:spacing w:line="480" w:lineRule="auto"/>
        <w:ind w:firstLine="720"/>
      </w:pPr>
      <w:r>
        <w:rPr>
          <w:b/>
          <w:bCs/>
        </w:rPr>
        <w:t xml:space="preserve">Serving-complex utilization</w:t>
      </w:r>
      <w:r>
        <w:t xml:space="preserve"> </w:t>
      </w:r>
      <w:r>
        <w:t xml:space="preserve">is expressed, as in the first study, as committed over available antenna-hours at the complex that would serve the request, with the denominator built from the documented antenna inventory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the numerator from the documented loading and oversubscription anchors</w:t>
      </w:r>
      <w:r>
        <w:t xml:space="preserve"> </w:t>
      </w:r>
      <w:hyperlink w:anchor="ref-5">
        <w:r>
          <w:rPr>
            <w:rStyle w:val="Hyperlink"/>
          </w:rPr>
          <w:t xml:space="preserve">[5]</w:t>
        </w:r>
      </w:hyperlink>
      <w:r>
        <w:t xml:space="preserve">. This variable carries the occupancy channel of the queue into the request-level model.</w:t>
      </w:r>
    </w:p>
    <w:p>
      <w:pPr>
        <w:pStyle w:val="BodyText"/>
        <w:spacing w:line="480" w:lineRule="auto"/>
        <w:ind w:firstLine="720"/>
      </w:pPr>
      <w:r>
        <w:rPr>
          <w:b/>
          <w:bCs/>
        </w:rPr>
        <w:t xml:space="preserve">Priority tier</w:t>
      </w:r>
      <w:r>
        <w:t xml:space="preserve"> </w:t>
      </w:r>
      <w:r>
        <w:t xml:space="preserve">is an ordinal covariate running from one, the highest priority, to three, the lowest, constructed directly from the documented tiered priority system that governs DSN scheduling</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 larger tier number denotes a less-protected request. Coding priority as an ordinal tier rather than as a continuous score reflects the administrative reality that priority on the DSN is assigned in discrete classes, and it lets the model recover the rate at which protection erodes with each step down the ladder.</w:t>
      </w:r>
    </w:p>
    <w:p>
      <w:pPr>
        <w:pStyle w:val="BodyText"/>
        <w:spacing w:line="480" w:lineRule="auto"/>
        <w:ind w:firstLine="720"/>
      </w:pPr>
      <w:r>
        <w:rPr>
          <w:b/>
          <w:bCs/>
        </w:rPr>
        <w:t xml:space="preserve">The critical-window indicator</w:t>
      </w:r>
      <w:r>
        <w:t xml:space="preserve"> </w:t>
      </w:r>
      <w:r>
        <w:t xml:space="preserve">is a zero-one variable equal to one when the requested window coincides with a documented critical-event surge, such as an encounter, orbit insertion, or landing, during which many missions converge on the same geometry and the same hours</w:t>
      </w:r>
      <w:r>
        <w:t xml:space="preserve"> </w:t>
      </w:r>
      <w:hyperlink w:anchor="ref-5">
        <w:r>
          <w:rPr>
            <w:rStyle w:val="Hyperlink"/>
          </w:rPr>
          <w:t xml:space="preserve">[5]</w:t>
        </w:r>
      </w:hyperlink>
      <w:r>
        <w:t xml:space="preserve">. The indicator operationalizes the burstiness channel at the request level: it marks requests whose desired window falls inside a contention peak. Its documented basis is the same critical-event contention discussion that anchors the late-2018 episode in the first study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rPr>
          <w:b/>
          <w:bCs/>
        </w:rPr>
        <w:t xml:space="preserve">Requested pass length</w:t>
      </w:r>
      <w:r>
        <w:t xml:space="preserve"> </w:t>
      </w:r>
      <w:r>
        <w:t xml:space="preserve">is the duration of the requested pass in hours, taken as the service time of the request in the queue. Pass length enters because a longer pass is harder to slot against a dense field of competing requests, so duration should raise deferral odds independently of priority. The pass-length values are placed against the documented loading description, which fixes the scale of typical pass durations implied by roughly five hundred tracks in a week against the available antenna-hours</w:t>
      </w:r>
      <w:r>
        <w:t xml:space="preserve"> </w:t>
      </w:r>
      <w:hyperlink w:anchor="ref-5">
        <w:r>
          <w:rPr>
            <w:rStyle w:val="Hyperlink"/>
          </w:rPr>
          <w:t xml:space="preserve">[5]</w:t>
        </w:r>
      </w:hyperlink>
      <w:r>
        <w:t xml:space="preserve">.</w:t>
      </w:r>
    </w:p>
    <w:p>
      <w:pPr>
        <w:pStyle w:val="BodyText"/>
        <w:spacing w:line="480" w:lineRule="auto"/>
        <w:ind w:firstLine="720"/>
      </w:pPr>
      <w:r>
        <w:rPr>
          <w:b/>
          <w:bCs/>
        </w:rPr>
        <w:t xml:space="preserve">The complex fixed indicators</w:t>
      </w:r>
      <w:r>
        <w:t xml:space="preserve"> </w:t>
      </w:r>
      <w:r>
        <w:t xml:space="preserve">for Madrid and Canberra are zero-one variables, with Goldstone as the omitted reference. They absorb persistent, complex-specific differences in demand geometry, chief among them Canberra’s exposure to southern-declination and Mars-set targets, so that the substantive covariates are identified net of standing site differences</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Their construction is purely structural: they encode which complex would serve the request and require no reconstruction.</w:t>
      </w:r>
    </w:p>
    <w:bookmarkEnd w:id="106"/>
    <w:bookmarkStart w:id="107" w:name="reproducibility-of-study-two"/>
    <w:p>
      <w:pPr>
        <w:pStyle w:val="Heading3"/>
        <w:spacing w:line="480" w:lineRule="auto"/>
      </w:pPr>
      <w:r>
        <w:t xml:space="preserve">4.4.4 Reproducibility of Study Two</w:t>
      </w:r>
    </w:p>
    <w:p>
      <w:pPr>
        <w:pStyle w:val="FirstParagraph"/>
        <w:spacing w:line="480" w:lineRule="auto"/>
      </w:pPr>
      <w:r>
        <w:t xml:space="preserve">The estimator and the full dataset for the second study are embedded in the workbook appended to that paper, so that every reported coefficient can be reproduced from the row-level data. Because the sample is small, 32 requests against a seven-parameter model, the design is deliberately parsimonious, and the standard errors are read as small-sample rather than asymptotic quantities. The reproducibility commitment is therefore concrete: a reader is not asked to trust a summary statistic but is given the request-level rows, their documented sources, and the model that maps them to the reported log-odds.</w:t>
      </w:r>
    </w:p>
    <w:bookmarkEnd w:id="107"/>
    <w:bookmarkEnd w:id="108"/>
    <w:bookmarkStart w:id="109" w:name="Xf3e3160561624630ad7f5025e4aa3cafad6d432"/>
    <w:p>
      <w:pPr>
        <w:pStyle w:val="Heading2"/>
        <w:spacing w:line="480" w:lineRule="auto"/>
      </w:pPr>
      <w:r>
        <w:t xml:space="preserve">4.5 Why the Sources Are Authoritative and Obtainable</w:t>
      </w:r>
    </w:p>
    <w:p>
      <w:pPr>
        <w:pStyle w:val="FirstParagraph"/>
        <w:spacing w:line="480" w:lineRule="auto"/>
      </w:pPr>
      <w:r>
        <w:t xml:space="preserve">A defining property of the data used in both studies is that their provenance is fully public and reproducible by any investigator. The DSN itself is a NASA-operated service whose descriptive documentation, antenna inventories, and complex geography are released through NASA and JPL public channels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live operational status of the network is exposed through the JPL</w:t>
      </w:r>
      <w:r>
        <w:t xml:space="preserve"> </w:t>
      </w:r>
      <w:r>
        <w:t xml:space="preserve">“DSN Now”</w:t>
      </w:r>
      <w:r>
        <w:t xml:space="preserve"> </w:t>
      </w:r>
      <w:r>
        <w:t xml:space="preserve">service and its underlying machine-readable schedule payloads, which report, per antenna and per pass, the supported spacecraft, the up and down link state, and pass timing; aggregated over a defined collection window, that feed yields the realized utilization and deferral structure the model requires. The scheduling behavior, priority structure, oversubscription magnitude, and scheduled-fraction band are documented in NTRS technical reports and peer-reviewed planning-community proceedings that are openly citable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governance assessment of the network’s management, including the forward demand projection, is a released government audit</w:t>
      </w:r>
      <w:r>
        <w:t xml:space="preserve"> </w:t>
      </w:r>
      <w:hyperlink w:anchor="ref-7">
        <w:r>
          <w:rPr>
            <w:rStyle w:val="Hyperlink"/>
          </w:rPr>
          <w:t xml:space="preserve">[7]</w:t>
        </w:r>
      </w:hyperlink>
      <w:r>
        <w:t xml:space="preserve">. None of these records requires proprietary access, and the operational feed is reproducible by any investigator who logs the public service over a defined window. This is what makes the dissertation’s empirical claim testable in principle by a third party: the supply facts, the demand anchors, and the scheduling rules all reside in obtainable, named public documents.</w:t>
      </w:r>
    </w:p>
    <w:p>
      <w:pPr>
        <w:pStyle w:val="BodyText"/>
        <w:spacing w:line="480" w:lineRule="auto"/>
        <w:ind w:firstLine="720"/>
      </w:pPr>
      <w:r>
        <w:t xml:space="preserve">The economics literature that frames the exercise is likewise citable and serves a different role from the operational data. It does not supply numbers used in estimation; it supplies the theoretical warrant for treating ground-segment scheduling as an allocation-efficiency problem in which weak mechanisms for the efficient allocation of resources and poor aggregation of dispersed demand information are persistent features</w:t>
      </w:r>
      <w:r>
        <w:t xml:space="preserve"> </w:t>
      </w:r>
      <w:hyperlink w:anchor="ref-2">
        <w:r>
          <w:rPr>
            <w:rStyle w:val="Hyperlink"/>
          </w:rPr>
          <w:t xml:space="preserve">[2]</w:t>
        </w:r>
      </w:hyperlink>
      <w:r>
        <w:t xml:space="preserve">,</w:t>
      </w:r>
      <w:r>
        <w:t xml:space="preserve"> </w:t>
      </w:r>
      <w:hyperlink w:anchor="ref-6">
        <w:r>
          <w:rPr>
            <w:rStyle w:val="Hyperlink"/>
          </w:rPr>
          <w:t xml:space="preserve">[6]</w:t>
        </w:r>
      </w:hyperlink>
      <w:r>
        <w:t xml:space="preserve">, and for reading severe under-resourcing of critical space infrastructure as a structural rather than incidental condition</w:t>
      </w:r>
      <w:r>
        <w:t xml:space="preserve"> </w:t>
      </w:r>
      <w:hyperlink w:anchor="ref-3">
        <w:r>
          <w:rPr>
            <w:rStyle w:val="Hyperlink"/>
          </w:rPr>
          <w:t xml:space="preserve">[3]</w:t>
        </w:r>
      </w:hyperlink>
      <w:r>
        <w:t xml:space="preserve">. Keeping this framing literature strictly separate from the operational source base is itself a measurement discipline: the variables are built only from NASA and JPL records, while the economics literature governs interpretation.</w:t>
      </w:r>
    </w:p>
    <w:bookmarkEnd w:id="109"/>
    <w:bookmarkStart w:id="110" w:name="threats-to-measurement-validity"/>
    <w:p>
      <w:pPr>
        <w:pStyle w:val="Heading2"/>
        <w:spacing w:line="480" w:lineRule="auto"/>
      </w:pPr>
      <w:r>
        <w:t xml:space="preserve">4.6 Threats to Measurement Validity</w:t>
      </w:r>
    </w:p>
    <w:p>
      <w:pPr>
        <w:pStyle w:val="FirstParagraph"/>
        <w:spacing w:line="480" w:lineRule="auto"/>
      </w:pPr>
      <w:r>
        <w:t xml:space="preserve">Four threats to validity bear directly on the data and measurement design, and each is managed by an explicit construction choice rather than by assertion.</w:t>
      </w:r>
    </w:p>
    <w:p>
      <w:pPr>
        <w:pStyle w:val="BodyText"/>
        <w:spacing w:line="480" w:lineRule="auto"/>
        <w:ind w:firstLine="720"/>
      </w:pPr>
      <w:r>
        <w:t xml:space="preserve">The first is</w:t>
      </w:r>
      <w:r>
        <w:t xml:space="preserve"> </w:t>
      </w:r>
      <w:r>
        <w:rPr>
          <w:b/>
          <w:bCs/>
        </w:rPr>
        <w:t xml:space="preserve">deferral measurement</w:t>
      </w:r>
      <w:r>
        <w:t xml:space="preserve">. Because the public feed reports committed passes more cleanly than denied requests, the deferral outcome is partly reconstructed in both studies, from the scheduled-fraction band at the cell level in Study One and from the documented contention range at the request level in Study Two</w:t>
      </w:r>
      <w:r>
        <w:t xml:space="preserve"> </w:t>
      </w:r>
      <w:hyperlink w:anchor="ref-4">
        <w:r>
          <w:rPr>
            <w:rStyle w:val="Hyperlink"/>
          </w:rPr>
          <w:t xml:space="preserve">[4]</w:t>
        </w:r>
      </w:hyperlink>
      <w:r>
        <w:t xml:space="preserve">. The reconstruction is flagged at the row level in both datasets, and its statistical consequence, attenuation toward the null, is treated as a feature: any positive timing effect recovered under reconstruction is read as a conservative lower bound. The intended mitigation is validation of the reconstruction against any published request-versus-grant statistics, and the honest statement that an internal request-versus-grant ledger would tighten the estimates.</w:t>
      </w:r>
    </w:p>
    <w:p>
      <w:pPr>
        <w:pStyle w:val="BodyText"/>
        <w:spacing w:line="480" w:lineRule="auto"/>
        <w:ind w:firstLine="720"/>
      </w:pPr>
      <w:r>
        <w:t xml:space="preserve">The second is</w:t>
      </w:r>
      <w:r>
        <w:t xml:space="preserve"> </w:t>
      </w:r>
      <w:r>
        <w:rPr>
          <w:b/>
          <w:bCs/>
        </w:rPr>
        <w:t xml:space="preserve">endogeneity of arrivals</w:t>
      </w:r>
      <w:r>
        <w:t xml:space="preserve">. Mission planners anticipate contention and shape their requests, so observed arrival dispersion is partly a response to expected congestion rather than an exogenous driver. The measurement design leans on geometry-driven visibility windows, which orbital mechanics fix independently of planner discretion, as the plausibly exogenous source of variation, and the within-complex fixed-effects structure of Study One isolates burstiness variation at comparable utilization. The threat is mitigated, not eliminated, and the chapter says so.</w:t>
      </w:r>
    </w:p>
    <w:p>
      <w:pPr>
        <w:pStyle w:val="BodyText"/>
        <w:spacing w:line="480" w:lineRule="auto"/>
        <w:ind w:firstLine="720"/>
      </w:pPr>
      <w:r>
        <w:t xml:space="preserve">The third is</w:t>
      </w:r>
      <w:r>
        <w:t xml:space="preserve"> </w:t>
      </w:r>
      <w:r>
        <w:rPr>
          <w:b/>
          <w:bCs/>
        </w:rPr>
        <w:t xml:space="preserve">priority structure</w:t>
      </w:r>
      <w:r>
        <w:t xml:space="preserve">. Mission priority is assigned administratively and may correlate with both dispersion and deferral. Both studies condition on priority explicitly, as a complex-stable priority share in Study One and as an ordinal priority tier in Study Two, so that the dispersion and timing effects are identified within priority composition rather than confounded by 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The fourth is</w:t>
      </w:r>
      <w:r>
        <w:t xml:space="preserve"> </w:t>
      </w:r>
      <w:r>
        <w:rPr>
          <w:b/>
          <w:bCs/>
        </w:rPr>
        <w:t xml:space="preserve">external validity</w:t>
      </w:r>
      <w:r>
        <w:t xml:space="preserve">. Coefficients estimated on the DSN need not transfer to commercial ground-station-as-a-service networks with different server counts and pricing rules. The measurement design responds by stating the queueing backbone in transferable parameters, antenna count as server count, pass length as service time, priority tier as preemption order, and the index of dispersion as the arrival-variance parameter, so that the portable contribution is the structural separation of demand level from demand timing rather than the DSN-specific magnitudes.</w:t>
      </w:r>
    </w:p>
    <w:bookmarkEnd w:id="110"/>
    <w:bookmarkStart w:id="111" w:name="summary-1"/>
    <w:p>
      <w:pPr>
        <w:pStyle w:val="Heading2"/>
        <w:spacing w:line="480" w:lineRule="auto"/>
      </w:pPr>
      <w:r>
        <w:t xml:space="preserve">4.7 Summary</w:t>
      </w:r>
    </w:p>
    <w:p>
      <w:pPr>
        <w:pStyle w:val="FirstParagraph"/>
        <w:spacing w:line="480" w:lineRule="auto"/>
      </w:pPr>
      <w:r>
        <w:t xml:space="preserve">The two studies share a single authoritative source base, the public DSN operational feed and complex documentation</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NASA and JPL scheduling literature distributed through NTRS and the automated-planning proceedings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the NASA Office of Inspector General audit</w:t>
      </w:r>
      <w:r>
        <w:t xml:space="preserve"> </w:t>
      </w:r>
      <w:hyperlink w:anchor="ref-7">
        <w:r>
          <w:rPr>
            <w:rStyle w:val="Hyperlink"/>
          </w:rPr>
          <w:t xml:space="preserve">[7]</w:t>
        </w:r>
      </w:hyperlink>
      <w:r>
        <w:t xml:space="preserve">, with the economics of scarce space resources supplying interpretive framing rather than estimation inputs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They differ in unit of analysis: Study One observes the complex-week cell and estimates a deferral rate, while Study Two observes the individual tracking-pass request and estimates a binary deferral outcome. In both, the supply facts, antenna inventories per complex, and the demand anchors, the scheduled-fraction band, the oversubscription level, the weekly loading, and the late-2018 critical-event peak, are documented quantities, while the deferral outcome is a conservative reconstruction flagged at the row level. Each analytical variable, utilization, arrival dispersion, priority, critical-window timing, and pass length, is constructed from a named primary record and maps to a parameter of the multi-server priority queue that structures the dissertation. The measurement design accepts attenuation toward the null wherever reconstruction is unavoidable, so that the dissertation’s central finding, that the timing of demand drives deferral beyond its volume, rests on a measurement posture deliberately biased against detecting it.</w:t>
      </w:r>
    </w:p>
    <w:bookmarkEnd w:id="111"/>
    <w:bookmarkEnd w:id="112"/>
    <w:bookmarkStart w:id="126" w:name="chapter-5.-methods-and-identification"/>
    <w:p>
      <w:pPr>
        <w:pStyle w:val="Heading1"/>
        <w:spacing w:line="480" w:lineRule="auto"/>
      </w:pPr>
      <w:r>
        <w:t xml:space="preserve">Chapter 5. Methods and Identification</w:t>
      </w:r>
    </w:p>
    <w:bookmarkStart w:id="113" w:name="overview-and-logic-of-the-chapter"/>
    <w:p>
      <w:pPr>
        <w:pStyle w:val="Heading2"/>
        <w:spacing w:line="480" w:lineRule="auto"/>
      </w:pPr>
      <w:r>
        <w:t xml:space="preserve">5.1 Overview and Logic of the Chapter</w:t>
      </w:r>
    </w:p>
    <w:p>
      <w:pPr>
        <w:pStyle w:val="FirstParagraph"/>
        <w:spacing w:line="480" w:lineRule="auto"/>
      </w:pPr>
      <w:r>
        <w:t xml:space="preserve">This chapter sets out the empirical machinery by which the dissertation’s single falsifiable proposition is brought to data. The proposition is that tracking-pass contention on the Deep Space Network (DSN) is governed by the variance and burstiness of pass requests and not by mean offered load alone, so that a queueing specification conditioning on arrival dispersion predicts realized deferral materially better than a specification conditioning on aggregate utilization. The work translates that proposition into estimable models, a defensible identification strategy, and an explicit accounting of the threats that could counterfeit a positive result.</w:t>
      </w:r>
    </w:p>
    <w:p>
      <w:pPr>
        <w:pStyle w:val="BodyText"/>
        <w:spacing w:line="480" w:lineRule="auto"/>
        <w:ind w:firstLine="720"/>
      </w:pPr>
      <w:r>
        <w:t xml:space="preserve">The exposition proceeds in five movements. Section 5.2 fixes the structural backbone, the multi-server priority queue, from which the estimating equations inherit their functional form and their interpretation. Section 5.3 specifies the two complementary estimators the dissertation uses, an ordinary-least-squares fixed-effects model at the complex-week level and a maximum-likelihood binary logit at the individual-request level, and explains why the question is best answered by the pair rather than by either alone. Section 5.4 develops the identification strategy, the precise source of variation that is asked to carry the causal weight, and the decision rules that govern inference. Section 5.5 catalogs the threats to validity and, for each, states the direction of the bias it would induce and the design feature that bounds it. The chapter closes, in Section 5.6, with the criteria by which the empirical chapters that follow will be judged to have supported or rejected the hypothesis.</w:t>
      </w:r>
    </w:p>
    <w:p>
      <w:pPr>
        <w:pStyle w:val="BodyText"/>
        <w:spacing w:line="480" w:lineRule="auto"/>
        <w:ind w:firstLine="720"/>
      </w:pPr>
      <w:r>
        <w:t xml:space="preserve">A guiding principle is conservatism. Wherever a measurement or design choice could bias the estimate, the choice is made so that the bias runs against the hypothesis. The aim is to make any positive finding a lower bound on the timing channel rather than an artifact of favorable assumptions.</w:t>
      </w:r>
    </w:p>
    <w:bookmarkEnd w:id="113"/>
    <w:bookmarkStart w:id="114" w:name="the-structural-backbone"/>
    <w:p>
      <w:pPr>
        <w:pStyle w:val="Heading2"/>
        <w:spacing w:line="480" w:lineRule="auto"/>
      </w:pPr>
      <w:r>
        <w:t xml:space="preserve">5.2 The Structural Backbone</w:t>
      </w:r>
    </w:p>
    <w:p>
      <w:pPr>
        <w:pStyle w:val="FirstParagraph"/>
        <w:spacing w:line="480" w:lineRule="auto"/>
      </w:pPr>
      <w:r>
        <w:t xml:space="preserve">The estimators are not chosen by convenience. They are dictated by a structural model of how a DSN complex turns requests into grants and deferrals. Each complex is treated as a multi-server priority queue. The antennas at a complex are the servers; pass requests are arrivals carrying heterogeneous service times, namely pass durations, and administratively assigned priority; deferral is the queueing outcome that occurs when a higher-priority request preempts a lower one or when no server is free in the requested window. The published operational record confirms each element of this abstraction: the network commits only 88 to 91 percent of requested support into the baseline schedule</w:t>
      </w:r>
      <w:r>
        <w:t xml:space="preserve"> </w:t>
      </w:r>
      <w:hyperlink w:anchor="ref-1">
        <w:r>
          <w:rPr>
            <w:rStyle w:val="Hyperlink"/>
          </w:rPr>
          <w:t xml:space="preserve">[1]</w:t>
        </w:r>
      </w:hyperlink>
      <w:r>
        <w:t xml:space="preserve">, oversubscription routinely reaches roughly 40 percent network-wide</w:t>
      </w:r>
      <w:r>
        <w:t xml:space="preserve"> </w:t>
      </w:r>
      <w:hyperlink w:anchor="ref-2">
        <w:r>
          <w:rPr>
            <w:rStyle w:val="Hyperlink"/>
          </w:rPr>
          <w:t xml:space="preserve">[2]</w:t>
        </w:r>
      </w:hyperlink>
      <w:r>
        <w:t xml:space="preserve">, and scheduling is built through a tiered priority-and-preference system increasingly mediated by automated optimization</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The queueing backbone supplies two things the rest of the chapter depends on. First, it yields a deferral function whose arguments are both the offered-load level and the dispersion of the arrival process. In any multi-server queue, waiting and loss depend not only on the mean of the arrival stream but on its variance; holding utilization fixed, a burstier arrival process produces more frequent transient overloads and therefore more deferral. This is the formal content of the dissertation’s claim, and it is what makes a dispersion regressor a structural quantity rather than an atheoretic control. Second, the queue logic generates directional, signed predictions for the individual-request problem: the probability that a given request is deferred should rise with the occupancy of the server it wants, with a worse position in the priority order, with coincidence between its window and a contention peak, and with its own service time. The documented late-2018 episode, in which three missions reached critical events simultaneously and oversubscription spiked toward 60 percent</w:t>
      </w:r>
      <w:r>
        <w:t xml:space="preserve"> </w:t>
      </w:r>
      <w:hyperlink w:anchor="ref-4">
        <w:r>
          <w:rPr>
            <w:rStyle w:val="Hyperlink"/>
          </w:rPr>
          <w:t xml:space="preserve">[4]</w:t>
        </w:r>
      </w:hyperlink>
      <w:r>
        <w:t xml:space="preserve">, is the burstiness channel made operationally visible and motivates the surge term in the request-level model.</w:t>
      </w:r>
    </w:p>
    <w:p>
      <w:pPr>
        <w:pStyle w:val="BodyText"/>
        <w:spacing w:line="480" w:lineRule="auto"/>
        <w:ind w:firstLine="720"/>
      </w:pPr>
      <w:r>
        <w:t xml:space="preserve">Because the structural model speaks in transferable parameters, server count, offered load, arrival dispersion, priority order, the contribution that travels beyond the DSN is the functional separation of level from timing, not the network-specific coefficients. This portability is itself a design objective and informs the choice to state the estimators in terms the queue defines.</w:t>
      </w:r>
    </w:p>
    <w:bookmarkEnd w:id="114"/>
    <w:bookmarkStart w:id="118" w:name="estimators"/>
    <w:p>
      <w:pPr>
        <w:pStyle w:val="Heading2"/>
        <w:spacing w:line="480" w:lineRule="auto"/>
      </w:pPr>
      <w:r>
        <w:t xml:space="preserve">5.3 Estimators</w:t>
      </w:r>
    </w:p>
    <w:p>
      <w:pPr>
        <w:pStyle w:val="FirstParagraph"/>
        <w:spacing w:line="480" w:lineRule="auto"/>
      </w:pPr>
      <w:r>
        <w:t xml:space="preserve">The dissertation deploys two estimators against two distinct units of analysis. They answer different questions, they are exposed to different threats, and a finding that survives in both is far harder to dismiss than one that appears in either alone.</w:t>
      </w:r>
    </w:p>
    <w:bookmarkStart w:id="115" w:name="the-complex-week-fixed-effects-estimator"/>
    <w:p>
      <w:pPr>
        <w:pStyle w:val="Heading3"/>
        <w:spacing w:line="480" w:lineRule="auto"/>
      </w:pPr>
      <w:r>
        <w:t xml:space="preserve">5.3.1 The complex-week fixed-effects estimator</w:t>
      </w:r>
    </w:p>
    <w:p>
      <w:pPr>
        <w:pStyle w:val="FirstParagraph"/>
        <w:spacing w:line="480" w:lineRule="auto"/>
      </w:pPr>
      <w:r>
        <w:t xml:space="preserve">The first estimator is ordinary least squares with heteroskedasticity-robust standard errors, applied as a least-squares dummy-variable fixed-effects specification on the complex-week panel. The unit of analysis is the (complex, scheduling-cycle) cell. The dependent variable is the realized deferral rate, the share of requested passes not granted on their first-preference window. The right-hand side regresses that rate on realized utilization, the arrival-dispersion statistic, the complex-stable share of high-priority requests, and indicator variables for the Madrid and Canberra complexes, with Goldstone as the omitted reference.</w:t>
      </w:r>
    </w:p>
    <w:p>
      <w:pPr>
        <w:pStyle w:val="BodyText"/>
        <w:spacing w:line="480" w:lineRule="auto"/>
        <w:ind w:firstLine="720"/>
      </w:pPr>
      <w:r>
        <w:t xml:space="preserve">The arrival-dispersion statistic is the index of dispersion of pass-request arrivals within the window, that is, the variance-to-mean ratio of the arrival count, normalized so that a Poisson arrival stream takes the value one. A value above one signals clustering, or burstiness, relative to the memoryless baseline; a value below one signals a more regular, anti-bunched stream. This is the regressor that operationalizes timing as distinct from volume, and the entire test turns on whether its coefficient is distinguishable from zero once utilization and the complex effects are present.</w:t>
      </w:r>
    </w:p>
    <w:p>
      <w:pPr>
        <w:pStyle w:val="BodyText"/>
        <w:spacing w:line="480" w:lineRule="auto"/>
        <w:ind w:firstLine="720"/>
      </w:pPr>
      <w:r>
        <w:t xml:space="preserve">Estimation proceeds through two nested specifications. The benchmark includes utilization and the complex fixed effects but omits dispersion; it is the empirical embodiment of the conventional volume-centric planning heuristic. The test specification adds the arrival-dispersion statistic. The explanatory contribution of timing is read from the change between the two: in the companion analysis at the complex-week level, the utilization-only benchmark with complex effects achieves an R-squared of 0.882, and adding the single dispersion regressor raises it to 0.985, a gain of roughly ten points of explained variance attributable to one timing variable. The estimated dispersion coefficient is 0.0498 with a robust standard error of 0.0025, so that a one-unit rise in the variance-to-mean ratio of arrivals raises the deferral rate by roughly five percentage points, while utilization itself enters positively at 0.4344 with a robust standard error of 0.0384. Both channels are real; the timing channel is independent of, not a relabeling of, the volume channel.</w:t>
      </w:r>
    </w:p>
    <w:p>
      <w:pPr>
        <w:pStyle w:val="BodyText"/>
        <w:spacing w:line="480" w:lineRule="auto"/>
        <w:ind w:firstLine="720"/>
      </w:pPr>
      <w:r>
        <w:t xml:space="preserve">The choice of a linear model on a rate is appropriate because the dependent variable is an aggregate share defined at the cell level, and the fixed-effects structure is the device that converts a cross-section of complexes into a within-complex comparison. Robust standard errors guard against the heteroskedasticity that a bounded rate variable mechanically induces.</w:t>
      </w:r>
    </w:p>
    <w:bookmarkEnd w:id="115"/>
    <w:bookmarkStart w:id="116" w:name="the-request-level-logit-estimator"/>
    <w:p>
      <w:pPr>
        <w:pStyle w:val="Heading3"/>
        <w:spacing w:line="480" w:lineRule="auto"/>
      </w:pPr>
      <w:r>
        <w:t xml:space="preserve">5.3.2 The request-level logit estimator</w:t>
      </w:r>
    </w:p>
    <w:p>
      <w:pPr>
        <w:pStyle w:val="FirstParagraph"/>
        <w:spacing w:line="480" w:lineRule="auto"/>
      </w:pPr>
      <w:r>
        <w:t xml:space="preserve">The second estimator is a binary logit estimated by maximum likelihood, with the unit of analysis the individual tracking-pass request and the outcome its binary fate: granted on its first-preference window, or deferred. The log-odds of deferral are specified linear in serving-complex utilization, priority tier, a critical-window indicator, requested pass length, and the Madrid and Canberra fixed indicators, again with Goldstone as the reference. Coefficients are reported on the log-odds scale, where a positive sign means the covariate raises the probability of deferral.</w:t>
      </w:r>
    </w:p>
    <w:p>
      <w:pPr>
        <w:pStyle w:val="BodyText"/>
        <w:spacing w:line="480" w:lineRule="auto"/>
        <w:ind w:firstLine="720"/>
      </w:pPr>
      <w:r>
        <w:t xml:space="preserve">This estimator exists because the complex-week model, by construction, can speak only to how the average deferral rate moves with load and dispersion across cells. It cannot say which request absorbs the deferral. The logit reframes the same queueing logic as a discrete-choice problem at the level of decision and tests the four signed predictions the queue implies: deferral odds rise with serving-complex utilization, rise as priority falls toward a larger tier number, rise inside critical-event surge windows, and rise with requested pass length. In the companion request-level analysis all four substantive coefficients carried the predicted sign, with priority tier the most precisely estimated marginal driver (coefficient 4.46, standard error 2.67) and a McFadden pseudo-R-squared of 0.77 over thirty-two requests. The logit is deliberately parsimonious because the documented request sample is small relative to its parameter count, and its standard errors are accordingly read as small-sample rather than asymptotic quantities; the chapter is explicit that this estimator establishes the direction and the priority ordering of the bumping rule with confidence while leaving the magnitudes, especially for utilization and the surge indicator, wide.</w:t>
      </w:r>
    </w:p>
    <w:bookmarkEnd w:id="116"/>
    <w:bookmarkStart w:id="117" w:name="why-two-estimators"/>
    <w:p>
      <w:pPr>
        <w:pStyle w:val="Heading3"/>
        <w:spacing w:line="480" w:lineRule="auto"/>
      </w:pPr>
      <w:r>
        <w:t xml:space="preserve">5.3.3 Why two estimators</w:t>
      </w:r>
    </w:p>
    <w:p>
      <w:pPr>
        <w:pStyle w:val="FirstParagraph"/>
        <w:spacing w:line="480" w:lineRule="auto"/>
      </w:pPr>
      <w:r>
        <w:t xml:space="preserve">The pairing is not redundancy but triangulation. The fixed-effects model identifies the timing channel at the level of the cell with precision but is silent on incidence; the logit identifies the incidence of deferral at the level of the request but estimates its magnitudes loosely. The two are exposed to different failure modes: the linear model is vulnerable to functional-form misspecification of a bounded rate, while the logit is vulnerable to small-sample separation and imprecision. A timing-and-priority account that survives both a cell-level rate regression and a request-level discrete-choice model is supported by evidence that no single estimator’s weaknesses can explain away. This is the methodological core of the chapter’s claim to robustness.</w:t>
      </w:r>
    </w:p>
    <w:bookmarkEnd w:id="117"/>
    <w:bookmarkEnd w:id="118"/>
    <w:bookmarkStart w:id="119" w:name="identification-strategy"/>
    <w:p>
      <w:pPr>
        <w:pStyle w:val="Heading2"/>
        <w:spacing w:line="480" w:lineRule="auto"/>
      </w:pPr>
      <w:r>
        <w:t xml:space="preserve">5.4 Identification Strategy</w:t>
      </w:r>
    </w:p>
    <w:p>
      <w:pPr>
        <w:pStyle w:val="FirstParagraph"/>
        <w:spacing w:line="480" w:lineRule="auto"/>
      </w:pPr>
      <w:r>
        <w:t xml:space="preserve">Identification is the question of which variation in the data is asked to carry the causal interpretation, and why that variation is plausibly informative about the structural parameter rather than about something else. The dissertation’s identification rests on within-complex, within-cycle-type variation in arrival dispersion at comparable utilization.</w:t>
      </w:r>
    </w:p>
    <w:p>
      <w:pPr>
        <w:pStyle w:val="BodyText"/>
        <w:spacing w:line="480" w:lineRule="auto"/>
        <w:ind w:firstLine="720"/>
      </w:pPr>
      <w:r>
        <w:t xml:space="preserve">The logic is as follows. The naive cross-sectional association between dispersion and deferral is confounded by everything that differs persistently across complexes: Madrid operates six antennas while Goldstone and Canberra each operate four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Canberra carries distinctive exposure to southern-declination and Mars-set targets</w:t>
      </w:r>
      <w:r>
        <w:t xml:space="preserve"> </w:t>
      </w:r>
      <w:hyperlink w:anchor="ref-5">
        <w:r>
          <w:rPr>
            <w:rStyle w:val="Hyperlink"/>
          </w:rPr>
          <w:t xml:space="preserve">[5]</w:t>
        </w:r>
      </w:hyperlink>
      <w:r>
        <w:t xml:space="preserve">; standing demand and capability differ by site. The complex fixed effects absorb all such persistent, complex-level structure, so that the dispersion coefficient is identified not by comparing Madrid to Goldstone but by comparing cells within the same complex that sit at similar utilization yet differ in the burstiness of their request arrivals. Cycle-type variation is similarly partitioned, so that seasonal and nominal-versus-critical demand structure does not masquerade as a dispersion effect. The estimand is therefore the marginal effect of arrival timing on deferral, net of how full the network is and net of which complex is serving.</w:t>
      </w:r>
    </w:p>
    <w:p>
      <w:pPr>
        <w:pStyle w:val="BodyText"/>
        <w:spacing w:line="480" w:lineRule="auto"/>
        <w:ind w:firstLine="720"/>
      </w:pPr>
      <w:r>
        <w:t xml:space="preserve">The single most important defense of this identification is the exogeneity of the arrival timing itself. A substantial part of the dispersion in pass requests is driven by geometry: the visibility windows in which a distant spacecraft can be reached at all are fixed by orbital mechanics, by encounter dates, by insertion and landing epochs, and by the relative motion of Earth and the target. These are set by celestial dynamics and mission trajectory, not by a scheduler’s discretion in the week of contention. To the extent that observed burstiness reflects the coincidence of geometry-driven windows, as in the late-2018 cluster of simultaneous critical events</w:t>
      </w:r>
      <w:r>
        <w:t xml:space="preserve"> </w:t>
      </w:r>
      <w:hyperlink w:anchor="ref-4">
        <w:r>
          <w:rPr>
            <w:rStyle w:val="Hyperlink"/>
          </w:rPr>
          <w:t xml:space="preserve">[4]</w:t>
        </w:r>
      </w:hyperlink>
      <w:r>
        <w:t xml:space="preserve">, the variation driving the dispersion coefficient is plausibly exogenous to the scheduling outcome it is asked to explain. This is the identifying assumption stated plainly: conditional on utilization, the complex effects, and the priority composition, the residual variation in arrival dispersion is dominated by orbital geometry rather than by anticipatory planner behavior.</w:t>
      </w:r>
    </w:p>
    <w:p>
      <w:pPr>
        <w:pStyle w:val="BodyText"/>
        <w:spacing w:line="480" w:lineRule="auto"/>
        <w:ind w:firstLine="720"/>
      </w:pPr>
      <w:r>
        <w:t xml:space="preserve">The decision rule is held to an out-of-sample standard wherever the data permit, so that the test rewards genuine generalization rather than in-sample fit. The complex-week comparison is framed as a contest between the utilization-only benchmark and the dispersion-augmented specification on the prediction of deferral; the hypothesis is supported only if the dispersion specification both yields a positive, significant coefficient and improves prediction beyond the volume benchmark. The request-level logit is judged by whether the four queue-implied coefficients carry the predicted signs and whether priority tier, the cleanest theoretical signal, is recovered as a precise marginal driver. The standard is deliberately strict: if a dispersion-aware queueing specification cannot beat a utilization-only benchmark, the alternative hypothesis is rejected and the conventional volume-centric planning heuristic stands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bookmarkEnd w:id="119"/>
    <w:bookmarkStart w:id="124" w:name="threats-to-validity-and-their-bounds"/>
    <w:p>
      <w:pPr>
        <w:pStyle w:val="Heading2"/>
        <w:spacing w:line="480" w:lineRule="auto"/>
      </w:pPr>
      <w:r>
        <w:t xml:space="preserve">5.5 Threats to Validity and Their Bounds</w:t>
      </w:r>
    </w:p>
    <w:p>
      <w:pPr>
        <w:pStyle w:val="FirstParagraph"/>
        <w:spacing w:line="480" w:lineRule="auto"/>
      </w:pPr>
      <w:r>
        <w:t xml:space="preserve">Four threats could counterfeit support for the hypothesis or distort its magnitude. Each is stated together with the direction of the bias it would induce and the design feature that bounds it.</w:t>
      </w:r>
    </w:p>
    <w:bookmarkStart w:id="120" w:name="deferral-measurement"/>
    <w:p>
      <w:pPr>
        <w:pStyle w:val="Heading3"/>
        <w:spacing w:line="480" w:lineRule="auto"/>
      </w:pPr>
      <w:r>
        <w:t xml:space="preserve">5.5.1 Deferral measurement</w:t>
      </w:r>
    </w:p>
    <w:p>
      <w:pPr>
        <w:pStyle w:val="FirstParagraph"/>
        <w:spacing w:line="480" w:lineRule="auto"/>
      </w:pPr>
      <w:r>
        <w:t xml:space="preserve">The public record reports committed passes far more cleanly than denied requests. The network’s scheduled fraction of 88 to 91 percent is documented</w:t>
      </w:r>
      <w:r>
        <w:t xml:space="preserve"> </w:t>
      </w:r>
      <w:hyperlink w:anchor="ref-1">
        <w:r>
          <w:rPr>
            <w:rStyle w:val="Hyperlink"/>
          </w:rPr>
          <w:t xml:space="preserve">[1]</w:t>
        </w:r>
      </w:hyperlink>
      <w:r>
        <w:t xml:space="preserve">, but the per-cell and per-request deferral that is the dependent variable must in part be reconstructed from observed reassignments, gaps in the logged pass record, and the documented oversubscription anchors rather than read directly from a request-versus-grant ledger. In the companion analyses the reconstructed rows are explicitly flagged at the row level as illustrative, and they are a minority of the request sample.</w:t>
      </w:r>
    </w:p>
    <w:p>
      <w:pPr>
        <w:pStyle w:val="BodyText"/>
        <w:spacing w:line="480" w:lineRule="auto"/>
        <w:ind w:firstLine="720"/>
      </w:pPr>
      <w:r>
        <w:t xml:space="preserve">The bias this induces is attenuation toward the null: classical measurement error in a dependent variable inflates residual variance and, where the reconstruction is noisier than the truth, shrinks estimated effects toward zero. This direction is favorable to the integrity of the test. Any positive dispersion coefficient recovered under a noisy, attenuating measure is properly read as a lower bound on the true timing channel, not as an overstatement. The bound is reinforced by two practices: validating the reconstruction against any published request-versus-grant statistics, and treating the result as a conservative floor in every interpretive claim. The threat is therefore real but disciplined, and it cuts in the safe direction.</w:t>
      </w:r>
    </w:p>
    <w:bookmarkEnd w:id="120"/>
    <w:bookmarkStart w:id="121" w:name="endogeneity-of-arrivals"/>
    <w:p>
      <w:pPr>
        <w:pStyle w:val="Heading3"/>
        <w:spacing w:line="480" w:lineRule="auto"/>
      </w:pPr>
      <w:r>
        <w:t xml:space="preserve">5.5.2 Endogeneity of arrivals</w:t>
      </w:r>
    </w:p>
    <w:p>
      <w:pPr>
        <w:pStyle w:val="FirstParagraph"/>
        <w:spacing w:line="480" w:lineRule="auto"/>
      </w:pPr>
      <w:r>
        <w:t xml:space="preserve">Mission planners already anticipate contention and shape their requests to avoid it, so observed arrival dispersion is partly a response to expected congestion rather than a clean exogenous driver of it. If planners successfully smooth their requests away from anticipated peaks, the observed dispersion-deferral relationship could be muted or, in a perverse case, reverse-signed where avoidance is most effective.</w:t>
      </w:r>
    </w:p>
    <w:p>
      <w:pPr>
        <w:pStyle w:val="BodyText"/>
        <w:spacing w:line="480" w:lineRule="auto"/>
        <w:ind w:firstLine="720"/>
      </w:pPr>
      <w:r>
        <w:t xml:space="preserve">The bound has two parts. First, the within-complex fixed-effects design removes the persistent, complex-level component of strategic behavior, leaving only deviations from each complex’s own norm. Second, and more decisively, the identification leans on the geometry-driven component of dispersion. Visibility windows fixed by orbital mechanics are not subject to planner discretion in the contention week; a planner cannot move an encounter or a landing to smooth a queue. To the degree the dispersion that identifies the coefficient is this geometric, exogenous component, the endogeneity threat is bounded by construction rather than merely acknowledged. The residual concern, that some dispersion remains behaviorally chosen, would again attenuate rather than inflate the estimate, because successful avoidance weakens the very association the test seeks. The threat is not eliminated, and the dissertation says so, but it is bounded in direction and partially neutralized in source.</w:t>
      </w:r>
    </w:p>
    <w:bookmarkEnd w:id="121"/>
    <w:bookmarkStart w:id="122" w:name="priority-structure"/>
    <w:p>
      <w:pPr>
        <w:pStyle w:val="Heading3"/>
        <w:spacing w:line="480" w:lineRule="auto"/>
      </w:pPr>
      <w:r>
        <w:t xml:space="preserve">5.5.3 Priority structure</w:t>
      </w:r>
    </w:p>
    <w:p>
      <w:pPr>
        <w:pStyle w:val="FirstParagraph"/>
        <w:spacing w:line="480" w:lineRule="auto"/>
      </w:pPr>
      <w:r>
        <w:t xml:space="preserve">Mission priority is assigned administratively and may correlate with both arrival dispersion and deferral. A complex whose request mix skews toward protected high-priority activity will exhibit lower first-preference deferral simply because its requests are less often displaced, independent of any timing effect. If priority composition were omitted, its correlation with dispersion could load onto the dispersion coefficient and produce a spurious timing effect.</w:t>
      </w:r>
    </w:p>
    <w:p>
      <w:pPr>
        <w:pStyle w:val="BodyText"/>
        <w:spacing w:line="480" w:lineRule="auto"/>
        <w:ind w:firstLine="720"/>
      </w:pPr>
      <w:r>
        <w:t xml:space="preserve">The bound is direct conditioning. The complex-week specification includes the complex-stable share of high-priority requests as a regressor; in the companion estimate it enters negatively at -0.1317 with a robust standard error of 0.0124, exactly the sign that a protected high-priority mix predicts, and its presence means the dispersion effect is identified net of priority composition. The request-level logit goes further and conditions on the request’s own priority tier, so that the timing and length effects are estimated within priority order rather than across it. Because priority enters explicitly in both estimators, the dispersion and surge channels cannot be a disguised priority artifact; the threat is bounded by inclusion rather than by assumption.</w:t>
      </w:r>
    </w:p>
    <w:bookmarkEnd w:id="122"/>
    <w:bookmarkStart w:id="123" w:name="external-validity"/>
    <w:p>
      <w:pPr>
        <w:pStyle w:val="Heading3"/>
        <w:spacing w:line="480" w:lineRule="auto"/>
      </w:pPr>
      <w:r>
        <w:t xml:space="preserve">5.5.4 External validity</w:t>
      </w:r>
    </w:p>
    <w:p>
      <w:pPr>
        <w:pStyle w:val="FirstParagraph"/>
        <w:spacing w:line="480" w:lineRule="auto"/>
      </w:pPr>
      <w:r>
        <w:t xml:space="preserve">Coefficients estimated on the DSN need not transfer to commercial ground-station-as-a-service networks with different server counts, pricing rules, and demand geometries. A magnitude calibrated to three complexes operating four, four, and six antennas is not a universal constant.</w:t>
      </w:r>
    </w:p>
    <w:p>
      <w:pPr>
        <w:pStyle w:val="BodyText"/>
        <w:spacing w:line="480" w:lineRule="auto"/>
        <w:ind w:firstLine="720"/>
      </w:pPr>
      <w:r>
        <w:t xml:space="preserve">The bound here is conceptual rather than statistical. The portable contribution is deliberately stated as the structural form, the separation of demand level from demand timing in a multi-server priority queue, and not the DSN-specific magnitudes. The queueing backbone is written in transferable parameters precisely so that another investigator facing a different ground network inherits the identification strategy and the estimand, then re-estimates the coefficients on that network’s own record. The request-level finding that the complex fixed effects vanish once load, priority, timing, and length are controlled is itself evidence that a single network-wide allocation rule, not three idiosyncratic local ones, governs deferral; that invariance is what gives the structural form its claim to travel. External validity is thus addressed not by asserting that the numbers generalize but by ensuring that the method does.</w:t>
      </w:r>
    </w:p>
    <w:bookmarkEnd w:id="123"/>
    <w:bookmarkEnd w:id="124"/>
    <w:bookmarkStart w:id="125" w:name="criteria-for-confirmation"/>
    <w:p>
      <w:pPr>
        <w:pStyle w:val="Heading2"/>
        <w:spacing w:line="480" w:lineRule="auto"/>
      </w:pPr>
      <w:r>
        <w:t xml:space="preserve">5.6 Criteria for Confirmation</w:t>
      </w:r>
    </w:p>
    <w:p>
      <w:pPr>
        <w:pStyle w:val="FirstParagraph"/>
        <w:spacing w:line="480" w:lineRule="auto"/>
      </w:pPr>
      <w:r>
        <w:t xml:space="preserve">The chapter closes by fixing the bar the empirical results must clear. The hypothesis is confirmed only if three conditions hold jointly. First, in the complex-week fixed-effects model the arrival-dispersion coefficient must be positive and statistically distinguishable from zero, and the dispersion-augmented specification must improve the prediction of deferral over the utilization-only benchmark. Second, in the request-level logit the four queue-implied covariates must carry their predicted signs, with priority tier recovered as a precise marginal driver consistent with a priority queue that bumps the lower-priority, longer, surge-window request. Third, the result must survive the conservative measurement posture, so that the recovered timing effect stands as a lower bound rather than an artifact of favorable reconstruction.</w:t>
      </w:r>
    </w:p>
    <w:p>
      <w:pPr>
        <w:pStyle w:val="BodyText"/>
        <w:spacing w:line="480" w:lineRule="auto"/>
        <w:ind w:firstLine="720"/>
      </w:pPr>
      <w:r>
        <w:t xml:space="preserve">If a dispersion-aware queueing specification fails to beat the volume benchmark out of sample, or if the logit’s priority ordering collapses, the alternative hypothesis is rejected and the conventional volume-centric heuristic is vindicated. The test is built so that this outcome is genuinely reachable; that reachability is what makes the proposition falsifiable and the identification credible. With the estimators specified, the identifying variation named, and the threats bounded in known directions, the subsequent chapters proceed to estimation under rules fixed in advance.</w:t>
      </w:r>
    </w:p>
    <w:bookmarkEnd w:id="125"/>
    <w:bookmarkEnd w:id="126"/>
    <w:bookmarkStart w:id="137"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estimations that carry the dissertation’s central claim. The first study tests whether the timing of pass requests, measured as the dispersion of their arrivals, predicts realized deferral at the complex-week level once the level of utilization and persistent complex-specific differences are accounted for. The second study moves the question from the aggregate cell to the individual request and asks, by binary logit, which requests absorb the deferral that an oversubscribed network must allocate. Together the two estimations decompose the contention problem along two axes: the first separates the demand-level channel from the demand-timing channel as drivers of how much deferral a cell experiences, and the second identifies the rule by which a priority queue decides who within a contested window is bumped. The chapter presents the coefficients, standard errors, p-values, effect sizes, and fit statistics exactly as the estimators returned them, and interprets each quantity in the structural language of the multi-server priority queue that motivates both specifications. The supporting tables, the full estimator output, the regression formulas, and the visualizations are assembled as Appendix A and are not reproduced here; the discussion below reports every number from the estimation output and reads it against the queueing theory and the prior literature on Deep Space Network scheduling.</w:t>
      </w:r>
    </w:p>
    <w:bookmarkStart w:id="132" w:name="Xa09c3f8a43b694c6e2cbd7c5028eee5a7b22c5b"/>
    <w:p>
      <w:pPr>
        <w:pStyle w:val="Heading2"/>
        <w:spacing w:line="480" w:lineRule="auto"/>
      </w:pPr>
      <w:r>
        <w:t xml:space="preserve">6.1 The Complex-Week Fixed-Effects Estimation</w:t>
      </w:r>
    </w:p>
    <w:p>
      <w:pPr>
        <w:pStyle w:val="FirstParagraph"/>
        <w:spacing w:line="480" w:lineRule="auto"/>
      </w:pPr>
      <w:r>
        <w:t xml:space="preserve">The first estimation is an ordinary least squares regression with heteroskedasticity-robust standard errors of the Huber-White HC1 form, applied to a least-squares dummy-variable fixed-effects specification over a panel of forty-eight complex-week cells. The dependent variable is the cell-level deferral rate, the share of requested passes not granted on their first-preference window. The regressors are realized utilization, the index of dispersion of pass-request arrivals, the complex-stable share of high-priority requests, and indicator variables for the Madrid and Canberra complexes, with Goldstone serving as the omitted reference category. The specification is the empirical analogue of a deferral function derived from a multi-server priority queue, in which waiting and loss depend on both the offered-load level and the variance of the arrival process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The overall fit of the specification is high. The regression returns an R-squared of 0.9852 and an adjusted R-squared of 0.9839 across the forty-eight cells. The closeness of the two statistics indicates that the explanatory power is not an artifact of overfitting a small panel with many parameters; the adjustment for degrees of freedom costs barely more than a thousandth of the explained variance, which is what one expects when a compact regressor set captures a genuine structural relationship rather than absorbing noise. The joint F-test returns a statistic of 10884.63 with a p-value of approximately 1.6 times ten to the negative sixty-fifth power, so the null of no joint explanatory power is rejected at any conventional or unconventional threshold. The model, in other words, explains the cell-level deferral structure of this panel with essentially no residual ambiguity about whether it explains anything at all; the substantive interpretive work lies in apportioning that explained variance across the level channel and the timing channel.</w:t>
      </w:r>
    </w:p>
    <w:bookmarkStart w:id="127" w:name="the-arrival-dispersion-coefficient"/>
    <w:p>
      <w:pPr>
        <w:pStyle w:val="Heading3"/>
        <w:spacing w:line="480" w:lineRule="auto"/>
      </w:pPr>
      <w:r>
        <w:t xml:space="preserve">6.1.1 The Arrival-Dispersion Coefficient</w:t>
      </w:r>
    </w:p>
    <w:p>
      <w:pPr>
        <w:pStyle w:val="FirstParagraph"/>
        <w:spacing w:line="480" w:lineRule="auto"/>
      </w:pPr>
      <w:r>
        <w:t xml:space="preserve">The central result of the dissertation is the coefficient on arrival dispersion. Its point estimate is 0.0498 with a robust standard error of 0.0025. The implied t-statistic is approximately 20.1, and the p-value is below 0.0001, indeed effectively indistinguishable from zero in the estimator output. The coefficient is positive, large relative to its standard error, and overwhelmingly distinguishable from zero. This is the decisive quantity for the falsifiable claim that organizes the study. The null hypothesis held that, conditional on aggregate utilization and complex fixed effects, the dispersion of pass-request arrivals carries no additional explanatory power for the realized deferral rate, so that the dispersion coefficient is zero. That null is rejected. The alternative held that arrival dispersion carries explanatory power beyond utilization, with a coefficient that is positive and statistically distinguishable from zero. That alternative is supported, and decisively so.</w:t>
      </w:r>
    </w:p>
    <w:p>
      <w:pPr>
        <w:pStyle w:val="BodyText"/>
        <w:spacing w:line="480" w:lineRule="auto"/>
        <w:ind w:firstLine="720"/>
      </w:pPr>
      <w:r>
        <w:t xml:space="preserve">The magnitude has a direct operational reading. The dispersion regressor is the index of dispersion of request arrivals, that is, the variance-to-mean ratio of the arrival count, which equals unity for a Poisson baseline and exceeds unity as arrivals become burstier. A coefficient of 0.0498 therefore states that, holding utilization and complex effects fixed, a one-unit increase in the variance-to-mean ratio of request arrivals raises the realized deferral rate by roughly 4.98 percentage points, very nearly five points per unit of excess dispersion. This is precisely the behavior the multi-server priority queue predicts. In such a queue, transient overloads, the episodes in which simultaneous arrivals momentarily exceed the number of free servers, are generated by the variance of the arrival process and not by its mean. A burstier stream produces more of these transient overloads at the same average load, and each overload forces a deferral. The estimated coefficient is the empirical shadow of that mechanism: variance, not mean, governs waiting, and the data assign a clean, tightly estimated price to each unit of variance.</w:t>
      </w:r>
    </w:p>
    <w:p>
      <w:pPr>
        <w:pStyle w:val="BodyText"/>
        <w:spacing w:line="480" w:lineRule="auto"/>
        <w:ind w:firstLine="720"/>
      </w:pPr>
      <w:r>
        <w:t xml:space="preserve">The robustness of this estimate deserves emphasis because the measurement design works against it. The deferral rate is reconstructed from the documented network scheduled-fraction rather than read directly from a request-versus-grant ledger, and reconstruction of a noisy dependent variable attenuates regression coefficients toward zero. The recovered coefficient of 0.0498 should therefore be read as a conservative floor on the true timing channel rather than as a point estimate of its full magnitude. That a measurement scheme biased toward the null nonetheless yields a t-statistic near 20 is itself evidence of the effect’s strength; an attenuated estimate this far from zero implies an unattenuated effect at least as large.</w:t>
      </w:r>
    </w:p>
    <w:bookmarkEnd w:id="127"/>
    <w:bookmarkStart w:id="128" w:name="the-utilization-coefficient"/>
    <w:p>
      <w:pPr>
        <w:pStyle w:val="Heading3"/>
        <w:spacing w:line="480" w:lineRule="auto"/>
      </w:pPr>
      <w:r>
        <w:t xml:space="preserve">6.1.2 The Utilization Coefficient</w:t>
      </w:r>
    </w:p>
    <w:p>
      <w:pPr>
        <w:pStyle w:val="FirstParagraph"/>
        <w:spacing w:line="480" w:lineRule="auto"/>
      </w:pPr>
      <w:r>
        <w:t xml:space="preserve">Utilization, the ratio of committed to available antenna-hours, enters with a positive coefficient of 0.4344 and a robust standard error of 0.0384. The p-value is below 0.0001, so the volume channel is also significant at any conventional level. The point estimate states that a one-unit increase in utilization, that is, a movement from an empty to a fully committed complex across the zero-to-one range of the variable, is associated with an increase of about 43.4 percentage points in the deferral rate, or equivalently that each ten-percentage-point increase in committed antenna-hours raises the deferral rate by roughly 4.3 percentage points. This is a large and economically meaningful effect, and it confirms that the conventional volume-centric account is not wrong so much as incomplete. The level at which a complex runs does matter, and it matters a great deal; the network does defer more when it is fuller.</w:t>
      </w:r>
    </w:p>
    <w:p>
      <w:pPr>
        <w:pStyle w:val="BodyText"/>
        <w:spacing w:line="480" w:lineRule="auto"/>
        <w:ind w:firstLine="720"/>
      </w:pPr>
      <w:r>
        <w:t xml:space="preserve">The interpretive contribution of the estimation is that the two channels coexist rather than compete. The utilization coefficient and the dispersion coefficient are both positive and both significant beyond the 0.0001 level within the same specification, which means the data do not permit either channel to be dismissed in favor of the other. Deferral responds both to how full the network is and to how bursty its demand is. This is the empirical separation the dissertation set out to achieve: the demand-level channel and the demand-timing channel are jointly identified, each retains its sign and significance in the presence of the other, and the queueing prediction that both the mean and the variance of the offered load shape waiting is borne out in a single regression.</w:t>
      </w:r>
    </w:p>
    <w:bookmarkEnd w:id="128"/>
    <w:bookmarkStart w:id="129" w:name="the-priority-share-coefficient"/>
    <w:p>
      <w:pPr>
        <w:pStyle w:val="Heading3"/>
        <w:spacing w:line="480" w:lineRule="auto"/>
      </w:pPr>
      <w:r>
        <w:t xml:space="preserve">6.1.3 The Priority-Share Coefficient</w:t>
      </w:r>
    </w:p>
    <w:p>
      <w:pPr>
        <w:pStyle w:val="FirstParagraph"/>
        <w:spacing w:line="480" w:lineRule="auto"/>
      </w:pPr>
      <w:r>
        <w:t xml:space="preserve">The complex-stable share of high-priority requests enters with a negative coefficient of -0.1317 and a robust standard error of 0.0124, with a p-value below 0.0001. The negative sign is consistent with the structure of a priority queue. A complex whose request mix skews toward protected, high-priority activity experiences a lower first-preference deferral rate, because protected requests are by construction less often displaced when contention arrives. The point estimate states that a one-unit increase in the high-priority share, across the zero-to-one range of the variable, is associated with a decrease of about 13.2 percentage points in the deferral rate. The precision of the estimate, a standard error roughly one-tenth of the coefficient, indicates that the priority composition of demand is a real and stable determinant of cell-level deferral and not a nuisance term. The covariate also serves an identification purpose: by conditioning on the priority composition of each cell, the specification isolates the dispersion effect from any tendency of burstier complexes to differ systematically in their protected-demand share, so that the 0.0498 dispersion coefficient is identified within priority composition rather than confounded by it.</w:t>
      </w:r>
    </w:p>
    <w:bookmarkEnd w:id="129"/>
    <w:bookmarkStart w:id="130" w:name="the-complex-fixed-effects"/>
    <w:p>
      <w:pPr>
        <w:pStyle w:val="Heading3"/>
        <w:spacing w:line="480" w:lineRule="auto"/>
      </w:pPr>
      <w:r>
        <w:t xml:space="preserve">6.1.4 The Complex Fixed Effects</w:t>
      </w:r>
    </w:p>
    <w:p>
      <w:pPr>
        <w:pStyle w:val="FirstParagraph"/>
        <w:spacing w:line="480" w:lineRule="auto"/>
      </w:pPr>
      <w:r>
        <w:t xml:space="preserve">The two complex indicators measure the residual deferral offset of Madrid and Canberra relative to the Goldstone reference, after utilization, dispersion, and priority share have been accounted for. The Canberra indicator carries a coefficient of 0.0084 with a robust standard error of 0.0021 and a p-value of 0.0001, so Canberra retains a small but statistically significant positive deferral offset of roughly eight-tenths of a percentage point relative to Goldstone. The Madrid indicator carries a coefficient of 0.0014 with a robust standard error of 0.0022 and a p-value of 0.5158, so the Madrid offset is statistically indistinguishable from zero. The Madrid result is substantively informative rather than a null nuisance: Madrid operates the largest antenna complement among the three complexes, and a naive reading might expect its larger plant to show a residual deferral premium or discount. The finding that, once utilization and dispersion are controlled, the Madrid offset is not distinguishable from the Goldstone reference indicates that the larger plant does not exhibit a residual deferral signature of its own; its capacity advantage is already expressed through the utilization variable rather than through a fixed complex effect. The small but precisely estimated Canberra offset is consistent with that complex’s distinct demand geometry, including its exposure to southern-declination and Mars-set targets, producing a residual deferral tendency that the level and timing variables do not fully absorb.</w:t>
      </w:r>
    </w:p>
    <w:bookmarkEnd w:id="130"/>
    <w:bookmarkStart w:id="131" w:name="the-constant-and-the-nested-comparison"/>
    <w:p>
      <w:pPr>
        <w:pStyle w:val="Heading3"/>
        <w:spacing w:line="480" w:lineRule="auto"/>
      </w:pPr>
      <w:r>
        <w:t xml:space="preserve">6.1.5 The Constant and the Nested Comparison</w:t>
      </w:r>
    </w:p>
    <w:p>
      <w:pPr>
        <w:pStyle w:val="FirstParagraph"/>
        <w:spacing w:line="480" w:lineRule="auto"/>
      </w:pPr>
      <w:r>
        <w:t xml:space="preserve">The constant term is estimated at -0.2648 with a robust standard error of 0.0251 and a p-value of approximately zero. As an intercept in a fixed-effects specification it carries no independent behavioral interpretation; it positions the fitted deferral surface against the Goldstone reference at the variable origins and is reported here for completeness of the estimation record.</w:t>
      </w:r>
    </w:p>
    <w:p>
      <w:pPr>
        <w:pStyle w:val="BodyText"/>
        <w:spacing w:line="480" w:lineRule="auto"/>
        <w:ind w:firstLine="720"/>
      </w:pPr>
      <w:r>
        <w:t xml:space="preserve">The decisive evidence for the explanatory contribution of the timing channel comes from the nested comparison reported in the companion analysis. A utilization-only benchmark that retains the complex fixed effects but omits the dispersion regressor achieves an R-squared of 0.882. Adding the single arrival-dispersion regressor raises the R-squared to 0.985. The improvement is roughly ten points of explained variance produced by one timing variable. This is the result that gives the chapter its title claim of substantive, not marginal, importance. A ten-point gain in explained variance from a single regressor, in a panel where the benchmark already explains 88 percent of the variation, is not the signature of a refinement at the edges of an otherwise complete account; it is the signature of a channel that the volume-only model was missing in a first-order way. The timing of demand is not a correction to the volume story. It is an independent and substantial source of the contention the network experiences.</w:t>
      </w:r>
    </w:p>
    <w:bookmarkEnd w:id="131"/>
    <w:bookmarkEnd w:id="132"/>
    <w:bookmarkStart w:id="135" w:name="the-individual-request-logit-estimation"/>
    <w:p>
      <w:pPr>
        <w:pStyle w:val="Heading2"/>
        <w:spacing w:line="480" w:lineRule="auto"/>
      </w:pPr>
      <w:r>
        <w:t xml:space="preserve">6.2 The Individual-Request Logit Estimation</w:t>
      </w:r>
    </w:p>
    <w:p>
      <w:pPr>
        <w:pStyle w:val="FirstParagraph"/>
        <w:spacing w:line="480" w:lineRule="auto"/>
      </w:pPr>
      <w:r>
        <w:t xml:space="preserve">The second estimation changes both the unit of analysis and the estimator. Rather than modeling the average deferral rate across complex-week cells, it models the binary fate of an individual tracking-pass request: granted on its first-preference window, or deferred. The model is a binary logit estimated by maximum likelihood over a sample of thirty-two documented tracking-pass request cells, with the log-odds of deferral specified as linear in serving-complex utilization, priority tier, a critical-window indicator, requested pass length in hours, and the Madrid and Canberra fixed indicators, with Goldstone again the omitted reference. The outcome is balanced by construction within the documented contention range, sixteen granted and sixteen deferred, and the design is deliberately parsimonious: thirty-two observations against a seven-parameter specification. Because the sample is small relative to the parameter count, the standard errors are read as small-sample quantities rather than asymptotic ones, and the estimation is positioned to identify the direction and ordering of effects with confidence while leaving their magnitudes wide. This is the honest posture for a model of this size, and the findings are interpreted accordingly.</w:t>
      </w:r>
    </w:p>
    <w:p>
      <w:pPr>
        <w:pStyle w:val="BodyText"/>
        <w:spacing w:line="480" w:lineRule="auto"/>
        <w:ind w:firstLine="720"/>
      </w:pPr>
      <w:r>
        <w:t xml:space="preserve">The model converges cleanly and fits the documented contention pattern well, returning a McFadden pseudo-R-squared of 0.7726 with a maximized log-likelihood of -4.99 over the thirty-two requests. A McFadden pseudo-R-squared above 0.7 indicates a model that discriminates granted from deferred requests very sharply; values in the 0.2 to 0.4 range are conventionally regarded as excellent fit for this statistic, so a value of 0.77 reflects a specification that separates the two outcomes almost completely along the documented covariates. The fit is strong precisely because the queue logic that generates the covariates is the logic that generated the outcomes.</w:t>
      </w:r>
    </w:p>
    <w:bookmarkStart w:id="133" w:name="the-substantive-coefficients"/>
    <w:p>
      <w:pPr>
        <w:pStyle w:val="Heading3"/>
        <w:spacing w:line="480" w:lineRule="auto"/>
      </w:pPr>
      <w:r>
        <w:t xml:space="preserve">6.2.1 The Substantive Coefficients</w:t>
      </w:r>
    </w:p>
    <w:p>
      <w:pPr>
        <w:pStyle w:val="FirstParagraph"/>
        <w:spacing w:line="480" w:lineRule="auto"/>
      </w:pPr>
      <w:r>
        <w:t xml:space="preserve">All four substantive coefficients carry the sign that queue logic predicts, and the chapter reports each on the log-odds scale, where a positive coefficient raises the modeled probability of deferral.</w:t>
      </w:r>
    </w:p>
    <w:p>
      <w:pPr>
        <w:pStyle w:val="BodyText"/>
        <w:spacing w:line="480" w:lineRule="auto"/>
        <w:ind w:firstLine="720"/>
      </w:pPr>
      <w:r>
        <w:t xml:space="preserve">Serving-complex utilization enters with a large positive coefficient of 32.7218 and a standard error of 25.886, with a p-value of 0.2062. The sign is as the queue predicts: moving a complex toward its loading ceiling sharply raises the odds that any one of its requests is deferred. The magnitude is large on the log-odds scale, but with only thirty-two observations the coefficient is imprecisely estimated and not individually distinguishable from zero at conventional levels. The standard error is nearly four-fifths of the point estimate, which is the expected consequence of asking a small balanced sample to pin down the effect of a continuous occupancy variable that ranges narrowly within the contested band. The utilization effect points the way the theory requires but is measured here with wide uncertainty.</w:t>
      </w:r>
    </w:p>
    <w:p>
      <w:pPr>
        <w:pStyle w:val="BodyText"/>
        <w:spacing w:line="480" w:lineRule="auto"/>
        <w:ind w:firstLine="720"/>
      </w:pPr>
      <w:r>
        <w:t xml:space="preserve">Priority tier is the most precisely estimated marginal driver in the model. It enters with a positive coefficient of 4.4611 and a standard error of 2.6726, with a p-value of 0.0951, significant at the ten-percent level. Priority tier is coded so that a larger number denotes lower priority, so the positive coefficient states that each step down the priority ladder raises the log-odds of being bumped. This is the cleanest individual signal in the estimation, and it is the empirically sharpest expression of the priority-queue mechanism: the request that absorbs deferral is disproportionately the lower-priority one. That this is the coefficient the small sample estimates most precisely is itself meaningful, because it indicates that priority order is the strongest and most consistent regularity in the data, the one signal that survives the noise of a thirty-two-request sample.</w:t>
      </w:r>
    </w:p>
    <w:p>
      <w:pPr>
        <w:pStyle w:val="BodyText"/>
        <w:spacing w:line="480" w:lineRule="auto"/>
        <w:ind w:firstLine="720"/>
      </w:pPr>
      <w:r>
        <w:t xml:space="preserve">Requested pass length enters with a positive coefficient of 1.8951 per hour and a standard error of 1.2323, with a p-value of 0.1241. The sign confirms the hypothesis that a longer pass is harder to slot against a dense field of competing requests than a short one, so that length raises deferral odds independently of priority. The effect is estimated with moderate noise and falls just outside conventional significance, but its direction is unambiguous and consistent with the packing logic of an oversubscribed scheduler: a long contiguous block is mechanically more difficult to place than a short one when the available gaps are themselves short.</w:t>
      </w:r>
    </w:p>
    <w:p>
      <w:pPr>
        <w:pStyle w:val="BodyText"/>
        <w:spacing w:line="480" w:lineRule="auto"/>
        <w:ind w:firstLine="720"/>
      </w:pPr>
      <w:r>
        <w:t xml:space="preserve">The critical-window indicator enters with a large positive coefficient of 8.1917 and a standard error of 9.0378, with a p-value of 0.3647. The sign points exactly the way the surge hypothesis predicts: a request whose desired window coincides with a critical-event contention peak, the encounters, orbit insertions, and landings on which many missions converge on the same geometry and the same hours, faces sharply higher deferral odds. The magnitude is the largest among the substantive log-odds coefficients, but it is estimated too noisily to separate from zero in this sample, with a standard error slightly larger than the point estimate. This is the coefficient most clearly limited by sample size. The documented late-2018 episode, in which three missions reached critical events simultaneously and oversubscription spiked toward sixty percent, is the paradigm case the indicator is meant to capture, and the estimation locates the effect in the right direction and at a large magnitude while leaving its precise value for a larger record to resolve.</w:t>
      </w:r>
    </w:p>
    <w:bookmarkEnd w:id="133"/>
    <w:bookmarkStart w:id="134" w:name="the-complex-fixed-effects-1"/>
    <w:p>
      <w:pPr>
        <w:pStyle w:val="Heading3"/>
        <w:spacing w:line="480" w:lineRule="auto"/>
      </w:pPr>
      <w:r>
        <w:t xml:space="preserve">6.2.2 The Complex Fixed Effects</w:t>
      </w:r>
    </w:p>
    <w:p>
      <w:pPr>
        <w:pStyle w:val="FirstParagraph"/>
        <w:spacing w:line="480" w:lineRule="auto"/>
      </w:pPr>
      <w:r>
        <w:t xml:space="preserve">The two complex indicators are small and statistically indistinguishable from the Goldstone reference. The Madrid indicator carries a coefficient of -0.5469 with a standard error of 2.2401 and a p-value of 0.8071, and the Canberra indicator carries a coefficient of 0.4535 with a standard error of 1.929 and a p-value of 0.8141. Both are far from significance, and both are small relative to the substantive coefficients. The constant term is estimated at -52.0539 with a standard error of 31.6979 and a p-value of 0.1006; as the intercept of a logit on a balanced sample it anchors the baseline log-odds at the covariate origins and carries no independent behavioral reading.</w:t>
      </w:r>
    </w:p>
    <w:p>
      <w:pPr>
        <w:pStyle w:val="BodyText"/>
        <w:spacing w:line="480" w:lineRule="auto"/>
        <w:ind w:firstLine="720"/>
      </w:pPr>
      <w:r>
        <w:t xml:space="preserve">The vanishing of the complex dummies is substantively the most important secondary finding of the logit. Once load, priority, timing, and length are accounted for, the three complexes are statistically indistinguishable in how they resolve contention. This is the empirical fingerprint of a single, network-wide allocation rule rather than three local ones. If each complex applied its own idiosyncratic rationing logic, the complex indicators would absorb that idiosyncrasy and emerge as significant; that they do not, while priority tier emerges as the cleanest signal, says that the bumping order is governed by the same priority-queue discipline everywhere on the network. The result complements the fixed-effects finding from the first estimation, where the Madrid offset was likewise indistinguishable from zero. In both estimations, the complex effects recede once the structural drivers are in the model, and the network behaves as one queue rather than three.</w:t>
      </w:r>
    </w:p>
    <w:bookmarkEnd w:id="134"/>
    <w:bookmarkEnd w:id="135"/>
    <w:bookmarkStart w:id="136" w:name="synthesis-of-the-two-estimations"/>
    <w:p>
      <w:pPr>
        <w:pStyle w:val="Heading2"/>
        <w:spacing w:line="480" w:lineRule="auto"/>
      </w:pPr>
      <w:r>
        <w:t xml:space="preserve">6.3 Synthesis of the Two Estimations</w:t>
      </w:r>
    </w:p>
    <w:p>
      <w:pPr>
        <w:pStyle w:val="FirstParagraph"/>
        <w:spacing w:line="480" w:lineRule="auto"/>
      </w:pPr>
      <w:r>
        <w:t xml:space="preserve">The two estimations answer two distinct questions and, taken together, complete the decomposition of Deep Space Network contention that the dissertation set out to perform. The first asks how much deferral a complex-week cell experiences and finds that the answer depends jointly on the level of demand and on the timing of demand, with the arrival-dispersion coefficient of 0.0498 establishing the timing channel as a substantial, independent, and tightly estimated driver that the volume-only benchmark omitted, raising explained variance from 0.882 to 0.985. The second asks who within a contested window absorbs that deferral and finds, through a logit with a pseudo-R-squared of 0.7726, that the request bumped is disproportionately the lower-priority, longer, surge-window request, with priority tier the most precisely estimated marginal driver at a coefficient of 4.4611 and a p-value of 0.0951. The first estimation identifies the generative mechanism of contention; the second identifies the allocation rule by which the network resolves it. The vanishing of the complex fixed effects in both estimations, with the Madrid offset insignificant in the linear model and both complex dummies insignificant in the logit, reinforces a single conclusion across the two units of analysis: the network operates as one priority queue, in which variance of arrivals generates the load and priority order distributes its consequences.</w:t>
      </w:r>
    </w:p>
    <w:p>
      <w:pPr>
        <w:pStyle w:val="BodyText"/>
        <w:spacing w:line="480" w:lineRule="auto"/>
        <w:ind w:firstLine="720"/>
      </w:pPr>
      <w:r>
        <w:t xml:space="preserve">The interpretive weight of the results is asymmetric in precision but consistent in sign. The complex-week estimation delivers its findings with near-asymptotic precision, every substantive coefficient significant beyond the 0.0001 level under a measurement scheme that biases the dispersion estimate conservatively downward. The individual-request estimation delivers its findings with the wide uncertainty proper to a thirty-two-request sample, identifying the direction and the priority ordering with confidence while leaving the magnitudes of utilization and the critical-window surge to a larger record. The two are not in tension. The aggregate estimation establishes that timing matters; the request-level estimation establishes that the timing peaks, the critical-event surge windows, are exactly where the lower-priority requests are bumped, pointing the surge coefficient at 8.1917 in the direction the burstiness mechanism predicts even where the small sample cannot separate it from zero. The economics-of-scarcity literature that frames ground-segment contention as an allocation-efficiency problem</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w:t>
      </w:r>
      <w:r>
        <w:t xml:space="preserve">receives, in these two estimations, an estimable model of the mechanism it had previously diagnosed only narratively, and the operational scheduling literature that documented the oversubscription regime and built optimizers against it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t>
      </w:r>
      <w:r>
        <w:t xml:space="preserve">receives a statistical decomposition of the contention those optimizers must resolve. The substantive consequence, developed in the chapter that follows, is that a meaningful share of Deep Space Network contention is a timing phenomenon that aperture expansion alone would not resolve, because adding antennas lowers utilization for everyone but leaves the variance-driven transient overloads and the priority-ordered bumping rule untouched.</w:t>
      </w:r>
    </w:p>
    <w:bookmarkEnd w:id="136"/>
    <w:bookmarkEnd w:id="137"/>
    <w:bookmarkStart w:id="146" w:name="X21322cb5e29cbf4eb576afddcad42f86ace4e0d"/>
    <w:p>
      <w:pPr>
        <w:pStyle w:val="Heading1"/>
        <w:spacing w:line="480" w:lineRule="auto"/>
      </w:pPr>
      <w:r>
        <w:t xml:space="preserve">Chapter 7. Discussion and Governance Implications</w:t>
      </w:r>
    </w:p>
    <w:bookmarkStart w:id="138" w:name="purpose-and-scope-of-the-chapter-2"/>
    <w:p>
      <w:pPr>
        <w:pStyle w:val="Heading2"/>
        <w:spacing w:line="480" w:lineRule="auto"/>
      </w:pPr>
      <w:r>
        <w:t xml:space="preserve">7.1 Purpose and Scope of the Chapter</w:t>
      </w:r>
    </w:p>
    <w:p>
      <w:pPr>
        <w:pStyle w:val="FirstParagraph"/>
        <w:spacing w:line="480" w:lineRule="auto"/>
      </w:pPr>
      <w:r>
        <w:t xml:space="preserve">The preceding chapters established a single empirical result and defended it against the threats that could undermine it. Conditional on the level of antenna-hours utilization and on persistent differences among the three complexes, the timing of pass requests carries large and independent explanatory power for which requests are deferred on the Deep Space Network (DSN). The complex-week fixed-effects analysis recovered a positive arrival-dispersion coefficient of 0.0498 that was distinguishable from zero beyond any conventional threshold, and showed that adding a single timing variable raised the share of explained variance in cell-level deferral from 0.882 to 0.985. The individual-request logit analysis then established that the deferral so produced is not distributed at random but falls systematically on the lower-priority, longer-duration, and surge-window requests, with priority tier the cleanest marginal signal in the sample. Together the two studies separate the demand-level channel from the demand-timing channel and characterize the rule by which the network resolves the contention that remains.</w:t>
      </w:r>
    </w:p>
    <w:p>
      <w:pPr>
        <w:pStyle w:val="BodyText"/>
        <w:spacing w:line="480" w:lineRule="auto"/>
        <w:ind w:firstLine="720"/>
      </w:pPr>
      <w:r>
        <w:t xml:space="preserve">This chapter turns from what the findings are to what they mean. It asks what the separation of level from timing implies for the way NASA plans and capitalizes the DSN, what it implies for the way JPL, as the institution that operates the network, builds and negotiates the weekly schedule, and what it implies for the missions whose science return depends on the outcome. The chapter proceeds from the interpretive core of the result, through its consequences for program management and for operational decision-making, to an explicit accounting of the limitations that bound the conclusions, and finally to the research program the dissertation opens. The governing commitment of the chapter is to draw only the inferences the evidence will bear. The empirical work was conducted on a panel calibrated to documented anchors with a deferral series reconstructed from a published scheduled-fraction band, and the measurement posture was deliberately conservative; the policy reading offered here is therefore stated as direction and structure rather than as a claim about magnitudes that the data do not pin down.</w:t>
      </w:r>
    </w:p>
    <w:bookmarkEnd w:id="138"/>
    <w:bookmarkStart w:id="139" w:name="the-central-interpretive-claim"/>
    <w:p>
      <w:pPr>
        <w:pStyle w:val="Heading2"/>
        <w:spacing w:line="480" w:lineRule="auto"/>
      </w:pPr>
      <w:r>
        <w:t xml:space="preserve">7.2 The Central Interpretive Claim</w:t>
      </w:r>
    </w:p>
    <w:p>
      <w:pPr>
        <w:pStyle w:val="FirstParagraph"/>
        <w:spacing w:line="480" w:lineRule="auto"/>
      </w:pPr>
      <w:r>
        <w:t xml:space="preserve">Best understood, the result is a correction to the implicit model that governs how a constrained ground network is planned. Conventional planning treats DSN loading as a volume problem. If aggregate demand for antenna-hours approaches aggregate supply, the network is full, and the remedy is to add apertures until supply once again exceeds demand. That heuristic is not wrong so much as incomplete, and the precise way in which it is incomplete is the substance of this dissertation’s contribution. A multi-server priority queue can exhibit severe and costly waiting at moderate average utilization when its arrivals are bursty, and it can run smoothly at high average utilization when its arrivals are smooth. The waiting that a queue produces is a function of the variance of the arrival process, not of its mean alone. The empirical finding that arrival dispersion explains roughly ten additional points of variance in deferral, after utilization and complex effects are already in the model, is the measured form of exactly this queueing fact.</w:t>
      </w:r>
    </w:p>
    <w:p>
      <w:pPr>
        <w:pStyle w:val="BodyText"/>
        <w:spacing w:line="480" w:lineRule="auto"/>
        <w:ind w:firstLine="720"/>
      </w:pPr>
      <w:r>
        <w:t xml:space="preserve">The interpretive consequence is that DSN contention has two distinct generators that the standard heuristic conflates. The first is volume: when the network is loaded toward its ceiling, deferral rises because there is genuinely not enough antenna time to serve the requests that arrive. The second is timing: even at a given level of load, deferral rises when requests cluster in time, because clustering produces transient overloads that the average load does not reveal. The late-2018 episode, in which three missions reached critical events simultaneously and oversubscription spiked toward sixty percent, is the timing channel made operationally visible, a case in which the binding constraint was the coincidence of demand rather than its annual average</w:t>
      </w:r>
      <w:r>
        <w:t xml:space="preserve"> </w:t>
      </w:r>
      <w:hyperlink w:anchor="ref-4">
        <w:r>
          <w:rPr>
            <w:rStyle w:val="Hyperlink"/>
          </w:rPr>
          <w:t xml:space="preserve">[4]</w:t>
        </w:r>
      </w:hyperlink>
      <w:r>
        <w:t xml:space="preserve">. The two channels are not rival explanations to be adjudicated. Both are real. The panel showed that both the utilization coefficient and the dispersion coefficient are positive, large, and individually significant, which is to say that the network is congested both because it is full and because its demand is bursty. The contribution is to make the second generator measurable alongside the first, so that a given congestion episode can be attributed to the channel that actually produced it.</w:t>
      </w:r>
    </w:p>
    <w:p>
      <w:pPr>
        <w:pStyle w:val="BodyText"/>
        <w:spacing w:line="480" w:lineRule="auto"/>
        <w:ind w:firstLine="720"/>
      </w:pPr>
      <w:r>
        <w:t xml:space="preserve">This decomposition matters because the two channels imply different remedies, and the cost of confusing them is borne in capital. Congestion driven by the volume channel is the kind that aperture expansion addresses: more servers lower the offered load per server and reduce the waiting that high utilization produces. Congestion driven by the timing channel is the kind that aperture expansion addresses only partially, because adding servers does not smooth a bursty arrival stream; it raises the level of coincident demand the network can absorb before transient overload occurs, but it leaves the underlying clustering intact and re-emerges as soon as demand growth restores the prior coincidence. A planning process that reads every congestion episode as a volume problem will systematically over-invest in concrete and under-invest in the administrative instruments that shape when demand arrives. The economics literature that frames space resources as chronically misallocated for want of mechanisms that price externalities and aggregate dispersed information about demand supplies the conceptual vocabulary for this diagnosis: the bursty requester imposes a congestion externality on the queue that the current allocation rule does not price, and the timing channel is the measurable footprint of that unpriced externality</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w:t>
      </w:r>
    </w:p>
    <w:bookmarkEnd w:id="139"/>
    <w:bookmarkStart w:id="140" w:name="implications-for-nasa-program-management"/>
    <w:p>
      <w:pPr>
        <w:pStyle w:val="Heading2"/>
        <w:spacing w:line="480" w:lineRule="auto"/>
      </w:pPr>
      <w:r>
        <w:t xml:space="preserve">7.3 Implications for NASA Program Management</w:t>
      </w:r>
    </w:p>
    <w:p>
      <w:pPr>
        <w:pStyle w:val="FirstParagraph"/>
        <w:spacing w:line="480" w:lineRule="auto"/>
      </w:pPr>
      <w:r>
        <w:t xml:space="preserve">The most direct programmatic implication concerns the capital-planning logic that governs DSN investment. NASA’s own governance record documents that oversubscription reaches roughly forty percent network-wide and projects that excess demand will approach half of capacity by the 2030s</w:t>
      </w:r>
      <w:r>
        <w:t xml:space="preserve"> </w:t>
      </w:r>
      <w:hyperlink w:anchor="ref-4">
        <w:r>
          <w:rPr>
            <w:rStyle w:val="Hyperlink"/>
          </w:rPr>
          <w:t xml:space="preserve">[4]</w:t>
        </w:r>
      </w:hyperlink>
      <w:r>
        <w:t xml:space="preserve">. Read through the volume heuristic alone, that trajectory is an unambiguous case for aperture expansion, and the program management response is to size and schedule antenna construction against the projected demand curve. The dissertation does not contest that aperture expansion is warranted; a network running at forty percent oversubscription and rising plainly needs more servers. What the dissertation establishes is that the demand projection on which the capital case rests is, by itself, an insufficient statistic. Two demand futures with identical projected mean oversubscription but different burstiness will produce materially different deferral, and the one whose growth concentrates in critical-event coincidences will impose more contention per antenna-hour than the projection’s mean implies. A program management process that plans capacity against the projected mean alone will misforecast the contention that a given build-out actually relieves, because it has discarded the variance term that the panel shows to be load-bearing.</w:t>
      </w:r>
    </w:p>
    <w:p>
      <w:pPr>
        <w:pStyle w:val="BodyText"/>
        <w:spacing w:line="480" w:lineRule="auto"/>
        <w:ind w:firstLine="720"/>
      </w:pPr>
      <w:r>
        <w:t xml:space="preserve">The corrective the findings recommend is to carry an explicit measure of demand dispersion alongside the demand-level projection in the capital-planning baseline. The index of dispersion of request arrivals, the variance-to-mean ratio that the empirical work used as its timing variable, is computable from the same scheduling record that produces the utilization series, and it converts the timing channel from a narrative observation into a planning parameter. A capacity case built on both the projected mean and the projected dispersion of demand can distinguish the share of forecast contention that aperture expansion will resolve from the share that will persist unless the arrival process is reshaped, and can therefore size the antenna investment to the volume channel it actually addresses rather than to the total contention it cannot fully relieve. This is not an argument against building antennas; it is an argument for not asking concrete to solve a problem that concrete does not solve, and for recognizing in the program baseline that a fraction of projected oversubscription is a scheduling-discipline problem rather than a plant-capacity problem.</w:t>
      </w:r>
    </w:p>
    <w:p>
      <w:pPr>
        <w:pStyle w:val="BodyText"/>
        <w:spacing w:line="480" w:lineRule="auto"/>
        <w:ind w:firstLine="720"/>
      </w:pPr>
      <w:r>
        <w:t xml:space="preserve">A second programmatic implication concerns the instruments through which NASA can act on the timing channel, none of which require capital. Because a substantial part of contention is generated by the coincidence of demand, the program has a class of low-capital levers available that the volume heuristic renders invisible. Staggering routine, non-time-critical requests away from anticipated critical-event clusters reduces the dispersion of arrivals without reducing the volume of work the network performs, and therefore reduces deferral through a channel that no antenna addresses. Introducing scheduling incentives that make a requester internalize the congestion its timing imposes on the queue, the pricing-of-externality remedy that the economics framing motivates, attacks the same channel from the demand side rather than the supply side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The finding that the timing channel is large and independent is what makes these instruments worth the institutional effort of designing and adopting them; if deferral were governed by utilization alone, arrival-shaping would be a marginal refinement, and the entire program response would correctly reduce to building capacity. The dissertation’s evidence is that arrival-shaping is not marginal, and that a program management portfolio which combines targeted aperture expansion with deliberate demand-shaping will relieve more contention per dollar than a portfolio that treats the problem as volume alone.</w:t>
      </w:r>
    </w:p>
    <w:p>
      <w:pPr>
        <w:pStyle w:val="BodyText"/>
        <w:spacing w:line="480" w:lineRule="auto"/>
        <w:ind w:firstLine="720"/>
      </w:pPr>
      <w:r>
        <w:t xml:space="preserve">A third implication is methodological and concerns how NASA should reason about ground-segment carrying capacity as a category. The dissertation reframes carrying capacity from a single number, the ratio of demand to supply, into a two-parameter object that carries both the level and the timing of demand. Under the single-number view, a network is characterized as some percentage oversubscribed and the planning question is how much supply to add. Under the two-parameter view, a network is characterized by both its mean offered load and the dispersion of its arrivals, and the planning question is how to act on each. This reframing is portable beyond the DSN. The queueing backbone that produced it is stated in transferable parameters, server count, offered load, and arrival dispersion, none of which are specific to the DSN’s particular antennas, so the same decomposition can be applied to any constrained ground network, including the commercial ground-station-as-a-service providers whose role in NASA’s communications architecture is growing. A program management function that adopts the two-parameter conception of carrying capacity acquires a common analytical language for reasoning about contention across both the government-owned plant and the commercial services it increasingly contracts.</w:t>
      </w:r>
    </w:p>
    <w:bookmarkEnd w:id="140"/>
    <w:bookmarkStart w:id="141" w:name="X184f6d78124ab69fbc077b4aa7c9f3f36487870"/>
    <w:p>
      <w:pPr>
        <w:pStyle w:val="Heading2"/>
        <w:spacing w:line="480" w:lineRule="auto"/>
      </w:pPr>
      <w:r>
        <w:t xml:space="preserve">7.4 Implications for JPL Operational Decision-Making</w:t>
      </w:r>
    </w:p>
    <w:p>
      <w:pPr>
        <w:pStyle w:val="FirstParagraph"/>
        <w:spacing w:line="480" w:lineRule="auto"/>
      </w:pPr>
      <w:r>
        <w:t xml:space="preserve">JPL operates the DSN and builds its weekly schedule, and the findings carry implications for operational decision-making that are sharper and more immediate than the program-level ones because they concern the rule the schedule already implements rather than the capital the program might commit. The individual-request logit analysis showed that deferral on the DSN is not random rationing but a priority queue behaving as a priority queue: when the serving complex is full, the request that is bumped is disproportionately the lower-priority, longer, surge-window request, and the priority tier is the cleanest marginal driver of who absorbs the deferral. The complex indicators, by contrast, were small and indistinguishable from the reference, which is the empirical fingerprint of a single network-wide allocation rule rather than three local ones. For an operating institution, this is a consequential diagnostic. It says that the network’s contention is resolved by a consistent, identifiable rule, and that the distributional consequences of that rule are predictable. The missions that systematically absorb deferral are the science-of-opportunity and extended-duration users, not the flagship encounters that hold the top priority tier.</w:t>
      </w:r>
    </w:p>
    <w:p>
      <w:pPr>
        <w:pStyle w:val="BodyText"/>
        <w:spacing w:line="480" w:lineRule="auto"/>
        <w:ind w:firstLine="720"/>
      </w:pPr>
      <w:r>
        <w:t xml:space="preserve">The first operational implication follows directly from this distributional finding. Because deferral concentrates on lower-priority and longer requests at high utilization, the cost of oversubscription is not shared evenly across the mission portfolio; it is paid by a particular class of users whose work is, by construction, the most displaceable. The standard supply-side remedy, adding aperture, lowers utilization for everyone and therefore reduces the total amount of deferral, but it does not change the rule by which the remaining contention is resolved. The bumping order is invariant to capacity. At any level of load, the same class of requests absorbs whatever deferral the network produces. An operating decision that wishes to protect the displaced users specifically, rather than to reduce aggregate deferral, must therefore act on the priority and windowing rules and not only on the antenna count. This is a precise and actionable distinction for JPL operational planning. It separates the question of how much contention the network produces, which capacity addresses, from the question of who bears that contention, which only the allocation rule addresses, and it makes clear that these are two different decisions requiring two different instruments.</w:t>
      </w:r>
    </w:p>
    <w:p>
      <w:pPr>
        <w:pStyle w:val="BodyText"/>
        <w:spacing w:line="480" w:lineRule="auto"/>
        <w:ind w:firstLine="720"/>
      </w:pPr>
      <w:r>
        <w:t xml:space="preserve">The second operational implication concerns the scheduling process itself and its automation. The DSN schedule is increasingly built by an automated optimizer operating over a tiered priority-and-preference system, and the scheduling literature documents that optimization-based scheduling raised the fraction of requested time actually committed from the high eighties to the low nineties of a percent</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dissertation’s findings are complementary to that optimization program rather than in tension with it. An optimizer that packs the schedule efficiently raises the scheduled fraction at a given arrival stream, but it operates on the arrivals it is given; it does not reshape the timing of the requests that enter it. The timing channel the dissertation identifies sits logically upstream of the optimizer, at the point where missions decide when to request. The operational implication is that the gains from better optimization and the gains from better arrival timing are additive: the optimizer extracts more schedule from a given demand stream, while arrival-shaping presents the optimizer with a less bursty stream to begin with. An operating institution that has invested in scheduling optimization has already captured the within-stream efficiency gains and now faces diminishing returns on further optimization; the dissertation points to the upstream timing channel as the next source of relief, one the optimizer cannot reach because it lies in the request-generation behavior that precedes scheduling.</w:t>
      </w:r>
    </w:p>
    <w:p>
      <w:pPr>
        <w:pStyle w:val="BodyText"/>
        <w:spacing w:line="480" w:lineRule="auto"/>
        <w:ind w:firstLine="720"/>
      </w:pPr>
      <w:r>
        <w:t xml:space="preserve">The third operational implication concerns the information the scheduling process exposes to its participants. The peer-to-peer negotiation by which DSN schedules are assembled gives mission planners visibility into competing requests, but the documented design already anticipates that planners shape their requests in response to expected contention, which is precisely the endogeneity the empirical work had to manage. From an operational standpoint, that anticipatory shaping is not a nuisance to be controlled away but a behavior to be harnessed. If planners already adjust their requests in response to expected congestion, then giving them a clearer, earlier signal of anticipated critical-event clusters, and a clearer accounting of the congestion their own timing imposes, channels the shaping they already do toward smoothing the aggregate arrival stream. The operational lever is informational as much as it is procedural: a scheduling process that surfaces the dispersion of upcoming demand, not only its level, equips the participants who generate the arrivals to reduce the burstiness that the panel shows drives deferral. This is the operational counterpart to the program-level recommendation that capital planning carry a dispersion parameter; at the operating level, the same parameter, exposed to mission planners in the scheduling cycle, becomes an instrument of coordination rather than a planning statistic.</w:t>
      </w:r>
    </w:p>
    <w:bookmarkEnd w:id="141"/>
    <w:bookmarkStart w:id="142" w:name="reconciling-the-two-studies"/>
    <w:p>
      <w:pPr>
        <w:pStyle w:val="Heading2"/>
        <w:spacing w:line="480" w:lineRule="auto"/>
      </w:pPr>
      <w:r>
        <w:t xml:space="preserve">7.5 Reconciling the Two Studies</w:t>
      </w:r>
    </w:p>
    <w:p>
      <w:pPr>
        <w:pStyle w:val="FirstParagraph"/>
        <w:spacing w:line="480" w:lineRule="auto"/>
      </w:pPr>
      <w:r>
        <w:t xml:space="preserve">The two empirical studies address different margins of the same phenomenon, and the discussion gains coherence from making their relationship explicit. The complex-week fixed-effects study answered the level-versus-timing question at the level of the serving complex over a planning horizon: it established that, holding load fixed, burstier demand produces more deferral. The individual-request logit study answered the distributional question at the level of a single request: it established which requests absorb the deferral that the first study showed the network produces. The first study is about how much deferral the timing channel generates; the second is about who pays for it. Read together, they describe a complete causal chain. Bursty demand produces transient overloads at a complex; those overloads force the priority queue to defer; and the queue defers according to a stable rule that falls on the lower-priority, longer, surge-window requests. The timing channel is the cause of the contention, and the priority rule is the mechanism that allocates its incidence.</w:t>
      </w:r>
    </w:p>
    <w:p>
      <w:pPr>
        <w:pStyle w:val="BodyText"/>
        <w:spacing w:line="480" w:lineRule="auto"/>
        <w:ind w:firstLine="720"/>
      </w:pPr>
      <w:r>
        <w:t xml:space="preserve">This reconciliation also clarifies the limits of each study taken alone. The fixed-effects study, with its high explanatory power and its tightly estimated dispersion coefficient, is strong on the existence and size of the timing channel but silent on incidence, because a rate defined on a cell cannot say which request within the cell was displaced. The logit study, with its clean priority ordering, is strong on incidence but weaker on magnitude, because thirty-two documented request cells identify the direction and ordering of effects with confidence while leaving the utilization and surge-window magnitudes imprecisely estimated. Neither study, alone, supports the full policy reading advanced in this chapter; the program-level recommendation to carry a dispersion parameter rests on the first study, while the operational recommendation to act on the priority and windowing rules rests on the second. The dissertation’s argument is therefore genuinely a two-study argument, and the governance implications it can sustain are exactly those that the conjunction of the two results supports and no more.</w:t>
      </w:r>
    </w:p>
    <w:bookmarkEnd w:id="142"/>
    <w:bookmarkStart w:id="143" w:name="limitations"/>
    <w:p>
      <w:pPr>
        <w:pStyle w:val="Heading2"/>
        <w:spacing w:line="480" w:lineRule="auto"/>
      </w:pPr>
      <w:r>
        <w:t xml:space="preserve">7.6 Limitations</w:t>
      </w:r>
    </w:p>
    <w:p>
      <w:pPr>
        <w:pStyle w:val="FirstParagraph"/>
        <w:spacing w:line="480" w:lineRule="auto"/>
      </w:pPr>
      <w:r>
        <w:t xml:space="preserve">The conclusions of this dissertation are bounded by four limitations, three of which were anticipated in the design and managed explicitly, and all of which the discussion is obliged to state plainly rather than to minimize.</w:t>
      </w:r>
    </w:p>
    <w:p>
      <w:pPr>
        <w:pStyle w:val="BodyText"/>
        <w:spacing w:line="480" w:lineRule="auto"/>
        <w:ind w:firstLine="720"/>
      </w:pPr>
      <w:r>
        <w:t xml:space="preserve">The first and most consequential limitation is that the deferral measure is reconstructed rather than directly observed. The public scheduling record reports committed passes more cleanly than denied requests, so the per-cell deferral rate in the panel was reconstructed from the documented network scheduled-fraction band of 88 to 91 percent, and the small minority of individual-request realizations that could not be tied directly to documented parameters were flagged as illustrative at the row level</w:t>
      </w:r>
      <w:r>
        <w:t xml:space="preserve"> </w:t>
      </w:r>
      <w:hyperlink w:anchor="ref-4">
        <w:r>
          <w:rPr>
            <w:rStyle w:val="Hyperlink"/>
          </w:rPr>
          <w:t xml:space="preserve">[4]</w:t>
        </w:r>
      </w:hyperlink>
      <w:r>
        <w:t xml:space="preserve">. This measurement posture injects classical measurement error into the dependent variable, which inflates residual variance and attenuates estimated effects toward the null. The design treats this attenuation as a feature: any positive dispersion effect recovered under a measurement scheme biased against detecting it is a conservative lower bound on the true timing channel, and a finding that survives such a scheme is more credible than one that depends on a favorable imputation. The limitation is nonetheless real. A validation of the reconstruction against an internal request-versus-grant ledger, which JPL holds but which is not part of the public record, would convert the lower bound into a point estimate and would either confirm the recovered magnitude or reveal that the attenuation was larger than the conservative reading assumed. Until that validation is performed, the dissertation’s magnitudes should be read as floors, not as measured values.</w:t>
      </w:r>
    </w:p>
    <w:p>
      <w:pPr>
        <w:pStyle w:val="BodyText"/>
        <w:spacing w:line="480" w:lineRule="auto"/>
        <w:ind w:firstLine="720"/>
      </w:pPr>
      <w:r>
        <w:t xml:space="preserve">The second limitation is the endogeneity of the arrival process. Mission planners already anticipate contention and shape their requests, so the observed dispersion of arrivals is partly a response to expected congestion rather than an exogenous driver of it. The within-complex fixed-effects design mitigates this by leaning on geometry-driven visibility windows, which orbital mechanics fix independently of planner discretion, but it does not eliminate it. The consequence is that the dispersion coefficient should be interpreted as the effect of arrival timing on deferral under the prevailing regime of anticipatory request-shaping, not as the effect that would obtain if requests were placed without regard to expected contention. This is the relevant quantity for the policy question, since the policy operates on the actual behavior of planners, but it does limit the structural interpretation of the coefficient as a pure queueing parameter divorced from the behavior that generates the arrivals.</w:t>
      </w:r>
    </w:p>
    <w:p>
      <w:pPr>
        <w:pStyle w:val="BodyText"/>
        <w:spacing w:line="480" w:lineRule="auto"/>
        <w:ind w:firstLine="720"/>
      </w:pPr>
      <w:r>
        <w:t xml:space="preserve">The third limitation is the small estimation sample of the individual-request study. Thirty-two documented request cells against a seven-parameter logit identify the direction and the priority ordering of the deferral rule with confidence, and the priority-tier coefficient is estimated cleanly enough to support the distributional claim. The utilization and critical-window coefficients, however, point the way the queue logic predicts but are estimated too noisily to separate from zero at conventional levels. The logit results therefore sustain the qualitative claim that deferral concentrates on lower-priority, longer, surge-window requests, but they do not sustain quantitative claims about how steeply deferral odds rise with load or with the critical-window surge. The operational recommendation that follows from the logit study, to act on the priority and windowing rules, depends only on the ordering and not on the magnitudes, and is therefore within the evidence; any recommendation that depended on the precise size of the utilization or surge effects would not be.</w:t>
      </w:r>
    </w:p>
    <w:p>
      <w:pPr>
        <w:pStyle w:val="BodyText"/>
        <w:spacing w:line="480" w:lineRule="auto"/>
        <w:ind w:firstLine="720"/>
      </w:pPr>
      <w:r>
        <w:t xml:space="preserve">The fourth limitation is external validity. The coefficients estimated on the DSN need not transfer to commercial ground-station-as-a-service networks with different server counts, pricing rules, and demand geometries. The dissertation’s response to this limitation is structural rather than empirical: the queueing backbone is stated in transferable parameters precisely so that the portable contribution is the separation of level from timing and the two-parameter conception of carrying capacity, not the DSN-specific magnitudes. The decomposition transfers; the numbers do not. A reader who wishes to apply the framework to a commercial network should re-estimate the parameters on that network’s own record and should expect different magnitudes, while retaining the analytical claim that level and timing are distinct generators of contention requiring distinct remedies.</w:t>
      </w:r>
    </w:p>
    <w:bookmarkEnd w:id="143"/>
    <w:bookmarkStart w:id="144" w:name="directions-for-future-research"/>
    <w:p>
      <w:pPr>
        <w:pStyle w:val="Heading2"/>
        <w:spacing w:line="480" w:lineRule="auto"/>
      </w:pPr>
      <w:r>
        <w:t xml:space="preserve">7.7 Directions for Future Research</w:t>
      </w:r>
    </w:p>
    <w:p>
      <w:pPr>
        <w:pStyle w:val="FirstParagraph"/>
        <w:spacing w:line="480" w:lineRule="auto"/>
      </w:pPr>
      <w:r>
        <w:t xml:space="preserve">The dissertation opens a research program with three natural extensions, each of which addresses one of the limitations above and each of which is estimable on data that exist.</w:t>
      </w:r>
    </w:p>
    <w:p>
      <w:pPr>
        <w:pStyle w:val="BodyText"/>
        <w:spacing w:line="480" w:lineRule="auto"/>
        <w:ind w:firstLine="720"/>
      </w:pPr>
      <w:r>
        <w:t xml:space="preserve">The first and most immediate extension is to estimate the same specifications on the full DSN scheduling record rather than on the calibrated panel. The empirical work in this dissertation was conducted on a sample anchored to documented quantitative facts, with a deferral series reconstructed from a published band, precisely because the granular request-versus-grant record is not part of the public feed. JPL holds that record. Re-estimating the fixed-effects and logit specifications on the internal ledger would accomplish three things at once: it would replace the reconstructed deferral measure with a directly observed one, removing the attenuation that makes the present magnitudes lower bounds; it would expand the individual-request sample by orders of magnitude, sharpening the utilization and critical-window coefficients that only point in the present logit; and it would permit the surge effect, which the small sample could only gesture toward, to be estimated as a measured quantity. This extension requires no new methodology, only access to the operational record, and it is the single step that would most strengthen the dissertation’s empirical claims.</w:t>
      </w:r>
    </w:p>
    <w:p>
      <w:pPr>
        <w:pStyle w:val="BodyText"/>
        <w:spacing w:line="480" w:lineRule="auto"/>
        <w:ind w:firstLine="720"/>
      </w:pPr>
      <w:r>
        <w:t xml:space="preserve">The second extension is to interact priority tier with utilization, so that the analysis can describe not only who gets bumped but how the protection that high priority confers erodes as the network saturates. The present logit estimates the marginal effect of priority and the marginal effect of utilization separately. The queueing intuition, however, is that the two interact: at low load, even low-priority requests are accommodated and the protection of high priority is slack; at high load, the priority rule binds and the protection becomes decisive. A specification that interacts priority with load would estimate the steepness of that erosion and would convert the qualitative distributional finding into a quantitative account of how the incidence of deferral shifts across the priority ladder as oversubscription rises. This is the analytically richest extension, because it is the one that would tell an operating institution not merely that the bumping order is invariant to capacity, but exactly how sensitive the displaced users’ exposure is to the level of load, which is the quantity an arrival-shaping or priority-reform policy would need to target.</w:t>
      </w:r>
    </w:p>
    <w:p>
      <w:pPr>
        <w:pStyle w:val="BodyText"/>
        <w:spacing w:line="480" w:lineRule="auto"/>
        <w:ind w:firstLine="720"/>
      </w:pPr>
      <w:r>
        <w:t xml:space="preserve">The third extension moves from diagnosis to design. Having established that the timing channel is real and that the priority rule allocates its incidence, the natural next question is which arrival-shaping or pricing mechanism most efficiently smooths the demand stream without distorting the mission science it serves. This is a mechanism-design question, and it connects the ground-segment scheduling problem to the broader economics literature on allocating scarce space resources through pricing and information aggregation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A future study could model candidate mechanisms, a congestion price levied on bursty requesters, a staggering protocol for non-time-critical requests, an incentive for early commitment, against the estimated demand model, and could evaluate each against the deferral it would relieve and the mission objectives it would burden. The dissertation supplies the demand-side evidence that such a design study would need: it establishes that the timing channel exists, that it is large, and that the incidence of the contention it generates is borne by an identifiable class of users. The design of the mechanism that would relieve that contention is the work the dissertation makes possible without itself performing.</w:t>
      </w:r>
    </w:p>
    <w:p>
      <w:pPr>
        <w:pStyle w:val="BodyText"/>
        <w:spacing w:line="480" w:lineRule="auto"/>
        <w:ind w:firstLine="720"/>
      </w:pPr>
      <w:r>
        <w:t xml:space="preserve">These three extensions share a common character. None requires a new theoretical apparatus; the multi-server priority queue that frames the dissertation is sufficient for all three. Each requires only data that exist, internal to JPL or assemblable from the public feed over a longer window, and each addresses a specific limitation of the present work with a specific and estimable refinement. The dissertation’s contribution is to have established the decomposition of level from timing on the evidence available, and to have located precisely where the next increments of evidence would most sharpen the policy reading.</w:t>
      </w:r>
    </w:p>
    <w:bookmarkEnd w:id="144"/>
    <w:bookmarkStart w:id="145" w:name="synthesis"/>
    <w:p>
      <w:pPr>
        <w:pStyle w:val="Heading2"/>
        <w:spacing w:line="480" w:lineRule="auto"/>
      </w:pPr>
      <w:r>
        <w:t xml:space="preserve">7.8 Synthesis</w:t>
      </w:r>
    </w:p>
    <w:p>
      <w:pPr>
        <w:pStyle w:val="FirstParagraph"/>
        <w:spacing w:line="480" w:lineRule="auto"/>
      </w:pPr>
      <w:r>
        <w:t xml:space="preserve">The argument of this dissertation reduces to a single reframing with concrete consequences. Ground-segment carrying capacity is not one number but two, the level of demand and its timing, and the contention that the DSN experiences is generated by both. The volume channel is addressed by capacity, the timing channel by the discipline of when demand arrives, and a planning process that reads all contention as volume will systematically misallocate capital toward concrete and away from the cheaper instruments that shape arrivals. The findings establish that the timing channel is large and independent, that it survives a measurement posture biased against finding it, and that the deferral it produces falls by a stable rule on the lower-priority and longer-duration users who can least absorb it. For NASA program management, the implication is to carry demand dispersion alongside demand level in the capital baseline and to build a portfolio of capacity and demand-shaping rather than capacity alone. For JPL operational decision-making, the implication is to recognize that aperture lowers utilization but leaves the bumping order intact, so that protecting the displaced users requires acting on the priority and windowing rules and on the information exposed to mission planners in the scheduling cycle. The strategic literature observes that critical space infrastructure is chronically under-resourced relative to the activity it must support</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this dissertation’s contribution is to show that, for the DSN, part of that shortfall is a timing problem that the right administrative instruments can relieve without waiting for the concrete to cure.</w:t>
      </w:r>
    </w:p>
    <w:bookmarkEnd w:id="145"/>
    <w:bookmarkEnd w:id="146"/>
    <w:bookmarkStart w:id="194" w:name="chapter-8.-conclusion"/>
    <w:p>
      <w:pPr>
        <w:pStyle w:val="Heading1"/>
        <w:spacing w:line="480" w:lineRule="auto"/>
      </w:pPr>
      <w:r>
        <w:t xml:space="preserve">Chapter 8. Conclusion</w:t>
      </w:r>
    </w:p>
    <w:bookmarkStart w:id="147" w:name="the-argument-in-one-line"/>
    <w:p>
      <w:pPr>
        <w:pStyle w:val="Heading2"/>
        <w:spacing w:line="480" w:lineRule="auto"/>
      </w:pPr>
      <w:r>
        <w:t xml:space="preserve">8.1 The Argument in One Line</w:t>
      </w:r>
    </w:p>
    <w:p>
      <w:pPr>
        <w:pStyle w:val="FirstParagraph"/>
        <w:spacing w:line="480" w:lineRule="auto"/>
      </w:pPr>
      <w:r>
        <w:t xml:space="preserve">This dissertation began with a question that planners answer reflexively and economists answer carefully: when the Deep Space Network defers a tracking pass, what is the binding cause, The reflexive answer is volume. If the aggregate demand for antenna-hours presses against the aggregate supply of apertures, the network is judged full, and the remedy is more steel in the ground. The careful answer, which this work has defended and tested, is that volume is only half of the account. Contention on a finite ground segment is governed jointly by how much demand arrives and by when it arrives, and a planning culture that collapses the second into the first will systematically misread its own congestion and misdirect its own capital.</w:t>
      </w:r>
    </w:p>
    <w:p>
      <w:pPr>
        <w:pStyle w:val="BodyText"/>
        <w:spacing w:line="480" w:lineRule="auto"/>
        <w:ind w:firstLine="720"/>
      </w:pPr>
      <w:r>
        <w:t xml:space="preserve">The Deep Space Network is the United States’ principal infrastructure for commanding, tracking, and receiving telemetry from spacecraft beyond geosynchronous orbit, distributed across three longitudinally separated complexes near Goldstone, Madrid, and Canberra so that at least one always faces a distant target</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Its antenna inventory is small, its mission set is expanding, and the published scheduling record shows the network routinely holding twenty to forty percent more requested time than it can accommodate, with a federal audit projecting that excess demand will approach half of capacity in the coming decade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Against that backdrop the dissertation advanced a single falsifiable proposition: that a model of pass deferral conditioned on the dispersion of request arrivals predicts realized contention materially better than a model conditioned on aggregate utilization alone. The chapters that followed translated that proposition into two estimable specifications, estimated them on the documented record, and returned a consistent verdict. The timing of demand is not a second-order refinement of the volume account. It is a first-order driver in its own right.</w:t>
      </w:r>
    </w:p>
    <w:bookmarkEnd w:id="147"/>
    <w:bookmarkStart w:id="148" w:name="synthesis-of-the-evidence"/>
    <w:p>
      <w:pPr>
        <w:pStyle w:val="Heading2"/>
        <w:spacing w:line="480" w:lineRule="auto"/>
      </w:pPr>
      <w:r>
        <w:t xml:space="preserve">8.2 Synthesis of the Evidence</w:t>
      </w:r>
    </w:p>
    <w:p>
      <w:pPr>
        <w:pStyle w:val="FirstParagraph"/>
        <w:spacing w:line="480" w:lineRule="auto"/>
      </w:pPr>
      <w:r>
        <w:t xml:space="preserve">The empirical core of the dissertation rests on two complementary studies that attack the same claim from different units of analysis and with different estimators. Read together, they convert a plausible queueing intuition into an identified and direction-consistent result.</w:t>
      </w:r>
    </w:p>
    <w:p>
      <w:pPr>
        <w:pStyle w:val="BodyText"/>
        <w:spacing w:line="480" w:lineRule="auto"/>
        <w:ind w:firstLine="720"/>
      </w:pPr>
      <w:r>
        <w:t xml:space="preserve">Study one operated at the complex-week level. It treated each Deep Space Network complex, observed over a documented nominal-loading window and a documented critical-event cluster, as a cell in a forty-eight-cell panel, and it regressed the realized deferral rate on utilization, an index of arrival dispersion, the complex-stable share of high-priority requests, and complex fixed effects. The structural backbone was a multi-server priority queue in which antennas are the servers, pass requests are arrivals with heterogeneous service times and administratively assigned priority, and deferral is the queueing outcome when a higher-priority request preempts a lower one or when no server is free. The queue logic makes a sharp prediction: holding the offered-load level fixed, a more dispersed, burstier arrival stream produces more frequent transient overloads and therefore more deferral. The estimation confirmed it. The arrival-dispersion coefficient was positive, large, and overwhelmingly distinguishable from zero. Utilization entered with its own positive and significant coefficient. The two channels coexisted rather than competed. The nested comparison settled the matter. Adding the single dispersion regressor to a utilization-only benchmark lifted the explained variance by roughly ten points, which establishes that the timing channel is a substantial and independent source of explanatory power, not a marginal decoration on the volume account.</w:t>
      </w:r>
    </w:p>
    <w:p>
      <w:pPr>
        <w:pStyle w:val="BodyText"/>
        <w:spacing w:line="480" w:lineRule="auto"/>
        <w:ind w:firstLine="720"/>
      </w:pPr>
      <w:r>
        <w:t xml:space="preserve">The second study held the same claim but changed both the unit of analysis and the estimator. Instead of asking how an average deferral rate moves with load across cells, it asked, at the level of the individual request, what raises the odds that this particular pass is the one bumped. That is a discrete-choice question, and the appropriate instrument is logistic regression. Estimated on documented request cells distributed across the three complexes, the logit recovered all four directional signs that queue logic predicts: deferral odds rise with serving-complex utilization, rise as administrative priority falls, rise inside critical-event surge windows, and rise with requested pass length. Priority tier emerged as the cleanest marginal driver, and the two complex indicators collapsed toward the omitted reference, which is the empirical fingerprint of a single network-wide allocation rule rather than three local ones. The deferral process is therefore not random rationing. It is a priority queue doing precisely what a priority queue does, concentrating displacement on the lower-priority, longer, surge-window request</w:t>
      </w:r>
      <w:r>
        <w:t xml:space="preserve"> </w:t>
      </w:r>
      <w:hyperlink w:anchor="ref-3">
        <w:r>
          <w:rPr>
            <w:rStyle w:val="Hyperlink"/>
          </w:rPr>
          <w:t xml:space="preserve">[3]</w:t>
        </w:r>
      </w:hyperlink>
      <w:r>
        <w:t xml:space="preserve">. The rule is stable. The victims are predictable.</w:t>
      </w:r>
    </w:p>
    <w:p>
      <w:pPr>
        <w:pStyle w:val="BodyText"/>
        <w:spacing w:line="480" w:lineRule="auto"/>
        <w:ind w:firstLine="720"/>
      </w:pPr>
      <w:r>
        <w:t xml:space="preserve">The two studies reinforce one another at the seam where each is individually weakest. The panel specification establishes that dispersion matters in aggregate but cannot say which requests absorb the deferral; the logit establishes who gets bumped but, on a deliberately small sample, leaves the magnitudes of the surge and utilization channels wide. Joined, they describe a coherent mechanism. Burstiness in the arrival stream raises the cell-level deferral rate, and when that deferral is allocated, the priority queue routes it down the priority ladder and onto the longer passes that are hardest to slot against a dense field. The documented late-2018 episode, in which three missions reached critical events simultaneously and oversubscription spiked sharply, is the same phenomenon viewed from both altitudes at once: a coincidence of demand, not an annual average, became the binding constraint, and the cost of that coincidence fell on the requests with the least protection</w:t>
      </w:r>
      <w:r>
        <w:t xml:space="preserve"> </w:t>
      </w:r>
      <w:hyperlink w:anchor="ref-4">
        <w:r>
          <w:rPr>
            <w:rStyle w:val="Hyperlink"/>
          </w:rPr>
          <w:t xml:space="preserve">[4]</w:t>
        </w:r>
      </w:hyperlink>
      <w:r>
        <w:t xml:space="preserve">.</w:t>
      </w:r>
    </w:p>
    <w:bookmarkEnd w:id="148"/>
    <w:bookmarkStart w:id="149" w:name="contribution-to-knowledge"/>
    <w:p>
      <w:pPr>
        <w:pStyle w:val="Heading2"/>
        <w:spacing w:line="480" w:lineRule="auto"/>
      </w:pPr>
      <w:r>
        <w:t xml:space="preserve">8.3 Contribution to Knowledge</w:t>
      </w:r>
    </w:p>
    <w:p>
      <w:pPr>
        <w:pStyle w:val="FirstParagraph"/>
        <w:spacing w:line="480" w:lineRule="auto"/>
      </w:pPr>
      <w:r>
        <w:t xml:space="preserve">The dissertation makes a contribution that is at once methodological, substantive, and translational, and it is worth stating each component precisely because the value of the work lies in their conjunction rather than in any one alone.</w:t>
      </w:r>
    </w:p>
    <w:p>
      <w:pPr>
        <w:pStyle w:val="BodyText"/>
        <w:spacing w:line="480" w:lineRule="auto"/>
        <w:ind w:firstLine="720"/>
      </w:pPr>
      <w:r>
        <w:t xml:space="preserve">The methodological contribution is an identification strategy for ground-segment carrying capacity that cleanly separates the demand-level channel from the demand-timing channel. Two adjacent literatures bracketed this problem without closing it. The operational scheduling literature on the Deep Space Network documents the oversubscription regime, the peer-to-peer negotiation by which weekly schedules are built, and the optimization approaches that raise the scheduled fraction of requested time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That work treats scheduling as an engineering problem to be solved, packing as many requests as possible and deferring the rest, rather than as a phenomenon whose drivers are to be statistically identified. The economics of scarce space resources, in parallel, frames orbital and infrastructural scarcity as an allocation-efficiency problem and argues that space resources are chronically misallocated for want of pricing signals and mechanisms that aggregate dispersed information about demand</w:t>
      </w:r>
      <w:r>
        <w:t xml:space="preserve"> </w:t>
      </w:r>
      <w:hyperlink w:anchor="ref-6">
        <w:r>
          <w:rPr>
            <w:rStyle w:val="Hyperlink"/>
          </w:rPr>
          <w:t xml:space="preserve">[6]</w:t>
        </w:r>
      </w:hyperlink>
      <w:r>
        <w:t xml:space="preserve">, with adjacent strategic analyses observing that critical space infrastructure is severely under-resourced relative to the activity it must support</w:t>
      </w:r>
      <w:r>
        <w:t xml:space="preserve"> </w:t>
      </w:r>
      <w:hyperlink w:anchor="ref-3">
        <w:r>
          <w:rPr>
            <w:rStyle w:val="Hyperlink"/>
          </w:rPr>
          <w:t xml:space="preserve">[3]</w:t>
        </w:r>
      </w:hyperlink>
      <w:r>
        <w:t xml:space="preserve">. That literature supplies a compelling account of why ground-segment scarcity persists but stops at narrative diagnosis. Neither tradition offered an estimable model that decomposes the contention inside a specific network into its volume and timing components. The dissertation supplies exactly that, stated in the transferable parameters of a multi-server priority queue so that the structural form, rather than the network-specific coefficients, is the portable artifact.</w:t>
      </w:r>
    </w:p>
    <w:p>
      <w:pPr>
        <w:pStyle w:val="BodyText"/>
        <w:spacing w:line="480" w:lineRule="auto"/>
        <w:ind w:firstLine="720"/>
      </w:pPr>
      <w:r>
        <w:t xml:space="preserve">The substantive contribution is the finding itself: on the documented Deep Space Network record, arrival dispersion carries large and independent explanatory power for deferral after utilization and persistent complex differences are accounted for, and the deferral that results is allocated by a single priority rule that falls hardest on lower-priority and longer requests. This is not an incremental adjustment to the prevailing volume-centric heuristic. It is a reframing of what ground-segment scarcity is. The conventional planning instinct reads a congestion episode as evidence that the network needs more apertures. The evidence here says that a meaningful share of contention is a timing phenomenon that aperture expansion would not fully resolve, because adding capacity lowers utilization for everyone but leaves the bumping order invariant. The displaced users, the science-of-opportunity and extended-duration missions, would still be displaced first; the network would simply saturate at a higher absolute level of activity.</w:t>
      </w:r>
    </w:p>
    <w:p>
      <w:pPr>
        <w:pStyle w:val="BodyText"/>
        <w:spacing w:line="480" w:lineRule="auto"/>
        <w:ind w:firstLine="720"/>
      </w:pPr>
      <w:r>
        <w:t xml:space="preserve">The translational contribution follows directly and is where the work earns its keep for the institutions that must act on it. By distinguishing congestion driven by demand level from congestion driven by demand timing, the analysis tells a planner which remedy a given episode actually justifies. Where the binding channel is volume, the case for aperture investment is sound, and the documented arraying of additional antennas at a complex is the appropriate response</w:t>
      </w:r>
      <w:r>
        <w:t xml:space="preserve"> </w:t>
      </w:r>
      <w:hyperlink w:anchor="ref-10">
        <w:r>
          <w:rPr>
            <w:rStyle w:val="Hyperlink"/>
          </w:rPr>
          <w:t xml:space="preserve">[10]</w:t>
        </w:r>
      </w:hyperlink>
      <w:r>
        <w:t xml:space="preserve">. Where the binding channel is timing, concrete cannot fix what coordination must: the remedy is arrival-shaping, achieved by staggering routine requests away from anticipated critical-event clusters or by introducing scheduling incentives that price the externality a bursty requester imposes on the shared queue. That is the precise operational content of the economists’ general claim that scarce space resources are misallocated for want of mechanisms that aggregate dispersed demand information</w:t>
      </w:r>
      <w:r>
        <w:t xml:space="preserve"> </w:t>
      </w:r>
      <w:hyperlink w:anchor="ref-6">
        <w:r>
          <w:rPr>
            <w:rStyle w:val="Hyperlink"/>
          </w:rPr>
          <w:t xml:space="preserve">[6]</w:t>
        </w:r>
      </w:hyperlink>
      <w:r>
        <w:t xml:space="preserve">. The dissertation grounds that abstract diagnosis in a measurable instance and converts it into an actionable distinction.</w:t>
      </w:r>
    </w:p>
    <w:p>
      <w:pPr>
        <w:pStyle w:val="BodyText"/>
        <w:spacing w:line="480" w:lineRule="auto"/>
        <w:ind w:firstLine="720"/>
      </w:pPr>
      <w:r>
        <w:t xml:space="preserve">The contribution also extends, by construction, beyond the Deep Space Network. The ground-segment scheduling problem is one concrete face of a broader class of problems in which a finite set of ground assets must be tasked against demand whose timing is governed by orbital geometry rather than administrative convenience. The operational space-surveillance literature has formalized the cognate problem of scheduling ground sensors against objects whose future behavior is uncertain, including survival-analysis models that estimate when a non-cooperative satellite is likely to maneuver so that observation can be tasked accordingly</w:t>
      </w:r>
      <w:r>
        <w:t xml:space="preserve"> </w:t>
      </w:r>
      <w:hyperlink w:anchor="ref-1">
        <w:r>
          <w:rPr>
            <w:rStyle w:val="Hyperlink"/>
          </w:rPr>
          <w:t xml:space="preserve">[1]</w:t>
        </w:r>
      </w:hyperlink>
      <w:r>
        <w:t xml:space="preserve">. The present work differs in that it concerns contention among cooperative, mission-owned spacecraft for a common command-and-telemetry plant rather than observation tasking against uncooperative targets, but the structural lesson transfers: the variance of the arrival process, not merely its mean, governs the realized waiting and loss. Because the queueing backbone is stated in transferable parameters, the separation of level from timing carries to commercial ground-station-as-a-service networks with different server counts and pricing rules, even though the specific coefficients estimated here do not.</w:t>
      </w:r>
    </w:p>
    <w:bookmarkEnd w:id="149"/>
    <w:bookmarkStart w:id="150" w:name="X1de978857643371fa16aacefe5849a962c5a598"/>
    <w:p>
      <w:pPr>
        <w:pStyle w:val="Heading2"/>
        <w:spacing w:line="480" w:lineRule="auto"/>
      </w:pPr>
      <w:r>
        <w:t xml:space="preserve">8.4 Limitations and the Honest Boundary of the Claim</w:t>
      </w:r>
    </w:p>
    <w:p>
      <w:pPr>
        <w:pStyle w:val="FirstParagraph"/>
        <w:spacing w:line="480" w:lineRule="auto"/>
      </w:pPr>
      <w:r>
        <w:t xml:space="preserve">The conclusions are bounded, and the boundary should be stated plainly because the credibility of the contribution depends on it. Three limitations recur across the studies and constrain the strength of the inference.</w:t>
      </w:r>
    </w:p>
    <w:p>
      <w:pPr>
        <w:pStyle w:val="BodyText"/>
        <w:spacing w:line="480" w:lineRule="auto"/>
        <w:ind w:firstLine="720"/>
      </w:pPr>
      <w:r>
        <w:t xml:space="preserve">First, the deferral measure is in part a reconstruction. The public record reports committed passes more cleanly than denied requests, so the per-cell deferral rate was reconstructed from the documented network scheduled-fraction and flagged as illustrative where reconstructed. Because reconstruction attenuates toward the null, this posture is conservative: the positive dispersion effect recovered here should be read as a lower bound on the true timing channel, not as an upper one. A validation against an internal request-versus-grant ledger would tighten the estimate and is the natural first extension. Second, the arrivals are partly endogenous. Mission planners already anticipate contention and shape their requests, so observed dispersion is partly a response to expected congestion rather than an exogenous driver. The within-complex fixed-effects design mitigates this by leaning on geometry-driven visibility windows that orbital mechanics fix independently of planner discretion, but it does not eliminate the concern. Third, external validity is constrained. Coefficients estimated on the Deep Space Network need not transfer to networks with different server counts and pricing rules, which is precisely why the structural form rather than the magnitudes is offered as the portable result. The logit study adds a fourth, candid limit of statistical power: a small documented sample identifies the direction and the priority ordering with confidence but leaves the magnitudes of the utilization and surge channels imprecisely estimated.</w:t>
      </w:r>
    </w:p>
    <w:p>
      <w:pPr>
        <w:pStyle w:val="BodyText"/>
        <w:spacing w:line="480" w:lineRule="auto"/>
        <w:ind w:firstLine="720"/>
      </w:pPr>
      <w:r>
        <w:t xml:space="preserve">These limitations do not undermine the central claim; they locate it. The direction of the timing effect is robust and conservative by construction. What remains open is its exact magnitude on the full operational record, and the dissertation has been explicit throughout about which numbers are documented anchors and which are reconstructions placed against them. That discipline is itself part of the contribution, because it makes every reported result reproducible by any investigator who logs the public feed over a defined window.</w:t>
      </w:r>
    </w:p>
    <w:bookmarkEnd w:id="150"/>
    <w:bookmarkStart w:id="151" w:name="a-path-forward"/>
    <w:p>
      <w:pPr>
        <w:pStyle w:val="Heading2"/>
        <w:spacing w:line="480" w:lineRule="auto"/>
      </w:pPr>
      <w:r>
        <w:t xml:space="preserve">8.5 A Path Forward</w:t>
      </w:r>
    </w:p>
    <w:p>
      <w:pPr>
        <w:pStyle w:val="FirstParagraph"/>
        <w:spacing w:line="480" w:lineRule="auto"/>
      </w:pPr>
      <w:r>
        <w:t xml:space="preserve">The most direct extension is to re-estimate both specifications on the complete machine-readable scheduling record rather than on the documented anchor windows. On the full record, the surge coefficient that only points in the small logit sample should sharpen into a measured effect, the dispersion estimate should be freed from the attenuation that the reconstruction imposes, and a priority-by-utilization interaction would let the analysis say not just who gets bumped but how steeply the protection of high priority erodes as the network saturates. A second extension is to take the arrival-shaping prescription from diagnosis to design, specifying and simulating a congestion-pricing or window-staggering mechanism on the estimated queue and measuring the deferral it averts against the aperture investment it substitutes for. A third is to port the identification strategy onto commercial ground-station networks, where pricing already exists and the externality of bursty requesting may already be partially internalized, to test whether the timing channel weakens where a market mechanism is present. Each extension follows from the structural form rather than from any network-specific number, which is the sense in which the contribution is meant to be built upon.</w:t>
      </w:r>
    </w:p>
    <w:bookmarkEnd w:id="151"/>
    <w:bookmarkStart w:id="152" w:name="closing-statement"/>
    <w:p>
      <w:pPr>
        <w:pStyle w:val="Heading2"/>
        <w:spacing w:line="480" w:lineRule="auto"/>
      </w:pPr>
      <w:r>
        <w:t xml:space="preserve">8.6 Closing Statement</w:t>
      </w:r>
    </w:p>
    <w:p>
      <w:pPr>
        <w:pStyle w:val="FirstParagraph"/>
        <w:spacing w:line="480" w:lineRule="auto"/>
      </w:pPr>
      <w:r>
        <w:t xml:space="preserve">The Deep Space Network is a finite physical plant serving an expanding portfolio of deep-space missions, and the collisions among their requests are now the binding operational constraint on what the science and exploration enterprise can actually return</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prevailing instinct reads that constraint as a volume problem and reaches for more apertures. This dissertation has shown, across two estimators and two units of analysis, that the instinct is incomplete. Deferral on the Deep Space Network responds to how full the network is and, independently and substantially, to how bursty its demand is, and the deferral that results is allocated by a single priority rule that falls hardest on the least protected users. The practical consequence is a sharper question than the one planners usually ask. The right question is not only whether the network is full, but whether this congestion is a problem of how much demand arrived or of when it arrived, because the two diagnoses call for different remedies and the wrong diagnosis spends capital on a problem that coordination, not concrete, was built to solve. To treat when demand arrives as no less consequential than how much demand arrives is the reframing this work offers, and it is offered in transferable form so that the next finite ground network, public or commercial, can ask the same question of its own queue and get an honest answer.</w:t>
      </w:r>
    </w:p>
    <w:bookmarkEnd w:id="152"/>
    <w:bookmarkStart w:id="193" w:name="references"/>
    <w:p>
      <w:pPr>
        <w:pStyle w:val="Heading2"/>
        <w:spacing w:line="480" w:lineRule="auto"/>
      </w:pPr>
      <w:r>
        <w:t xml:space="preserve">References</w:t>
      </w:r>
    </w:p>
    <w:p>
      <w:pPr>
        <w:pStyle w:val="FirstParagraph"/>
        <w:spacing w:line="480" w:lineRule="auto"/>
      </w:pPr>
      <w:bookmarkStart w:id="153" w:name="ref-1"/>
      <w:bookmarkEnd w:id="153"/>
      <w:r>
        <w:t xml:space="preserve">1. S. Shivshankar and D. Ghose,</w:t>
      </w:r>
      <w:r>
        <w:t xml:space="preserve"> </w:t>
      </w:r>
      <w:r>
        <w:t xml:space="preserve">“Time-to-Event Data (Survival Analysis) based Modelling of Maneuver Occurrence of Non-Cooperative Satellites,”</w:t>
      </w:r>
      <w:r>
        <w:t xml:space="preserve"> </w:t>
      </w:r>
      <w:r>
        <w:t xml:space="preserve">Proc. Advanced Maui Optical and Space Surveillance Technologies (AMOS) Conference, 2023. doi:</w:t>
      </w:r>
      <w:r>
        <w:t xml:space="preserve"> </w:t>
      </w:r>
      <w:hyperlink r:id="rId154">
        <w:r>
          <w:rPr>
            <w:rStyle w:val="Hyperlink"/>
          </w:rPr>
          <w:t xml:space="preserve">10.64861/LPFK9568</w:t>
        </w:r>
      </w:hyperlink>
    </w:p>
    <w:p>
      <w:pPr>
        <w:pStyle w:val="BodyText"/>
        <w:spacing w:line="480" w:lineRule="auto"/>
        <w:ind w:firstLine="720"/>
      </w:pPr>
      <w:bookmarkStart w:id="155" w:name="ref-2"/>
      <w:bookmarkEnd w:id="155"/>
      <w:r>
        <w:t xml:space="preserve">2. M. Weinzierl,</w:t>
      </w:r>
      <w:r>
        <w:t xml:space="preserve"> </w:t>
      </w:r>
      <w:r>
        <w:t xml:space="preserve">“Space, the Final Economic Frontier,”</w:t>
      </w:r>
      <w:r>
        <w:t xml:space="preserve"> </w:t>
      </w:r>
      <w:r>
        <w:t xml:space="preserve">2018.</w:t>
      </w:r>
    </w:p>
    <w:p>
      <w:pPr>
        <w:pStyle w:val="BodyText"/>
        <w:spacing w:line="480" w:lineRule="auto"/>
        <w:ind w:firstLine="720"/>
      </w:pPr>
      <w:bookmarkStart w:id="156" w:name="ref-3"/>
      <w:bookmarkEnd w:id="156"/>
      <w:r>
        <w:t xml:space="preserve">3.</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57" w:name="ref-4"/>
      <w:bookmarkEnd w:id="157"/>
      <w:r>
        <w:t xml:space="preserve">4. C. Shouraboura, M. D. Johnston, and D. Tran,</w:t>
      </w:r>
      <w:r>
        <w:t xml:space="preserve"> </w:t>
      </w:r>
      <w:r>
        <w:t xml:space="preserve">“Prioritization and Oversubscribed Scheduling for NASA’s Deep Space Network,”</w:t>
      </w:r>
      <w:r>
        <w:t xml:space="preserve"> </w:t>
      </w:r>
      <w:r>
        <w:t xml:space="preserve">Proceedings of the International Conference on Automated Planning and Scheduling (ICAPS) SPARK Workshop, 2016.</w:t>
      </w:r>
    </w:p>
    <w:p>
      <w:pPr>
        <w:pStyle w:val="BodyText"/>
        <w:spacing w:line="480" w:lineRule="auto"/>
        <w:ind w:firstLine="720"/>
      </w:pPr>
      <w:bookmarkStart w:id="158" w:name="ref-5"/>
      <w:bookmarkEnd w:id="158"/>
      <w:r>
        <w:t xml:space="preserve">5. M. D. Johnston,</w:t>
      </w:r>
      <w:r>
        <w:t xml:space="preserve"> </w:t>
      </w:r>
      <w:r>
        <w:t xml:space="preserve">“Scheduling NASA’s Deep Space Network: Priorities, Preferences, and Optimization,”</w:t>
      </w:r>
      <w:r>
        <w:t xml:space="preserve"> </w:t>
      </w:r>
      <w:r>
        <w:t xml:space="preserve">NASA Technical Reports Server, document 20220001560, 2020.</w:t>
      </w:r>
    </w:p>
    <w:p>
      <w:pPr>
        <w:pStyle w:val="BodyText"/>
        <w:spacing w:line="480" w:lineRule="auto"/>
        <w:ind w:firstLine="720"/>
      </w:pPr>
      <w:bookmarkStart w:id="159" w:name="ref-6"/>
      <w:bookmarkEnd w:id="159"/>
      <w:r>
        <w:t xml:space="preserve">6. M. Weinzierl,</w:t>
      </w:r>
      <w:r>
        <w:t xml:space="preserve"> </w:t>
      </w:r>
      <w:r>
        <w:t xml:space="preserve">“Space, the Final Economic Frontier,”</w:t>
      </w:r>
      <w:r>
        <w:t xml:space="preserve"> </w:t>
      </w:r>
      <w:r>
        <w:t xml:space="preserve">Journal of Economic Perspectives, vol. 32, no. 2, pp. 173-192, 2018.</w:t>
      </w:r>
    </w:p>
    <w:p>
      <w:pPr>
        <w:pStyle w:val="BodyText"/>
        <w:spacing w:line="480" w:lineRule="auto"/>
        <w:ind w:firstLine="720"/>
      </w:pPr>
      <w:bookmarkStart w:id="160" w:name="ref-7"/>
      <w:bookmarkEnd w:id="160"/>
      <w:r>
        <w:t xml:space="preserve">7. NASA Office of Inspector General,</w:t>
      </w:r>
      <w:r>
        <w:t xml:space="preserve"> </w:t>
      </w:r>
      <w:r>
        <w:t xml:space="preserve">“NASA’s Management of the Deep Space Network,”</w:t>
      </w:r>
      <w:r>
        <w:t xml:space="preserve"> </w:t>
      </w:r>
      <w:r>
        <w:t xml:space="preserve">Report IG-23-019, July 2023.</w:t>
      </w:r>
    </w:p>
    <w:p>
      <w:pPr>
        <w:pStyle w:val="BodyText"/>
        <w:spacing w:line="480" w:lineRule="auto"/>
        <w:ind w:firstLine="720"/>
      </w:pPr>
      <w:bookmarkStart w:id="161" w:name="ref-8"/>
      <w:bookmarkEnd w:id="161"/>
      <w:r>
        <w:t xml:space="preserve">8. R. Stottler and G. Howe,</w:t>
      </w:r>
      <w:r>
        <w:t xml:space="preserve"> </w:t>
      </w:r>
      <w:r>
        <w:t xml:space="preserve">“Delay/Disruption Tolerant Reinforcement Learning Aurora based Communication System (DREAMS),”</w:t>
      </w:r>
      <w:r>
        <w:t xml:space="preserve"> </w:t>
      </w:r>
      <w:r>
        <w:t xml:space="preserve">Proceedings of the Advanced Maui Optical and Space Surveillance Technologies (AMOS) Conference, 2022.</w:t>
      </w:r>
    </w:p>
    <w:p>
      <w:pPr>
        <w:pStyle w:val="BodyText"/>
        <w:spacing w:line="480" w:lineRule="auto"/>
        <w:ind w:firstLine="720"/>
      </w:pPr>
      <w:bookmarkStart w:id="162" w:name="ref-9"/>
      <w:bookmarkEnd w:id="162"/>
      <w:r>
        <w:t xml:space="preserve">9. NASA,</w:t>
      </w:r>
      <w:r>
        <w:t xml:space="preserve"> </w:t>
      </w:r>
      <w:r>
        <w:t xml:space="preserve">“Antennas of the Deep Space Network,”</w:t>
      </w:r>
      <w:r>
        <w:t xml:space="preserve"> </w:t>
      </w:r>
      <w:r>
        <w:t xml:space="preserve">nasa.gov, Space Communications and Navigation Program, 2024.</w:t>
      </w:r>
    </w:p>
    <w:p>
      <w:pPr>
        <w:pStyle w:val="BodyText"/>
        <w:spacing w:line="480" w:lineRule="auto"/>
        <w:ind w:firstLine="720"/>
      </w:pPr>
      <w:bookmarkStart w:id="163" w:name="ref-10"/>
      <w:bookmarkEnd w:id="163"/>
      <w:r>
        <w:t xml:space="preserve">10. NASA Jet Propulsion Laboratory,</w:t>
      </w:r>
      <w:r>
        <w:t xml:space="preserve"> </w:t>
      </w:r>
      <w:r>
        <w:t xml:space="preserve">“Six Deep Space Network Antennas in Madrid Arrayed for the First Time,”</w:t>
      </w:r>
      <w:r>
        <w:t xml:space="preserve"> </w:t>
      </w:r>
      <w:r>
        <w:t xml:space="preserve">image release PIA26147, 2024.</w:t>
      </w:r>
    </w:p>
    <w:p>
      <w:pPr>
        <w:pStyle w:val="BodyText"/>
        <w:spacing w:line="480" w:lineRule="auto"/>
        <w:ind w:firstLine="720"/>
      </w:pPr>
      <w:bookmarkStart w:id="164" w:name="ref-11"/>
      <w:bookmarkEnd w:id="164"/>
      <w:r>
        <w:t xml:space="preserve">11. M. D. Johnston and D. Tran,</w:t>
      </w:r>
      <w:r>
        <w:t xml:space="preserve"> </w:t>
      </w:r>
      <w:r>
        <w:t xml:space="preserve">“User Preference Optimization for Oversubscribed Scheduling of NASA’s Deep Space Network,”</w:t>
      </w:r>
      <w:r>
        <w:t xml:space="preserve"> </w:t>
      </w:r>
      <w:r>
        <w:t xml:space="preserve">NASA Technical Reports Server, NTRS 20220008366, 2021. https://ntrs.nasa.gov/citations/20220008366</w:t>
      </w:r>
    </w:p>
    <w:p>
      <w:pPr>
        <w:pStyle w:val="BodyText"/>
        <w:spacing w:line="480" w:lineRule="auto"/>
        <w:ind w:firstLine="720"/>
      </w:pPr>
      <w:bookmarkStart w:id="165" w:name="ref-12"/>
      <w:bookmarkEnd w:id="165"/>
      <w:r>
        <w:t xml:space="preserve">12. B. Claessens,</w:t>
      </w:r>
      <w:r>
        <w:t xml:space="preserve"> </w:t>
      </w:r>
      <w:r>
        <w:t xml:space="preserve">“Utilizing Schedule Constraints to Improve Automated Scheduling in NASA’s Deep Space Network,”</w:t>
      </w:r>
      <w:r>
        <w:t xml:space="preserve"> </w:t>
      </w:r>
      <w:r>
        <w:t xml:space="preserve">NASA Technical Reports Server, NTRS 20230005625, 2021. https://ntrs.nasa.gov/citations/20230005625</w:t>
      </w:r>
    </w:p>
    <w:p>
      <w:pPr>
        <w:pStyle w:val="BodyText"/>
        <w:spacing w:line="480" w:lineRule="auto"/>
        <w:ind w:firstLine="720"/>
      </w:pPr>
      <w:bookmarkStart w:id="166" w:name="ref-13"/>
      <w:bookmarkEnd w:id="166"/>
      <w:r>
        <w:t xml:space="preserve">13. NASA Jet Propulsion Laboratory,</w:t>
      </w:r>
      <w:r>
        <w:t xml:space="preserve"> </w:t>
      </w:r>
      <w:r>
        <w:t xml:space="preserve">“Antennas of the Deep Space Network”</w:t>
      </w:r>
      <w:r>
        <w:t xml:space="preserve"> </w:t>
      </w:r>
      <w:r>
        <w:t xml:space="preserve">and DSN complex documentation (Goldstone, Madrid, Canberra/CDSCC), 2024. https://www.nasa.gov/directorates/somd/space-communications-navigation-program/deep-space-network/</w:t>
      </w:r>
    </w:p>
    <w:p>
      <w:pPr>
        <w:pStyle w:val="BodyText"/>
        <w:spacing w:line="480" w:lineRule="auto"/>
        <w:ind w:firstLine="720"/>
      </w:pPr>
      <w:bookmarkStart w:id="167" w:name="ref-14"/>
      <w:bookmarkEnd w:id="167"/>
      <w:r>
        <w:t xml:space="preserve">14. Yasir Latif, Space Protocol; Anirban Chowdhury, Space Protocol; Samya Bagchi, Space Protocol. On-chain Validation of Tracking Data Messages (TDM) Using Distributed Deep Learning on a Proof of Stake (PoS) Blockchain (2024). doi:</w:t>
      </w:r>
      <w:r>
        <w:t xml:space="preserve"> </w:t>
      </w:r>
      <w:hyperlink r:id="rId168">
        <w:r>
          <w:rPr>
            <w:rStyle w:val="Hyperlink"/>
          </w:rPr>
          <w:t xml:space="preserve">10.64861/OHUO6863</w:t>
        </w:r>
      </w:hyperlink>
    </w:p>
    <w:p>
      <w:pPr>
        <w:pStyle w:val="BodyText"/>
        <w:spacing w:line="480" w:lineRule="auto"/>
        <w:ind w:firstLine="720"/>
      </w:pPr>
      <w:bookmarkStart w:id="169" w:name="ref-15"/>
      <w:bookmarkEnd w:id="169"/>
      <w:r>
        <w:t xml:space="preserve">15. David Richmond (Lockheed Martin). Net-Centric Sensors and Data Sources (N-CSDS) Ground-based Electro Optical Deep Space Surveillance (GEODSS) Sidecar (2012).</w:t>
      </w:r>
    </w:p>
    <w:p>
      <w:pPr>
        <w:pStyle w:val="BodyText"/>
        <w:spacing w:line="480" w:lineRule="auto"/>
        <w:ind w:firstLine="720"/>
      </w:pPr>
      <w:bookmarkStart w:id="170" w:name="ref-16"/>
      <w:bookmarkEnd w:id="170"/>
      <w:r>
        <w:t xml:space="preserve">16. Dan Oltrogge (Analytical Graphics Inc.), Patrick North (Analytical Graphics Inc.), Michael Nicolls (SRI). Multi-phenomenology Observation Network Evaluation Tool (MONET) (2014).</w:t>
      </w:r>
    </w:p>
    <w:p>
      <w:pPr>
        <w:pStyle w:val="BodyText"/>
        <w:spacing w:line="480" w:lineRule="auto"/>
        <w:ind w:firstLine="720"/>
      </w:pPr>
      <w:bookmarkStart w:id="171" w:name="ref-17"/>
      <w:bookmarkEnd w:id="171"/>
      <w:r>
        <w:t xml:space="preserve">17. Matthew Phelps, United States Space Force; J. Zachary Gazak, United States Space Force; Thomas Swindle, United States Space Force; Justin Fletcher, United States Space Force; Ian McQuaid, Air Force Research Laboratory. Inferring Space Object Orientation with Spectroscopy and Convolutional Networks (2021).</w:t>
      </w:r>
    </w:p>
    <w:p>
      <w:pPr>
        <w:pStyle w:val="BodyText"/>
        <w:spacing w:line="480" w:lineRule="auto"/>
        <w:ind w:firstLine="720"/>
      </w:pPr>
      <w:bookmarkStart w:id="172" w:name="ref-18"/>
      <w:bookmarkEnd w:id="172"/>
      <w:r>
        <w:t xml:space="preserve">18.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w:t>
      </w:r>
    </w:p>
    <w:p>
      <w:pPr>
        <w:pStyle w:val="BodyText"/>
        <w:spacing w:line="480" w:lineRule="auto"/>
        <w:ind w:firstLine="720"/>
      </w:pPr>
      <w:bookmarkStart w:id="173" w:name="ref-19"/>
      <w:bookmarkEnd w:id="173"/>
      <w:r>
        <w:t xml:space="preserve">19. Weston Faber, L3Harris. The Sensor Management Prisoner’s Dilemma: A Deep Reinforcement Learning Approach (2020).</w:t>
      </w:r>
    </w:p>
    <w:p>
      <w:pPr>
        <w:pStyle w:val="BodyText"/>
        <w:spacing w:line="480" w:lineRule="auto"/>
        <w:ind w:firstLine="720"/>
      </w:pPr>
      <w:bookmarkStart w:id="174" w:name="ref-20"/>
      <w:bookmarkEnd w:id="174"/>
      <w:r>
        <w:t xml:space="preserve">20. Michael Werth, The Boeing Company; Trent Kyono, The Boeing Company; Jacob Lucas, The Boeing Company; Justin Fletcher, SMC/DirSP-G; Ian McQuaid, Air Force Maui Optics and Supercomputing Site; Michael Brannon, Air Force Research Laboratory. Quality-Weighted Iterative Deconvolution (QWID) (2020).</w:t>
      </w:r>
    </w:p>
    <w:p>
      <w:pPr>
        <w:pStyle w:val="BodyText"/>
        <w:spacing w:line="480" w:lineRule="auto"/>
        <w:ind w:firstLine="720"/>
      </w:pPr>
      <w:bookmarkStart w:id="175" w:name="ref-21"/>
      <w:bookmarkEnd w:id="175"/>
      <w:r>
        <w:t xml:space="preserve">21. Shane Ryall, Defense Research &amp; Development Canada. Detecting Satellites with Object Detection: Challenges of Implementing Deep Learning Techniques for Space-based Images (2024). doi:</w:t>
      </w:r>
      <w:r>
        <w:t xml:space="preserve"> </w:t>
      </w:r>
      <w:hyperlink r:id="rId176">
        <w:r>
          <w:rPr>
            <w:rStyle w:val="Hyperlink"/>
          </w:rPr>
          <w:t xml:space="preserve">10.64861/MVWS5637</w:t>
        </w:r>
      </w:hyperlink>
    </w:p>
    <w:p>
      <w:pPr>
        <w:pStyle w:val="BodyText"/>
        <w:spacing w:line="480" w:lineRule="auto"/>
        <w:ind w:firstLine="720"/>
      </w:pPr>
      <w:bookmarkStart w:id="177" w:name="ref-22"/>
      <w:bookmarkEnd w:id="177"/>
      <w:r>
        <w:t xml:space="preserve">22. Erdem Turan; Stefano Speretta; Eberhard Gill. Autonomous navigation for deep space small satellites: Scientific and technological advances (2022). doi:</w:t>
      </w:r>
      <w:r>
        <w:t xml:space="preserve"> </w:t>
      </w:r>
      <w:hyperlink r:id="rId178">
        <w:r>
          <w:rPr>
            <w:rStyle w:val="Hyperlink"/>
          </w:rPr>
          <w:t xml:space="preserve">10.1016/j.actaastro.2021.12.030</w:t>
        </w:r>
      </w:hyperlink>
    </w:p>
    <w:p>
      <w:pPr>
        <w:pStyle w:val="BodyText"/>
        <w:spacing w:line="480" w:lineRule="auto"/>
        <w:ind w:firstLine="720"/>
      </w:pPr>
      <w:bookmarkStart w:id="179" w:name="ref-23"/>
      <w:bookmarkEnd w:id="179"/>
      <w:r>
        <w:t xml:space="preserve">23. Leo Pauly; Wassim Rharbaoui; Carl Shneider; Arunkumar Rathinam; Vincent Gaudillière; Djamila Aouada. A survey on deep learning-based monocular spacecraft pose estimation: Current state, limitations and prospects (2023). doi:</w:t>
      </w:r>
      <w:r>
        <w:t xml:space="preserve"> </w:t>
      </w:r>
      <w:hyperlink r:id="rId180">
        <w:r>
          <w:rPr>
            <w:rStyle w:val="Hyperlink"/>
          </w:rPr>
          <w:t xml:space="preserve">10.1016/j.actaastro.2023.08.001</w:t>
        </w:r>
      </w:hyperlink>
    </w:p>
    <w:p>
      <w:pPr>
        <w:pStyle w:val="BodyText"/>
        <w:spacing w:line="480" w:lineRule="auto"/>
        <w:ind w:firstLine="720"/>
      </w:pPr>
      <w:bookmarkStart w:id="181" w:name="ref-24"/>
      <w:bookmarkEnd w:id="181"/>
      <w:r>
        <w:t xml:space="preserve">24. Khaja Faisal Hussain; Nour El‐Din Safwat; Kathiravan Thangavel; Roberto Sabatini. Space-based debris trajectory estimation using vision sensors and track-based data fusion techniques (2025). doi:</w:t>
      </w:r>
      <w:r>
        <w:t xml:space="preserve"> </w:t>
      </w:r>
      <w:hyperlink r:id="rId182">
        <w:r>
          <w:rPr>
            <w:rStyle w:val="Hyperlink"/>
          </w:rPr>
          <w:t xml:space="preserve">10.1016/j.actaastro.2025.01.038</w:t>
        </w:r>
      </w:hyperlink>
    </w:p>
    <w:p>
      <w:pPr>
        <w:pStyle w:val="BodyText"/>
        <w:spacing w:line="480" w:lineRule="auto"/>
        <w:ind w:firstLine="720"/>
      </w:pPr>
      <w:bookmarkStart w:id="183" w:name="ref-25"/>
      <w:bookmarkEnd w:id="183"/>
      <w:r>
        <w:t xml:space="preserve">25. Michele Bechini; Geonmo Gu; Paolo Lunghi; Michèle Lavagna. Robust spacecraft relative pose estimation via CNN-aided line segments detection in monocular images (2023). doi:</w:t>
      </w:r>
      <w:r>
        <w:t xml:space="preserve"> </w:t>
      </w:r>
      <w:hyperlink r:id="rId184">
        <w:r>
          <w:rPr>
            <w:rStyle w:val="Hyperlink"/>
          </w:rPr>
          <w:t xml:space="preserve">10.1016/j.actaastro.2023.11.049</w:t>
        </w:r>
      </w:hyperlink>
    </w:p>
    <w:p>
      <w:pPr>
        <w:pStyle w:val="BodyText"/>
        <w:spacing w:line="480" w:lineRule="auto"/>
        <w:ind w:firstLine="720"/>
      </w:pPr>
      <w:bookmarkStart w:id="185" w:name="ref-26"/>
      <w:bookmarkEnd w:id="185"/>
      <w:r>
        <w:t xml:space="preserve">26. Rui Zhang; Wang Zhaokui; Yulin Zhang. A person-following nanosatellite for in-cabin astronaut assistance: System design and deep-learning-based astronaut visual tracking implementation (2019). doi:</w:t>
      </w:r>
      <w:r>
        <w:t xml:space="preserve"> </w:t>
      </w:r>
      <w:hyperlink r:id="rId186">
        <w:r>
          <w:rPr>
            <w:rStyle w:val="Hyperlink"/>
          </w:rPr>
          <w:t xml:space="preserve">10.1016/j.actaastro.2019.06.003</w:t>
        </w:r>
      </w:hyperlink>
    </w:p>
    <w:p>
      <w:pPr>
        <w:pStyle w:val="BodyText"/>
        <w:spacing w:line="480" w:lineRule="auto"/>
        <w:ind w:firstLine="720"/>
      </w:pPr>
      <w:bookmarkStart w:id="187" w:name="ref-27"/>
      <w:bookmarkEnd w:id="187"/>
      <w:r>
        <w:t xml:space="preserve">27. Katharina Ostaszewski; Philip Heinisch; Ingo Richter; Hermann Kroll; Wolf‐Tilo Balke; D. Fraga; K.‐H. Glaßmeier. Pattern recognition in time series for space missions: A rosetta magnetic field case study (2019). doi:</w:t>
      </w:r>
      <w:r>
        <w:t xml:space="preserve"> </w:t>
      </w:r>
      <w:hyperlink r:id="rId188">
        <w:r>
          <w:rPr>
            <w:rStyle w:val="Hyperlink"/>
          </w:rPr>
          <w:t xml:space="preserve">10.1016/j.actaastro.2019.11.037</w:t>
        </w:r>
      </w:hyperlink>
    </w:p>
    <w:p>
      <w:pPr>
        <w:pStyle w:val="BodyText"/>
        <w:spacing w:line="480" w:lineRule="auto"/>
        <w:ind w:firstLine="720"/>
      </w:pPr>
      <w:bookmarkStart w:id="189" w:name="ref-28"/>
      <w:bookmarkEnd w:id="189"/>
      <w:r>
        <w:t xml:space="preserve">28. Paula Betriu; M. Sòria; J. Gutiérrez; Marcel Llopis; Antoni Barlabé. An assessment of different relay network topologies to improve Earth–Mars communications (2023). doi:</w:t>
      </w:r>
      <w:r>
        <w:t xml:space="preserve"> </w:t>
      </w:r>
      <w:hyperlink r:id="rId190">
        <w:r>
          <w:rPr>
            <w:rStyle w:val="Hyperlink"/>
          </w:rPr>
          <w:t xml:space="preserve">10.1016/j.actaastro.2023.01.040</w:t>
        </w:r>
      </w:hyperlink>
    </w:p>
    <w:p>
      <w:pPr>
        <w:pStyle w:val="BodyText"/>
        <w:spacing w:line="480" w:lineRule="auto"/>
        <w:ind w:firstLine="720"/>
      </w:pPr>
      <w:bookmarkStart w:id="191" w:name="ref-29"/>
      <w:bookmarkEnd w:id="191"/>
      <w:r>
        <w:t xml:space="preserve">29. Zhihang Xie; Jiashu Wu; Xianliang Chen; Zhicheng Xie; Xiaofeng Wu. Non-singular pre-defined time prescribed performance control of space manipulator achieving deterministic total convergence time (2026). doi:</w:t>
      </w:r>
      <w:r>
        <w:t xml:space="preserve"> </w:t>
      </w:r>
      <w:hyperlink r:id="rId192">
        <w:r>
          <w:rPr>
            <w:rStyle w:val="Hyperlink"/>
          </w:rPr>
          <w:t xml:space="preserve">10.1016/j.actaastro.2026.02.051</w:t>
        </w:r>
      </w:hyperlink>
    </w:p>
    <w:bookmarkEnd w:id="193"/>
    <w:bookmarkEnd w:id="194"/>
    <w:bookmarkStart w:id="21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2" w:name="X5439806891d6d1a58a4659a05423578dd119168"/>
    <w:p>
      <w:pPr>
        <w:pStyle w:val="Heading2"/>
        <w:spacing w:line="480" w:lineRule="auto"/>
      </w:pPr>
      <w:r>
        <w:t xml:space="preserve">A.1 Timing, Not Volume: A Fixed-Effects Test of Arrival Dispersion as a Driver of Deep Space Network Pass Deferral</w:t>
      </w:r>
    </w:p>
    <w:p>
      <w:pPr>
        <w:pStyle w:val="FirstParagraph"/>
        <w:spacing w:line="480" w:lineRule="auto"/>
      </w:pPr>
      <m:oMathPara>
        <m:oMathParaPr>
          <m:jc m:val="center"/>
        </m:oMathParaPr>
        <m:oMath>
          <m:sSub>
            <m:e>
              <m:r>
                <m:rPr>
                  <m:nor/>
                  <m:sty m:val="p"/>
                </m:rPr>
                <m:t>Deferral</m:t>
              </m:r>
            </m:e>
            <m:sub>
              <m:r>
                <m:t>c</m:t>
              </m:r>
              <m:r>
                <m:t>t</m:t>
              </m:r>
            </m:sub>
          </m:sSub>
          <m:r>
            <m:rPr>
              <m:sty m:val="p"/>
            </m:rPr>
            <m:t>=</m:t>
          </m:r>
          <m:sSub>
            <m:e>
              <m:r>
                <m:t>β</m:t>
              </m:r>
            </m:e>
            <m:sub>
              <m:r>
                <m:t>0</m:t>
              </m:r>
            </m:sub>
          </m:sSub>
          <m:r>
            <m:rPr>
              <m:sty m:val="p"/>
            </m:rPr>
            <m:t>+</m:t>
          </m:r>
          <m:sSub>
            <m:e>
              <m:r>
                <m:t>β</m:t>
              </m:r>
            </m:e>
            <m:sub>
              <m:r>
                <m:t>1</m:t>
              </m:r>
            </m:sub>
          </m:sSub>
          <m:sSub>
            <m:e>
              <m:r>
                <m:rPr>
                  <m:nor/>
                  <m:sty m:val="p"/>
                </m:rPr>
                <m:t>Util</m:t>
              </m:r>
            </m:e>
            <m:sub>
              <m:r>
                <m:t>c</m:t>
              </m:r>
              <m:r>
                <m:t>t</m:t>
              </m:r>
            </m:sub>
          </m:sSub>
          <m:r>
            <m:rPr>
              <m:sty m:val="p"/>
            </m:rPr>
            <m:t>+</m:t>
          </m:r>
          <m:sSub>
            <m:e>
              <m:r>
                <m:t>β</m:t>
              </m:r>
            </m:e>
            <m:sub>
              <m:r>
                <m:t>2</m:t>
              </m:r>
            </m:sub>
          </m:sSub>
          <m:sSub>
            <m:e>
              <m:r>
                <m:rPr>
                  <m:nor/>
                  <m:sty m:val="p"/>
                </m:rPr>
                <m:t>Disp</m:t>
              </m:r>
            </m:e>
            <m:sub>
              <m:r>
                <m:t>c</m:t>
              </m:r>
              <m:r>
                <m:t>t</m:t>
              </m:r>
            </m:sub>
          </m:sSub>
          <m:r>
            <m:rPr>
              <m:sty m:val="p"/>
            </m:rPr>
            <m:t>+</m:t>
          </m:r>
          <m:sSub>
            <m:e>
              <m:r>
                <m:t>β</m:t>
              </m:r>
            </m:e>
            <m:sub>
              <m:r>
                <m:t>3</m:t>
              </m:r>
            </m:sub>
          </m:sSub>
          <m:sSub>
            <m:e>
              <m:r>
                <m:rPr>
                  <m:nor/>
                  <m:sty m:val="p"/>
                </m:rPr>
                <m:t>Prio</m:t>
              </m:r>
            </m:e>
            <m:sub>
              <m:r>
                <m:t>c</m:t>
              </m:r>
              <m:r>
                <m:t>t</m:t>
              </m:r>
            </m:sub>
          </m:sSub>
          <m:r>
            <m:rPr>
              <m:sty m:val="p"/>
            </m:rPr>
            <m:t>+</m:t>
          </m:r>
          <m:sSub>
            <m:e>
              <m:r>
                <m:t>γ</m:t>
              </m:r>
            </m:e>
            <m:sub>
              <m:r>
                <m:t>c</m:t>
              </m:r>
            </m:sub>
          </m:sSub>
          <m:r>
            <m:rPr>
              <m:sty m:val="p"/>
            </m:rPr>
            <m:t>+</m:t>
          </m:r>
          <m:sSub>
            <m:e>
              <m:r>
                <m:t>ε</m:t>
              </m:r>
            </m:e>
            <m:sub>
              <m:r>
                <m:t>c</m:t>
              </m:r>
              <m:r>
                <m:t>t</m:t>
              </m:r>
            </m:sub>
          </m:sSub>
        </m:oMath>
      </m:oMathPara>
    </w:p>
    <w:bookmarkStart w:id="19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-0.2648</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-10.5671</w:t>
            </w:r>
          </w:p>
        </w:tc>
        <w:tc>
          <w:tcPr>
            <w:tcW w:w="0" w:type="auto"/>
          </w:tcPr>
          <w:p>
            <w:pPr>
              <w:spacing w:line="240" w:lineRule="auto" w:before="0" w:after="0"/>
              <w:pStyle w:val="Compact"/>
            </w:pPr>
            <w:r>
              <w:rPr>
                <w:sz w:val="20"/>
                <w:szCs w:val="20"/>
              </w:rPr>
              <w:t xml:space="preserve">4.235e-26</w:t>
            </w:r>
          </w:p>
        </w:tc>
        <w:tc>
          <w:tcPr>
            <w:tcW w:w="0" w:type="auto"/>
          </w:tcPr>
          <w:p>
            <w:pPr>
              <w:spacing w:line="240" w:lineRule="auto" w:before="0" w:after="0"/>
              <w:pStyle w:val="Compact"/>
            </w:pPr>
            <w:r>
              <w:rPr>
                <w:sz w:val="20"/>
                <w:szCs w:val="20"/>
              </w:rPr>
              <w:t xml:space="preserve">[-0.3139, -0.2157]</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11.3164</w:t>
            </w:r>
          </w:p>
        </w:tc>
        <w:tc>
          <w:tcPr>
            <w:tcW w:w="0" w:type="auto"/>
          </w:tcPr>
          <w:p>
            <w:pPr>
              <w:spacing w:line="240" w:lineRule="auto" w:before="0" w:after="0"/>
              <w:pStyle w:val="Compact"/>
            </w:pPr>
            <w:r>
              <w:rPr>
                <w:sz w:val="20"/>
                <w:szCs w:val="20"/>
              </w:rPr>
              <w:t xml:space="preserve">1.088e-29</w:t>
            </w:r>
          </w:p>
        </w:tc>
        <w:tc>
          <w:tcPr>
            <w:tcW w:w="0" w:type="auto"/>
          </w:tcPr>
          <w:p>
            <w:pPr>
              <w:spacing w:line="240" w:lineRule="auto" w:before="0" w:after="0"/>
              <w:pStyle w:val="Compact"/>
            </w:pPr>
            <w:r>
              <w:rPr>
                <w:sz w:val="20"/>
                <w:szCs w:val="20"/>
              </w:rPr>
              <w:t xml:space="preserve">[0.3592, 0.5097]</w:t>
            </w:r>
          </w:p>
        </w:tc>
      </w:tr>
      <w:tr>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0.0498</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20.1065</w:t>
            </w:r>
          </w:p>
        </w:tc>
        <w:tc>
          <w:tcPr>
            <w:tcW w:w="0" w:type="auto"/>
          </w:tcPr>
          <w:p>
            <w:pPr>
              <w:spacing w:line="240" w:lineRule="auto" w:before="0" w:after="0"/>
              <w:pStyle w:val="Compact"/>
            </w:pPr>
            <w:r>
              <w:rPr>
                <w:sz w:val="20"/>
                <w:szCs w:val="20"/>
              </w:rPr>
              <w:t xml:space="preserve">6.473e-90</w:t>
            </w:r>
          </w:p>
        </w:tc>
        <w:tc>
          <w:tcPr>
            <w:tcW w:w="0" w:type="auto"/>
          </w:tcPr>
          <w:p>
            <w:pPr>
              <w:spacing w:line="240" w:lineRule="auto" w:before="0" w:after="0"/>
              <w:pStyle w:val="Compact"/>
            </w:pPr>
            <w:r>
              <w:rPr>
                <w:sz w:val="20"/>
                <w:szCs w:val="20"/>
              </w:rPr>
              <w:t xml:space="preserve">[0.0449, 0.0547]</w:t>
            </w:r>
          </w:p>
        </w:tc>
      </w:tr>
      <w:tr>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-10.5882</w:t>
            </w:r>
          </w:p>
        </w:tc>
        <w:tc>
          <w:tcPr>
            <w:tcW w:w="0" w:type="auto"/>
          </w:tcPr>
          <w:p>
            <w:pPr>
              <w:spacing w:line="240" w:lineRule="auto" w:before="0" w:after="0"/>
              <w:pStyle w:val="Compact"/>
            </w:pPr>
            <w:r>
              <w:rPr>
                <w:sz w:val="20"/>
                <w:szCs w:val="20"/>
              </w:rPr>
              <w:t xml:space="preserve">3.38e-26</w:t>
            </w:r>
          </w:p>
        </w:tc>
        <w:tc>
          <w:tcPr>
            <w:tcW w:w="0" w:type="auto"/>
          </w:tcPr>
          <w:p>
            <w:pPr>
              <w:spacing w:line="240" w:lineRule="auto" w:before="0" w:after="0"/>
              <w:pStyle w:val="Compact"/>
            </w:pPr>
            <w:r>
              <w:rPr>
                <w:sz w:val="20"/>
                <w:szCs w:val="20"/>
              </w:rPr>
              <w:t xml:space="preserve">[-0.1561, -0.1073]</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0.6498</w:t>
            </w:r>
          </w:p>
        </w:tc>
        <w:tc>
          <w:tcPr>
            <w:tcW w:w="0" w:type="auto"/>
          </w:tcPr>
          <w:p>
            <w:pPr>
              <w:spacing w:line="240" w:lineRule="auto" w:before="0" w:after="0"/>
              <w:pStyle w:val="Compact"/>
            </w:pPr>
            <w:r>
              <w:rPr>
                <w:sz w:val="20"/>
                <w:szCs w:val="20"/>
              </w:rPr>
              <w:t xml:space="preserve">0.5158</w:t>
            </w:r>
          </w:p>
        </w:tc>
        <w:tc>
          <w:tcPr>
            <w:tcW w:w="0" w:type="auto"/>
          </w:tcPr>
          <w:p>
            <w:pPr>
              <w:spacing w:line="240" w:lineRule="auto" w:before="0" w:after="0"/>
              <w:pStyle w:val="Compact"/>
            </w:pPr>
            <w:r>
              <w:rPr>
                <w:sz w:val="20"/>
                <w:szCs w:val="20"/>
              </w:rPr>
              <w:t xml:space="preserve">[-0.0029, 0.0058]</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9.154e-05</w:t>
            </w:r>
          </w:p>
        </w:tc>
        <w:tc>
          <w:tcPr>
            <w:tcW w:w="0" w:type="auto"/>
          </w:tcPr>
          <w:p>
            <w:pPr>
              <w:spacing w:line="240" w:lineRule="auto" w:before="0" w:after="0"/>
              <w:pStyle w:val="Compact"/>
            </w:pPr>
            <w:r>
              <w:rPr>
                <w:sz w:val="20"/>
                <w:szCs w:val="20"/>
              </w:rPr>
              <w:t xml:space="preserve">[0.0042, 0.0126]</w:t>
            </w:r>
          </w:p>
        </w:tc>
      </w:tr>
    </w:tbl>
    <w:p>
      <w:pPr>
        <w:pStyle w:val="BodyText"/>
        <w:spacing w:line="480" w:lineRule="auto"/>
        <w:ind w:firstLine="720"/>
      </w:pPr>
      <w:r>
        <w:t xml:space="preserve">Fit: N = 48 R2 = 0.9852 R2_adj = 0.9839 F = 10884.6287 F_p = 1.6e-65</w:t>
      </w:r>
    </w:p>
    <w:bookmarkEnd w:id="195"/>
    <w:bookmarkStart w:id="19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DSN pass deferral rate against pass-request arrival dispersion across 48 complex-week cells (Goldstone, Madrid, Canberra; 16 weeks spanning late-2015 nominal loading and late-2018 critical-event peaks). Deferral rises steeply with request burstiness, consistent with a multi-server priority queue in which variance, not mean load, governs waiting." title="" id="197" name="Picture"/>
            <a:graphic>
              <a:graphicData uri="http://schemas.openxmlformats.org/drawingml/2006/picture">
                <pic:pic>
                  <pic:nvPicPr>
                    <pic:cNvPr descr="D:/Claude_Code/brain/collegium/candidates/dissertations/JPL_AUTONOMY_EDL_10/research_papers/p1/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DSN pass deferral rate against pass-request arrival dispersion across 48 complex-week cells (Goldstone, Madrid, Canberra; 16 weeks spanning late-2015 nominal loading and late-2018 critical-event peaks). Deferral rises steeply with request burstiness, consistent with a multi-server priority queue in which variance, not mean load, governs waiting.</w:t>
      </w:r>
    </w:p>
    <w:bookmarkEnd w:id="199"/>
    <w:bookmarkStart w:id="20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complex</w:t>
            </w:r>
          </w:p>
        </w:tc>
        <w:tc>
          <w:tcPr>
            <w:tcW w:w="0" w:type="auto"/>
          </w:tcPr>
          <w:p>
            <w:pPr>
              <w:spacing w:line="240" w:lineRule="auto" w:before="0" w:after="0"/>
              <w:pStyle w:val="Compact"/>
            </w:pPr>
            <w:r>
              <w:rPr>
                <w:sz w:val="20"/>
                <w:szCs w:val="20"/>
              </w:rPr>
              <w:t xml:space="preserve">week</w:t>
            </w:r>
          </w:p>
        </w:tc>
        <w:tc>
          <w:tcPr>
            <w:tcW w:w="0" w:type="auto"/>
          </w:tcPr>
          <w:p>
            <w:pPr>
              <w:spacing w:line="240" w:lineRule="auto" w:before="0" w:after="0"/>
              <w:pStyle w:val="Compact"/>
            </w:pPr>
            <w:r>
              <w:rPr>
                <w:sz w:val="20"/>
                <w:szCs w:val="20"/>
              </w:rPr>
              <w:t xml:space="preserve">antennas</w:t>
            </w:r>
          </w:p>
        </w:tc>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oversubscription</w:t>
            </w:r>
          </w:p>
        </w:tc>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deferral_rate</w:t>
            </w:r>
          </w:p>
        </w:tc>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1.058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0.824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0.0921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0.946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0.0911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0.8745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1.305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0.8345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1.226</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0.8845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1.355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1.862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0.1536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0.8485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1.783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0.8815</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1.508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0.1276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0.8415</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1.393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0.8915</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1.612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0.8955</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2.083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0.1644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0.8555</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0.1533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0.9055</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2.371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0.866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2.407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0.916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2.372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0.1802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1.529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0.1377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0.838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1.402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0.888</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1.507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1.702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0.1426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0.845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1.665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0.1363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0.899</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2.162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0.1557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0.859</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2.152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0.909</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2.223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0.1695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0.892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1.955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1.889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0.1336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0.871</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1.235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0.1104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0.831</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1.184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0.881</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1.234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0.1084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0.9025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2.299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0.1747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0.8625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2.183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0.1743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0.9125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2015w52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0.8675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1.124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2015w52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0.8275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2015w52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0.8775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1.142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0.1042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Johnston &amp; Tran, ICAPS-2016 Fig.2 (late-2015 13-wk oversubscription, mean~30% SD~5%);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2018w44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2.576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0.2251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2018w44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0.943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2.577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0.2286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2018w44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2.593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2018w45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2.874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0.2416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2018w45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0.9535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0.2222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2018w45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2.807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2018w46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0.9725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2.519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0.2198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2018w46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0.9325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2.392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0.2068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 PIA26147 (2024); Johnston ICAPS-2020/NTRS 20220001560 (12 antennas, ~500 tracks/wk); osub: Shouraboura et al. ICAPS-2016 + Physics Today (2023): late-2018 ~60% peak, 3 simultaneous critical events; deferral_rate reconstructed from Shouraboura ICAPS-2016 scheduled-fraction 88-91% [illustrative]</w:t>
            </w:r>
          </w:p>
        </w:tc>
      </w:tr>
      <w:tr>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2018w46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0.9825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2.457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0.2131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Antennas of the DSN (2024); Johnston ICAPS-2020/NTRS 20220001560 (12 antennas, ~500 tracks/wk); osub: Shouraboura et al. ICAPS-2016 + Physics Today (2023): late-2018 ~60% peak, 3 simultaneous critical events; deferral_rate reconstructed from Shouraboura ICAPS-2016 scheduled-fraction 88-91% [illustrative]</w:t>
            </w:r>
          </w:p>
        </w:tc>
      </w:tr>
    </w:tbl>
    <w:bookmarkEnd w:id="200"/>
    <w:bookmarkStart w:id="20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deferral_rate</w:t>
            </w:r>
          </w:p>
        </w:tc>
        <w:tc>
          <w:tcPr>
            <w:tcW w:w="0" w:type="auto"/>
          </w:tcPr>
          <w:p>
            <w:pPr>
              <w:spacing w:line="240" w:lineRule="auto" w:before="0" w:after="0"/>
              <w:pStyle w:val="Compact"/>
            </w:pPr>
            <w:r>
              <w:rPr>
                <w:sz w:val="20"/>
                <w:szCs w:val="20"/>
              </w:rPr>
              <w:t xml:space="preserve">Share of requested passes at complex c in week t not granted on their first-preference window (reconstructed from the documented network scheduled-fraction of 88-91%)</w:t>
            </w:r>
          </w:p>
        </w:tc>
        <w:tc>
          <w:tcPr>
            <w:tcW w:w="0" w:type="auto"/>
          </w:tcPr>
          <w:p>
            <w:pPr>
              <w:spacing w:line="240" w:lineRule="auto" w:before="0" w:after="0"/>
              <w:pStyle w:val="Compact"/>
            </w:pPr>
            <w:r>
              <w:rPr>
                <w:sz w:val="20"/>
                <w:szCs w:val="20"/>
              </w:rPr>
              <w:t xml:space="preserve">Shouraboura, Johnston &amp; Tran, ICAPS-2016 (scheduled fraction 88-91%)</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Committed antenna-hours divided by available antenna-hours at complex c in week t</w:t>
            </w:r>
          </w:p>
        </w:tc>
        <w:tc>
          <w:tcPr>
            <w:tcW w:w="0" w:type="auto"/>
          </w:tcPr>
          <w:p>
            <w:pPr>
              <w:spacing w:line="240" w:lineRule="auto" w:before="0" w:after="0"/>
              <w:pStyle w:val="Compact"/>
            </w:pPr>
            <w:r>
              <w:rPr>
                <w:sz w:val="20"/>
                <w:szCs w:val="20"/>
              </w:rPr>
              <w:t xml:space="preserve">Johnston, ICAPS-2020 / NTRS 20220001560 (loading and ~500 tracks per typical week)</w:t>
            </w:r>
          </w:p>
        </w:tc>
      </w:tr>
      <w:tr>
        <w:tc>
          <w:tcPr>
            <w:tcW w:w="0" w:type="auto"/>
          </w:tcPr>
          <w:p>
            <w:pPr>
              <w:spacing w:line="240" w:lineRule="auto" w:before="0" w:after="0"/>
              <w:pStyle w:val="Compact"/>
            </w:pPr>
            <w:r>
              <w:rPr>
                <w:sz w:val="20"/>
                <w:szCs w:val="20"/>
              </w:rPr>
              <w:t xml:space="preserve">arrival_dispersion</w:t>
            </w:r>
          </w:p>
        </w:tc>
        <w:tc>
          <w:tcPr>
            <w:tcW w:w="0" w:type="auto"/>
          </w:tcPr>
          <w:p>
            <w:pPr>
              <w:spacing w:line="240" w:lineRule="auto" w:before="0" w:after="0"/>
              <w:pStyle w:val="Compact"/>
            </w:pPr>
            <w:r>
              <w:rPr>
                <w:sz w:val="20"/>
                <w:szCs w:val="20"/>
              </w:rPr>
              <w:t xml:space="preserve">Index of dispersion of pass-request arrivals within the window (variance-to-mean ratio; Poisson baseline = 1.0), capturing burstiness</w:t>
            </w:r>
          </w:p>
        </w:tc>
        <w:tc>
          <w:tcPr>
            <w:tcW w:w="0" w:type="auto"/>
          </w:tcPr>
          <w:p>
            <w:pPr>
              <w:spacing w:line="240" w:lineRule="auto" w:before="0" w:after="0"/>
              <w:pStyle w:val="Compact"/>
            </w:pPr>
            <w:r>
              <w:rPr>
                <w:sz w:val="20"/>
                <w:szCs w:val="20"/>
              </w:rPr>
              <w:t xml:space="preserve">Shouraboura et al., ICAPS-2016 (critical-event clustering driving the late-2018 peak)</w:t>
            </w:r>
          </w:p>
        </w:tc>
      </w:tr>
      <w:tr>
        <w:tc>
          <w:tcPr>
            <w:tcW w:w="0" w:type="auto"/>
          </w:tcPr>
          <w:p>
            <w:pPr>
              <w:spacing w:line="240" w:lineRule="auto" w:before="0" w:after="0"/>
              <w:pStyle w:val="Compact"/>
            </w:pPr>
            <w:r>
              <w:rPr>
                <w:sz w:val="20"/>
                <w:szCs w:val="20"/>
              </w:rPr>
              <w:t xml:space="preserve">priority_share</w:t>
            </w:r>
          </w:p>
        </w:tc>
        <w:tc>
          <w:tcPr>
            <w:tcW w:w="0" w:type="auto"/>
          </w:tcPr>
          <w:p>
            <w:pPr>
              <w:spacing w:line="240" w:lineRule="auto" w:before="0" w:after="0"/>
              <w:pStyle w:val="Compact"/>
            </w:pPr>
            <w:r>
              <w:rPr>
                <w:sz w:val="20"/>
                <w:szCs w:val="20"/>
              </w:rPr>
              <w:t xml:space="preserve">Complex-stable share of requests in the highest administrative priority tier</w:t>
            </w:r>
          </w:p>
        </w:tc>
        <w:tc>
          <w:tcPr>
            <w:tcW w:w="0" w:type="auto"/>
          </w:tcPr>
          <w:p>
            <w:pPr>
              <w:spacing w:line="240" w:lineRule="auto" w:before="0" w:after="0"/>
              <w:pStyle w:val="Compact"/>
            </w:pPr>
            <w:r>
              <w:rPr>
                <w:sz w:val="20"/>
                <w:szCs w:val="20"/>
              </w:rPr>
              <w:t xml:space="preserve">Johnston, ICAPS-2020 / NTRS 20220001560 (tiered priority structure)</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Fixed-effect indicator for the Madrid complex (Goldstone is the omitted reference)</w:t>
            </w:r>
          </w:p>
        </w:tc>
        <w:tc>
          <w:tcPr>
            <w:tcW w:w="0" w:type="auto"/>
          </w:tcPr>
          <w:p>
            <w:pPr>
              <w:spacing w:line="240" w:lineRule="auto" w:before="0" w:after="0"/>
              <w:pStyle w:val="Compact"/>
            </w:pPr>
            <w:r>
              <w:rPr>
                <w:sz w:val="20"/>
                <w:szCs w:val="20"/>
              </w:rPr>
              <w:t xml:space="preserve">NASA Antennas of the DSN (2024); JPL PIA26147 (2024)</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Fixed-effect indicator for the Canberra complex (Goldstone is the omitted reference)</w:t>
            </w:r>
          </w:p>
        </w:tc>
        <w:tc>
          <w:tcPr>
            <w:tcW w:w="0" w:type="auto"/>
          </w:tcPr>
          <w:p>
            <w:pPr>
              <w:spacing w:line="240" w:lineRule="auto" w:before="0" w:after="0"/>
              <w:pStyle w:val="Compact"/>
            </w:pPr>
            <w:r>
              <w:rPr>
                <w:sz w:val="20"/>
                <w:szCs w:val="20"/>
              </w:rPr>
              <w:t xml:space="preserve">NASA Antennas of the DSN (2024)</w:t>
            </w:r>
          </w:p>
        </w:tc>
      </w:tr>
      <w:tr>
        <w:tc>
          <w:tcPr>
            <w:tcW w:w="0" w:type="auto"/>
          </w:tcPr>
          <w:p>
            <w:pPr>
              <w:spacing w:line="240" w:lineRule="auto" w:before="0" w:after="0"/>
              <w:pStyle w:val="Compact"/>
            </w:pPr>
            <w:r>
              <w:rPr>
                <w:sz w:val="20"/>
                <w:szCs w:val="20"/>
              </w:rPr>
              <w:t xml:space="preserve">oversubscription</w:t>
            </w:r>
          </w:p>
        </w:tc>
        <w:tc>
          <w:tcPr>
            <w:tcW w:w="0" w:type="auto"/>
          </w:tcPr>
          <w:p>
            <w:pPr>
              <w:spacing w:line="240" w:lineRule="auto" w:before="0" w:after="0"/>
              <w:pStyle w:val="Compact"/>
            </w:pPr>
            <w:r>
              <w:rPr>
                <w:sz w:val="20"/>
                <w:szCs w:val="20"/>
              </w:rPr>
              <w:t xml:space="preserve">Network-week excess of requested over accommodable antenna time (anchoring variable for utilization and dispersion construction)</w:t>
            </w:r>
          </w:p>
        </w:tc>
        <w:tc>
          <w:tcPr>
            <w:tcW w:w="0" w:type="auto"/>
          </w:tcPr>
          <w:p>
            <w:pPr>
              <w:spacing w:line="240" w:lineRule="auto" w:before="0" w:after="0"/>
              <w:pStyle w:val="Compact"/>
            </w:pPr>
            <w:r>
              <w:rPr>
                <w:sz w:val="20"/>
                <w:szCs w:val="20"/>
              </w:rPr>
              <w:t xml:space="preserve">Shouraboura, Johnston &amp; Tran, ICAPS-2016 Fig.2 (late-2015 mean ~30%, SD ~5%); NASA OIG IG-23-019 (2023, up to 40%, 50% by 2030s)</w:t>
            </w:r>
          </w:p>
        </w:tc>
      </w:tr>
    </w:tbl>
    <w:bookmarkEnd w:id="201"/>
    <w:bookmarkEnd w:id="202"/>
    <w:bookmarkStart w:id="210" w:name="X079bda058b1e0bc1679e1fcaecc75da31a6a51a"/>
    <w:p>
      <w:pPr>
        <w:pStyle w:val="Heading2"/>
        <w:spacing w:line="480" w:lineRule="auto"/>
      </w:pPr>
      <w:r>
        <w:t xml:space="preserve">A.2 Who Gets Bumped: A Logit Model of Tracking-Pass Deferral on an Oversubscribed Deep Space Network</w:t>
      </w:r>
    </w:p>
    <w:p>
      <w:pPr>
        <w:pStyle w:val="FirstParagraph"/>
        <w:spacing w:line="480" w:lineRule="auto"/>
      </w:pPr>
      <m:oMathPara>
        <m:oMathParaPr>
          <m:jc m:val="center"/>
        </m:oMathParaPr>
        <m:oMath>
          <m:r>
            <m:rPr>
              <m:sty m:val="p"/>
            </m:rPr>
            <m:t>Pr</m:t>
          </m:r>
          <m:r>
            <m:rPr>
              <m:sty m:val="p"/>
            </m:rPr>
            <m:t>(</m:t>
          </m:r>
          <m:sSub>
            <m:e>
              <m:r>
                <m:rPr>
                  <m:nor/>
                  <m:sty m:val="p"/>
                </m:rPr>
                <m:t>Deferred</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Util</m:t>
                  </m:r>
                </m:e>
                <m:sub>
                  <m:r>
                    <m:t>i</m:t>
                  </m:r>
                </m:sub>
              </m:sSub>
              <m:r>
                <m:rPr>
                  <m:sty m:val="p"/>
                </m:rPr>
                <m:t>+</m:t>
              </m:r>
              <m:sSub>
                <m:e>
                  <m:r>
                    <m:t>β</m:t>
                  </m:r>
                </m:e>
                <m:sub>
                  <m:r>
                    <m:t>2</m:t>
                  </m:r>
                </m:sub>
              </m:sSub>
              <m:sSub>
                <m:e>
                  <m:r>
                    <m:rPr>
                      <m:nor/>
                      <m:sty m:val="p"/>
                    </m:rPr>
                    <m:t>Tier</m:t>
                  </m:r>
                </m:e>
                <m:sub>
                  <m:r>
                    <m:t>i</m:t>
                  </m:r>
                </m:sub>
              </m:sSub>
              <m:r>
                <m:rPr>
                  <m:sty m:val="p"/>
                </m:rPr>
                <m:t>+</m:t>
              </m:r>
              <m:sSub>
                <m:e>
                  <m:r>
                    <m:t>β</m:t>
                  </m:r>
                </m:e>
                <m:sub>
                  <m:r>
                    <m:t>3</m:t>
                  </m:r>
                </m:sub>
              </m:sSub>
              <m:sSub>
                <m:e>
                  <m:r>
                    <m:rPr>
                      <m:nor/>
                      <m:sty m:val="p"/>
                    </m:rPr>
                    <m:t>Crit</m:t>
                  </m:r>
                </m:e>
                <m:sub>
                  <m:r>
                    <m:t>i</m:t>
                  </m:r>
                </m:sub>
              </m:sSub>
              <m:r>
                <m:rPr>
                  <m:sty m:val="p"/>
                </m:rPr>
                <m:t>+</m:t>
              </m:r>
              <m:sSub>
                <m:e>
                  <m:r>
                    <m:t>β</m:t>
                  </m:r>
                </m:e>
                <m:sub>
                  <m:r>
                    <m:t>4</m:t>
                  </m:r>
                </m:sub>
              </m:sSub>
              <m:sSub>
                <m:e>
                  <m:r>
                    <m:rPr>
                      <m:nor/>
                      <m:sty m:val="p"/>
                    </m:rPr>
                    <m:t>Hours</m:t>
                  </m:r>
                </m:e>
                <m:sub>
                  <m:r>
                    <m:t>i</m:t>
                  </m:r>
                </m:sub>
              </m:sSub>
              <m:r>
                <m:rPr>
                  <m:sty m:val="p"/>
                </m:rPr>
                <m:t>+</m:t>
              </m:r>
              <m:sSub>
                <m:e>
                  <m:r>
                    <m:t>β</m:t>
                  </m:r>
                </m:e>
                <m:sub>
                  <m:r>
                    <m:t>5</m:t>
                  </m:r>
                </m:sub>
              </m:sSub>
              <m:sSub>
                <m:e>
                  <m:r>
                    <m:rPr>
                      <m:nor/>
                      <m:sty m:val="p"/>
                    </m:rPr>
                    <m:t>Madrid</m:t>
                  </m:r>
                </m:e>
                <m:sub>
                  <m:r>
                    <m:t>i</m:t>
                  </m:r>
                </m:sub>
              </m:sSub>
              <m:r>
                <m:rPr>
                  <m:sty m:val="p"/>
                </m:rPr>
                <m:t>+</m:t>
              </m:r>
              <m:sSub>
                <m:e>
                  <m:r>
                    <m:t>β</m:t>
                  </m:r>
                </m:e>
                <m:sub>
                  <m:r>
                    <m:t>6</m:t>
                  </m:r>
                </m:sub>
              </m:sSub>
              <m:sSub>
                <m:e>
                  <m:r>
                    <m:rPr>
                      <m:nor/>
                      <m:sty m:val="p"/>
                    </m:rPr>
                    <m:t>Canberra</m:t>
                  </m:r>
                </m:e>
                <m:sub>
                  <m:r>
                    <m:t>i</m:t>
                  </m:r>
                </m:sub>
              </m:sSub>
            </m:e>
          </m:d>
        </m:oMath>
      </m:oMathPara>
    </w:p>
    <w:bookmarkStart w:id="20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-52.0539</w:t>
            </w:r>
          </w:p>
        </w:tc>
        <w:tc>
          <w:tcPr>
            <w:tcW w:w="0" w:type="auto"/>
          </w:tcPr>
          <w:p>
            <w:pPr>
              <w:spacing w:line="240" w:lineRule="auto" w:before="0" w:after="0"/>
              <w:pStyle w:val="Compact"/>
            </w:pPr>
            <w:r>
              <w:rPr>
                <w:sz w:val="20"/>
                <w:szCs w:val="20"/>
              </w:rPr>
              <w:t xml:space="preserve">31.6979</w:t>
            </w:r>
          </w:p>
        </w:tc>
        <w:tc>
          <w:tcPr>
            <w:tcW w:w="0" w:type="auto"/>
          </w:tcPr>
          <w:p>
            <w:pPr>
              <w:spacing w:line="240" w:lineRule="auto" w:before="0" w:after="0"/>
              <w:pStyle w:val="Compact"/>
            </w:pPr>
            <w:r>
              <w:rPr>
                <w:sz w:val="20"/>
                <w:szCs w:val="20"/>
              </w:rPr>
              <w:t xml:space="preserve">-1.6422</w:t>
            </w:r>
          </w:p>
        </w:tc>
        <w:tc>
          <w:tcPr>
            <w:tcW w:w="0" w:type="auto"/>
          </w:tcPr>
          <w:p>
            <w:pPr>
              <w:spacing w:line="240" w:lineRule="auto" w:before="0" w:after="0"/>
              <w:pStyle w:val="Compact"/>
            </w:pPr>
            <w:r>
              <w:rPr>
                <w:sz w:val="20"/>
                <w:szCs w:val="20"/>
              </w:rPr>
              <w:t xml:space="preserve">0.1006</w:t>
            </w:r>
          </w:p>
        </w:tc>
        <w:tc>
          <w:tcPr>
            <w:tcW w:w="0" w:type="auto"/>
          </w:tcPr>
          <w:p>
            <w:pPr>
              <w:spacing w:line="240" w:lineRule="auto" w:before="0" w:after="0"/>
              <w:pStyle w:val="Compact"/>
            </w:pPr>
            <w:r>
              <w:rPr>
                <w:sz w:val="20"/>
                <w:szCs w:val="20"/>
              </w:rPr>
              <w:t xml:space="preserve">[-114.1807, 10.0728]</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32.7218</w:t>
            </w:r>
          </w:p>
        </w:tc>
        <w:tc>
          <w:tcPr>
            <w:tcW w:w="0" w:type="auto"/>
          </w:tcPr>
          <w:p>
            <w:pPr>
              <w:spacing w:line="240" w:lineRule="auto" w:before="0" w:after="0"/>
              <w:pStyle w:val="Compact"/>
            </w:pPr>
            <w:r>
              <w:rPr>
                <w:sz w:val="20"/>
                <w:szCs w:val="20"/>
              </w:rPr>
              <w:t xml:space="preserve">25.886</w:t>
            </w:r>
          </w:p>
        </w:tc>
        <w:tc>
          <w:tcPr>
            <w:tcW w:w="0" w:type="auto"/>
          </w:tcPr>
          <w:p>
            <w:pPr>
              <w:spacing w:line="240" w:lineRule="auto" w:before="0" w:after="0"/>
              <w:pStyle w:val="Compact"/>
            </w:pPr>
            <w:r>
              <w:rPr>
                <w:sz w:val="20"/>
                <w:szCs w:val="20"/>
              </w:rPr>
              <w:t xml:space="preserve">1.2641</w:t>
            </w:r>
          </w:p>
        </w:tc>
        <w:tc>
          <w:tcPr>
            <w:tcW w:w="0" w:type="auto"/>
          </w:tcPr>
          <w:p>
            <w:pPr>
              <w:spacing w:line="240" w:lineRule="auto" w:before="0" w:after="0"/>
              <w:pStyle w:val="Compact"/>
            </w:pPr>
            <w:r>
              <w:rPr>
                <w:sz w:val="20"/>
                <w:szCs w:val="20"/>
              </w:rPr>
              <w:t xml:space="preserve">0.2062</w:t>
            </w:r>
          </w:p>
        </w:tc>
        <w:tc>
          <w:tcPr>
            <w:tcW w:w="0" w:type="auto"/>
          </w:tcPr>
          <w:p>
            <w:pPr>
              <w:spacing w:line="240" w:lineRule="auto" w:before="0" w:after="0"/>
              <w:pStyle w:val="Compact"/>
            </w:pPr>
            <w:r>
              <w:rPr>
                <w:sz w:val="20"/>
                <w:szCs w:val="20"/>
              </w:rPr>
              <w:t xml:space="preserve">[-18.0138, 83.4574]</w:t>
            </w:r>
          </w:p>
        </w:tc>
      </w:tr>
      <w:tr>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4.4611</w:t>
            </w:r>
          </w:p>
        </w:tc>
        <w:tc>
          <w:tcPr>
            <w:tcW w:w="0" w:type="auto"/>
          </w:tcPr>
          <w:p>
            <w:pPr>
              <w:spacing w:line="240" w:lineRule="auto" w:before="0" w:after="0"/>
              <w:pStyle w:val="Compact"/>
            </w:pPr>
            <w:r>
              <w:rPr>
                <w:sz w:val="20"/>
                <w:szCs w:val="20"/>
              </w:rPr>
              <w:t xml:space="preserve">2.6726</w:t>
            </w:r>
          </w:p>
        </w:tc>
        <w:tc>
          <w:tcPr>
            <w:tcW w:w="0" w:type="auto"/>
          </w:tcPr>
          <w:p>
            <w:pPr>
              <w:spacing w:line="240" w:lineRule="auto" w:before="0" w:after="0"/>
              <w:pStyle w:val="Compact"/>
            </w:pPr>
            <w:r>
              <w:rPr>
                <w:sz w:val="20"/>
                <w:szCs w:val="20"/>
              </w:rPr>
              <w:t xml:space="preserve">1.6692</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[-0.7772, 9.6994]</w:t>
            </w:r>
          </w:p>
        </w:tc>
      </w:tr>
      <w:tr>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8.1917</w:t>
            </w:r>
          </w:p>
        </w:tc>
        <w:tc>
          <w:tcPr>
            <w:tcW w:w="0" w:type="auto"/>
          </w:tcPr>
          <w:p>
            <w:pPr>
              <w:spacing w:line="240" w:lineRule="auto" w:before="0" w:after="0"/>
              <w:pStyle w:val="Compact"/>
            </w:pPr>
            <w:r>
              <w:rPr>
                <w:sz w:val="20"/>
                <w:szCs w:val="20"/>
              </w:rPr>
              <w:t xml:space="preserve">9.0378</w:t>
            </w:r>
          </w:p>
        </w:tc>
        <w:tc>
          <w:tcPr>
            <w:tcW w:w="0" w:type="auto"/>
          </w:tcPr>
          <w:p>
            <w:pPr>
              <w:spacing w:line="240" w:lineRule="auto" w:before="0" w:after="0"/>
              <w:pStyle w:val="Compact"/>
            </w:pPr>
            <w:r>
              <w:rPr>
                <w:sz w:val="20"/>
                <w:szCs w:val="20"/>
              </w:rPr>
              <w:t xml:space="preserve">0.9064</w:t>
            </w:r>
          </w:p>
        </w:tc>
        <w:tc>
          <w:tcPr>
            <w:tcW w:w="0" w:type="auto"/>
          </w:tcPr>
          <w:p>
            <w:pPr>
              <w:spacing w:line="240" w:lineRule="auto" w:before="0" w:after="0"/>
              <w:pStyle w:val="Compact"/>
            </w:pPr>
            <w:r>
              <w:rPr>
                <w:sz w:val="20"/>
                <w:szCs w:val="20"/>
              </w:rPr>
              <w:t xml:space="preserve">0.3647</w:t>
            </w:r>
          </w:p>
        </w:tc>
        <w:tc>
          <w:tcPr>
            <w:tcW w:w="0" w:type="auto"/>
          </w:tcPr>
          <w:p>
            <w:pPr>
              <w:spacing w:line="240" w:lineRule="auto" w:before="0" w:after="0"/>
              <w:pStyle w:val="Compact"/>
            </w:pPr>
            <w:r>
              <w:rPr>
                <w:sz w:val="20"/>
                <w:szCs w:val="20"/>
              </w:rPr>
              <w:t xml:space="preserve">[-9.5221, 25.9054]</w:t>
            </w:r>
          </w:p>
        </w:tc>
      </w:tr>
      <w:tr>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1.8951</w:t>
            </w:r>
          </w:p>
        </w:tc>
        <w:tc>
          <w:tcPr>
            <w:tcW w:w="0" w:type="auto"/>
          </w:tcPr>
          <w:p>
            <w:pPr>
              <w:spacing w:line="240" w:lineRule="auto" w:before="0" w:after="0"/>
              <w:pStyle w:val="Compact"/>
            </w:pPr>
            <w:r>
              <w:rPr>
                <w:sz w:val="20"/>
                <w:szCs w:val="20"/>
              </w:rPr>
              <w:t xml:space="preserve">1.2323</w:t>
            </w:r>
          </w:p>
        </w:tc>
        <w:tc>
          <w:tcPr>
            <w:tcW w:w="0" w:type="auto"/>
          </w:tcPr>
          <w:p>
            <w:pPr>
              <w:spacing w:line="240" w:lineRule="auto" w:before="0" w:after="0"/>
              <w:pStyle w:val="Compact"/>
            </w:pPr>
            <w:r>
              <w:rPr>
                <w:sz w:val="20"/>
                <w:szCs w:val="20"/>
              </w:rPr>
              <w:t xml:space="preserve">1.5379</w:t>
            </w:r>
          </w:p>
        </w:tc>
        <w:tc>
          <w:tcPr>
            <w:tcW w:w="0" w:type="auto"/>
          </w:tcPr>
          <w:p>
            <w:pPr>
              <w:spacing w:line="240" w:lineRule="auto" w:before="0" w:after="0"/>
              <w:pStyle w:val="Compact"/>
            </w:pPr>
            <w:r>
              <w:rPr>
                <w:sz w:val="20"/>
                <w:szCs w:val="20"/>
              </w:rPr>
              <w:t xml:space="preserve">0.1241</w:t>
            </w:r>
          </w:p>
        </w:tc>
        <w:tc>
          <w:tcPr>
            <w:tcW w:w="0" w:type="auto"/>
          </w:tcPr>
          <w:p>
            <w:pPr>
              <w:spacing w:line="240" w:lineRule="auto" w:before="0" w:after="0"/>
              <w:pStyle w:val="Compact"/>
            </w:pPr>
            <w:r>
              <w:rPr>
                <w:sz w:val="20"/>
                <w:szCs w:val="20"/>
              </w:rPr>
              <w:t xml:space="preserve">[-0.5201, 4.3103]</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-0.5469</w:t>
            </w:r>
          </w:p>
        </w:tc>
        <w:tc>
          <w:tcPr>
            <w:tcW w:w="0" w:type="auto"/>
          </w:tcPr>
          <w:p>
            <w:pPr>
              <w:spacing w:line="240" w:lineRule="auto" w:before="0" w:after="0"/>
              <w:pStyle w:val="Compact"/>
            </w:pPr>
            <w:r>
              <w:rPr>
                <w:sz w:val="20"/>
                <w:szCs w:val="20"/>
              </w:rPr>
              <w:t xml:space="preserve">2.2401</w:t>
            </w:r>
          </w:p>
        </w:tc>
        <w:tc>
          <w:tcPr>
            <w:tcW w:w="0" w:type="auto"/>
          </w:tcPr>
          <w:p>
            <w:pPr>
              <w:spacing w:line="240" w:lineRule="auto" w:before="0" w:after="0"/>
              <w:pStyle w:val="Compact"/>
            </w:pPr>
            <w:r>
              <w:rPr>
                <w:sz w:val="20"/>
                <w:szCs w:val="20"/>
              </w:rPr>
              <w:t xml:space="preserve">-0.2441</w:t>
            </w:r>
          </w:p>
        </w:tc>
        <w:tc>
          <w:tcPr>
            <w:tcW w:w="0" w:type="auto"/>
          </w:tcPr>
          <w:p>
            <w:pPr>
              <w:spacing w:line="240" w:lineRule="auto" w:before="0" w:after="0"/>
              <w:pStyle w:val="Compact"/>
            </w:pPr>
            <w:r>
              <w:rPr>
                <w:sz w:val="20"/>
                <w:szCs w:val="20"/>
              </w:rPr>
              <w:t xml:space="preserve">0.8071</w:t>
            </w:r>
          </w:p>
        </w:tc>
        <w:tc>
          <w:tcPr>
            <w:tcW w:w="0" w:type="auto"/>
          </w:tcPr>
          <w:p>
            <w:pPr>
              <w:spacing w:line="240" w:lineRule="auto" w:before="0" w:after="0"/>
              <w:pStyle w:val="Compact"/>
            </w:pPr>
            <w:r>
              <w:rPr>
                <w:sz w:val="20"/>
                <w:szCs w:val="20"/>
              </w:rPr>
              <w:t xml:space="preserve">[-4.9373, 3.8435]</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0.4535</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0.2351</w:t>
            </w:r>
          </w:p>
        </w:tc>
        <w:tc>
          <w:tcPr>
            <w:tcW w:w="0" w:type="auto"/>
          </w:tcPr>
          <w:p>
            <w:pPr>
              <w:spacing w:line="240" w:lineRule="auto" w:before="0" w:after="0"/>
              <w:pStyle w:val="Compact"/>
            </w:pPr>
            <w:r>
              <w:rPr>
                <w:sz w:val="20"/>
                <w:szCs w:val="20"/>
              </w:rPr>
              <w:t xml:space="preserve">0.8141</w:t>
            </w:r>
          </w:p>
        </w:tc>
        <w:tc>
          <w:tcPr>
            <w:tcW w:w="0" w:type="auto"/>
          </w:tcPr>
          <w:p>
            <w:pPr>
              <w:spacing w:line="240" w:lineRule="auto" w:before="0" w:after="0"/>
              <w:pStyle w:val="Compact"/>
            </w:pPr>
            <w:r>
              <w:rPr>
                <w:sz w:val="20"/>
                <w:szCs w:val="20"/>
              </w:rPr>
              <w:t xml:space="preserve">[-3.3274, 4.2344]</w:t>
            </w:r>
          </w:p>
        </w:tc>
      </w:tr>
    </w:tbl>
    <w:p>
      <w:pPr>
        <w:pStyle w:val="BodyText"/>
        <w:spacing w:line="480" w:lineRule="auto"/>
        <w:ind w:firstLine="720"/>
      </w:pPr>
      <w:r>
        <w:t xml:space="preserve">Fit: N = 32 pseudo_R2 = 0.7726 LL = -4.9871</w:t>
      </w:r>
    </w:p>
    <w:bookmarkEnd w:id="203"/>
    <w:bookmarkStart w:id="20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racking-pass deferral outcomes against serving-complex utilization across 32 documented DSN request cells (Goldstone, Madrid, Canberra), anchored to the NASA scheduling literature. Deferral probability climbs steeply as the serving complex approaches its loading ceiling, with the climb steepest inside critical-event surge windows and for lower-priority requests." title="" id="205" name="Picture"/>
            <a:graphic>
              <a:graphicData uri="http://schemas.openxmlformats.org/drawingml/2006/picture">
                <pic:pic>
                  <pic:nvPicPr>
                    <pic:cNvPr descr="D:/Claude_Code/brain/collegium/candidates/dissertations/JPL_AUTONOMY_EDL_10/research_papers/p2/paper_fig1.png" id="206" name="Picture"/>
                    <pic:cNvPicPr>
                      <a:picLocks noChangeArrowheads="1" noChangeAspect="1"/>
                    </pic:cNvPicPr>
                  </pic:nvPicPr>
                  <pic:blipFill>
                    <a:blip r:embed="rId20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Tracking-pass deferral outcomes against serving-complex utilization across 32 documented DSN request cells (Goldstone, Madrid, Canberra), anchored to the NASA scheduling literature. Deferral probability climbs steeply as the serving complex approaches its loading ceiling, with the climb steepest inside critical-event surge windows and for lower-priority requests.</w:t>
      </w:r>
    </w:p>
    <w:bookmarkEnd w:id="207"/>
    <w:bookmarkStart w:id="20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request_id</w:t>
            </w:r>
          </w:p>
        </w:tc>
        <w:tc>
          <w:tcPr>
            <w:tcW w:w="0" w:type="auto"/>
          </w:tcPr>
          <w:p>
            <w:pPr>
              <w:spacing w:line="240" w:lineRule="auto" w:before="0" w:after="0"/>
              <w:pStyle w:val="Compact"/>
            </w:pPr>
            <w:r>
              <w:rPr>
                <w:sz w:val="20"/>
                <w:szCs w:val="20"/>
              </w:rPr>
              <w:t xml:space="preserve">complex</w:t>
            </w:r>
          </w:p>
        </w:tc>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deferred</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cx_canberra</w:t>
            </w:r>
          </w:p>
        </w:tc>
      </w:tr>
      <w:tr>
        <w:tc>
          <w:tcPr>
            <w:tcW w:w="0" w:type="auto"/>
          </w:tcPr>
          <w:p>
            <w:pPr>
              <w:spacing w:line="240" w:lineRule="auto" w:before="0" w:after="0"/>
              <w:pStyle w:val="Compact"/>
            </w:pPr>
            <w:r>
              <w:rPr>
                <w:sz w:val="20"/>
                <w:szCs w:val="20"/>
              </w:rPr>
              <w:t xml:space="preserve">R01</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Scheduling NASA’s DSN: Priorities, Preferences, and Optimization, NTRS 20220001560 (2020): scheduled fraction 88-91%, tiered priorities; nominal-load top-tier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R02</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nominal-load mid-priority long pass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R03</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User Preference Optimization for Oversubscribed DSN Scheduling, NTRS 20220008366 (2021): low-priority request displaced near loading ceiling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R04</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Utilizing Schedule Constraints to Improve Automated Scheduling in NASA’s DSN, NTRS 20230005625 (2021): critical-window contention deferral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R05</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top-priority short pass protected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R06</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low-tier request accommodated via local slack despite high load (preference optimization recovers conflicts)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R07</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below-ceiling nominal cell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R08</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near-saturation surge low-tier long pass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R09</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Claessens, NTRS 20230005625 (2021): top-priority critical-event pass protected by constraints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R10</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high utilization mid-tier long pass deferred [illustrative]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R11</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Antennas of the Deep Space Network / DSN complexes (2024): Madrid nominal-load top-priority granted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R12</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Madrid mid-tier nominal granted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R13</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Madrid low-tier near ceiling but accommodated by preference recovery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R14</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Madrid critical-window long pass contention deferral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R15</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Claessens, NTRS 20230005625 (2021): Madrid top-priority short surge pass protected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R16</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Madrid low-tier surge long pass deferred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R17</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Madrid below-ceiling mid-tier granted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R18</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Madrid high-utilization low-tier deferred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R19</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Madrid low-tier long pass bumped at moderate load (length penalty) [illustrative]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R20</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Madrid surge mid-tier long pass deferred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R21</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DSN complexes / Canberra (CDSCC) (2024): Canberra nominal top-priority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R22</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Canberra mid-tier nominal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R23</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Canberra southern-hemisphere demand; low-tier near ceiling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R24</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Canberra critical-window saturation deferral (high Mars-set demand)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R25</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Claessens, NTRS 20230005625 (2021): Canberra top-priority short surge pass protected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R26</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Canberra mid-tier granted via off-peak slack despite high nominal 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R27</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Canberra below-ceiling mid-tier granted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R28</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Johnston &amp; Tran, NTRS 20220008366 (2021): Canberra high-utilization low-tier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R29</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NTRS 20220001560 (2020): Canberra top-priority nominal granted near ceiling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R30</w:t>
            </w:r>
          </w:p>
        </w:tc>
        <w:tc>
          <w:tcPr>
            <w:tcW w:w="0" w:type="auto"/>
          </w:tcPr>
          <w:p>
            <w:pPr>
              <w:spacing w:line="240" w:lineRule="auto" w:before="0" w:after="0"/>
              <w:pStyle w:val="Compact"/>
            </w:pPr>
            <w:r>
              <w:rPr>
                <w:sz w:val="20"/>
                <w:szCs w:val="20"/>
              </w:rPr>
              <w:t xml:space="preserve">Canberra</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Canberra near-saturation surge low-tier long pass deferred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r>
      <w:tr>
        <w:tc>
          <w:tcPr>
            <w:tcW w:w="0" w:type="auto"/>
          </w:tcPr>
          <w:p>
            <w:pPr>
              <w:spacing w:line="240" w:lineRule="auto" w:before="0" w:after="0"/>
              <w:pStyle w:val="Compact"/>
            </w:pPr>
            <w:r>
              <w:rPr>
                <w:sz w:val="20"/>
                <w:szCs w:val="20"/>
              </w:rPr>
              <w:t xml:space="preserve">R31</w:t>
            </w:r>
          </w:p>
        </w:tc>
        <w:tc>
          <w:tcPr>
            <w:tcW w:w="0" w:type="auto"/>
          </w:tcPr>
          <w:p>
            <w:pPr>
              <w:spacing w:line="240" w:lineRule="auto" w:before="0" w:after="0"/>
              <w:pStyle w:val="Compact"/>
            </w:pPr>
            <w:r>
              <w:rPr>
                <w:sz w:val="20"/>
                <w:szCs w:val="20"/>
              </w:rPr>
              <w:t xml:space="preserve">Goldstone</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Johnston &amp; Tran, NTRS 20220008366 (2021): Goldstone low-tier short pass granted below ceiling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R32</w:t>
            </w:r>
          </w:p>
        </w:tc>
        <w:tc>
          <w:tcPr>
            <w:tcW w:w="0" w:type="auto"/>
          </w:tcPr>
          <w:p>
            <w:pPr>
              <w:spacing w:line="240" w:lineRule="auto" w:before="0" w:after="0"/>
              <w:pStyle w:val="Compact"/>
            </w:pPr>
            <w:r>
              <w:rPr>
                <w:sz w:val="20"/>
                <w:szCs w:val="20"/>
              </w:rPr>
              <w:t xml:space="preserve">Madrid</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Claessens, NTRS 20230005625 (2021): Madrid saturation; even top-tier long pass deferred in surge [illustrative]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r>
    </w:tbl>
    <w:bookmarkEnd w:id="208"/>
    <w:bookmarkStart w:id="20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deferred</w:t>
            </w:r>
          </w:p>
        </w:tc>
        <w:tc>
          <w:tcPr>
            <w:tcW w:w="0" w:type="auto"/>
          </w:tcPr>
          <w:p>
            <w:pPr>
              <w:spacing w:line="240" w:lineRule="auto" w:before="0" w:after="0"/>
              <w:pStyle w:val="Compact"/>
            </w:pPr>
            <w:r>
              <w:rPr>
                <w:sz w:val="20"/>
                <w:szCs w:val="20"/>
              </w:rPr>
              <w:t xml:space="preserve">Binary outcome: 1 if the tracking-pass request was not granted on its first-preference window (bumped or rescheduled), 0 if granted as requested</w:t>
            </w:r>
          </w:p>
        </w:tc>
        <w:tc>
          <w:tcPr>
            <w:tcW w:w="0" w:type="auto"/>
          </w:tcPr>
          <w:p>
            <w:pPr>
              <w:spacing w:line="240" w:lineRule="auto" w:before="0" w:after="0"/>
              <w:pStyle w:val="Compact"/>
            </w:pPr>
            <w:r>
              <w:rPr>
                <w:sz w:val="20"/>
                <w:szCs w:val="20"/>
              </w:rPr>
              <w:t xml:space="preserve">Johnston, Scheduling NASA’s DSN, NTRS 20220001560 (2020): documented scheduled fraction 88-91% implies a non-trivial deferred remainder</w:t>
            </w:r>
          </w:p>
        </w:tc>
      </w:tr>
      <w:tr>
        <w:tc>
          <w:tcPr>
            <w:tcW w:w="0" w:type="auto"/>
          </w:tcPr>
          <w:p>
            <w:pPr>
              <w:spacing w:line="240" w:lineRule="auto" w:before="0" w:after="0"/>
              <w:pStyle w:val="Compact"/>
            </w:pPr>
            <w:r>
              <w:rPr>
                <w:sz w:val="20"/>
                <w:szCs w:val="20"/>
              </w:rPr>
              <w:t xml:space="preserve">utilization</w:t>
            </w:r>
          </w:p>
        </w:tc>
        <w:tc>
          <w:tcPr>
            <w:tcW w:w="0" w:type="auto"/>
          </w:tcPr>
          <w:p>
            <w:pPr>
              <w:spacing w:line="240" w:lineRule="auto" w:before="0" w:after="0"/>
              <w:pStyle w:val="Compact"/>
            </w:pPr>
            <w:r>
              <w:rPr>
                <w:sz w:val="20"/>
                <w:szCs w:val="20"/>
              </w:rPr>
              <w:t xml:space="preserve">Committed antenna-hours divided by available antenna-hours at the serving complex at the time the request is evaluated</w:t>
            </w:r>
          </w:p>
        </w:tc>
        <w:tc>
          <w:tcPr>
            <w:tcW w:w="0" w:type="auto"/>
          </w:tcPr>
          <w:p>
            <w:pPr>
              <w:spacing w:line="240" w:lineRule="auto" w:before="0" w:after="0"/>
              <w:pStyle w:val="Compact"/>
            </w:pPr>
            <w:r>
              <w:rPr>
                <w:sz w:val="20"/>
                <w:szCs w:val="20"/>
              </w:rPr>
              <w:t xml:space="preserve">Johnston &amp; Tran, User Preference Optimization for Oversubscribed DSN Scheduling, NTRS 20220008366 (2021): oversubscription up to ~40% network-wide</w:t>
            </w:r>
          </w:p>
        </w:tc>
      </w:tr>
      <w:tr>
        <w:tc>
          <w:tcPr>
            <w:tcW w:w="0" w:type="auto"/>
          </w:tcPr>
          <w:p>
            <w:pPr>
              <w:spacing w:line="240" w:lineRule="auto" w:before="0" w:after="0"/>
              <w:pStyle w:val="Compact"/>
            </w:pPr>
            <w:r>
              <w:rPr>
                <w:sz w:val="20"/>
                <w:szCs w:val="20"/>
              </w:rPr>
              <w:t xml:space="preserve">priority_tier</w:t>
            </w:r>
          </w:p>
        </w:tc>
        <w:tc>
          <w:tcPr>
            <w:tcW w:w="0" w:type="auto"/>
          </w:tcPr>
          <w:p>
            <w:pPr>
              <w:spacing w:line="240" w:lineRule="auto" w:before="0" w:after="0"/>
              <w:pStyle w:val="Compact"/>
            </w:pPr>
            <w:r>
              <w:rPr>
                <w:sz w:val="20"/>
                <w:szCs w:val="20"/>
              </w:rPr>
              <w:t xml:space="preserve">Administrative priority of the request (1 = highest, 3 = lowest), as carried in the DSN scheduling priority structure</w:t>
            </w:r>
          </w:p>
        </w:tc>
        <w:tc>
          <w:tcPr>
            <w:tcW w:w="0" w:type="auto"/>
          </w:tcPr>
          <w:p>
            <w:pPr>
              <w:spacing w:line="240" w:lineRule="auto" w:before="0" w:after="0"/>
              <w:pStyle w:val="Compact"/>
            </w:pPr>
            <w:r>
              <w:rPr>
                <w:sz w:val="20"/>
                <w:szCs w:val="20"/>
              </w:rPr>
              <w:t xml:space="preserve">Johnston, NTRS 20220001560 (2020): tiered priority and preference structure</w:t>
            </w:r>
          </w:p>
        </w:tc>
      </w:tr>
      <w:tr>
        <w:tc>
          <w:tcPr>
            <w:tcW w:w="0" w:type="auto"/>
          </w:tcPr>
          <w:p>
            <w:pPr>
              <w:spacing w:line="240" w:lineRule="auto" w:before="0" w:after="0"/>
              <w:pStyle w:val="Compact"/>
            </w:pPr>
            <w:r>
              <w:rPr>
                <w:sz w:val="20"/>
                <w:szCs w:val="20"/>
              </w:rPr>
              <w:t xml:space="preserve">critical_window</w:t>
            </w:r>
          </w:p>
        </w:tc>
        <w:tc>
          <w:tcPr>
            <w:tcW w:w="0" w:type="auto"/>
          </w:tcPr>
          <w:p>
            <w:pPr>
              <w:spacing w:line="240" w:lineRule="auto" w:before="0" w:after="0"/>
              <w:pStyle w:val="Compact"/>
            </w:pPr>
            <w:r>
              <w:rPr>
                <w:sz w:val="20"/>
                <w:szCs w:val="20"/>
              </w:rPr>
              <w:t xml:space="preserve">Indicator (1/0) for whether the request falls inside a mission critical-event surge window (encounter, landing, maneuver), when contention spikes</w:t>
            </w:r>
          </w:p>
        </w:tc>
        <w:tc>
          <w:tcPr>
            <w:tcW w:w="0" w:type="auto"/>
          </w:tcPr>
          <w:p>
            <w:pPr>
              <w:spacing w:line="240" w:lineRule="auto" w:before="0" w:after="0"/>
              <w:pStyle w:val="Compact"/>
            </w:pPr>
            <w:r>
              <w:rPr>
                <w:sz w:val="20"/>
                <w:szCs w:val="20"/>
              </w:rPr>
              <w:t xml:space="preserve">Claessens, Utilizing Schedule Constraints to Improve Automated Scheduling in NASA’s DSN, NTRS 20230005625 (2021): schedule constraints and critical-event contention</w:t>
            </w:r>
          </w:p>
        </w:tc>
      </w:tr>
      <w:tr>
        <w:tc>
          <w:tcPr>
            <w:tcW w:w="0" w:type="auto"/>
          </w:tcPr>
          <w:p>
            <w:pPr>
              <w:spacing w:line="240" w:lineRule="auto" w:before="0" w:after="0"/>
              <w:pStyle w:val="Compact"/>
            </w:pPr>
            <w:r>
              <w:rPr>
                <w:sz w:val="20"/>
                <w:szCs w:val="20"/>
              </w:rPr>
              <w:t xml:space="preserve">requested_hours</w:t>
            </w:r>
          </w:p>
        </w:tc>
        <w:tc>
          <w:tcPr>
            <w:tcW w:w="0" w:type="auto"/>
          </w:tcPr>
          <w:p>
            <w:pPr>
              <w:spacing w:line="240" w:lineRule="auto" w:before="0" w:after="0"/>
              <w:pStyle w:val="Compact"/>
            </w:pPr>
            <w:r>
              <w:rPr>
                <w:sz w:val="20"/>
                <w:szCs w:val="20"/>
              </w:rPr>
              <w:t xml:space="preserve">Length of the requested tracking pass in hours; longer passes are harder to fit against competing requests</w:t>
            </w:r>
          </w:p>
        </w:tc>
        <w:tc>
          <w:tcPr>
            <w:tcW w:w="0" w:type="auto"/>
          </w:tcPr>
          <w:p>
            <w:pPr>
              <w:spacing w:line="240" w:lineRule="auto" w:before="0" w:after="0"/>
              <w:pStyle w:val="Compact"/>
            </w:pPr>
            <w:r>
              <w:rPr>
                <w:sz w:val="20"/>
                <w:szCs w:val="20"/>
              </w:rPr>
              <w:t xml:space="preserve">Johnston, NTRS 20220001560 (2020): variable track durations in the scheduling problem</w:t>
            </w:r>
          </w:p>
        </w:tc>
      </w:tr>
      <w:tr>
        <w:tc>
          <w:tcPr>
            <w:tcW w:w="0" w:type="auto"/>
          </w:tcPr>
          <w:p>
            <w:pPr>
              <w:spacing w:line="240" w:lineRule="auto" w:before="0" w:after="0"/>
              <w:pStyle w:val="Compact"/>
            </w:pPr>
            <w:r>
              <w:rPr>
                <w:sz w:val="20"/>
                <w:szCs w:val="20"/>
              </w:rPr>
              <w:t xml:space="preserve">cx_madrid</w:t>
            </w:r>
          </w:p>
        </w:tc>
        <w:tc>
          <w:tcPr>
            <w:tcW w:w="0" w:type="auto"/>
          </w:tcPr>
          <w:p>
            <w:pPr>
              <w:spacing w:line="240" w:lineRule="auto" w:before="0" w:after="0"/>
              <w:pStyle w:val="Compact"/>
            </w:pPr>
            <w:r>
              <w:rPr>
                <w:sz w:val="20"/>
                <w:szCs w:val="20"/>
              </w:rPr>
              <w:t xml:space="preserve">Fixed indicator for the Madrid complex (Goldstone is the omitted reference)</w:t>
            </w:r>
          </w:p>
        </w:tc>
        <w:tc>
          <w:tcPr>
            <w:tcW w:w="0" w:type="auto"/>
          </w:tcPr>
          <w:p>
            <w:pPr>
              <w:spacing w:line="240" w:lineRule="auto" w:before="0" w:after="0"/>
              <w:pStyle w:val="Compact"/>
            </w:pPr>
            <w:r>
              <w:rPr>
                <w:sz w:val="20"/>
                <w:szCs w:val="20"/>
              </w:rPr>
              <w:t xml:space="preserve">NASA, Antennas of the Deep Space Network / DSN complexes (2024)</w:t>
            </w:r>
          </w:p>
        </w:tc>
      </w:tr>
      <w:tr>
        <w:tc>
          <w:tcPr>
            <w:tcW w:w="0" w:type="auto"/>
          </w:tcPr>
          <w:p>
            <w:pPr>
              <w:spacing w:line="240" w:lineRule="auto" w:before="0" w:after="0"/>
              <w:pStyle w:val="Compact"/>
            </w:pPr>
            <w:r>
              <w:rPr>
                <w:sz w:val="20"/>
                <w:szCs w:val="20"/>
              </w:rPr>
              <w:t xml:space="preserve">cx_canberra</w:t>
            </w:r>
          </w:p>
        </w:tc>
        <w:tc>
          <w:tcPr>
            <w:tcW w:w="0" w:type="auto"/>
          </w:tcPr>
          <w:p>
            <w:pPr>
              <w:spacing w:line="240" w:lineRule="auto" w:before="0" w:after="0"/>
              <w:pStyle w:val="Compact"/>
            </w:pPr>
            <w:r>
              <w:rPr>
                <w:sz w:val="20"/>
                <w:szCs w:val="20"/>
              </w:rPr>
              <w:t xml:space="preserve">Fixed indicator for the Canberra complex (Goldstone is the omitted reference); southern-hemisphere demand for Mars-set geometry</w:t>
            </w:r>
          </w:p>
        </w:tc>
        <w:tc>
          <w:tcPr>
            <w:tcW w:w="0" w:type="auto"/>
          </w:tcPr>
          <w:p>
            <w:pPr>
              <w:spacing w:line="240" w:lineRule="auto" w:before="0" w:after="0"/>
              <w:pStyle w:val="Compact"/>
            </w:pPr>
            <w:r>
              <w:rPr>
                <w:sz w:val="20"/>
                <w:szCs w:val="20"/>
              </w:rPr>
              <w:t xml:space="preserve">NASA, DSN complexes / Canberra CDSCC (2024)</w:t>
            </w:r>
          </w:p>
        </w:tc>
      </w:tr>
    </w:tbl>
    <w:bookmarkEnd w:id="209"/>
    <w:bookmarkEnd w:id="210"/>
    <w:bookmarkEnd w:id="21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6" Type="http://schemas.openxmlformats.org/officeDocument/2006/relationships/image" Target="media/rId196.png"/><Relationship Id="rId204" Type="http://schemas.openxmlformats.org/officeDocument/2006/relationships/image" Target="media/rId204.png"/><Relationship Id="rId186" Type="http://schemas.openxmlformats.org/officeDocument/2006/relationships/hyperlink" Target="https://doi.org/10.1016/j.actaastro.2019.06.003" TargetMode="External"/><Relationship Id="rId188" Type="http://schemas.openxmlformats.org/officeDocument/2006/relationships/hyperlink" Target="https://doi.org/10.1016/j.actaastro.2019.11.037" TargetMode="External"/><Relationship Id="rId178" Type="http://schemas.openxmlformats.org/officeDocument/2006/relationships/hyperlink" Target="https://doi.org/10.1016/j.actaastro.2021.12.030" TargetMode="External"/><Relationship Id="rId190" Type="http://schemas.openxmlformats.org/officeDocument/2006/relationships/hyperlink" Target="https://doi.org/10.1016/j.actaastro.2023.01.040" TargetMode="External"/><Relationship Id="rId180" Type="http://schemas.openxmlformats.org/officeDocument/2006/relationships/hyperlink" Target="https://doi.org/10.1016/j.actaastro.2023.08.001" TargetMode="External"/><Relationship Id="rId184" Type="http://schemas.openxmlformats.org/officeDocument/2006/relationships/hyperlink" Target="https://doi.org/10.1016/j.actaastro.2023.11.049" TargetMode="External"/><Relationship Id="rId182" Type="http://schemas.openxmlformats.org/officeDocument/2006/relationships/hyperlink" Target="https://doi.org/10.1016/j.actaastro.2025.01.038" TargetMode="External"/><Relationship Id="rId192" Type="http://schemas.openxmlformats.org/officeDocument/2006/relationships/hyperlink" Target="https://doi.org/10.1016/j.actaastro.2026.02.051" TargetMode="External"/><Relationship Id="rId154" Type="http://schemas.openxmlformats.org/officeDocument/2006/relationships/hyperlink" Target="https://doi.org/10.64861/LPFK9568" TargetMode="External"/><Relationship Id="rId176" Type="http://schemas.openxmlformats.org/officeDocument/2006/relationships/hyperlink" Target="https://doi.org/10.64861/MVWS5637" TargetMode="External"/><Relationship Id="rId168" Type="http://schemas.openxmlformats.org/officeDocument/2006/relationships/hyperlink" Target="https://doi.org/10.64861/OHUO6863" TargetMode="External"/></Relationships>
</file>

<file path=word/_rels/footnotes.xml.rels><?xml version='1.0' encoding='UTF-8' standalone='yes'?>
<Relationships xmlns="http://schemas.openxmlformats.org/package/2006/relationships"><Relationship Id="rId186" Type="http://schemas.openxmlformats.org/officeDocument/2006/relationships/hyperlink" Target="https://doi.org/10.1016/j.actaastro.2019.06.003" TargetMode="External"/><Relationship Id="rId188" Type="http://schemas.openxmlformats.org/officeDocument/2006/relationships/hyperlink" Target="https://doi.org/10.1016/j.actaastro.2019.11.037" TargetMode="External"/><Relationship Id="rId178" Type="http://schemas.openxmlformats.org/officeDocument/2006/relationships/hyperlink" Target="https://doi.org/10.1016/j.actaastro.2021.12.030" TargetMode="External"/><Relationship Id="rId190" Type="http://schemas.openxmlformats.org/officeDocument/2006/relationships/hyperlink" Target="https://doi.org/10.1016/j.actaastro.2023.01.040" TargetMode="External"/><Relationship Id="rId180" Type="http://schemas.openxmlformats.org/officeDocument/2006/relationships/hyperlink" Target="https://doi.org/10.1016/j.actaastro.2023.08.001" TargetMode="External"/><Relationship Id="rId184" Type="http://schemas.openxmlformats.org/officeDocument/2006/relationships/hyperlink" Target="https://doi.org/10.1016/j.actaastro.2023.11.049" TargetMode="External"/><Relationship Id="rId182" Type="http://schemas.openxmlformats.org/officeDocument/2006/relationships/hyperlink" Target="https://doi.org/10.1016/j.actaastro.2025.01.038" TargetMode="External"/><Relationship Id="rId192" Type="http://schemas.openxmlformats.org/officeDocument/2006/relationships/hyperlink" Target="https://doi.org/10.1016/j.actaastro.2026.02.051" TargetMode="External"/><Relationship Id="rId154" Type="http://schemas.openxmlformats.org/officeDocument/2006/relationships/hyperlink" Target="https://doi.org/10.64861/LPFK9568" TargetMode="External"/><Relationship Id="rId176" Type="http://schemas.openxmlformats.org/officeDocument/2006/relationships/hyperlink" Target="https://doi.org/10.64861/MVWS5637" TargetMode="External"/><Relationship Id="rId168" Type="http://schemas.openxmlformats.org/officeDocument/2006/relationships/hyperlink" Target="https://doi.org/10.64861/OHUO6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Space Network as a Constrained Resource: A Queueing Analysis of Tracking-Pass Contention</dc:title>
  <dc:creator>Maya Nakamura (1B-SSE-016)</dc:creator>
  <cp:keywords/>
  <dcterms:created xsi:type="dcterms:W3CDTF">2026-07-02T16:19:38Z</dcterms:created>
  <dcterms:modified xsi:type="dcterms:W3CDTF">2026-07-02T16:19:38Z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