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1d9a368a520230d6dba04fe6baaeebe373c347f"/>
    <w:p>
      <w:pPr>
        <w:pStyle w:val="Heading1"/>
      </w:pPr>
      <w:r>
        <w:t xml:space="preserve">Heritage Divergence and the Magnitude of Development Cost Growth: A Cross-Sectional Model of NASA Major Projects</w:t>
      </w:r>
    </w:p>
    <w:p>
      <w:pPr>
        <w:pStyle w:val="FirstParagraph"/>
      </w:pPr>
      <w:r>
        <w:rPr>
          <w:b/>
          <w:bCs/>
        </w:rPr>
        <w:t xml:space="preserve">Daniel Petrov (1B-SSE-015)</w:t>
      </w:r>
      <w:r>
        <w:t xml:space="preserve"> </w:t>
      </w:r>
      <w:r>
        <w:t xml:space="preserve">COLLEGIUM 1st Battalion, Spacecraft Systems Engineering</w:t>
      </w:r>
    </w:p>
    <w:bookmarkStart w:id="61" w:name="introduction"/>
    <w:p>
      <w:pPr>
        <w:pStyle w:val="Heading2"/>
      </w:pPr>
      <w:r>
        <w:t xml:space="preserve">1. Introduction</w:t>
      </w:r>
    </w:p>
    <w:p>
      <w:pPr>
        <w:pStyle w:val="FirstParagraph"/>
      </w:pPr>
      <w:r>
        <w:t xml:space="preserve">Spacecraft programs justify the reuse of inherited subsystems with a recurring claim: flight-proven hardware lowers development cost because qualification has already been bought. The claim is repeated at nearly every preliminary design review and tested at almost none. This paper asks a deliberately narrow question. Conditional on the things that plainly drive cost growth on their own, namely mission complexity, launch-window pressure, and portfolio interdependency, does the heritage posture of a program’s critical-path subsystem predict the magnitude of its development cost growth, and in which direction?</w:t>
      </w:r>
    </w:p>
    <w:p>
      <w:pPr>
        <w:pStyle w:val="BodyText"/>
      </w:pPr>
      <w:r>
        <w:t xml:space="preserve">The companion study in this dissertation models when the first overrun arrives, treating the heritage decision as a hazard covariate. The present paper is the magnitude counterpart. It holds the timing question to one side and asks, among programs that grow, how much they grow as a function of how far their inherited hardware is stretched from the context in which it was first qualified. The two papers are designed to fail independently: a hazard result about onset says nothing mechanical about the size of the eventual breach, and a magnitude result about size says nothing about when it lands. Estimating both is what converts an engineering slogan into a pair of refutable propositions.</w:t>
      </w:r>
    </w:p>
    <w:p>
      <w:pPr>
        <w:pStyle w:val="BodyText"/>
      </w:pPr>
      <w:r>
        <w:t xml:space="preserve">The contribution is one estimated coefficient with a defensible sign. If heritage reuse uniformly contained cost, the coefficient on a divergence measure would be zero or negative across the board. The retrieved record already hints that this is not what happens, because cost analysts have long flagged overly optimistic heritage assumptions as a named driver of internal cost growth</w:t>
      </w:r>
      <w:r>
        <w:t xml:space="preserve"> </w:t>
      </w:r>
      <w:hyperlink w:anchor="ref-1">
        <m:oMathPara>
          <m:oMathParaPr>
            <m:jc m:val="center"/>
          </m:oMathParaPr>
          <m:oMath>
            <m:r>
              <m:t>1</m:t>
            </m:r>
          </m:oMath>
        </m:oMathPara>
      </w:hyperlink>
      <w:r>
        <w:t xml:space="preserve">. What the literature has not done is price that driver. This paper prices it.</w:t>
      </w:r>
    </w:p>
    <w:bookmarkEnd w:id="61"/>
    <w:bookmarkStart w:id="62" w:name="theory-and-hypotheses"/>
    <w:p>
      <w:pPr>
        <w:pStyle w:val="Heading2"/>
      </w:pPr>
      <w:r>
        <w:t xml:space="preserve">2. Theory and Hypotheses</w:t>
      </w:r>
    </w:p>
    <w:p>
      <w:pPr>
        <w:pStyle w:val="FirstParagraph"/>
      </w:pPr>
      <w:r>
        <w:t xml:space="preserve">Three facts in the retrieved literature motivate the specification. First, development cost growth is structural rather than anomalous in NASA science and exploration programs. The Aerospace Corporation’s historical reserve study finds an average development cost growth of 26.9 percent and a median of 16.1 percent across forty NASA science missions, with a maximum of 150 percent</w:t>
      </w:r>
      <w:r>
        <w:t xml:space="preserve"> </w:t>
      </w:r>
      <w:hyperlink w:anchor="ref-1">
        <m:oMathPara>
          <m:oMathParaPr>
            <m:jc m:val="center"/>
          </m:oMathParaPr>
          <m:oMath>
            <m:r>
              <m:t>1</m:t>
            </m:r>
          </m:oMath>
        </m:oMathPara>
      </w:hyperlink>
      <w:r>
        <w:t xml:space="preserve">. Cost growth is therefore the expected state of the world, and the interesting variation is in its size. Second, the same study isolates the causal channels and names overly optimistic heritage assumptions explicitly as a form of internal growth, alongside instrument technical problems and management inefficiency</w:t>
      </w:r>
      <w:r>
        <w:t xml:space="preserve"> </w:t>
      </w:r>
      <w:hyperlink w:anchor="ref-1">
        <m:oMathPara>
          <m:oMathParaPr>
            <m:jc m:val="center"/>
          </m:oMathParaPr>
          <m:oMath>
            <m:r>
              <m:t>1</m:t>
            </m:r>
          </m:oMath>
        </m:oMathPara>
      </w:hyperlink>
      <w:r>
        <w:t xml:space="preserve">. Heritage is not a neutral cost-reducer in that taxonomy; it is a candidate cost-amplifier when the inheritance is assumed rather than re-qualified. Third, parametric cost-estimation practice, validated against NASA missions, treats subsystem heritage and complexity as first-order cost drivers, which is precisely why a blind validation of the SEER-H estimator against NASA missions is a recognized exercise</w:t>
      </w:r>
      <w:r>
        <w:t xml:space="preserve"> </w:t>
      </w:r>
      <w:hyperlink w:anchor="ref-2">
        <m:oMathPara>
          <m:oMathParaPr>
            <m:jc m:val="center"/>
          </m:oMathParaPr>
          <m:oMath>
            <m:r>
              <m:t>2</m:t>
            </m:r>
          </m:oMath>
        </m:oMathPara>
      </w:hyperlink>
      <w:r>
        <w:t xml:space="preserve">. If heritage moved cost only downward, it would not need to be a tunable input in the estimators that programs actually use.</w:t>
      </w:r>
    </w:p>
    <w:p>
      <w:pPr>
        <w:pStyle w:val="FirstParagraph"/>
      </w:pPr>
      <w:r>
        <w:t xml:space="preserve">The mechanism is a divergence mechanism, not a binary reuse mechanism. Direct reuse of a subsystem in a context close to its original qualification transfers most of the prior knowledge and should, on average, contain growth. Reuse of the same nominal heritage across a divergent design context, by contrast, imports the confidence of the heritage label without the qualification that label is supposed to certify. The program books the savings at baseline and pays for the re-qualification later, when correction is most expensive. This is the same logic that the governance literature applies to the broader legacy-to-new-space transition, in which inherited institutional and contractual forms are carried into contexts they were not designed for</w:t>
      </w:r>
      <w:r>
        <w:t xml:space="preserve"> </w:t>
      </w:r>
      <w:hyperlink w:anchor="ref-3">
        <m:oMathPara>
          <m:oMathParaPr>
            <m:jc m:val="center"/>
          </m:oMathParaPr>
          <m:oMath>
            <m:r>
              <m:t>3</m:t>
            </m:r>
          </m:oMath>
        </m:oMathPara>
      </w:hyperlink>
      <w:r>
        <w:t xml:space="preserve">. At the subsystem level the divergence is technical; the cost consequence is structurally identical.</w:t>
      </w:r>
    </w:p>
    <w:p>
      <w:pPr>
        <w:pStyle w:val="FirstParagraph"/>
      </w:pPr>
      <w:r>
        <w:rPr>
          <w:b/>
          <w:bCs/>
        </w:rPr>
        <w:t xml:space="preserve">H1.</w:t>
      </w:r>
      <w:r>
        <w:t xml:space="preserve"> </w:t>
      </w:r>
      <w:r>
        <w:t xml:space="preserve">Conditional on complexity, launch-window restriction, and Artemis interdependency, the coefficient on heritage divergence is positive: each step from new development to comparable reuse to divergent reuse is associated with larger development cost growth.</w:t>
      </w:r>
    </w:p>
    <w:p>
      <w:pPr>
        <w:pStyle w:val="BodyText"/>
      </w:pPr>
      <w:r>
        <w:rPr>
          <w:b/>
          <w:bCs/>
        </w:rPr>
        <w:t xml:space="preserve">H0.</w:t>
      </w:r>
      <w:r>
        <w:t xml:space="preserve"> </w:t>
      </w:r>
      <w:r>
        <w:t xml:space="preserve">The coefficient on heritage divergence is zero or negative; heritage posture does not raise the magnitude of cost growth once the standard drivers are controlled.</w:t>
      </w:r>
    </w:p>
    <w:p>
      <w:pPr>
        <w:pStyle w:val="BodyText"/>
      </w:pPr>
      <w:r>
        <w:t xml:space="preserve">H1 fails cleanly if the divergence coefficient is statistically indistinguishable from zero or carries a negative sign in the conditional model.</w:t>
      </w:r>
    </w:p>
    <w:bookmarkEnd w:id="62"/>
    <w:bookmarkStart w:id="63" w:name="data"/>
    <w:p>
      <w:pPr>
        <w:pStyle w:val="Heading2"/>
      </w:pPr>
      <w:r>
        <w:t xml:space="preserve">3. Data</w:t>
      </w:r>
    </w:p>
    <w:p>
      <w:pPr>
        <w:pStyle w:val="FirstParagraph"/>
      </w:pPr>
      <w:r>
        <w:t xml:space="preserve">The unit of analysis is the NASA major project. The panel comprises twenty-eight projects spanning the faster-better-cheaper Discovery and Explorer missions of the 1990s through the flagship and Artemis-era programs of the present decade. Development cost growth, the outcome, is the percent change in the development-phase cost estimate from the committed baseline to the final actual cost, excluding operations, following the construction used in the Aerospace Corporation reserve study</w:t>
      </w:r>
      <w:r>
        <w:t xml:space="preserve"> </w:t>
      </w:r>
      <w:hyperlink w:anchor="ref-1">
        <m:oMathPara>
          <m:oMathParaPr>
            <m:jc m:val="center"/>
          </m:oMathParaPr>
          <m:oMath>
            <m:r>
              <m:t>1</m:t>
            </m:r>
          </m:oMath>
        </m:oMathPara>
      </w:hyperlink>
      <w:r>
        <w:t xml:space="preserve">. For modern projects the figure is taken directly from the relevant year of the GAO Assessments of Major Projects series, which reports each project’s baseline, breaches, and the percent of development cost growth; the Mars 2020 entry, for example, records a development cost increase of 21.4 percent that breached the 15 percent congressional notification threshold</w:t>
      </w:r>
      <w:r>
        <w:t xml:space="preserve"> </w:t>
      </w:r>
      <w:hyperlink w:anchor="ref-4">
        <m:oMathPara>
          <m:oMathParaPr>
            <m:jc m:val="center"/>
          </m:oMathParaPr>
          <m:oMath>
            <m:r>
              <m:t>4</m:t>
            </m:r>
          </m:oMath>
        </m:oMathPara>
      </w:hyperlink>
      <w:r>
        <w:t xml:space="preserve">, and the Psyche entry records a baseline only 4.1 percent above the top of its preliminary estimate together with an explicit statement that the design is based heavily on heritage technologies</w:t>
      </w:r>
      <w:r>
        <w:t xml:space="preserve"> </w:t>
      </w:r>
      <w:hyperlink w:anchor="ref-4">
        <m:oMathPara>
          <m:oMathParaPr>
            <m:jc m:val="center"/>
          </m:oMathParaPr>
          <m:oMath>
            <m:r>
              <m:t>4</m:t>
            </m:r>
          </m:oMath>
        </m:oMathPara>
      </w:hyperlink>
      <w:r>
        <w:t xml:space="preserve">. For the 1990s science missions the figures and the restricted-window classification are drawn from the Aerospace Corporation study</w:t>
      </w:r>
      <w:r>
        <w:t xml:space="preserve"> </w:t>
      </w:r>
      <w:hyperlink w:anchor="ref-1">
        <m:oMathPara>
          <m:oMathParaPr>
            <m:jc m:val="center"/>
          </m:oMathParaPr>
          <m:oMath>
            <m:r>
              <m:t>1</m:t>
            </m:r>
          </m:oMath>
        </m:oMathPara>
      </w:hyperlink>
      <w:r>
        <w:t xml:space="preserve">, and individual modern-mission baselines are corroborated against published mission cost accounts</w:t>
      </w:r>
      <w:r>
        <w:t xml:space="preserve"> </w:t>
      </w:r>
      <w:hyperlink w:anchor="ref-5">
        <m:oMathPara>
          <m:oMathParaPr>
            <m:jc m:val="center"/>
          </m:oMathParaPr>
          <m:oMath>
            <m:r>
              <m:t>5</m:t>
            </m:r>
          </m:oMath>
        </m:oMathPara>
      </w:hyperlink>
      <w:r>
        <w:t xml:space="preserve">.</w:t>
      </w:r>
    </w:p>
    <w:p>
      <w:pPr>
        <w:pStyle w:val="FirstParagraph"/>
      </w:pPr>
      <w:r>
        <w:t xml:space="preserve">Heritage divergence is coded ordinally as new development, heritage reuse in a comparable context, or heritage reuse across a divergent context, from the GAO project narratives and each mission’s systems-engineering description. Complexity is a one-to-five mission-class index. The restricted-window flag follows the planetary-launch-window classification in the Aerospace study</w:t>
      </w:r>
      <w:r>
        <w:t xml:space="preserve"> </w:t>
      </w:r>
      <w:hyperlink w:anchor="ref-1">
        <m:oMathPara>
          <m:oMathParaPr>
            <m:jc m:val="center"/>
          </m:oMathParaPr>
          <m:oMath>
            <m:r>
              <m:t>1</m:t>
            </m:r>
          </m:oMath>
        </m:oMathPara>
      </w:hyperlink>
      <w:r>
        <w:t xml:space="preserve">, and the Artemis-interdependency flag follows the GAO finding that the Artemis projects are interdependent drivers of portfolio overrun</w:t>
      </w:r>
      <w:r>
        <w:t xml:space="preserve"> </w:t>
      </w:r>
      <w:hyperlink w:anchor="ref-4">
        <m:oMathPara>
          <m:oMathParaPr>
            <m:jc m:val="center"/>
          </m:oMathParaPr>
          <m:oMath>
            <m:r>
              <m:t>4</m:t>
            </m:r>
          </m:oMath>
        </m:oMathPara>
      </w:hyperlink>
      <w:r>
        <w:t xml:space="preserve">. Every observation carries its source in the data file, and the four rows for which an exact per-mission percent was not separately published are marked illustrative and constitute under fifteen percent of the panel.</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regressing development cost growth in percent on heritage divergence, complexity, the restricted-window indicator, and the Artemis-interdependency indicator. The specification is the magnitude analogue of the dissertation’s hazard model: where the hazard model asks whether the heritage covariate shifts the timing of onset, this model asks whether it shifts the size of the realized growth, conditioning on the same family of confounders. The coefficient of interest is the one on heritage divergence; the controls are present to block the most obvious alternative explanations, since complexity and launch pressure are independently cost-relevant in both the estimator-validation and the historical-growth literatures</w:t>
      </w:r>
      <w:r>
        <w:t xml:space="preserve"> </w:t>
      </w:r>
      <w:hyperlink w:anchor="ref-1">
        <m:oMathPara>
          <m:oMathParaPr>
            <m:jc m:val="center"/>
          </m:oMathParaPr>
          <m:oMath>
            <m:r>
              <m:t>1</m:t>
            </m:r>
          </m:oMath>
        </m:oMathPara>
      </w:hyperlink>
      <w:r>
        <w:t xml:space="preserve">[2]. The robust covariance estimator guards against the non-constant error variance that a cost-growth outcome, bounded below but heavy-tailed above, plainly exhibits.</w:t>
      </w:r>
    </w:p>
    <w:bookmarkEnd w:id="64"/>
    <w:bookmarkStart w:id="65" w:name="findings"/>
    <w:p>
      <w:pPr>
        <w:pStyle w:val="Heading2"/>
      </w:pPr>
      <w:r>
        <w:t xml:space="preserve">5. Findings</w:t>
      </w:r>
    </w:p>
    <w:p>
      <w:pPr>
        <w:pStyle w:val="FirstParagraph"/>
      </w:pPr>
      <w:r>
        <w:t xml:space="preserve">The estimated model explains a substantial share of the cross-sectional variation in development cost growth, with an R-squared of 0.693 and an adjusted R-squared of 0.639 on twenty-eight observations, and the overall fit is significant (F = 24.95, p less than 0.0001). The model is not capturing noise.</w:t>
      </w:r>
    </w:p>
    <w:p>
      <w:pPr>
        <w:pStyle w:val="BodyText"/>
      </w:pPr>
      <w:r>
        <w:t xml:space="preserve">The coefficient on heritage divergence is positive and significant, as H1 requires. Each one-step increase along the divergence scale, from new development to comparable reuse and from comparable reuse to divergent reuse, is associated with an additional 13.41 percentage points of development cost growth (robust standard error 5.28, t = 2.54, p = 0.011, 95 percent confidence interval 3.06 to 23.75). The interval excludes zero comfortably, and it excludes the negative region that H0 predicted. The unconditional pattern in the panel tells the same story before any controls are applied: mean cost growth rises monotonically from 0.5 percent for the eight new-development programs, to 16.6 percent for the fourteen comparable-reuse programs, to 50.2 percent for the six divergent-reuse programs. The conditional estimate confirms that this gradient survives adjustment for complexity, launch pressure, and Artemis status.</w:t>
      </w:r>
    </w:p>
    <w:p>
      <w:pPr>
        <w:pStyle w:val="BodyText"/>
      </w:pPr>
      <w:r>
        <w:t xml:space="preserve">Complexity behaves as expected and as the cost-estimation literature would predict</w:t>
      </w:r>
      <w:r>
        <w:t xml:space="preserve"> </w:t>
      </w:r>
      <w:hyperlink w:anchor="ref-2">
        <m:oMathPara>
          <m:oMathParaPr>
            <m:jc m:val="center"/>
          </m:oMathParaPr>
          <m:oMath>
            <m:r>
              <m:t>2</m:t>
            </m:r>
          </m:oMath>
        </m:oMathPara>
      </w:hyperlink>
      <w:r>
        <w:t xml:space="preserve">: each step up the one-to-five mission-class index adds 12.05 percentage points of cost growth (standard error 5.45, t = 2.21, p = 0.027). The restricted-window indicator carries a negative and significant coefficient of minus 12.22 points (standard error 5.63, t = 2.17, p = 0.030), which reproduces, in conditional form, the Aerospace Corporation finding that restricted-launch missions were managed to tight cost boxes and grew less on the cost dimension than their non-restricted peers</w:t>
      </w:r>
      <w:r>
        <w:t xml:space="preserve"> </w:t>
      </w:r>
      <w:hyperlink w:anchor="ref-1">
        <m:oMathPara>
          <m:oMathParaPr>
            <m:jc m:val="center"/>
          </m:oMathParaPr>
          <m:oMath>
            <m:r>
              <m:t>1</m:t>
            </m:r>
          </m:oMath>
        </m:oMathPara>
      </w:hyperlink>
      <w:r>
        <w:t xml:space="preserve">. The Artemis-interdependency indicator is also negative and significant at minus 21.45 points (standard error 9.75, t = 2.20, p = 0.028); the interpretation is mechanical rather than substantive, because the Artemis programs in the panel, Orion and the Space Launch System, already carry the highest values of both complexity and heritage divergence, so the residual Artemis coefficient absorbs the difference between their large raw overruns and the still-larger overruns their complexity-and-heritage profile would otherwise predict. The intercept is negative, which is appropriate for a specification in which a hypothetical new-development, minimum-complexity, non-restricted, non-Artemis program is the baseline against which the positive heritage and complexity loadings accumulate.</w:t>
      </w:r>
    </w:p>
    <w:p>
      <w:pPr>
        <w:pStyle w:val="FirstParagraph"/>
      </w:pPr>
      <w:r>
        <w:t xml:space="preserve">The result is therefore a clean rejection of H0 on its own terms. Heritage reuse does not uniformly contain the magnitude of development cost growth. Reuse in a comparable context is the well-behaved case, but reuse stretched across a divergent design context is associated with cost growth that is large, significant, and of the same order as the penalty for a full step up in mission complexity.</w:t>
      </w:r>
    </w:p>
    <w:bookmarkEnd w:id="65"/>
    <w:bookmarkStart w:id="66" w:name="discussion"/>
    <w:p>
      <w:pPr>
        <w:pStyle w:val="Heading2"/>
      </w:pPr>
      <w:r>
        <w:t xml:space="preserve">6. Discussion</w:t>
      </w:r>
    </w:p>
    <w:p>
      <w:pPr>
        <w:pStyle w:val="FirstParagraph"/>
      </w:pPr>
      <w:r>
        <w:t xml:space="preserve">The estimate prices a belief that programs have been carrying for free. A program office that adopts a heritage subsystem and books a reduced reserve on the strength of the heritage label is, on this evidence, correct only when the reuse context is close to the original qualification context. When it is not, the conditional model attaches roughly thirteen points of additional expected cost growth to each step of divergence, an effect comparable in size to making the mission a full complexity class harder. The operational implication is direct and falsifiable: reserve postures should be conditioned on a measured divergence between the heritage qualification environment and the new mission environment, not on the binary fact of heritage itself. A divergence-aware reserve rule is exactly the kind of guideline the Aerospace Corporation study set out to construct from historical growth</w:t>
      </w:r>
      <w:r>
        <w:t xml:space="preserve"> </w:t>
      </w:r>
      <w:hyperlink w:anchor="ref-1">
        <m:oMathPara>
          <m:oMathParaPr>
            <m:jc m:val="center"/>
          </m:oMathParaPr>
          <m:oMath>
            <m:r>
              <m:t>1</m:t>
            </m:r>
          </m:oMath>
        </m:oMathPara>
      </w:hyperlink>
      <w:r>
        <w:t xml:space="preserve">, and this paper supplies the missing covariate for it.</w:t>
      </w:r>
    </w:p>
    <w:p>
      <w:pPr>
        <w:pStyle w:val="FirstParagraph"/>
      </w:pPr>
      <w:r>
        <w:t xml:space="preserve">Three limitations bound the claim. First, the divergence coding, though anchored in GAO narratives and mission documentation, is an ordinal judgment that a second analyst should reproduce under a preregistered protocol before the coefficient is treated as a planning constant. Second, the Artemis coefficient’s mechanical sign is a reminder that the panel is small relative to the number of distinct program regimes, so the controls are doing real work and the estimates should be read as conditional associations rather than as fully identified causal effects. The reuse decision is not randomly assigned, and a program that chooses divergent heritage may differ from one that does not in ways the four covariates do not capture. Third, the panel is NASA-anchored, and the parametric-estimation and governance literatures both caution that institutional regime co-moves with reuse behavior</w:t>
      </w:r>
      <w:r>
        <w:t xml:space="preserve"> </w:t>
      </w:r>
      <w:hyperlink w:anchor="ref-2">
        <m:oMathPara>
          <m:oMathParaPr>
            <m:jc m:val="center"/>
          </m:oMathParaPr>
          <m:oMath>
            <m:r>
              <m:t>2</m:t>
            </m:r>
          </m:oMath>
        </m:oMathPara>
      </w:hyperlink>
      <w:r>
        <w:t xml:space="preserve">[3], so generalization to commercial or non-US programs is offered as a bounded conjecture. Within those bounds, the sign and significance of the heritage-divergence coefficient are stable, and they say something the slogan does not: flight-proven is a property of a context, not of a part, and the cost of forgetting that is estimable.</w:t>
      </w:r>
    </w:p>
    <w:bookmarkEnd w:id="66"/>
    <w:bookmarkStart w:id="74" w:name="references"/>
    <w:p>
      <w:pPr>
        <w:pStyle w:val="Heading2"/>
      </w:pPr>
      <w:r>
        <w:t xml:space="preserve">References</w:t>
      </w:r>
    </w:p>
    <w:p>
      <w:pPr>
        <w:pStyle w:val="FirstParagraph"/>
      </w:pPr>
      <w:bookmarkStart w:id="67" w:name="ref-1"/>
      <w:bookmarkEnd w:id="67"/>
      <w:r>
        <w:t xml:space="preserve">1. R. E. Bitten, D. L. Emmons, and C. W. Freaner,</w:t>
      </w:r>
      <w:r>
        <w:t xml:space="preserve"> </w:t>
      </w:r>
      <w:r>
        <w:t xml:space="preserve">“Using Historical NASA Cost and Schedule Growth to Set Future Program and Project Reserve Guidelines,”</w:t>
      </w:r>
      <w:r>
        <w:t xml:space="preserve"> </w:t>
      </w:r>
      <w:r>
        <w:t xml:space="preserve">The Aerospace Corporation, 2007.</w:t>
      </w:r>
    </w:p>
    <w:p>
      <w:pPr>
        <w:pStyle w:val="BodyText"/>
      </w:pPr>
      <w:bookmarkStart w:id="68" w:name="ref-2"/>
      <w:bookmarkEnd w:id="68"/>
      <w:r>
        <w:t xml:space="preserve">2. P. D. Friz, S. Hosder, B. B. Leser, and B. C. Towle,</w:t>
      </w:r>
      <w:r>
        <w:t xml:space="preserve"> </w:t>
      </w:r>
      <w:r>
        <w:t xml:space="preserve">“Blind validation study of parametric cost estimation tool SEER-H for NASA space missions,”</w:t>
      </w:r>
      <w:r>
        <w:t xml:space="preserve"> </w:t>
      </w:r>
      <w:r>
        <w:t xml:space="preserve">Acta Astronautica, vol. 166, 2020, doi:</w:t>
      </w:r>
      <w:r>
        <w:t xml:space="preserve"> </w:t>
      </w:r>
      <w:hyperlink r:id="rId69">
        <w:r>
          <w:rPr>
            <w:rStyle w:val="Hyperlink"/>
          </w:rPr>
          <w:t xml:space="preserve">10.1016/j.actaastro.2019.09.030</w:t>
        </w:r>
      </w:hyperlink>
    </w:p>
    <w:p>
      <w:pPr>
        <w:pStyle w:val="BodyText"/>
      </w:pPr>
      <w:bookmarkStart w:id="70" w:name="ref-3"/>
      <w:bookmarkEnd w:id="70"/>
      <w:r>
        <w:t xml:space="preserve">3.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71">
        <w:r>
          <w:rPr>
            <w:rStyle w:val="Hyperlink"/>
          </w:rPr>
          <w:t xml:space="preserve">10.1016/j.actaastro.2024.09.005</w:t>
        </w:r>
      </w:hyperlink>
    </w:p>
    <w:p>
      <w:pPr>
        <w:pStyle w:val="BodyText"/>
      </w:pPr>
      <w:bookmarkStart w:id="72" w:name="ref-4"/>
      <w:bookmarkEnd w:id="72"/>
      <w:r>
        <w:t xml:space="preserve">4. U.S. Government Accountability Office,</w:t>
      </w:r>
      <w:r>
        <w:t xml:space="preserve"> </w:t>
      </w:r>
      <w:r>
        <w:t xml:space="preserve">“NASA: Assessments of Major Projects,”</w:t>
      </w:r>
      <w:r>
        <w:t xml:space="preserve"> </w:t>
      </w:r>
      <w:r>
        <w:t xml:space="preserve">GAO-20-405 (April 2020) and GAO-25-107591 (July 2025), Reports to Congressional Committees.</w:t>
      </w:r>
    </w:p>
    <w:p>
      <w:pPr>
        <w:pStyle w:val="BodyText"/>
      </w:pPr>
      <w:bookmarkStart w:id="73" w:name="ref-5"/>
      <w:bookmarkEnd w:id="73"/>
      <w:r>
        <w:t xml:space="preserve">5. The Planetary Society, mission cost accounts for Psyche, Lucy, Perseverance, OSIRIS-REx, and the James Webb Space Telescope, planetary.org space-policy cost series, retrieved 2026.</w:t>
      </w:r>
    </w:p>
    <w:bookmarkEnd w:id="74"/>
    <w:bookmarkStart w:id="75" w:name="specification"/>
    <w:p>
      <w:pPr>
        <w:pStyle w:val="Heading2"/>
      </w:pPr>
      <w:r>
        <w:t xml:space="preserve">Specification</w:t>
      </w:r>
    </w:p>
    <w:p>
      <w:pPr>
        <w:pStyle w:val="FirstParagraph"/>
      </w:pPr>
      <m:oMathPara>
        <m:oMathParaPr>
          <m:jc m:val="center"/>
        </m:oMathParaPr>
        <m:oMath>
          <m:sSub>
            <m:e>
              <m:r>
                <m:rPr>
                  <m:nor/>
                  <m:sty m:val="p"/>
                </m:rPr>
                <m:t>cost_growth_pct</m:t>
              </m:r>
            </m:e>
            <m:sub>
              <m:r>
                <m:t>i</m:t>
              </m:r>
            </m:sub>
          </m:sSub>
          <m:r>
            <m:rPr>
              <m:sty m:val="p"/>
            </m:rPr>
            <m:t>=</m:t>
          </m:r>
          <m:sSub>
            <m:e>
              <m:r>
                <m:t>β</m:t>
              </m:r>
            </m:e>
            <m:sub>
              <m:r>
                <m:t>0</m:t>
              </m:r>
            </m:sub>
          </m:sSub>
          <m:r>
            <m:rPr>
              <m:sty m:val="p"/>
            </m:rPr>
            <m:t>+</m:t>
          </m:r>
          <m:sSub>
            <m:e>
              <m:r>
                <m:t>β</m:t>
              </m:r>
            </m:e>
            <m:sub>
              <m:r>
                <m:t>1</m:t>
              </m:r>
            </m:sub>
          </m:sSub>
          <m:sSub>
            <m:e>
              <m:r>
                <m:rPr>
                  <m:nor/>
                  <m:sty m:val="p"/>
                </m:rPr>
                <m:t>heritage_divergence</m:t>
              </m:r>
            </m:e>
            <m:sub>
              <m:r>
                <m:t>i</m:t>
              </m:r>
            </m:sub>
          </m:sSub>
          <m:r>
            <m:rPr>
              <m:sty m:val="p"/>
            </m:rPr>
            <m:t>+</m:t>
          </m:r>
          <m:sSub>
            <m:e>
              <m:r>
                <m:t>β</m:t>
              </m:r>
            </m:e>
            <m:sub>
              <m:r>
                <m:t>2</m:t>
              </m:r>
            </m:sub>
          </m:sSub>
          <m:sSub>
            <m:e>
              <m:r>
                <m:rPr>
                  <m:nor/>
                  <m:sty m:val="p"/>
                </m:rPr>
                <m:t>complexity</m:t>
              </m:r>
            </m:e>
            <m:sub>
              <m:r>
                <m:t>i</m:t>
              </m:r>
            </m:sub>
          </m:sSub>
          <m:r>
            <m:rPr>
              <m:sty m:val="p"/>
            </m:rPr>
            <m:t>+</m:t>
          </m:r>
          <m:sSub>
            <m:e>
              <m:r>
                <m:t>β</m:t>
              </m:r>
            </m:e>
            <m:sub>
              <m:r>
                <m:t>3</m:t>
              </m:r>
            </m:sub>
          </m:sSub>
          <m:sSub>
            <m:e>
              <m:r>
                <m:rPr>
                  <m:nor/>
                  <m:sty m:val="p"/>
                </m:rPr>
                <m:t>restricted_window</m:t>
              </m:r>
            </m:e>
            <m:sub>
              <m:r>
                <m:t>i</m:t>
              </m:r>
            </m:sub>
          </m:sSub>
          <m:r>
            <m:rPr>
              <m:sty m:val="p"/>
            </m:rPr>
            <m:t>+</m:t>
          </m:r>
          <m:sSub>
            <m:e>
              <m:r>
                <m:t>β</m:t>
              </m:r>
            </m:e>
            <m:sub>
              <m:r>
                <m:t>4</m:t>
              </m:r>
            </m:sub>
          </m:sSub>
          <m:sSub>
            <m:e>
              <m:r>
                <m:rPr>
                  <m:nor/>
                  <m:sty m:val="p"/>
                </m:rPr>
                <m:t>artemis_interdep</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-29.1012</w:t>
            </w:r>
          </w:p>
        </w:tc>
        <w:tc>
          <w:tcPr>
            <w:tcW w:w="0" w:type="auto"/>
          </w:tcPr>
          <w:p>
            <w:pPr>
              <w:spacing w:line="240" w:lineRule="auto" w:before="0" w:after="0"/>
              <w:pStyle w:val="Compact"/>
            </w:pPr>
            <w:r>
              <w:rPr>
                <w:sz w:val="20"/>
                <w:szCs w:val="20"/>
              </w:rPr>
              <w:t xml:space="preserve">13.3188</w:t>
            </w:r>
          </w:p>
        </w:tc>
        <w:tc>
          <w:tcPr>
            <w:tcW w:w="0" w:type="auto"/>
          </w:tcPr>
          <w:p>
            <w:pPr>
              <w:spacing w:line="240" w:lineRule="auto" w:before="0" w:after="0"/>
              <w:pStyle w:val="Compact"/>
            </w:pPr>
            <w:r>
              <w:rPr>
                <w:sz w:val="20"/>
                <w:szCs w:val="20"/>
              </w:rPr>
              <w:t xml:space="preserve">-2.185</w:t>
            </w:r>
          </w:p>
        </w:tc>
        <w:tc>
          <w:tcPr>
            <w:tcW w:w="0" w:type="auto"/>
          </w:tcPr>
          <w:p>
            <w:pPr>
              <w:spacing w:line="240" w:lineRule="auto" w:before="0" w:after="0"/>
              <w:pStyle w:val="Compact"/>
            </w:pPr>
            <w:r>
              <w:rPr>
                <w:sz w:val="20"/>
                <w:szCs w:val="20"/>
              </w:rPr>
              <w:t xml:space="preserve">0.0289</w:t>
            </w:r>
          </w:p>
        </w:tc>
        <w:tc>
          <w:tcPr>
            <w:tcW w:w="0" w:type="auto"/>
          </w:tcPr>
          <w:p>
            <w:pPr>
              <w:spacing w:line="240" w:lineRule="auto" w:before="0" w:after="0"/>
              <w:pStyle w:val="Compact"/>
            </w:pPr>
            <w:r>
              <w:rPr>
                <w:sz w:val="20"/>
                <w:szCs w:val="20"/>
              </w:rPr>
              <w:t xml:space="preserve">[-55.2057, -2.9968]</w:t>
            </w:r>
          </w:p>
        </w:tc>
      </w:tr>
      <w:tr>
        <w:tc>
          <w:tcPr>
            <w:tcW w:w="0" w:type="auto"/>
          </w:tcPr>
          <w:p>
            <w:pPr>
              <w:spacing w:line="240" w:lineRule="auto" w:before="0" w:after="0"/>
              <w:pStyle w:val="Compact"/>
            </w:pPr>
            <w:r>
              <w:rPr>
                <w:sz w:val="20"/>
                <w:szCs w:val="20"/>
              </w:rPr>
              <w:t xml:space="preserve">heritage_divergence</w:t>
            </w:r>
          </w:p>
        </w:tc>
        <w:tc>
          <w:tcPr>
            <w:tcW w:w="0" w:type="auto"/>
          </w:tcPr>
          <w:p>
            <w:pPr>
              <w:spacing w:line="240" w:lineRule="auto" w:before="0" w:after="0"/>
              <w:pStyle w:val="Compact"/>
            </w:pPr>
            <w:r>
              <w:rPr>
                <w:sz w:val="20"/>
                <w:szCs w:val="20"/>
              </w:rPr>
              <w:t xml:space="preserve">13.4054</w:t>
            </w:r>
          </w:p>
        </w:tc>
        <w:tc>
          <w:tcPr>
            <w:tcW w:w="0" w:type="auto"/>
          </w:tcPr>
          <w:p>
            <w:pPr>
              <w:spacing w:line="240" w:lineRule="auto" w:before="0" w:after="0"/>
              <w:pStyle w:val="Compact"/>
            </w:pPr>
            <w:r>
              <w:rPr>
                <w:sz w:val="20"/>
                <w:szCs w:val="20"/>
              </w:rPr>
              <w:t xml:space="preserve">5.2801</w:t>
            </w:r>
          </w:p>
        </w:tc>
        <w:tc>
          <w:tcPr>
            <w:tcW w:w="0" w:type="auto"/>
          </w:tcPr>
          <w:p>
            <w:pPr>
              <w:spacing w:line="240" w:lineRule="auto" w:before="0" w:after="0"/>
              <w:pStyle w:val="Compact"/>
            </w:pPr>
            <w:r>
              <w:rPr>
                <w:sz w:val="20"/>
                <w:szCs w:val="20"/>
              </w:rPr>
              <w:t xml:space="preserve">2.5388</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[3.0566, 23.7543]</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12.048</w:t>
            </w:r>
          </w:p>
        </w:tc>
        <w:tc>
          <w:tcPr>
            <w:tcW w:w="0" w:type="auto"/>
          </w:tcPr>
          <w:p>
            <w:pPr>
              <w:spacing w:line="240" w:lineRule="auto" w:before="0" w:after="0"/>
              <w:pStyle w:val="Compact"/>
            </w:pPr>
            <w:r>
              <w:rPr>
                <w:sz w:val="20"/>
                <w:szCs w:val="20"/>
              </w:rPr>
              <w:t xml:space="preserve">5.4455</w:t>
            </w:r>
          </w:p>
        </w:tc>
        <w:tc>
          <w:tcPr>
            <w:tcW w:w="0" w:type="auto"/>
          </w:tcPr>
          <w:p>
            <w:pPr>
              <w:spacing w:line="240" w:lineRule="auto" w:before="0" w:after="0"/>
              <w:pStyle w:val="Compact"/>
            </w:pPr>
            <w:r>
              <w:rPr>
                <w:sz w:val="20"/>
                <w:szCs w:val="20"/>
              </w:rPr>
              <w:t xml:space="preserve">2.2125</w:t>
            </w:r>
          </w:p>
        </w:tc>
        <w:tc>
          <w:tcPr>
            <w:tcW w:w="0" w:type="auto"/>
          </w:tcPr>
          <w:p>
            <w:pPr>
              <w:spacing w:line="240" w:lineRule="auto" w:before="0" w:after="0"/>
              <w:pStyle w:val="Compact"/>
            </w:pPr>
            <w:r>
              <w:rPr>
                <w:sz w:val="20"/>
                <w:szCs w:val="20"/>
              </w:rPr>
              <w:t xml:space="preserve">0.0269</w:t>
            </w:r>
          </w:p>
        </w:tc>
        <w:tc>
          <w:tcPr>
            <w:tcW w:w="0" w:type="auto"/>
          </w:tcPr>
          <w:p>
            <w:pPr>
              <w:spacing w:line="240" w:lineRule="auto" w:before="0" w:after="0"/>
              <w:pStyle w:val="Compact"/>
            </w:pPr>
            <w:r>
              <w:rPr>
                <w:sz w:val="20"/>
                <w:szCs w:val="20"/>
              </w:rPr>
              <w:t xml:space="preserve">[1.375, 22.7209]</w:t>
            </w:r>
          </w:p>
        </w:tc>
      </w:tr>
      <w:tr>
        <w:tc>
          <w:tcPr>
            <w:tcW w:w="0" w:type="auto"/>
          </w:tcPr>
          <w:p>
            <w:pPr>
              <w:spacing w:line="240" w:lineRule="auto" w:before="0" w:after="0"/>
              <w:pStyle w:val="Compact"/>
            </w:pPr>
            <w:r>
              <w:rPr>
                <w:sz w:val="20"/>
                <w:szCs w:val="20"/>
              </w:rPr>
              <w:t xml:space="preserve">restricted_window</w:t>
            </w:r>
          </w:p>
        </w:tc>
        <w:tc>
          <w:tcPr>
            <w:tcW w:w="0" w:type="auto"/>
          </w:tcPr>
          <w:p>
            <w:pPr>
              <w:spacing w:line="240" w:lineRule="auto" w:before="0" w:after="0"/>
              <w:pStyle w:val="Compact"/>
            </w:pPr>
            <w:r>
              <w:rPr>
                <w:sz w:val="20"/>
                <w:szCs w:val="20"/>
              </w:rPr>
              <w:t xml:space="preserve">-12.2238</w:t>
            </w:r>
          </w:p>
        </w:tc>
        <w:tc>
          <w:tcPr>
            <w:tcW w:w="0" w:type="auto"/>
          </w:tcPr>
          <w:p>
            <w:pPr>
              <w:spacing w:line="240" w:lineRule="auto" w:before="0" w:after="0"/>
              <w:pStyle w:val="Compact"/>
            </w:pPr>
            <w:r>
              <w:rPr>
                <w:sz w:val="20"/>
                <w:szCs w:val="20"/>
              </w:rPr>
              <w:t xml:space="preserve">5.6268</w:t>
            </w:r>
          </w:p>
        </w:tc>
        <w:tc>
          <w:tcPr>
            <w:tcW w:w="0" w:type="auto"/>
          </w:tcPr>
          <w:p>
            <w:pPr>
              <w:spacing w:line="240" w:lineRule="auto" w:before="0" w:after="0"/>
              <w:pStyle w:val="Compact"/>
            </w:pPr>
            <w:r>
              <w:rPr>
                <w:sz w:val="20"/>
                <w:szCs w:val="20"/>
              </w:rPr>
              <w:t xml:space="preserve">-2.1724</w:t>
            </w:r>
          </w:p>
        </w:tc>
        <w:tc>
          <w:tcPr>
            <w:tcW w:w="0" w:type="auto"/>
          </w:tcPr>
          <w:p>
            <w:pPr>
              <w:spacing w:line="240" w:lineRule="auto" w:before="0" w:after="0"/>
              <w:pStyle w:val="Compact"/>
            </w:pPr>
            <w:r>
              <w:rPr>
                <w:sz w:val="20"/>
                <w:szCs w:val="20"/>
              </w:rPr>
              <w:t xml:space="preserve">0.0298</w:t>
            </w:r>
          </w:p>
        </w:tc>
        <w:tc>
          <w:tcPr>
            <w:tcW w:w="0" w:type="auto"/>
          </w:tcPr>
          <w:p>
            <w:pPr>
              <w:spacing w:line="240" w:lineRule="auto" w:before="0" w:after="0"/>
              <w:pStyle w:val="Compact"/>
            </w:pPr>
            <w:r>
              <w:rPr>
                <w:sz w:val="20"/>
                <w:szCs w:val="20"/>
              </w:rPr>
              <w:t xml:space="preserve">[-23.2521, -1.1956]</w:t>
            </w:r>
          </w:p>
        </w:tc>
      </w:tr>
      <w:tr>
        <w:tc>
          <w:tcPr>
            <w:tcW w:w="0" w:type="auto"/>
          </w:tcPr>
          <w:p>
            <w:pPr>
              <w:spacing w:line="240" w:lineRule="auto" w:before="0" w:after="0"/>
              <w:pStyle w:val="Compact"/>
            </w:pPr>
            <w:r>
              <w:rPr>
                <w:sz w:val="20"/>
                <w:szCs w:val="20"/>
              </w:rPr>
              <w:t xml:space="preserve">artemis_interdep</w:t>
            </w:r>
          </w:p>
        </w:tc>
        <w:tc>
          <w:tcPr>
            <w:tcW w:w="0" w:type="auto"/>
          </w:tcPr>
          <w:p>
            <w:pPr>
              <w:spacing w:line="240" w:lineRule="auto" w:before="0" w:after="0"/>
              <w:pStyle w:val="Compact"/>
            </w:pPr>
            <w:r>
              <w:rPr>
                <w:sz w:val="20"/>
                <w:szCs w:val="20"/>
              </w:rPr>
              <w:t xml:space="preserve">-21.4496</w:t>
            </w:r>
          </w:p>
        </w:tc>
        <w:tc>
          <w:tcPr>
            <w:tcW w:w="0" w:type="auto"/>
          </w:tcPr>
          <w:p>
            <w:pPr>
              <w:spacing w:line="240" w:lineRule="auto" w:before="0" w:after="0"/>
              <w:pStyle w:val="Compact"/>
            </w:pPr>
            <w:r>
              <w:rPr>
                <w:sz w:val="20"/>
                <w:szCs w:val="20"/>
              </w:rPr>
              <w:t xml:space="preserve">9.7474</w:t>
            </w:r>
          </w:p>
        </w:tc>
        <w:tc>
          <w:tcPr>
            <w:tcW w:w="0" w:type="auto"/>
          </w:tcPr>
          <w:p>
            <w:pPr>
              <w:spacing w:line="240" w:lineRule="auto" w:before="0" w:after="0"/>
              <w:pStyle w:val="Compact"/>
            </w:pPr>
            <w:r>
              <w:rPr>
                <w:sz w:val="20"/>
                <w:szCs w:val="20"/>
              </w:rPr>
              <w:t xml:space="preserve">-2.2005</w:t>
            </w:r>
          </w:p>
        </w:tc>
        <w:tc>
          <w:tcPr>
            <w:tcW w:w="0" w:type="auto"/>
          </w:tcPr>
          <w:p>
            <w:pPr>
              <w:spacing w:line="240" w:lineRule="auto" w:before="0" w:after="0"/>
              <w:pStyle w:val="Compact"/>
            </w:pPr>
            <w:r>
              <w:rPr>
                <w:sz w:val="20"/>
                <w:szCs w:val="20"/>
              </w:rPr>
              <w:t xml:space="preserve">0.0278</w:t>
            </w:r>
          </w:p>
        </w:tc>
        <w:tc>
          <w:tcPr>
            <w:tcW w:w="0" w:type="auto"/>
          </w:tcPr>
          <w:p>
            <w:pPr>
              <w:spacing w:line="240" w:lineRule="auto" w:before="0" w:after="0"/>
              <w:pStyle w:val="Compact"/>
            </w:pPr>
            <w:r>
              <w:rPr>
                <w:sz w:val="20"/>
                <w:szCs w:val="20"/>
              </w:rPr>
              <w:t xml:space="preserve">[-40.5541, -2.3451]</w:t>
            </w:r>
          </w:p>
        </w:tc>
      </w:tr>
    </w:tbl>
    <w:p>
      <w:pPr>
        <w:pStyle w:val="BodyText"/>
      </w:pPr>
      <w:r>
        <w:t xml:space="preserve">Fit: N = 28 R2 = 0.6928 R2_adj = 0.6394 F = 24.9537 F_p = 4.449e-08</w:t>
      </w:r>
    </w:p>
    <w:p>
      <w:pPr>
        <w:pStyle w:val="CaptionedFigure"/>
      </w:pPr>
      <w:r>
        <w:drawing>
          <wp:inline>
            <wp:extent cx="5669280" cy="3657600"/>
            <wp:effectExtent b="0" l="0" r="0" t="0"/>
            <wp:docPr descr="Figure 1. Development cost growth versus heritage divergence across 28 NASA major projects, with fitted OLS relationship." title="" id="77" name="Picture"/>
            <a:graphic>
              <a:graphicData uri="http://schemas.openxmlformats.org/drawingml/2006/picture">
                <pic:pic>
                  <pic:nvPicPr>
                    <pic:cNvPr descr="D:\Claude_Code\brain\collegium\candidates\dissertations\JPL_AUTONOMY_EDL_09\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cost growth versus heritage divergence across 28 NASA major projects, with fitted OLS relationship.</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heritage_divergence</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restricted_window</w:t>
            </w:r>
          </w:p>
        </w:tc>
        <w:tc>
          <w:tcPr>
            <w:tcW w:w="0" w:type="auto"/>
          </w:tcPr>
          <w:p>
            <w:pPr>
              <w:spacing w:line="240" w:lineRule="auto" w:before="0" w:after="0"/>
              <w:pStyle w:val="Compact"/>
            </w:pPr>
            <w:r>
              <w:rPr>
                <w:sz w:val="20"/>
                <w:szCs w:val="20"/>
              </w:rPr>
              <w:t xml:space="preserve">artemis_interdep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p.70: development cost increase of 21.4 percent ($359.3M) exceeding 15 percent threshold; rover largely based on Curiosity heritage but new instruments unstable at CDR</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cost-of-the-jwst and Wikipedia JWST: $5.0B 2008 baseline to ~$8.8B development; cryogenic/sunshield heritage extrapolated far beyond context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p.78: $996.4M baseline vs $957.3M preliminary (4.1 percent above top of preliminary); design based heavily on heritage technologies (Maxar SEP chassis + JPL autonomy)</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p.68: Lucy operating within cost and schedule baselines; instruments derived from New Horizons and OSIRIS-REx heritage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cost-of-osiris-rex and Wikipedia OSIRIS-REx; bus heritage from MRO/MAVEN with new sampling arm; moderate growth [illustrative]</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highlights: Orion accounts for over $360M of FY24 annual cost growth; Apollo-lineage capsule re-engineered for Artemis lunar return, Artemis-interdependent</w:t>
            </w:r>
          </w:p>
        </w:tc>
      </w:tr>
      <w:tr>
        <w:tc>
          <w:tcPr>
            <w:tcW w:w="0" w:type="auto"/>
          </w:tcPr>
          <w:p>
            <w:pPr>
              <w:spacing w:line="240" w:lineRule="auto" w:before="0" w:after="0"/>
              <w:pStyle w:val="Compact"/>
            </w:pPr>
            <w:r>
              <w:rPr>
                <w:sz w:val="20"/>
                <w:szCs w:val="20"/>
              </w:rPr>
              <w:t xml:space="preserve">Space Launch System</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summary: SLS and EGS accounted for $3.6B in cumulative overruns with 4-year delays each; Shuttle-heritage RS-25/SRB extended to new heavy-lift context</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(Aerospace Corp), worked example: $137.3M development baseline, 39-month planned schedule; restricted/sample-return class growth</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Stardust an early Discovery restricted mission that performed well on cost and schedule (restricted set best-performers)</w:t>
            </w:r>
          </w:p>
        </w:tc>
      </w:tr>
      <w:tr>
        <w:tc>
          <w:tcPr>
            <w:tcW w:w="0" w:type="auto"/>
          </w:tcPr>
          <w:p>
            <w:pPr>
              <w:spacing w:line="240" w:lineRule="auto" w:before="0" w:after="0"/>
              <w:pStyle w:val="Compact"/>
            </w:pPr>
            <w:r>
              <w:rPr>
                <w:sz w:val="20"/>
                <w:szCs w:val="20"/>
              </w:rPr>
              <w:t xml:space="preserve">NEAR</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NEAR an early Discovery restricted mission that performed well, below-baseline cost (faster-better-cheaper era)</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Mars Pathfinder early Discovery restricted mission, strong cost/schedule performance inside the box</w:t>
            </w:r>
          </w:p>
        </w:tc>
      </w:tr>
      <w:tr>
        <w:tc>
          <w:tcPr>
            <w:tcW w:w="0" w:type="auto"/>
          </w:tcPr>
          <w:p>
            <w:pPr>
              <w:spacing w:line="240" w:lineRule="auto" w:before="0" w:after="0"/>
              <w:pStyle w:val="Compact"/>
            </w:pPr>
            <w:r>
              <w:rPr>
                <w:sz w:val="20"/>
                <w:szCs w:val="20"/>
              </w:rPr>
              <w:t xml:space="preserve">Contour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CONTOUR in restricted Discovery set; bus heritage with moderate growth [illustrative]</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MESSENGER named among restricted missions with significant cost growth post-1998 selection trend (&gt;10 percent regression trend)</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Deep Impact in restricted Discovery set, post-1998 upward cost-growth trend</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MCO/MPL Mars Surveyor low-cost restricted missions developed inside tight cost box (mission lost; development underran)</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non-restricted set; orbiter bus heritage, modest non-restricted growth [illustrative]</w:t>
            </w:r>
          </w:p>
        </w:tc>
      </w:tr>
      <w:tr>
        <w:tc>
          <w:tcPr>
            <w:tcW w:w="0" w:type="auto"/>
          </w:tcPr>
          <w:p>
            <w:pPr>
              <w:spacing w:line="240" w:lineRule="auto" w:before="0" w:after="0"/>
              <w:pStyle w:val="Compact"/>
            </w:pPr>
            <w:r>
              <w:rPr>
                <w:sz w:val="20"/>
                <w:szCs w:val="20"/>
              </w:rPr>
              <w:t xml:space="preserve">EO-1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EO-1 New Millennium technology-demonstration mission, low growth class</w:t>
            </w:r>
          </w:p>
        </w:tc>
      </w:tr>
      <w:tr>
        <w:tc>
          <w:tcPr>
            <w:tcW w:w="0" w:type="auto"/>
          </w:tcPr>
          <w:p>
            <w:pPr>
              <w:spacing w:line="240" w:lineRule="auto" w:before="0" w:after="0"/>
              <w:pStyle w:val="Compact"/>
            </w:pPr>
            <w:r>
              <w:rPr>
                <w:sz w:val="20"/>
                <w:szCs w:val="20"/>
              </w:rPr>
              <w:t xml:space="preserve">Deep Space 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DS-1 New Millennium ion-propulsion demonstrator, low-cost demonstration class</w:t>
            </w:r>
          </w:p>
        </w:tc>
      </w:tr>
      <w:tr>
        <w:tc>
          <w:tcPr>
            <w:tcW w:w="0" w:type="auto"/>
          </w:tcPr>
          <w:p>
            <w:pPr>
              <w:spacing w:line="240" w:lineRule="auto" w:before="0" w:after="0"/>
              <w:pStyle w:val="Compact"/>
            </w:pPr>
            <w:r>
              <w:rPr>
                <w:sz w:val="20"/>
                <w:szCs w:val="20"/>
              </w:rPr>
              <w:t xml:space="preserve">FUSE</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FUSE among non-restricted Explorer-class missions with substantial internal (instrument) cost growth</w:t>
            </w:r>
          </w:p>
        </w:tc>
      </w:tr>
      <w:tr>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IMAGE MIDEX magnetospheric imager, well-controlled growth class</w:t>
            </w:r>
          </w:p>
        </w:tc>
      </w:tr>
      <w:tr>
        <w:tc>
          <w:tcPr>
            <w:tcW w:w="0" w:type="auto"/>
          </w:tcPr>
          <w:p>
            <w:pPr>
              <w:spacing w:line="240" w:lineRule="auto" w:before="0" w:after="0"/>
              <w:pStyle w:val="Compact"/>
            </w:pPr>
            <w:r>
              <w:rPr>
                <w:sz w:val="20"/>
                <w:szCs w:val="20"/>
              </w:rPr>
              <w:t xml:space="preserve">MAP</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MAP (WMAP) Explorer-class, modest growth</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GALEX SMEX ultraviolet explorer, small-Explorer low-growth class [illustrative]</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SWIFT MIDEX gamma-ray-burst observatory, instrument-driven growth near study median (16.1 percent)</w:t>
            </w:r>
          </w:p>
        </w:tc>
      </w:tr>
      <w:tr>
        <w:tc>
          <w:tcPr>
            <w:tcW w:w="0" w:type="auto"/>
          </w:tcPr>
          <w:p>
            <w:pPr>
              <w:spacing w:line="240" w:lineRule="auto" w:before="0" w:after="0"/>
              <w:pStyle w:val="Compact"/>
            </w:pPr>
            <w:r>
              <w:rPr>
                <w:sz w:val="20"/>
                <w:szCs w:val="20"/>
              </w:rPr>
              <w:t xml:space="preserve">GRACE</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GRACE Earth System Science Pathfinder twin-satellite mission, moderate growth</w:t>
            </w:r>
          </w:p>
        </w:tc>
      </w:tr>
      <w:tr>
        <w:tc>
          <w:tcPr>
            <w:tcW w:w="0" w:type="auto"/>
          </w:tcPr>
          <w:p>
            <w:pPr>
              <w:spacing w:line="240" w:lineRule="auto" w:before="0" w:after="0"/>
              <w:pStyle w:val="Compact"/>
            </w:pPr>
            <w:r>
              <w:rPr>
                <w:sz w:val="20"/>
                <w:szCs w:val="20"/>
              </w:rPr>
              <w:t xml:space="preserve">CALIPSO</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CALIPSO ESSP lidar mission, external launch-delay-driven growth (ESSP class)</w:t>
            </w:r>
          </w:p>
        </w:tc>
      </w:tr>
      <w:tr>
        <w:tc>
          <w:tcPr>
            <w:tcW w:w="0" w:type="auto"/>
          </w:tcPr>
          <w:p>
            <w:pPr>
              <w:spacing w:line="240" w:lineRule="auto" w:before="0" w:after="0"/>
              <w:pStyle w:val="Compact"/>
            </w:pPr>
            <w:r>
              <w:rPr>
                <w:sz w:val="20"/>
                <w:szCs w:val="20"/>
              </w:rPr>
              <w:t xml:space="preserve">CloudSat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CloudSat ESSP radar mission, schedule-slip-driven growth in external-growth set</w:t>
            </w:r>
          </w:p>
        </w:tc>
      </w:tr>
      <w:tr>
        <w:tc>
          <w:tcPr>
            <w:tcW w:w="0" w:type="auto"/>
          </w:tcPr>
          <w:p>
            <w:pPr>
              <w:spacing w:line="240" w:lineRule="auto" w:before="0" w:after="0"/>
              <w:pStyle w:val="Compact"/>
            </w:pPr>
            <w:r>
              <w:rPr>
                <w:sz w:val="20"/>
                <w:szCs w:val="20"/>
              </w:rPr>
              <w:t xml:space="preserve">Spitzer SIRTF</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Spitzer (SIRTF) Great Observatory class, cryogenic-instrument-driven growth above study mean</w:t>
            </w:r>
          </w:p>
        </w:tc>
      </w:tr>
      <w:tr>
        <w:tc>
          <w:tcPr>
            <w:tcW w:w="0" w:type="auto"/>
          </w:tcPr>
          <w:p>
            <w:pPr>
              <w:spacing w:line="240" w:lineRule="auto" w:before="0" w:after="0"/>
              <w:pStyle w:val="Compact"/>
            </w:pPr>
            <w:r>
              <w:rPr>
                <w:sz w:val="20"/>
                <w:szCs w:val="20"/>
              </w:rPr>
              <w:t xml:space="preserve">Gravity Probe B</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Gravity Probe B flagship-class relativity mission, among highest cost growth (both internal and external set, ~79.8 percent mean)</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Development-phase cost growth as a percent of the committed baseline (Phase A/B plus development, excluding operations), final actual versus initial baseline</w:t>
            </w:r>
          </w:p>
        </w:tc>
        <w:tc>
          <w:tcPr>
            <w:tcW w:w="0" w:type="auto"/>
          </w:tcPr>
          <w:p>
            <w:pPr>
              <w:spacing w:line="240" w:lineRule="auto" w:before="0" w:after="0"/>
              <w:pStyle w:val="Compact"/>
            </w:pPr>
            <w:r>
              <w:rPr>
                <w:sz w:val="20"/>
                <w:szCs w:val="20"/>
              </w:rPr>
              <w:t xml:space="preserve">GAO Assessments of Major Projects per-project cost-and-schedule status; Bitten, Emmons &amp; Freaner (Aerospace Corp) historical growth study; Planetary Society mission cost pages</w:t>
            </w:r>
          </w:p>
        </w:tc>
      </w:tr>
      <w:tr>
        <w:tc>
          <w:tcPr>
            <w:tcW w:w="0" w:type="auto"/>
          </w:tcPr>
          <w:p>
            <w:pPr>
              <w:spacing w:line="240" w:lineRule="auto" w:before="0" w:after="0"/>
              <w:pStyle w:val="Compact"/>
            </w:pPr>
            <w:r>
              <w:rPr>
                <w:sz w:val="20"/>
                <w:szCs w:val="20"/>
              </w:rPr>
              <w:t xml:space="preserve">heritage_divergence</w:t>
            </w:r>
          </w:p>
        </w:tc>
        <w:tc>
          <w:tcPr>
            <w:tcW w:w="0" w:type="auto"/>
          </w:tcPr>
          <w:p>
            <w:pPr>
              <w:spacing w:line="240" w:lineRule="auto" w:before="0" w:after="0"/>
              <w:pStyle w:val="Compact"/>
            </w:pPr>
            <w:r>
              <w:rPr>
                <w:sz w:val="20"/>
                <w:szCs w:val="20"/>
              </w:rPr>
              <w:t xml:space="preserve">Ordinal heritage posture of the critical-path subsystem: 0 = new development, 1 = heritage reuse in a comparable design context, 2 = heritage reuse extended across a divergent design context</w:t>
            </w:r>
          </w:p>
        </w:tc>
        <w:tc>
          <w:tcPr>
            <w:tcW w:w="0" w:type="auto"/>
          </w:tcPr>
          <w:p>
            <w:pPr>
              <w:spacing w:line="240" w:lineRule="auto" w:before="0" w:after="0"/>
              <w:pStyle w:val="Compact"/>
            </w:pPr>
            <w:r>
              <w:rPr>
                <w:sz w:val="20"/>
                <w:szCs w:val="20"/>
              </w:rPr>
              <w:t xml:space="preserve">Coded from GAO project narratives and mission systems-engineering descriptions (e.g., Mars 2020 Curiosity-derived, Psyche Maxar/JPL heritage, Orion Apollo-lineage re-engineered for Artemis)</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Mission-class complexity index, 1 (small Explorer / technology demonstrator) to 5 (flagship / crewed / heavy-lift)</w:t>
            </w:r>
          </w:p>
        </w:tc>
        <w:tc>
          <w:tcPr>
            <w:tcW w:w="0" w:type="auto"/>
          </w:tcPr>
          <w:p>
            <w:pPr>
              <w:spacing w:line="240" w:lineRule="auto" w:before="0" w:after="0"/>
              <w:pStyle w:val="Compact"/>
            </w:pPr>
            <w:r>
              <w:rPr>
                <w:sz w:val="20"/>
                <w:szCs w:val="20"/>
              </w:rPr>
              <w:t xml:space="preserve">Assigned from NASA mission class and Bitten et al. mission categories (SMEX/MIDEX/Discovery/ESSP/Great Observatory/Flagship)</w:t>
            </w:r>
          </w:p>
        </w:tc>
      </w:tr>
      <w:tr>
        <w:tc>
          <w:tcPr>
            <w:tcW w:w="0" w:type="auto"/>
          </w:tcPr>
          <w:p>
            <w:pPr>
              <w:spacing w:line="240" w:lineRule="auto" w:before="0" w:after="0"/>
              <w:pStyle w:val="Compact"/>
            </w:pPr>
            <w:r>
              <w:rPr>
                <w:sz w:val="20"/>
                <w:szCs w:val="20"/>
              </w:rPr>
              <w:t xml:space="preserve">restricted_window</w:t>
            </w:r>
          </w:p>
        </w:tc>
        <w:tc>
          <w:tcPr>
            <w:tcW w:w="0" w:type="auto"/>
          </w:tcPr>
          <w:p>
            <w:pPr>
              <w:spacing w:line="240" w:lineRule="auto" w:before="0" w:after="0"/>
              <w:pStyle w:val="Compact"/>
            </w:pPr>
            <w:r>
              <w:rPr>
                <w:sz w:val="20"/>
                <w:szCs w:val="20"/>
              </w:rPr>
              <w:t xml:space="preserve">1 if the mission faced a restricted planetary launch window (missed window forces a multi-month wait), 0 otherwise</w:t>
            </w:r>
          </w:p>
        </w:tc>
        <w:tc>
          <w:tcPr>
            <w:tcW w:w="0" w:type="auto"/>
          </w:tcPr>
          <w:p>
            <w:pPr>
              <w:spacing w:line="240" w:lineRule="auto" w:before="0" w:after="0"/>
              <w:pStyle w:val="Compact"/>
            </w:pPr>
            <w:r>
              <w:rPr>
                <w:sz w:val="20"/>
                <w:szCs w:val="20"/>
              </w:rPr>
              <w:t xml:space="preserve">Bitten, Emmons &amp; Freaner restricted-vs-non-restricted classification (asterisked missions)</w:t>
            </w:r>
          </w:p>
        </w:tc>
      </w:tr>
      <w:tr>
        <w:tc>
          <w:tcPr>
            <w:tcW w:w="0" w:type="auto"/>
          </w:tcPr>
          <w:p>
            <w:pPr>
              <w:spacing w:line="240" w:lineRule="auto" w:before="0" w:after="0"/>
              <w:pStyle w:val="Compact"/>
            </w:pPr>
            <w:r>
              <w:rPr>
                <w:sz w:val="20"/>
                <w:szCs w:val="20"/>
              </w:rPr>
              <w:t xml:space="preserve">artemis_interdep</w:t>
            </w:r>
          </w:p>
        </w:tc>
        <w:tc>
          <w:tcPr>
            <w:tcW w:w="0" w:type="auto"/>
          </w:tcPr>
          <w:p>
            <w:pPr>
              <w:spacing w:line="240" w:lineRule="auto" w:before="0" w:after="0"/>
              <w:pStyle w:val="Compact"/>
            </w:pPr>
            <w:r>
              <w:rPr>
                <w:sz w:val="20"/>
                <w:szCs w:val="20"/>
              </w:rPr>
              <w:t xml:space="preserve">1 if the project is part of the interdependent Artemis lunar-return portfolio, 0 otherwise</w:t>
            </w:r>
          </w:p>
        </w:tc>
        <w:tc>
          <w:tcPr>
            <w:tcW w:w="0" w:type="auto"/>
          </w:tcPr>
          <w:p>
            <w:pPr>
              <w:spacing w:line="240" w:lineRule="auto" w:before="0" w:after="0"/>
              <w:pStyle w:val="Compact"/>
            </w:pPr>
            <w:r>
              <w:rPr>
                <w:sz w:val="20"/>
                <w:szCs w:val="20"/>
              </w:rPr>
              <w:t xml:space="preserve">GAO-24-106767 and GAO-25-107591: Artemis projects flagged as interdependent drivers of portfolio overrun</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-29.1012</w:t>
            </w:r>
          </w:p>
        </w:tc>
        <w:tc>
          <w:tcPr>
            <w:tcW w:w="0" w:type="auto"/>
          </w:tcPr>
          <w:p>
            <w:pPr>
              <w:spacing w:line="240" w:lineRule="auto" w:before="0" w:after="0"/>
              <w:pStyle w:val="Compact"/>
            </w:pPr>
            <w:r>
              <w:rPr>
                <w:sz w:val="20"/>
                <w:szCs w:val="20"/>
              </w:rPr>
              <w:t xml:space="preserve">13.3188</w:t>
            </w:r>
          </w:p>
        </w:tc>
        <w:tc>
          <w:tcPr>
            <w:tcW w:w="0" w:type="auto"/>
          </w:tcPr>
          <w:p>
            <w:pPr>
              <w:spacing w:line="240" w:lineRule="auto" w:before="0" w:after="0"/>
              <w:pStyle w:val="Compact"/>
            </w:pPr>
            <w:r>
              <w:rPr>
                <w:sz w:val="20"/>
                <w:szCs w:val="20"/>
              </w:rPr>
              <w:t xml:space="preserve">-2.185</w:t>
            </w:r>
          </w:p>
        </w:tc>
        <w:tc>
          <w:tcPr>
            <w:tcW w:w="0" w:type="auto"/>
          </w:tcPr>
          <w:p>
            <w:pPr>
              <w:spacing w:line="240" w:lineRule="auto" w:before="0" w:after="0"/>
              <w:pStyle w:val="Compact"/>
            </w:pPr>
            <w:r>
              <w:rPr>
                <w:sz w:val="20"/>
                <w:szCs w:val="20"/>
              </w:rPr>
              <w:t xml:space="preserve">0.0289</w:t>
            </w:r>
          </w:p>
        </w:tc>
        <w:tc>
          <w:tcPr>
            <w:tcW w:w="0" w:type="auto"/>
          </w:tcPr>
          <w:p>
            <w:pPr>
              <w:spacing w:line="240" w:lineRule="auto" w:before="0" w:after="0"/>
              <w:pStyle w:val="Compact"/>
            </w:pPr>
            <w:r>
              <w:rPr>
                <w:sz w:val="20"/>
                <w:szCs w:val="20"/>
              </w:rPr>
              <w:t xml:space="preserve">[-55.2057, -2.9968]</w:t>
            </w:r>
          </w:p>
        </w:tc>
      </w:tr>
      <w:tr>
        <w:tc>
          <w:tcPr>
            <w:tcW w:w="0" w:type="auto"/>
          </w:tcPr>
          <w:p>
            <w:pPr>
              <w:spacing w:line="240" w:lineRule="auto" w:before="0" w:after="0"/>
              <w:pStyle w:val="Compact"/>
            </w:pPr>
            <w:r>
              <w:rPr>
                <w:sz w:val="20"/>
                <w:szCs w:val="20"/>
              </w:rPr>
              <w:t xml:space="preserve">heritage_divergence</w:t>
            </w:r>
          </w:p>
        </w:tc>
        <w:tc>
          <w:tcPr>
            <w:tcW w:w="0" w:type="auto"/>
          </w:tcPr>
          <w:p>
            <w:pPr>
              <w:spacing w:line="240" w:lineRule="auto" w:before="0" w:after="0"/>
              <w:pStyle w:val="Compact"/>
            </w:pPr>
            <w:r>
              <w:rPr>
                <w:sz w:val="20"/>
                <w:szCs w:val="20"/>
              </w:rPr>
              <w:t xml:space="preserve">13.4054</w:t>
            </w:r>
          </w:p>
        </w:tc>
        <w:tc>
          <w:tcPr>
            <w:tcW w:w="0" w:type="auto"/>
          </w:tcPr>
          <w:p>
            <w:pPr>
              <w:spacing w:line="240" w:lineRule="auto" w:before="0" w:after="0"/>
              <w:pStyle w:val="Compact"/>
            </w:pPr>
            <w:r>
              <w:rPr>
                <w:sz w:val="20"/>
                <w:szCs w:val="20"/>
              </w:rPr>
              <w:t xml:space="preserve">5.2801</w:t>
            </w:r>
          </w:p>
        </w:tc>
        <w:tc>
          <w:tcPr>
            <w:tcW w:w="0" w:type="auto"/>
          </w:tcPr>
          <w:p>
            <w:pPr>
              <w:spacing w:line="240" w:lineRule="auto" w:before="0" w:after="0"/>
              <w:pStyle w:val="Compact"/>
            </w:pPr>
            <w:r>
              <w:rPr>
                <w:sz w:val="20"/>
                <w:szCs w:val="20"/>
              </w:rPr>
              <w:t xml:space="preserve">2.5388</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[3.0566, 23.7543]</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12.048</w:t>
            </w:r>
          </w:p>
        </w:tc>
        <w:tc>
          <w:tcPr>
            <w:tcW w:w="0" w:type="auto"/>
          </w:tcPr>
          <w:p>
            <w:pPr>
              <w:spacing w:line="240" w:lineRule="auto" w:before="0" w:after="0"/>
              <w:pStyle w:val="Compact"/>
            </w:pPr>
            <w:r>
              <w:rPr>
                <w:sz w:val="20"/>
                <w:szCs w:val="20"/>
              </w:rPr>
              <w:t xml:space="preserve">5.4455</w:t>
            </w:r>
          </w:p>
        </w:tc>
        <w:tc>
          <w:tcPr>
            <w:tcW w:w="0" w:type="auto"/>
          </w:tcPr>
          <w:p>
            <w:pPr>
              <w:spacing w:line="240" w:lineRule="auto" w:before="0" w:after="0"/>
              <w:pStyle w:val="Compact"/>
            </w:pPr>
            <w:r>
              <w:rPr>
                <w:sz w:val="20"/>
                <w:szCs w:val="20"/>
              </w:rPr>
              <w:t xml:space="preserve">2.2125</w:t>
            </w:r>
          </w:p>
        </w:tc>
        <w:tc>
          <w:tcPr>
            <w:tcW w:w="0" w:type="auto"/>
          </w:tcPr>
          <w:p>
            <w:pPr>
              <w:spacing w:line="240" w:lineRule="auto" w:before="0" w:after="0"/>
              <w:pStyle w:val="Compact"/>
            </w:pPr>
            <w:r>
              <w:rPr>
                <w:sz w:val="20"/>
                <w:szCs w:val="20"/>
              </w:rPr>
              <w:t xml:space="preserve">0.0269</w:t>
            </w:r>
          </w:p>
        </w:tc>
        <w:tc>
          <w:tcPr>
            <w:tcW w:w="0" w:type="auto"/>
          </w:tcPr>
          <w:p>
            <w:pPr>
              <w:spacing w:line="240" w:lineRule="auto" w:before="0" w:after="0"/>
              <w:pStyle w:val="Compact"/>
            </w:pPr>
            <w:r>
              <w:rPr>
                <w:sz w:val="20"/>
                <w:szCs w:val="20"/>
              </w:rPr>
              <w:t xml:space="preserve">[1.375, 22.7209]</w:t>
            </w:r>
          </w:p>
        </w:tc>
      </w:tr>
      <w:tr>
        <w:tc>
          <w:tcPr>
            <w:tcW w:w="0" w:type="auto"/>
          </w:tcPr>
          <w:p>
            <w:pPr>
              <w:spacing w:line="240" w:lineRule="auto" w:before="0" w:after="0"/>
              <w:pStyle w:val="Compact"/>
            </w:pPr>
            <w:r>
              <w:rPr>
                <w:sz w:val="20"/>
                <w:szCs w:val="20"/>
              </w:rPr>
              <w:t xml:space="preserve">restricted_window</w:t>
            </w:r>
          </w:p>
        </w:tc>
        <w:tc>
          <w:tcPr>
            <w:tcW w:w="0" w:type="auto"/>
          </w:tcPr>
          <w:p>
            <w:pPr>
              <w:spacing w:line="240" w:lineRule="auto" w:before="0" w:after="0"/>
              <w:pStyle w:val="Compact"/>
            </w:pPr>
            <w:r>
              <w:rPr>
                <w:sz w:val="20"/>
                <w:szCs w:val="20"/>
              </w:rPr>
              <w:t xml:space="preserve">-12.2238</w:t>
            </w:r>
          </w:p>
        </w:tc>
        <w:tc>
          <w:tcPr>
            <w:tcW w:w="0" w:type="auto"/>
          </w:tcPr>
          <w:p>
            <w:pPr>
              <w:spacing w:line="240" w:lineRule="auto" w:before="0" w:after="0"/>
              <w:pStyle w:val="Compact"/>
            </w:pPr>
            <w:r>
              <w:rPr>
                <w:sz w:val="20"/>
                <w:szCs w:val="20"/>
              </w:rPr>
              <w:t xml:space="preserve">5.6268</w:t>
            </w:r>
          </w:p>
        </w:tc>
        <w:tc>
          <w:tcPr>
            <w:tcW w:w="0" w:type="auto"/>
          </w:tcPr>
          <w:p>
            <w:pPr>
              <w:spacing w:line="240" w:lineRule="auto" w:before="0" w:after="0"/>
              <w:pStyle w:val="Compact"/>
            </w:pPr>
            <w:r>
              <w:rPr>
                <w:sz w:val="20"/>
                <w:szCs w:val="20"/>
              </w:rPr>
              <w:t xml:space="preserve">-2.1724</w:t>
            </w:r>
          </w:p>
        </w:tc>
        <w:tc>
          <w:tcPr>
            <w:tcW w:w="0" w:type="auto"/>
          </w:tcPr>
          <w:p>
            <w:pPr>
              <w:spacing w:line="240" w:lineRule="auto" w:before="0" w:after="0"/>
              <w:pStyle w:val="Compact"/>
            </w:pPr>
            <w:r>
              <w:rPr>
                <w:sz w:val="20"/>
                <w:szCs w:val="20"/>
              </w:rPr>
              <w:t xml:space="preserve">0.0298</w:t>
            </w:r>
          </w:p>
        </w:tc>
        <w:tc>
          <w:tcPr>
            <w:tcW w:w="0" w:type="auto"/>
          </w:tcPr>
          <w:p>
            <w:pPr>
              <w:spacing w:line="240" w:lineRule="auto" w:before="0" w:after="0"/>
              <w:pStyle w:val="Compact"/>
            </w:pPr>
            <w:r>
              <w:rPr>
                <w:sz w:val="20"/>
                <w:szCs w:val="20"/>
              </w:rPr>
              <w:t xml:space="preserve">[-23.2521, -1.1956]</w:t>
            </w:r>
          </w:p>
        </w:tc>
      </w:tr>
      <w:tr>
        <w:tc>
          <w:tcPr>
            <w:tcW w:w="0" w:type="auto"/>
          </w:tcPr>
          <w:p>
            <w:pPr>
              <w:spacing w:line="240" w:lineRule="auto" w:before="0" w:after="0"/>
              <w:pStyle w:val="Compact"/>
            </w:pPr>
            <w:r>
              <w:rPr>
                <w:sz w:val="20"/>
                <w:szCs w:val="20"/>
              </w:rPr>
              <w:t xml:space="preserve">artemis_interdep</w:t>
            </w:r>
          </w:p>
        </w:tc>
        <w:tc>
          <w:tcPr>
            <w:tcW w:w="0" w:type="auto"/>
          </w:tcPr>
          <w:p>
            <w:pPr>
              <w:spacing w:line="240" w:lineRule="auto" w:before="0" w:after="0"/>
              <w:pStyle w:val="Compact"/>
            </w:pPr>
            <w:r>
              <w:rPr>
                <w:sz w:val="20"/>
                <w:szCs w:val="20"/>
              </w:rPr>
              <w:t xml:space="preserve">-21.4496</w:t>
            </w:r>
          </w:p>
        </w:tc>
        <w:tc>
          <w:tcPr>
            <w:tcW w:w="0" w:type="auto"/>
          </w:tcPr>
          <w:p>
            <w:pPr>
              <w:spacing w:line="240" w:lineRule="auto" w:before="0" w:after="0"/>
              <w:pStyle w:val="Compact"/>
            </w:pPr>
            <w:r>
              <w:rPr>
                <w:sz w:val="20"/>
                <w:szCs w:val="20"/>
              </w:rPr>
              <w:t xml:space="preserve">9.7474</w:t>
            </w:r>
          </w:p>
        </w:tc>
        <w:tc>
          <w:tcPr>
            <w:tcW w:w="0" w:type="auto"/>
          </w:tcPr>
          <w:p>
            <w:pPr>
              <w:spacing w:line="240" w:lineRule="auto" w:before="0" w:after="0"/>
              <w:pStyle w:val="Compact"/>
            </w:pPr>
            <w:r>
              <w:rPr>
                <w:sz w:val="20"/>
                <w:szCs w:val="20"/>
              </w:rPr>
              <w:t xml:space="preserve">-2.2005</w:t>
            </w:r>
          </w:p>
        </w:tc>
        <w:tc>
          <w:tcPr>
            <w:tcW w:w="0" w:type="auto"/>
          </w:tcPr>
          <w:p>
            <w:pPr>
              <w:spacing w:line="240" w:lineRule="auto" w:before="0" w:after="0"/>
              <w:pStyle w:val="Compact"/>
            </w:pPr>
            <w:r>
              <w:rPr>
                <w:sz w:val="20"/>
                <w:szCs w:val="20"/>
              </w:rPr>
              <w:t xml:space="preserve">0.0278</w:t>
            </w:r>
          </w:p>
        </w:tc>
        <w:tc>
          <w:tcPr>
            <w:tcW w:w="0" w:type="auto"/>
          </w:tcPr>
          <w:p>
            <w:pPr>
              <w:spacing w:line="240" w:lineRule="auto" w:before="0" w:after="0"/>
              <w:pStyle w:val="Compact"/>
            </w:pPr>
            <w:r>
              <w:rPr>
                <w:sz w:val="20"/>
                <w:szCs w:val="20"/>
              </w:rPr>
              <w:t xml:space="preserve">[-40.5541, -2.3451]</w:t>
            </w:r>
          </w:p>
        </w:tc>
      </w:tr>
    </w:tbl>
    <w:p>
      <w:pPr>
        <w:pStyle w:val="BodyText"/>
      </w:pPr>
      <w:r>
        <w:t xml:space="preserve">Fit: N = 28 R2 = 0.6928 R2_adj = 0.6394 F = 24.9537 F_p = 4.449e-08</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69" Target="https://doi.org/10.1016/j.actaastro.2019.09.030" TargetMode="External" /><Relationship Type="http://schemas.openxmlformats.org/officeDocument/2006/relationships/hyperlink" Id="rId71" Target="https://doi.org/10.1016/j.actaastro.2024.09.005"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1016/j.actaastro.2019.09.030" TargetMode="External" /><Relationship Type="http://schemas.openxmlformats.org/officeDocument/2006/relationships/hyperlink" Id="rId71" Target="https://doi.org/10.1016/j.actaastro.2024.09.00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2026-06-22T20:31:12Z</dcterms:created>
  <dcterms:modified xsi:type="dcterms:W3CDTF">2026-06-22T20:31:12Z</dcterms:modified>
</cp:coreProperties>
</file>

<file path=docProps/custom.xml><?xml version="1.0" encoding="utf-8"?>
<Properties xmlns="http://schemas.openxmlformats.org/officeDocument/2006/custom-properties" xmlns:vt="http://schemas.openxmlformats.org/officeDocument/2006/docPropsVTypes"/>
</file>