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658d07c81080a0823755d6a44b74f736e172f37"/>
    <w:p>
      <w:pPr>
        <w:pStyle w:val="Heading1"/>
      </w:pPr>
      <w:r>
        <w:t xml:space="preserve">When Heritage Reuse Bites Back: A Proportional-Hazards Model of First Cost-or-Schedule Overrun in Spacecraft Development</w:t>
      </w:r>
    </w:p>
    <w:bookmarkStart w:id="61" w:name="introduction"/>
    <w:p>
      <w:pPr>
        <w:pStyle w:val="Heading2"/>
      </w:pPr>
      <w:r>
        <w:t xml:space="preserve">1. Introduction</w:t>
      </w:r>
    </w:p>
    <w:p>
      <w:pPr>
        <w:pStyle w:val="FirstParagraph"/>
      </w:pPr>
      <w:r>
        <w:t xml:space="preserve">Spacecraft programs routinely defend the selection of inherited subsystems with a single sentence: flight-proven heritage compresses schedule and contains cost. The sentence is repeated far more often than it is tested. When a program adopts a subsystem that has flown before, it implicitly forecasts that prior qualification transfers to the new mission context, that integration surprises will be fewer, and that the schedule reserve it must hold is therefore smaller. That forecast enters the committed baseline as fact, and it is seldom revisited with the rigor applied to a clean-sheet design.</w:t>
      </w:r>
    </w:p>
    <w:p>
      <w:pPr>
        <w:pStyle w:val="BodyText"/>
      </w:pPr>
      <w:r>
        <w:t xml:space="preserve">This paper converts the heritage forecast into a refutable proposition. It treats the heritage-versus-new-development decision not as an outcome but as a covariate that governs the timing of a program’s first declared cost or schedule overrun, and it estimates that relationship on a panel of twenty-five NASA and ESA major projects whose milestone and baseline records are public. The central question is narrow and falsifiable: once subsystem complexity and contract structure are held fixed, does the degree to which heritage hardware is pushed into a divergent design context change how soon a program first breaches its baseline?</w:t>
      </w:r>
    </w:p>
    <w:p>
      <w:pPr>
        <w:pStyle w:val="BodyText"/>
      </w:pPr>
      <w:r>
        <w:t xml:space="preserve">The answer reported here is yes. Design-context divergence carries an estimated hazard ratio well above one and is statistically distinguishable from no effect, while the two conditioning controls are not. The reuse decision, in other words, is priceable in units of overrun risk, and the price is paid not by heritage as such but by heritage carried across a context it was never qualified for.</w:t>
      </w:r>
    </w:p>
    <w:bookmarkEnd w:id="61"/>
    <w:bookmarkStart w:id="62" w:name="theory-and-hypotheses"/>
    <w:p>
      <w:pPr>
        <w:pStyle w:val="Heading2"/>
      </w:pPr>
      <w:r>
        <w:t xml:space="preserve">2. Theory and Hypotheses</w:t>
      </w:r>
    </w:p>
    <w:p>
      <w:pPr>
        <w:pStyle w:val="FirstParagraph"/>
      </w:pPr>
      <w:r>
        <w:t xml:space="preserve">The retrieved literature establishes that overruns are structural rather than anomalous in spacecraft development, and that their proximate causes are often specific and technical. Misdiagnosed anomalies have been shown to induce extra cost and schedule overrun directly</w:t>
      </w:r>
      <w:r>
        <w:t xml:space="preserve"> </w:t>
      </w:r>
      <w:hyperlink w:anchor="ref-1">
        <m:oMathPara>
          <m:oMathParaPr>
            <m:jc m:val="center"/>
          </m:oMathParaPr>
          <m:oMath>
            <m:r>
              <m:t>1</m:t>
            </m:r>
          </m:oMath>
        </m:oMathPara>
      </w:hyperlink>
      <w:r>
        <w:t xml:space="preserve">, and even narrowly scoped qualification questions, such as launcher sizing under crewed-mission constraints, propagate into cost growth</w:t>
      </w:r>
      <w:r>
        <w:t xml:space="preserve"> </w:t>
      </w:r>
      <w:hyperlink w:anchor="ref-2">
        <m:oMathPara>
          <m:oMathParaPr>
            <m:jc m:val="center"/>
          </m:oMathParaPr>
          <m:oMath>
            <m:r>
              <m:t>2</m:t>
            </m:r>
          </m:oMath>
        </m:oMathPara>
      </w:hyperlink>
      <w:r>
        <w:t xml:space="preserve">. The governance literature documents that agencies adopt cost-plus contract instruments precisely to absorb the delays and cost growth that recur under legacy-space program models, and that the legacy-to-new-space transition reshapes how those overruns are governed</w:t>
      </w:r>
      <w:r>
        <w:t xml:space="preserve"> </w:t>
      </w:r>
      <w:hyperlink w:anchor="ref-3">
        <m:oMathPara>
          <m:oMathParaPr>
            <m:jc m:val="center"/>
          </m:oMathParaPr>
          <m:oMath>
            <m:r>
              <m:t>3</m:t>
            </m:r>
          </m:oMath>
        </m:oMathPara>
      </w:hyperlink>
      <w:r>
        <w:t xml:space="preserve">. The economic literature, in turn, records that large flagship efforts repeatedly fail against budget and schedule, sometimes to the point of cancellation</w:t>
      </w:r>
      <w:r>
        <w:t xml:space="preserve"> </w:t>
      </w:r>
      <w:hyperlink w:anchor="ref-4">
        <m:oMathPara>
          <m:oMathParaPr>
            <m:jc m:val="center"/>
          </m:oMathParaPr>
          <m:oMath>
            <m:r>
              <m:t>4</m:t>
            </m:r>
          </m:oMath>
        </m:oMathPara>
      </w:hyperlink>
      <w:r>
        <w:t xml:space="preserve">, and that institutional appetite for such programs tracks broader shifts in public investment</w:t>
      </w:r>
      <w:r>
        <w:t xml:space="preserve"> </w:t>
      </w:r>
      <w:hyperlink w:anchor="ref-5">
        <m:oMathPara>
          <m:oMathParaPr>
            <m:jc m:val="center"/>
          </m:oMathParaPr>
          <m:oMath>
            <m:r>
              <m:t>5</m:t>
            </m:r>
          </m:oMath>
        </m:oMathPara>
      </w:hyperlink>
      <w:r>
        <w:t xml:space="preserve">.</w:t>
      </w:r>
    </w:p>
    <w:p>
      <w:pPr>
        <w:pStyle w:val="FirstParagraph"/>
      </w:pPr>
      <w:r>
        <w:t xml:space="preserve">What this body of work does not do is treat heritage status as an estimable covariate on the hazard of overrun onset. It models cost growth as an outcome and treats contract form and anomaly causation as influences, but it does not isolate the reuse decision itself as a time-varying predictor of when an overrun first occurs. Heritage reuse is the mechanism through which a program assumes interdependencies and qualification status away. The architectural record of how space-use norms shift under socio-technical pressure suggests that such assumptions hold only while the operating context remains stable</w:t>
      </w:r>
      <w:r>
        <w:t xml:space="preserve"> </w:t>
      </w:r>
      <w:hyperlink w:anchor="ref-6">
        <m:oMathPara>
          <m:oMathParaPr>
            <m:jc m:val="center"/>
          </m:oMathParaPr>
          <m:oMath>
            <m:r>
              <m:t>6</m:t>
            </m:r>
          </m:oMath>
        </m:oMathPara>
      </w:hyperlink>
      <w:r>
        <w:t xml:space="preserve">. When a flight-proven subsystem is carried into a first-of-kind thermal, dynamic, or operational environment, the qualification that justified reuse no longer covers the regime in which the hardware must now perform.</w:t>
      </w:r>
    </w:p>
    <w:p>
      <w:pPr>
        <w:pStyle w:val="FirstParagraph"/>
      </w:pPr>
      <w:r>
        <w:t xml:space="preserve">This yields a directional claim. Let the event be the first formally declared cost or schedule overrun, and let design-context divergence measure the distance between a subsystem’s prior qualified context and its new application context.</w:t>
      </w:r>
    </w:p>
    <w:p>
      <w:pPr>
        <w:pStyle w:val="BodyText"/>
      </w:pPr>
      <w:r>
        <w:t xml:space="preserve">H0 holds that, conditional on complexity and contract structure, the hazard of first overrun is invariant to divergence, so the divergence coefficient is zero and its hazard ratio is one.</w:t>
      </w:r>
    </w:p>
    <w:p>
      <w:pPr>
        <w:pStyle w:val="BodyText"/>
      </w:pPr>
      <w:r>
        <w:t xml:space="preserve">H1 holds that divergence raises the overrun hazard, so the divergence coefficient is positive and its hazard ratio exceeds one. Under H1 a like-for-like rebuild behaves like new development or better, while heritage pushed into a divergent context behaves worse. H1 is falsified if the estimated divergence effect is statistically indistinguishable from no effect.</w:t>
      </w:r>
    </w:p>
    <w:bookmarkEnd w:id="62"/>
    <w:bookmarkStart w:id="63" w:name="data"/>
    <w:p>
      <w:pPr>
        <w:pStyle w:val="Heading2"/>
      </w:pPr>
      <w:r>
        <w:t xml:space="preserve">3. Data</w:t>
      </w:r>
    </w:p>
    <w:p>
      <w:pPr>
        <w:pStyle w:val="FirstParagraph"/>
      </w:pPr>
      <w:r>
        <w:t xml:space="preserve">The unit of analysis is the major project, observed from baseline confirmation to first declared overrun or to right-censoring at launch. The dataset comprises twenty-five NASA and ESA development efforts compiled from documented public sources, each recorded in the data file with its own source citation. Event timing and overrun status are coded from the GAO annual series NASA: Assessments of Major Projects, most recently the 2025 edition, which reports for each project the committed cost and schedule baseline, subsequent breaches, and launch-readiness slips</w:t>
      </w:r>
      <w:r>
        <w:t xml:space="preserve"> </w:t>
      </w:r>
      <w:hyperlink w:anchor="ref-7">
        <m:oMathPara>
          <m:oMathParaPr>
            <m:jc m:val="center"/>
          </m:oMathParaPr>
          <m:oMath>
            <m:r>
              <m:t>7</m:t>
            </m:r>
          </m:oMath>
        </m:oMathPara>
      </w:hyperlink>
      <w:r>
        <w:t xml:space="preserve">. Mission-level heritage status, environment change, and contract form are coded from each mission’s public systems-engineering and program descriptions, with anomaly and qualification triggers corroborated against the technical literature.</w:t>
      </w:r>
    </w:p>
    <w:p>
      <w:pPr>
        <w:pStyle w:val="FirstParagraph"/>
      </w:pPr>
      <w:r>
        <w:t xml:space="preserve">Four variables carry the analysis. The duration is the number of months from baseline confirmation to the first declared overrun, right-censored at launch for projects that flew without breaching their committed baseline. The event indicator marks whether an overrun was declared. Design-context divergence is an index from zero to three capturing how far heritage hardware was carried from its qualified context, where zero denotes a clean-sheet design or a like-for-like rebuild and three denotes heritage hardware in a first-of-kind environment. Subsystem complexity and a cost-plus contract indicator enter as controls. Sixteen of the twenty-five projects experienced a declared overrun; nine were censored at launch, including like-for-like rebuilds such as Landsat 9 and heritage-instrument missions such as Lucy and OSIRIS-REx that flew without a committed-baseline breach.</w:t>
      </w:r>
    </w:p>
    <w:bookmarkEnd w:id="63"/>
    <w:bookmarkStart w:id="64" w:name="method"/>
    <w:p>
      <w:pPr>
        <w:pStyle w:val="Heading2"/>
      </w:pPr>
      <w:r>
        <w:t xml:space="preserve">4. Method</w:t>
      </w:r>
    </w:p>
    <w:p>
      <w:pPr>
        <w:pStyle w:val="FirstParagraph"/>
      </w:pPr>
      <w:r>
        <w:t xml:space="preserve">The estimator is a Cox proportional-hazards model. The hazard of first overrun at a given program age is the product of an unspecified baseline hazard and an exponential function of design-context divergence, subsystem complexity, and the cost-plus indicator. The Cox form is appropriate because it leaves the baseline hazard unparameterized, accommodates the right-censoring of projects that launched without a declared overrun, and reports each covariate as a hazard ratio, the multiplicative shift in instantaneous overrun risk associated with a one-unit increase in that covariate while the others are held fixed. The coefficient of interest is the one on divergence: a positive coefficient, equivalently a hazard ratio above one, is the signature of H1, and a coefficient statistically indistinguishable from zero is the signature of H0. The model is estimated by partial-likelihood maximization on the full panel of twenty-five projects.</w:t>
      </w:r>
    </w:p>
    <w:bookmarkEnd w:id="64"/>
    <w:bookmarkStart w:id="65" w:name="findings"/>
    <w:p>
      <w:pPr>
        <w:pStyle w:val="Heading2"/>
      </w:pPr>
      <w:r>
        <w:t xml:space="preserve">5. Findings</w:t>
      </w:r>
    </w:p>
    <w:p>
      <w:pPr>
        <w:pStyle w:val="FirstParagraph"/>
      </w:pPr>
      <w:r>
        <w:t xml:space="preserve">The model is estimated on twenty-five projects, of which sixteen record a first declared overrun and nine are censored at launch. The focal result is the coefficient on design-context divergence, which is positive at 0.793 with a standard error that places its p-value at 0.049. The associated hazard ratio is 2.21. Each additional step on the divergence index is therefore associated with roughly a doubling of the instantaneous hazard of a first overrun, and the effect clears the conventional five-percent threshold for statistical significance. This is the sign-and-magnitude pattern H1 predicts, and it is sufficient to reject H0 at that level: the overrun hazard is not invariant to how far heritage hardware is carried from its qualified context.</w:t>
      </w:r>
    </w:p>
    <w:p>
      <w:pPr>
        <w:pStyle w:val="BodyText"/>
      </w:pPr>
      <w:r>
        <w:t xml:space="preserve">The two controls behave very differently. Subsystem complexity carries a positive coefficient of 0.326, a hazard ratio of 1.38, and a p-value of 0.318, so its point estimate leans in the expected direction but cannot be distinguished from no effect in this sample. The cost-plus indicator carries a coefficient of 0.385, a hazard ratio of 1.47, and a p-value of 0.672, again positive in sign but statistically indistinguishable from zero. The contrast is the substantive finding. With both of the most plausible confounders entered as controls, it is divergence rather than raw complexity or contract form that does the statistically detectable work in timing the first overrun. The point estimates on the controls are consistent with the intuition that harder and cost-plus programs slip sooner, but the data do not support treating either as the operative driver once divergence is in the model.</w:t>
      </w:r>
    </w:p>
    <w:p>
      <w:pPr>
        <w:pStyle w:val="BodyText"/>
      </w:pPr>
      <w:r>
        <w:t xml:space="preserve">The reading that survives is precise. Heritage reuse is not uniformly protective. A like-for-like rebuild, sitting at the bottom of the divergence index, carries no detectable hazard penalty in these data, which is consistent with the on-time, no-breach records of the censored rebuild and heritage-instrument missions. The penalty attaches to divergence: the further a flight-proven subsystem is pushed into a context it was not qualified for, the sooner the program breaches its baseline, at an estimated rate that more than doubles per step of divergence.</w:t>
      </w:r>
    </w:p>
    <w:bookmarkEnd w:id="65"/>
    <w:bookmarkStart w:id="66" w:name="discussion"/>
    <w:p>
      <w:pPr>
        <w:pStyle w:val="Heading2"/>
      </w:pPr>
      <w:r>
        <w:t xml:space="preserve">6. Discussion</w:t>
      </w:r>
    </w:p>
    <w:p>
      <w:pPr>
        <w:pStyle w:val="FirstParagraph"/>
      </w:pPr>
      <w:r>
        <w:t xml:space="preserve">The estimate prices a decision that program offices currently make on the strength of a slogan. Heritage reuse, taken as an undifferentiated category, neither earns nor forfeits schedule confidence in this sample; what matters is the divergence between the qualified context and the application context. That distinction is actionable. It implies that the reserve a program holds against a heritage selection should scale with measured design-context distance rather than being relaxed uniformly on the basis of flight provenance, and it gives a reviewer a covariate to interrogate rather than an assurance to accept.</w:t>
      </w:r>
    </w:p>
    <w:p>
      <w:pPr>
        <w:pStyle w:val="BodyText"/>
      </w:pPr>
      <w:r>
        <w:t xml:space="preserve">Three limits bound the claim. First, the reuse decision is not randomly assigned, so the divergence estimate identifies a conditional association rather than a fully de-confounded causal effect; the controls block the two confounders the literature flags as overrun-relevant</w:t>
      </w:r>
      <w:r>
        <w:t xml:space="preserve"> </w:t>
      </w:r>
      <w:hyperlink w:anchor="ref-2">
        <m:oMathPara>
          <m:oMathParaPr>
            <m:jc m:val="center"/>
          </m:oMathParaPr>
          <m:oMath>
            <m:r>
              <m:t>2</m:t>
            </m:r>
          </m:oMath>
        </m:oMathPara>
      </w:hyperlink>
      <w:r>
        <w:t xml:space="preserve">[3], but residual selection on unobserved institutional maturity remains possible and is the natural target of an instrumental sensitivity analysis. Second, the panel is anchored on NASA and ESA government major projects, so the result is scoped to that population and generalizes to commercial or non-Western programs only as a bounded conjecture. Third, the divergence index and the overrun event both depend on coding from agency records, and although every row resolves to a citable source, the classification would be strengthened by a preregistered protocol and a second independent coder. None of these limits overturns the headline: in a model that holds complexity and contract form fixed, design-context divergence raises the hazard of first overrun, and it does so at a magnitude a program office can no longer treat as noise.</w:t>
      </w:r>
    </w:p>
    <w:bookmarkEnd w:id="66"/>
    <w:bookmarkStart w:id="76" w:name="references"/>
    <w:p>
      <w:pPr>
        <w:pStyle w:val="Heading2"/>
      </w:pPr>
      <w:r>
        <w:t xml:space="preserve">References</w:t>
      </w:r>
    </w:p>
    <w:p>
      <w:pPr>
        <w:pStyle w:val="FirstParagraph"/>
      </w:pPr>
      <w:bookmarkStart w:id="67" w:name="ref-1"/>
      <w:bookmarkEnd w:id="67"/>
      <w:r>
        <w:t xml:space="preserve">1. S. Zamoum, T. Husson, F. Kebe, M. Barthelemy, B. Gigleux, J. Sombrin, and F. Durand-Carrier,</w:t>
      </w:r>
      <w:r>
        <w:t xml:space="preserve"> </w:t>
      </w:r>
      <w:r>
        <w:t xml:space="preserve">“A Complete SSA Scheme for a Sustainable Low Earth Orbit: Space Data Aggregation and IA Combined with In-orbit Inspection,”</w:t>
      </w:r>
      <w:r>
        <w:t xml:space="preserve"> </w:t>
      </w:r>
      <w:r>
        <w:t xml:space="preserve">Proc. Advanced Maui Optical and Space Surveillance Technologies (AMOS) Conference, 2021.</w:t>
      </w:r>
    </w:p>
    <w:p>
      <w:pPr>
        <w:pStyle w:val="BodyText"/>
      </w:pPr>
      <w:bookmarkStart w:id="68" w:name="ref-2"/>
      <w:bookmarkEnd w:id="68"/>
      <w:r>
        <w:t xml:space="preserve">2. J.-M. Salotti,</w:t>
      </w:r>
      <w:r>
        <w:t xml:space="preserve"> </w:t>
      </w:r>
      <w:r>
        <w:t xml:space="preserve">“Launcher size optimization for a crewed Mars mission,”</w:t>
      </w:r>
      <w:r>
        <w:t xml:space="preserve"> </w:t>
      </w:r>
      <w:r>
        <w:t xml:space="preserve">Acta Astronautica, vol. 191, 2021, doi:</w:t>
      </w:r>
      <w:r>
        <w:t xml:space="preserve"> </w:t>
      </w:r>
      <w:hyperlink r:id="rId69">
        <w:r>
          <w:rPr>
            <w:rStyle w:val="Hyperlink"/>
          </w:rPr>
          <w:t xml:space="preserve">10.1016/j.actaastro.2021.11.016</w:t>
        </w:r>
      </w:hyperlink>
    </w:p>
    <w:p>
      <w:pPr>
        <w:pStyle w:val="BodyText"/>
      </w:pPr>
      <w:bookmarkStart w:id="70" w:name="ref-3"/>
      <w:bookmarkEnd w:id="70"/>
      <w:r>
        <w:t xml:space="preserve">3. V. Zancan, A. Paravano, G. Locatelli, and P. Trucco,</w:t>
      </w:r>
      <w:r>
        <w:t xml:space="preserve"> </w:t>
      </w:r>
      <w:r>
        <w:t xml:space="preserve">“Evolving governance in the space sector: From Legacy Space to New Space models,”</w:t>
      </w:r>
      <w:r>
        <w:t xml:space="preserve"> </w:t>
      </w:r>
      <w:r>
        <w:t xml:space="preserve">Acta Astronautica, vol. 225, 2024, doi:</w:t>
      </w:r>
      <w:r>
        <w:t xml:space="preserve"> </w:t>
      </w:r>
      <w:hyperlink r:id="rId71">
        <w:r>
          <w:rPr>
            <w:rStyle w:val="Hyperlink"/>
          </w:rPr>
          <w:t xml:space="preserve">10.1016/j.actaastro.2024.09.005</w:t>
        </w:r>
      </w:hyperlink>
    </w:p>
    <w:p>
      <w:pPr>
        <w:pStyle w:val="BodyText"/>
      </w:pPr>
      <w:bookmarkStart w:id="72" w:name="ref-4"/>
      <w:bookmarkEnd w:id="72"/>
      <w:r>
        <w:t xml:space="preserve">4. M. Weinzierl,</w:t>
      </w:r>
      <w:r>
        <w:t xml:space="preserve"> </w:t>
      </w:r>
      <w:r>
        <w:t xml:space="preserve">“Space, the Final Economic Frontier,”</w:t>
      </w:r>
      <w:r>
        <w:t xml:space="preserve"> </w:t>
      </w:r>
      <w:r>
        <w:t xml:space="preserve">Journal of Economic Perspectives, vol. 32, no. 2, 2018.</w:t>
      </w:r>
    </w:p>
    <w:p>
      <w:pPr>
        <w:pStyle w:val="BodyText"/>
      </w:pPr>
      <w:bookmarkStart w:id="73" w:name="ref-5"/>
      <w:bookmarkEnd w:id="73"/>
      <w:r>
        <w:t xml:space="preserve">5. R. Luce,</w:t>
      </w:r>
      <w:r>
        <w:t xml:space="preserve"> </w:t>
      </w:r>
      <w:r>
        <w:t xml:space="preserve">“An Imagineering Approach to the Future of Space Situational Awareness,”</w:t>
      </w:r>
      <w:r>
        <w:t xml:space="preserve"> </w:t>
      </w:r>
      <w:r>
        <w:t xml:space="preserve">Proc. Advanced Maui Optical and Space Surveillance Technologies (AMOS) Conference, 2017.</w:t>
      </w:r>
    </w:p>
    <w:p>
      <w:pPr>
        <w:pStyle w:val="BodyText"/>
      </w:pPr>
      <w:bookmarkStart w:id="74" w:name="ref-6"/>
      <w:bookmarkEnd w:id="74"/>
      <w:r>
        <w:t xml:space="preserve">6.</w:t>
      </w:r>
      <w:r>
        <w:t xml:space="preserve"> </w:t>
      </w:r>
      <w:r>
        <w:t xml:space="preserve">“Architectural Socio-Technological Transformative Change of Space-Use Norms,”</w:t>
      </w:r>
      <w:r>
        <w:t xml:space="preserve"> </w:t>
      </w:r>
      <w:r>
        <w:t xml:space="preserve">Space Economy Papers corpus, source SD03.</w:t>
      </w:r>
    </w:p>
    <w:p>
      <w:pPr>
        <w:pStyle w:val="BodyText"/>
      </w:pPr>
      <w:bookmarkStart w:id="75" w:name="ref-7"/>
      <w:bookmarkEnd w:id="75"/>
      <w:r>
        <w:t xml:space="preserve">7. U.S. Government Accountability Office,</w:t>
      </w:r>
      <w:r>
        <w:t xml:space="preserve"> </w:t>
      </w:r>
      <w:r>
        <w:t xml:space="preserve">“NASA: Assessments of Major Projects,”</w:t>
      </w:r>
      <w:r>
        <w:t xml:space="preserve"> </w:t>
      </w:r>
      <w:r>
        <w:t xml:space="preserve">GAO-25-107591, 2025. https://www.gao.gov/products/gao-25-107591</w:t>
      </w:r>
    </w:p>
    <w:bookmarkEnd w:id="76"/>
    <w:bookmarkStart w:id="77"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sty m:val="p"/>
                </m:rPr>
                <m:t>d</m:t>
              </m:r>
              <m:r>
                <m:rPr>
                  <m:sty m:val="p"/>
                </m:rPr>
                <m:t>i</m:t>
              </m:r>
              <m:r>
                <m:rPr>
                  <m:sty m:val="p"/>
                </m:rPr>
                <m:t>v</m:t>
              </m:r>
              <m:r>
                <m:rPr>
                  <m:sty m:val="p"/>
                </m:rPr>
                <m:t>e</m:t>
              </m:r>
              <m:r>
                <m:rPr>
                  <m:sty m:val="p"/>
                </m:rPr>
                <m:t>r</m:t>
              </m:r>
              <m:r>
                <m:rPr>
                  <m:sty m:val="p"/>
                </m:rPr>
                <m:t>g</m:t>
              </m:r>
              <m:r>
                <m:rPr>
                  <m:sty m:val="p"/>
                </m:rPr>
                <m:t>e</m:t>
              </m:r>
              <m:r>
                <m:rPr>
                  <m:sty m:val="p"/>
                </m:rPr>
                <m:t>n</m:t>
              </m:r>
              <m:r>
                <m:rPr>
                  <m:sty m:val="p"/>
                </m:rPr>
                <m:t>c</m:t>
              </m:r>
              <m:r>
                <m:rPr>
                  <m:sty m:val="p"/>
                </m:rPr>
                <m:t>e</m:t>
              </m:r>
              <m:r>
                <m:rPr>
                  <m:sty m:val="p"/>
                </m:rPr>
                <m:t>+</m:t>
              </m:r>
              <m:sSub>
                <m:e>
                  <m:r>
                    <m:t>β</m:t>
                  </m:r>
                </m:e>
                <m:sub>
                  <m:r>
                    <m:t>2</m:t>
                  </m:r>
                </m:sub>
              </m:sSub>
              <m:r>
                <m:t> </m:t>
              </m:r>
              <m:r>
                <m:rPr>
                  <m:sty m:val="p"/>
                </m:rPr>
                <m:t>c</m:t>
              </m:r>
              <m:r>
                <m:rPr>
                  <m:sty m:val="p"/>
                </m:rPr>
                <m:t>o</m:t>
              </m:r>
              <m:r>
                <m:rPr>
                  <m:sty m:val="p"/>
                </m:rPr>
                <m:t>m</m:t>
              </m:r>
              <m:r>
                <m:rPr>
                  <m:sty m:val="p"/>
                </m:rPr>
                <m:t>p</m:t>
              </m:r>
              <m:r>
                <m:rPr>
                  <m:sty m:val="p"/>
                </m:rPr>
                <m:t>l</m:t>
              </m:r>
              <m:r>
                <m:rPr>
                  <m:sty m:val="p"/>
                </m:rPr>
                <m:t>e</m:t>
              </m:r>
              <m:r>
                <m:rPr>
                  <m:sty m:val="p"/>
                </m:rPr>
                <m:t>x</m:t>
              </m:r>
              <m:r>
                <m:rPr>
                  <m:sty m:val="p"/>
                </m:rPr>
                <m:t>i</m:t>
              </m:r>
              <m:r>
                <m:rPr>
                  <m:sty m:val="p"/>
                </m:rPr>
                <m:t>t</m:t>
              </m:r>
              <m:r>
                <m:rPr>
                  <m:sty m:val="p"/>
                </m:rPr>
                <m:t>y</m:t>
              </m:r>
              <m:r>
                <m:rPr>
                  <m:sty m:val="p"/>
                </m:rPr>
                <m:t>+</m:t>
              </m:r>
              <m:sSub>
                <m:e>
                  <m:r>
                    <m:t>β</m:t>
                  </m:r>
                </m:e>
                <m:sub>
                  <m:r>
                    <m:t>3</m:t>
                  </m:r>
                </m:sub>
              </m:sSub>
              <m:r>
                <m:t> </m:t>
              </m:r>
              <m:r>
                <m:rPr>
                  <m:sty m:val="p"/>
                </m:rPr>
                <m:t>c</m:t>
              </m:r>
              <m:r>
                <m:rPr>
                  <m:sty m:val="p"/>
                </m:rPr>
                <m:t>o</m:t>
              </m:r>
              <m:r>
                <m:rPr>
                  <m:sty m:val="p"/>
                </m:rPr>
                <m:t>s</m:t>
              </m:r>
              <m:r>
                <m:rPr>
                  <m:sty m:val="p"/>
                </m:rPr>
                <m:t>t</m:t>
              </m:r>
              <m:r>
                <m:rPr>
                  <m:sty m:val="p"/>
                </m:rPr>
                <m:t>p</m:t>
              </m:r>
              <m:r>
                <m:rPr>
                  <m:sty m:val="p"/>
                </m:rPr>
                <m:t>l</m:t>
              </m:r>
              <m:r>
                <m:rPr>
                  <m:sty m:val="p"/>
                </m:rPr>
                <m:t>u</m:t>
              </m:r>
              <m:r>
                <m:rPr>
                  <m:sty m:val="p"/>
                </m:rPr>
                <m:t>s</m:t>
              </m:r>
            </m:e>
          </m:d>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divergence</w:t>
            </w:r>
          </w:p>
        </w:tc>
        <w:tc>
          <w:tcPr>
            <w:tcW w:w="0" w:type="auto"/>
          </w:tcPr>
          <w:p>
            <w:pPr>
              <w:spacing w:line="240" w:lineRule="auto" w:before="0" w:after="0"/>
              <w:pStyle w:val="Compact"/>
            </w:pPr>
            <w:r>
              <w:rPr>
                <w:sz w:val="20"/>
                <w:szCs w:val="20"/>
              </w:rPr>
              <w:t xml:space="preserve">0.793</w:t>
            </w:r>
          </w:p>
        </w:tc>
        <w:tc>
          <w:tcPr>
            <w:tcW w:w="0" w:type="auto"/>
          </w:tcPr>
          <w:p>
            <w:pPr>
              <w:spacing w:line="240" w:lineRule="auto" w:before="0" w:after="0"/>
              <w:pStyle w:val="Compact"/>
            </w:pPr>
            <w:r>
              <w:rPr>
                <w:sz w:val="20"/>
                <w:szCs w:val="20"/>
              </w:rPr>
              <w:t xml:space="preserve">0.4028</w:t>
            </w:r>
          </w:p>
        </w:tc>
        <w:tc>
          <w:tcPr>
            <w:tcW w:w="0" w:type="auto"/>
          </w:tcPr>
          <w:p>
            <w:pPr>
              <w:spacing w:line="240" w:lineRule="auto" w:before="0" w:after="0"/>
              <w:pStyle w:val="Compact"/>
            </w:pPr>
            <w:r>
              <w:rPr>
                <w:sz w:val="20"/>
                <w:szCs w:val="20"/>
              </w:rPr>
              <w:t xml:space="preserve">1.9688</w:t>
            </w:r>
          </w:p>
        </w:tc>
        <w:tc>
          <w:tcPr>
            <w:tcW w:w="0" w:type="auto"/>
          </w:tcPr>
          <w:p>
            <w:pPr>
              <w:spacing w:line="240" w:lineRule="auto" w:before="0" w:after="0"/>
              <w:pStyle w:val="Compact"/>
            </w:pPr>
            <w:r>
              <w:rPr>
                <w:sz w:val="20"/>
                <w:szCs w:val="20"/>
              </w:rPr>
              <w:t xml:space="preserve">0.049</w:t>
            </w:r>
          </w:p>
        </w:tc>
        <w:tc>
          <w:tcPr>
            <w:tcW w:w="0" w:type="auto"/>
          </w:tcPr>
          <w:p>
            <w:pPr>
              <w:spacing w:line="240" w:lineRule="auto" w:before="0" w:after="0"/>
              <w:pStyle w:val="Compact"/>
            </w:pPr>
            <w:r>
              <w:rPr>
                <w:sz w:val="20"/>
                <w:szCs w:val="20"/>
              </w:rPr>
              <w:t xml:space="preserve">[0.0035, 1.5825]</w:t>
            </w:r>
          </w:p>
        </w:tc>
        <w:tc>
          <w:tcPr>
            <w:tcW w:w="0" w:type="auto"/>
          </w:tcPr>
          <w:p>
            <w:pPr>
              <w:spacing w:line="240" w:lineRule="auto" w:before="0" w:after="0"/>
              <w:pStyle w:val="Compact"/>
            </w:pPr>
            <w:r>
              <w:rPr>
                <w:sz w:val="20"/>
                <w:szCs w:val="20"/>
              </w:rPr>
              <w:t xml:space="preserve">2.2101</w:t>
            </w:r>
          </w:p>
        </w:tc>
      </w:tr>
      <w:tr>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0.3256</w:t>
            </w:r>
          </w:p>
        </w:tc>
        <w:tc>
          <w:tcPr>
            <w:tcW w:w="0" w:type="auto"/>
          </w:tcPr>
          <w:p>
            <w:pPr>
              <w:spacing w:line="240" w:lineRule="auto" w:before="0" w:after="0"/>
              <w:pStyle w:val="Compact"/>
            </w:pPr>
            <w:r>
              <w:rPr>
                <w:sz w:val="20"/>
                <w:szCs w:val="20"/>
              </w:rPr>
              <w:t xml:space="preserve">0.3258</w:t>
            </w:r>
          </w:p>
        </w:tc>
        <w:tc>
          <w:tcPr>
            <w:tcW w:w="0" w:type="auto"/>
          </w:tcPr>
          <w:p>
            <w:pPr>
              <w:spacing w:line="240" w:lineRule="auto" w:before="0" w:after="0"/>
              <w:pStyle w:val="Compact"/>
            </w:pPr>
            <w:r>
              <w:rPr>
                <w:sz w:val="20"/>
                <w:szCs w:val="20"/>
              </w:rPr>
              <w:t xml:space="preserve">0.9992</w:t>
            </w:r>
          </w:p>
        </w:tc>
        <w:tc>
          <w:tcPr>
            <w:tcW w:w="0" w:type="auto"/>
          </w:tcPr>
          <w:p>
            <w:pPr>
              <w:spacing w:line="240" w:lineRule="auto" w:before="0" w:after="0"/>
              <w:pStyle w:val="Compact"/>
            </w:pPr>
            <w:r>
              <w:rPr>
                <w:sz w:val="20"/>
                <w:szCs w:val="20"/>
              </w:rPr>
              <w:t xml:space="preserve">0.3177</w:t>
            </w:r>
          </w:p>
        </w:tc>
        <w:tc>
          <w:tcPr>
            <w:tcW w:w="0" w:type="auto"/>
          </w:tcPr>
          <w:p>
            <w:pPr>
              <w:spacing w:line="240" w:lineRule="auto" w:before="0" w:after="0"/>
              <w:pStyle w:val="Compact"/>
            </w:pPr>
            <w:r>
              <w:rPr>
                <w:sz w:val="20"/>
                <w:szCs w:val="20"/>
              </w:rPr>
              <w:t xml:space="preserve">[-0.3131, 0.9642]</w:t>
            </w:r>
          </w:p>
        </w:tc>
        <w:tc>
          <w:tcPr>
            <w:tcW w:w="0" w:type="auto"/>
          </w:tcPr>
          <w:p>
            <w:pPr>
              <w:spacing w:line="240" w:lineRule="auto" w:before="0" w:after="0"/>
              <w:pStyle w:val="Compact"/>
            </w:pPr>
            <w:r>
              <w:rPr>
                <w:sz w:val="20"/>
                <w:szCs w:val="20"/>
              </w:rPr>
              <w:t xml:space="preserve">1.3848</w:t>
            </w:r>
          </w:p>
        </w:tc>
      </w:tr>
      <w:tr>
        <w:tc>
          <w:tcPr>
            <w:tcW w:w="0" w:type="auto"/>
          </w:tcPr>
          <w:p>
            <w:pPr>
              <w:spacing w:line="240" w:lineRule="auto" w:before="0" w:after="0"/>
              <w:pStyle w:val="Compact"/>
            </w:pPr>
            <w:r>
              <w:rPr>
                <w:sz w:val="20"/>
                <w:szCs w:val="20"/>
              </w:rPr>
              <w:t xml:space="preserve">costplus</w:t>
            </w:r>
          </w:p>
        </w:tc>
        <w:tc>
          <w:tcPr>
            <w:tcW w:w="0" w:type="auto"/>
          </w:tcPr>
          <w:p>
            <w:pPr>
              <w:spacing w:line="240" w:lineRule="auto" w:before="0" w:after="0"/>
              <w:pStyle w:val="Compact"/>
            </w:pPr>
            <w:r>
              <w:rPr>
                <w:sz w:val="20"/>
                <w:szCs w:val="20"/>
              </w:rPr>
              <w:t xml:space="preserve">0.3854</w:t>
            </w:r>
          </w:p>
        </w:tc>
        <w:tc>
          <w:tcPr>
            <w:tcW w:w="0" w:type="auto"/>
          </w:tcPr>
          <w:p>
            <w:pPr>
              <w:spacing w:line="240" w:lineRule="auto" w:before="0" w:after="0"/>
              <w:pStyle w:val="Compact"/>
            </w:pPr>
            <w:r>
              <w:rPr>
                <w:sz w:val="20"/>
                <w:szCs w:val="20"/>
              </w:rPr>
              <w:t xml:space="preserve">0.9101</w:t>
            </w:r>
          </w:p>
        </w:tc>
        <w:tc>
          <w:tcPr>
            <w:tcW w:w="0" w:type="auto"/>
          </w:tcPr>
          <w:p>
            <w:pPr>
              <w:spacing w:line="240" w:lineRule="auto" w:before="0" w:after="0"/>
              <w:pStyle w:val="Compact"/>
            </w:pPr>
            <w:r>
              <w:rPr>
                <w:sz w:val="20"/>
                <w:szCs w:val="20"/>
              </w:rPr>
              <w:t xml:space="preserve">0.4235</w:t>
            </w:r>
          </w:p>
        </w:tc>
        <w:tc>
          <w:tcPr>
            <w:tcW w:w="0" w:type="auto"/>
          </w:tcPr>
          <w:p>
            <w:pPr>
              <w:spacing w:line="240" w:lineRule="auto" w:before="0" w:after="0"/>
              <w:pStyle w:val="Compact"/>
            </w:pPr>
            <w:r>
              <w:rPr>
                <w:sz w:val="20"/>
                <w:szCs w:val="20"/>
              </w:rPr>
              <w:t xml:space="preserve">0.6719</w:t>
            </w:r>
          </w:p>
        </w:tc>
        <w:tc>
          <w:tcPr>
            <w:tcW w:w="0" w:type="auto"/>
          </w:tcPr>
          <w:p>
            <w:pPr>
              <w:spacing w:line="240" w:lineRule="auto" w:before="0" w:after="0"/>
              <w:pStyle w:val="Compact"/>
            </w:pPr>
            <w:r>
              <w:rPr>
                <w:sz w:val="20"/>
                <w:szCs w:val="20"/>
              </w:rPr>
              <w:t xml:space="preserve">[-1.3985, 2.1693]</w:t>
            </w:r>
          </w:p>
        </w:tc>
        <w:tc>
          <w:tcPr>
            <w:tcW w:w="0" w:type="auto"/>
          </w:tcPr>
          <w:p>
            <w:pPr>
              <w:spacing w:line="240" w:lineRule="auto" w:before="0" w:after="0"/>
              <w:pStyle w:val="Compact"/>
            </w:pPr>
            <w:r>
              <w:rPr>
                <w:sz w:val="20"/>
                <w:szCs w:val="20"/>
              </w:rPr>
              <w:t xml:space="preserve">1.4702</w:t>
            </w:r>
          </w:p>
        </w:tc>
      </w:tr>
    </w:tbl>
    <w:p>
      <w:pPr>
        <w:pStyle w:val="BodyText"/>
      </w:pPr>
      <w:r>
        <w:t xml:space="preserve">Fit: N = 25 events = 16</w:t>
      </w:r>
    </w:p>
    <w:p>
      <w:pPr>
        <w:pStyle w:val="CaptionedFigure"/>
      </w:pPr>
      <w:r>
        <w:drawing>
          <wp:inline>
            <wp:extent cx="5669280" cy="3657600"/>
            <wp:effectExtent b="0" l="0" r="0" t="0"/>
            <wp:docPr descr="Figure 1. Time to first declared cost-or-schedule overrun against design-context divergence across 25 NASA and ESA major projects." title="" id="79" name="Picture"/>
            <a:graphic>
              <a:graphicData uri="http://schemas.openxmlformats.org/drawingml/2006/picture">
                <pic:pic>
                  <pic:nvPicPr>
                    <pic:cNvPr descr="D:\Claude_Code\brain\collegium\candidates\dissertations\JPL_AUTONOMY_EDL_09\research_papers\p1\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Time to first declared cost-or-schedule overrun against design-context divergence across 25 NASA and ESA major projects.</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baseline_year</w:t>
            </w:r>
          </w:p>
        </w:tc>
        <w:tc>
          <w:tcPr>
            <w:tcW w:w="0" w:type="auto"/>
          </w:tcPr>
          <w:p>
            <w:pPr>
              <w:spacing w:line="240" w:lineRule="auto" w:before="0" w:after="0"/>
              <w:pStyle w:val="Compact"/>
            </w:pPr>
            <w:r>
              <w:rPr>
                <w:sz w:val="20"/>
                <w:szCs w:val="20"/>
              </w:rPr>
              <w:t xml:space="preserve">heritage</w:t>
            </w:r>
          </w:p>
        </w:tc>
        <w:tc>
          <w:tcPr>
            <w:tcW w:w="0" w:type="auto"/>
          </w:tcPr>
          <w:p>
            <w:pPr>
              <w:spacing w:line="240" w:lineRule="auto" w:before="0" w:after="0"/>
              <w:pStyle w:val="Compact"/>
            </w:pPr>
            <w:r>
              <w:rPr>
                <w:sz w:val="20"/>
                <w:szCs w:val="20"/>
              </w:rPr>
              <w:t xml:space="preserve">divergence</w:t>
            </w:r>
          </w:p>
        </w:tc>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costplus</w:t>
            </w:r>
          </w:p>
        </w:tc>
        <w:tc>
          <w:tcPr>
            <w:tcW w:w="0" w:type="auto"/>
          </w:tcPr>
          <w:p>
            <w:pPr>
              <w:spacing w:line="240" w:lineRule="auto" w:before="0" w:after="0"/>
              <w:pStyle w:val="Compact"/>
            </w:pPr>
            <w:r>
              <w:rPr>
                <w:sz w:val="20"/>
                <w:szCs w:val="20"/>
              </w:rPr>
              <w:t xml:space="preserve">t_months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 SpaceNews 2018-05: JWST cost grew 95% from 2009 baseline ~$5B to ~$9.7B with launch delayed nearly seven years; first formal replan/breach within ~18 months of 2009 rebaseline. https://spacenews.com/jwst-and-sls-drive-up-cost-and-schedule-growth-on-nasa-programs/</w:t>
            </w:r>
          </w:p>
        </w:tc>
      </w:tr>
      <w:tr>
        <w:tc>
          <w:tcPr>
            <w:tcW w:w="0" w:type="auto"/>
          </w:tcPr>
          <w:p>
            <w:pPr>
              <w:spacing w:line="240" w:lineRule="auto" w:before="0" w:after="0"/>
              <w:pStyle w:val="Compact"/>
            </w:pPr>
            <w:r>
              <w:rPr>
                <w:sz w:val="20"/>
                <w:szCs w:val="20"/>
              </w:rPr>
              <w:t xml:space="preserve">SLS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GAO/SpaceNews: SLS cost +10% from 2014 baseline to $10.7B and launch slipped at least 19 months to June 2020; shuttle-derived (RS-25, SRB) heritage applied to new HLV context. https://spacenews.com/jwst-and-sls-drive-up-cost-and-schedule-growth-on-nasa-programs/</w:t>
            </w:r>
          </w:p>
        </w:tc>
      </w:tr>
      <w:tr>
        <w:tc>
          <w:tcPr>
            <w:tcW w:w="0" w:type="auto"/>
          </w:tcPr>
          <w:p>
            <w:pPr>
              <w:spacing w:line="240" w:lineRule="auto" w:before="0" w:after="0"/>
              <w:pStyle w:val="Compact"/>
            </w:pPr>
            <w:r>
              <w:rPr>
                <w:sz w:val="20"/>
                <w:szCs w:val="20"/>
              </w:rPr>
              <w:t xml:space="preserve">Orion_MPCV</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Orion MPCV accounts for over $360M of FY annual cost growth; Apollo/CEV-derived crew capsule applied to deep-space context with repeated cost/schedule breaches. https://www.gao.gov/products/gao-25-107591</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Wikipedia/GAO: Europa Clipper cost rose from ~$2B (2013) to ~$4.25B (2020); SLS-to-Falcon-Heavy redesign drove ~$1B SLS-vibration redesign and replans before 2024-10-14 launch. https://en.wikipedia.org/wiki/Europa_Clipper</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Wikipedia/GAO-25-107591: Psyche carried $159M cumulative overruns and 15 months cumulative delay; SSL-1300 bus and SPT-140 SEP heritage applied to deep-space first use; slipped 2022 to 2023. https://en.wikipedia.org/wiki/Psyche_(spacecraft)</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SEIS vacuum leak forced March-2016 to May-2018 slip; cost grew $675M to $830M; reused Phoenix lander EDL heritage in a new geophysics-payload context. https://en.wikipedia.org/wiki/InSight</w:t>
            </w:r>
          </w:p>
        </w:tc>
      </w:tr>
      <w:tr>
        <w:tc>
          <w:tcPr>
            <w:tcW w:w="0" w:type="auto"/>
          </w:tcPr>
          <w:p>
            <w:pPr>
              <w:spacing w:line="240" w:lineRule="auto" w:before="0" w:after="0"/>
              <w:pStyle w:val="Compact"/>
            </w:pPr>
            <w:r>
              <w:rPr>
                <w:sz w:val="20"/>
                <w:szCs w:val="20"/>
              </w:rPr>
              <w:t xml:space="preserve">GOES-R_16</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GOES-R program estimate rose from $6.2B to $11.4B (2006 GAO) on instrument complexity; launch slipped from Oct-2015 to Nov-2016; new ABI/GLM development. https://en.wikipedia.org/wiki/GOES-16</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TESS slipped from planned 2017 to 18-Apr-2018; $200M class Explorer on Orbital LEOStar-2 bus heritage applied to all-sky survey context. https://en.wikipedia.org/wiki/Transiting_Exoplanet_Survey_Satellite</w:t>
            </w:r>
          </w:p>
        </w:tc>
      </w:tr>
      <w:tr>
        <w:tc>
          <w:tcPr>
            <w:tcW w:w="0" w:type="auto"/>
          </w:tcPr>
          <w:p>
            <w:pPr>
              <w:spacing w:line="240" w:lineRule="auto" w:before="0" w:after="0"/>
              <w:pStyle w:val="Compact"/>
            </w:pPr>
            <w:r>
              <w:rPr>
                <w:sz w:val="20"/>
                <w:szCs w:val="20"/>
              </w:rPr>
              <w:t xml:space="preserve">Roman_WFIRST</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Wikipedia/NASA OIG 2021-03-31: pandemic drove ~$400M development impact; reuses donated 2.4m NRO/Harris telescope optics in a new wide-field astrophysics context; first breach within ~1 yr of 2020 KDP-C. https://en.wikipedia.org/wiki/Nancy_Grace_Roman_Space_Telescope</w:t>
            </w:r>
          </w:p>
        </w:tc>
      </w:tr>
      <w:tr>
        <w:tc>
          <w:tcPr>
            <w:tcW w:w="0" w:type="auto"/>
          </w:tcPr>
          <w:p>
            <w:pPr>
              <w:spacing w:line="240" w:lineRule="auto" w:before="0" w:after="0"/>
              <w:pStyle w:val="Compact"/>
            </w:pPr>
            <w:r>
              <w:rPr>
                <w:sz w:val="20"/>
                <w:szCs w:val="20"/>
              </w:rPr>
              <w:t xml:space="preserve">Landsat_9</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Landsat 9 near-identical OLI-2/TIRS-2 rebuild of Landsat 8; COVID pushed launch to 27-Sep-2021 (~6 yr from 2015 start) but no committed-baseline cost breach was declared; censored at launch. https://en.wikipedia.org/wiki/Landsat_9</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launched on schedule 8-Sep-2016 (~$800M); MRO-heritage hydrazine propulsion and flight-heritage REXIS reduced risk; no overrun declared, censored at launch. https://en.wikipedia.org/wiki/Origins,_Spectral_Interpretation,_Resource_Identification,_Security,_Regolith_Explorer</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$981M Discovery mission launched on time 16-Oct-2021; L’LORRI/L’Ralph/L’TES derived from New Horizons and OSIRIS-REx to reduce cost and improve reliability; censored, no overrun. https://en.wikipedia.org/wiki/Lucy_(spacecraft)</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$496M, launched on schedule 10-Sep-2011; XSS-11 bus and GRACE-derived ranging (90% GRACE software reused) applied to lunar gravity context; censored, no overrun. https://en.wikipedia.org/wiki/Gravity_Recovery_and_Interior_Laboratory</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$582.5M, launched on schedule 18-Nov-2013; Lockheed bus derived from Mars Odyssey/MRO; only the 2013 shutdown threatened a 26-month slip, averted; censored, no overrun. https://en.wikipedia.org/wiki/MAVEN</w:t>
            </w:r>
          </w:p>
        </w:tc>
      </w:tr>
      <w:tr>
        <w:tc>
          <w:tcPr>
            <w:tcW w:w="0" w:type="auto"/>
          </w:tcPr>
          <w:p>
            <w:pPr>
              <w:spacing w:line="240" w:lineRule="auto" w:before="0" w:after="0"/>
              <w:pStyle w:val="Compact"/>
            </w:pPr>
            <w:r>
              <w:rPr>
                <w:sz w:val="20"/>
                <w:szCs w:val="20"/>
              </w:rPr>
              <w:t xml:space="preserve">Mars_2020</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Perseverance derived from Curiosity/MSL saving tens of millions; launched on schedule 30-Jul-2020; ~$2.8B but flew without a committed-baseline overrun; censored at launch. https://en.wikipedia.org/wiki/Mars_2020</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 NASA 2024: Dragonfly cost grew (rotorcraft lander reuses MSL/Curiosity descent and New-Horizons/Cassini heritage in a Titan first-use context) and confirmed launch slipped to 2028; early breach. https://www.gao.gov/products/gao-25-107591</w:t>
            </w:r>
          </w:p>
        </w:tc>
      </w:tr>
      <w:tr>
        <w:tc>
          <w:tcPr>
            <w:tcW w:w="0" w:type="auto"/>
          </w:tcPr>
          <w:p>
            <w:pPr>
              <w:spacing w:line="240" w:lineRule="auto" w:before="0" w:after="0"/>
              <w:pStyle w:val="Compact"/>
            </w:pPr>
            <w:r>
              <w:rPr>
                <w:sz w:val="20"/>
                <w:szCs w:val="20"/>
              </w:rPr>
              <w:t xml:space="preserve">NEO_Surveyor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NEO Surveyor took a budget-driven replan and launch slip (to 2027/2028) after a 2022 confirmation; IR survey telescope reuses NEOWISE/WISE detector heritage in a dedicated-survey context. https://www.gao.gov/products/gao-25-107591</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 NASA: SPHEREx (MIDEX) launched 11-Mar-2025 within cost; all-sky spectral survey reuses passive-cooling and JPL/Caltech detector heritage; censored, no committed-baseline overrun. https://www.gao.gov/products/gao-25-107591</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 assessments: ATLAS photon-counting lidar was new development; launch slipped from 2016 toward Sep-2018 with instrument-driven cost growth; overrun declared. https://www.gao.gov/products/gao-25-107591</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NASA/JPL: GRACE Follow-On rebuilt the original GRACE design (microwave ranging) with an added laser interferometer; launched 22-May-2018 broadly to plan; censored, no major committed breach. https://www.jpl.nasa.gov/missions/gravity-recovery-and-climate-experiment-follow-on-grace-fo/</w:t>
            </w:r>
          </w:p>
        </w:tc>
      </w:tr>
      <w:tr>
        <w:tc>
          <w:tcPr>
            <w:tcW w:w="0" w:type="auto"/>
          </w:tcPr>
          <w:p>
            <w:pPr>
              <w:spacing w:line="240" w:lineRule="auto" w:before="0" w:after="0"/>
              <w:pStyle w:val="Compact"/>
            </w:pPr>
            <w:r>
              <w:rPr>
                <w:sz w:val="20"/>
                <w:szCs w:val="20"/>
              </w:rPr>
              <w:t xml:space="preserve">Sentinel-6</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ESA/NASA: Sentinel-6 Michael Freilich continued the Jason altimetry series (Poseidon-4 heritage) and launched 21-Nov-2020 to plan; censored, no committed-baseline overrun declared. https://en.wikipedia.org/wiki/Sentinel-6_Michael_Freilich</w:t>
            </w:r>
          </w:p>
        </w:tc>
      </w:tr>
      <w:tr>
        <w:tc>
          <w:tcPr>
            <w:tcW w:w="0" w:type="auto"/>
          </w:tcPr>
          <w:p>
            <w:pPr>
              <w:spacing w:line="240" w:lineRule="auto" w:before="0" w:after="0"/>
              <w:pStyle w:val="Compact"/>
            </w:pPr>
            <w:r>
              <w:rPr>
                <w:sz w:val="20"/>
                <w:szCs w:val="20"/>
              </w:rPr>
              <w:t xml:space="preserve">ExoMars_TGO</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ExoMars Trace Gas Orbiter reused Mars Express bus heritage but the program slipped (2016 launch achieved, surface element to 2018 then 2020/2022) with cost growth and partner changes; overrun declared. https://en.wikipedia.org/wiki/ExoMars</w:t>
            </w:r>
          </w:p>
        </w:tc>
      </w:tr>
      <w:tr>
        <w:tc>
          <w:tcPr>
            <w:tcW w:w="0" w:type="auto"/>
          </w:tcPr>
          <w:p>
            <w:pPr>
              <w:spacing w:line="240" w:lineRule="auto" w:before="0" w:after="0"/>
              <w:pStyle w:val="Compact"/>
            </w:pPr>
            <w:r>
              <w:rPr>
                <w:sz w:val="20"/>
                <w:szCs w:val="20"/>
              </w:rPr>
              <w:t xml:space="preserve">BepiColombo</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ESA/JAXA: BepiColombo Mercury mission (new high-thermal solar-electric design) slipped repeatedly from 2013 toward 2018 launch with cost growth; overrun declared. https://en.wikipedia.org/wiki/BepiColombo</w:t>
            </w:r>
          </w:p>
        </w:tc>
      </w:tr>
      <w:tr>
        <w:tc>
          <w:tcPr>
            <w:tcW w:w="0" w:type="auto"/>
          </w:tcPr>
          <w:p>
            <w:pPr>
              <w:spacing w:line="240" w:lineRule="auto" w:before="0" w:after="0"/>
              <w:pStyle w:val="Compact"/>
            </w:pPr>
            <w:r>
              <w:rPr>
                <w:sz w:val="20"/>
                <w:szCs w:val="20"/>
              </w:rPr>
              <w:t xml:space="preserve">JUICE</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Jupiter Icy Moons Explorer (largely new development, Mars-Express-derived avionics in an outer-planet first-use context) experienced cost growth and instrument-driven schedule pressure before 14-Apr-2023 launch; overrun declared. https://en.wikipedia.org/wiki/Jupiter_Icy_Moons_Explorer</w:t>
            </w:r>
          </w:p>
        </w:tc>
      </w:tr>
      <w:tr>
        <w:tc>
          <w:tcPr>
            <w:tcW w:w="0" w:type="auto"/>
          </w:tcPr>
          <w:p>
            <w:pPr>
              <w:spacing w:line="240" w:lineRule="auto" w:before="0" w:after="0"/>
              <w:pStyle w:val="Compact"/>
            </w:pPr>
            <w:r>
              <w:rPr>
                <w:sz w:val="20"/>
                <w:szCs w:val="20"/>
              </w:rPr>
              <w:t xml:space="preserve">Gateway_HALO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Gateway HALO module (Cygnus-derived pressurized-module heritage applied to cislunar crewed context) reported cost growth and schedule slips after confirmation; overrun declared. https://www.gao.gov/products/gao-25-107591</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t_months</w:t>
            </w:r>
          </w:p>
        </w:tc>
        <w:tc>
          <w:tcPr>
            <w:tcW w:w="0" w:type="auto"/>
          </w:tcPr>
          <w:p>
            <w:pPr>
              <w:spacing w:line="240" w:lineRule="auto" w:before="0" w:after="0"/>
              <w:pStyle w:val="Compact"/>
            </w:pPr>
            <w:r>
              <w:rPr>
                <w:sz w:val="20"/>
                <w:szCs w:val="20"/>
              </w:rPr>
              <w:t xml:space="preserve">Months from baseline confirmation (KDP-C or formal rebaseline) to the first formally declared cost or schedule overrun; right-censored at launch for projects with no declared breach</w:t>
            </w:r>
          </w:p>
        </w:tc>
        <w:tc>
          <w:tcPr>
            <w:tcW w:w="0" w:type="auto"/>
          </w:tcPr>
          <w:p>
            <w:pPr>
              <w:spacing w:line="240" w:lineRule="auto" w:before="0" w:after="0"/>
              <w:pStyle w:val="Compact"/>
            </w:pPr>
            <w:r>
              <w:rPr>
                <w:sz w:val="20"/>
                <w:szCs w:val="20"/>
              </w:rPr>
              <w:t xml:space="preserve">Coded from GAO NASA Assessments of Major Projects (GAO-25-107591) and mission records; see per-row source column in data.csv</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1 = a cost or schedule overrun was formally declared during development; 0 = right-censored (launched with no committed-baseline breach)</w:t>
            </w:r>
          </w:p>
        </w:tc>
        <w:tc>
          <w:tcPr>
            <w:tcW w:w="0" w:type="auto"/>
          </w:tcPr>
          <w:p>
            <w:pPr>
              <w:spacing w:line="240" w:lineRule="auto" w:before="0" w:after="0"/>
              <w:pStyle w:val="Compact"/>
            </w:pPr>
            <w:r>
              <w:rPr>
                <w:sz w:val="20"/>
                <w:szCs w:val="20"/>
              </w:rPr>
              <w:t xml:space="preserve">GAO assessments and mission press records; per-row source in data.csv</w:t>
            </w:r>
          </w:p>
        </w:tc>
      </w:tr>
      <w:tr>
        <w:tc>
          <w:tcPr>
            <w:tcW w:w="0" w:type="auto"/>
          </w:tcPr>
          <w:p>
            <w:pPr>
              <w:spacing w:line="240" w:lineRule="auto" w:before="0" w:after="0"/>
              <w:pStyle w:val="Compact"/>
            </w:pPr>
            <w:r>
              <w:rPr>
                <w:sz w:val="20"/>
                <w:szCs w:val="20"/>
              </w:rPr>
              <w:t xml:space="preserve">heritage</w:t>
            </w:r>
          </w:p>
        </w:tc>
        <w:tc>
          <w:tcPr>
            <w:tcW w:w="0" w:type="auto"/>
          </w:tcPr>
          <w:p>
            <w:pPr>
              <w:spacing w:line="240" w:lineRule="auto" w:before="0" w:after="0"/>
              <w:pStyle w:val="Compact"/>
            </w:pPr>
            <w:r>
              <w:rPr>
                <w:sz w:val="20"/>
                <w:szCs w:val="20"/>
              </w:rPr>
              <w:t xml:space="preserve">Heritage code of the critical-path subsystem: 0 = new development, 1 = direct heritage reuse, 2 = heritage reuse across a divergent design context (retained for descriptive coding; the estimable focal covariate is divergence)</w:t>
            </w:r>
          </w:p>
        </w:tc>
        <w:tc>
          <w:tcPr>
            <w:tcW w:w="0" w:type="auto"/>
          </w:tcPr>
          <w:p>
            <w:pPr>
              <w:spacing w:line="240" w:lineRule="auto" w:before="0" w:after="0"/>
              <w:pStyle w:val="Compact"/>
            </w:pPr>
            <w:r>
              <w:rPr>
                <w:sz w:val="20"/>
                <w:szCs w:val="20"/>
              </w:rPr>
              <w:t xml:space="preserve">Coded from GAO project narratives and mission systems-engineering descriptions; per-row source in data.csv</w:t>
            </w:r>
          </w:p>
        </w:tc>
      </w:tr>
      <w:tr>
        <w:tc>
          <w:tcPr>
            <w:tcW w:w="0" w:type="auto"/>
          </w:tcPr>
          <w:p>
            <w:pPr>
              <w:spacing w:line="240" w:lineRule="auto" w:before="0" w:after="0"/>
              <w:pStyle w:val="Compact"/>
            </w:pPr>
            <w:r>
              <w:rPr>
                <w:sz w:val="20"/>
                <w:szCs w:val="20"/>
              </w:rPr>
              <w:t xml:space="preserve">divergence</w:t>
            </w:r>
          </w:p>
        </w:tc>
        <w:tc>
          <w:tcPr>
            <w:tcW w:w="0" w:type="auto"/>
          </w:tcPr>
          <w:p>
            <w:pPr>
              <w:spacing w:line="240" w:lineRule="auto" w:before="0" w:after="0"/>
              <w:pStyle w:val="Compact"/>
            </w:pPr>
            <w:r>
              <w:rPr>
                <w:sz w:val="20"/>
                <w:szCs w:val="20"/>
              </w:rPr>
              <w:t xml:space="preserve">Design-context divergence index (0 to 3): distance between the subsystem’s prior qualified context and its new application context; 0 = clean-sheet or like-for-like rebuild, 3 = heritage hardware in a first-of-kind environment</w:t>
            </w:r>
          </w:p>
        </w:tc>
        <w:tc>
          <w:tcPr>
            <w:tcW w:w="0" w:type="auto"/>
          </w:tcPr>
          <w:p>
            <w:pPr>
              <w:spacing w:line="240" w:lineRule="auto" w:before="0" w:after="0"/>
              <w:pStyle w:val="Compact"/>
            </w:pPr>
            <w:r>
              <w:rPr>
                <w:sz w:val="20"/>
                <w:szCs w:val="20"/>
              </w:rPr>
              <w:t xml:space="preserve">Coded from mission heritage descriptions (bus lineage, instrument derivation, environment change); per-row source in data.csv</w:t>
            </w:r>
          </w:p>
        </w:tc>
      </w:tr>
      <w:tr>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Subsystem complexity index (1 to 5): 1 = LEO heritage rebuild, 5 = cryogenic/deep-space/crewed flagship</w:t>
            </w:r>
          </w:p>
        </w:tc>
        <w:tc>
          <w:tcPr>
            <w:tcW w:w="0" w:type="auto"/>
          </w:tcPr>
          <w:p>
            <w:pPr>
              <w:spacing w:line="240" w:lineRule="auto" w:before="0" w:after="0"/>
              <w:pStyle w:val="Compact"/>
            </w:pPr>
            <w:r>
              <w:rPr>
                <w:sz w:val="20"/>
                <w:szCs w:val="20"/>
              </w:rPr>
              <w:t xml:space="preserve">Coded from mission class and lifecycle-cost tier in GAO assessments; per-row source in data.csv</w:t>
            </w:r>
          </w:p>
        </w:tc>
      </w:tr>
      <w:tr>
        <w:tc>
          <w:tcPr>
            <w:tcW w:w="0" w:type="auto"/>
          </w:tcPr>
          <w:p>
            <w:pPr>
              <w:spacing w:line="240" w:lineRule="auto" w:before="0" w:after="0"/>
              <w:pStyle w:val="Compact"/>
            </w:pPr>
            <w:r>
              <w:rPr>
                <w:sz w:val="20"/>
                <w:szCs w:val="20"/>
              </w:rPr>
              <w:t xml:space="preserve">costplus</w:t>
            </w:r>
          </w:p>
        </w:tc>
        <w:tc>
          <w:tcPr>
            <w:tcW w:w="0" w:type="auto"/>
          </w:tcPr>
          <w:p>
            <w:pPr>
              <w:spacing w:line="240" w:lineRule="auto" w:before="0" w:after="0"/>
              <w:pStyle w:val="Compact"/>
            </w:pPr>
            <w:r>
              <w:rPr>
                <w:sz w:val="20"/>
                <w:szCs w:val="20"/>
              </w:rPr>
              <w:t xml:space="preserve">Contract structure: 1 = cost-plus instrument, 0 = fixed-price or commercial service</w:t>
            </w:r>
          </w:p>
        </w:tc>
        <w:tc>
          <w:tcPr>
            <w:tcW w:w="0" w:type="auto"/>
          </w:tcPr>
          <w:p>
            <w:pPr>
              <w:spacing w:line="240" w:lineRule="auto" w:before="0" w:after="0"/>
              <w:pStyle w:val="Compact"/>
            </w:pPr>
            <w:r>
              <w:rPr>
                <w:sz w:val="20"/>
                <w:szCs w:val="20"/>
              </w:rPr>
              <w:t xml:space="preserve">Public award record summarized in mission descriptions; per-row source in data.csv</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divergence</w:t>
            </w:r>
          </w:p>
        </w:tc>
        <w:tc>
          <w:tcPr>
            <w:tcW w:w="0" w:type="auto"/>
          </w:tcPr>
          <w:p>
            <w:pPr>
              <w:spacing w:line="240" w:lineRule="auto" w:before="0" w:after="0"/>
              <w:pStyle w:val="Compact"/>
            </w:pPr>
            <w:r>
              <w:rPr>
                <w:sz w:val="20"/>
                <w:szCs w:val="20"/>
              </w:rPr>
              <w:t xml:space="preserve">0.793</w:t>
            </w:r>
          </w:p>
        </w:tc>
        <w:tc>
          <w:tcPr>
            <w:tcW w:w="0" w:type="auto"/>
          </w:tcPr>
          <w:p>
            <w:pPr>
              <w:spacing w:line="240" w:lineRule="auto" w:before="0" w:after="0"/>
              <w:pStyle w:val="Compact"/>
            </w:pPr>
            <w:r>
              <w:rPr>
                <w:sz w:val="20"/>
                <w:szCs w:val="20"/>
              </w:rPr>
              <w:t xml:space="preserve">0.4028</w:t>
            </w:r>
          </w:p>
        </w:tc>
        <w:tc>
          <w:tcPr>
            <w:tcW w:w="0" w:type="auto"/>
          </w:tcPr>
          <w:p>
            <w:pPr>
              <w:spacing w:line="240" w:lineRule="auto" w:before="0" w:after="0"/>
              <w:pStyle w:val="Compact"/>
            </w:pPr>
            <w:r>
              <w:rPr>
                <w:sz w:val="20"/>
                <w:szCs w:val="20"/>
              </w:rPr>
              <w:t xml:space="preserve">1.9688</w:t>
            </w:r>
          </w:p>
        </w:tc>
        <w:tc>
          <w:tcPr>
            <w:tcW w:w="0" w:type="auto"/>
          </w:tcPr>
          <w:p>
            <w:pPr>
              <w:spacing w:line="240" w:lineRule="auto" w:before="0" w:after="0"/>
              <w:pStyle w:val="Compact"/>
            </w:pPr>
            <w:r>
              <w:rPr>
                <w:sz w:val="20"/>
                <w:szCs w:val="20"/>
              </w:rPr>
              <w:t xml:space="preserve">0.049</w:t>
            </w:r>
          </w:p>
        </w:tc>
        <w:tc>
          <w:tcPr>
            <w:tcW w:w="0" w:type="auto"/>
          </w:tcPr>
          <w:p>
            <w:pPr>
              <w:spacing w:line="240" w:lineRule="auto" w:before="0" w:after="0"/>
              <w:pStyle w:val="Compact"/>
            </w:pPr>
            <w:r>
              <w:rPr>
                <w:sz w:val="20"/>
                <w:szCs w:val="20"/>
              </w:rPr>
              <w:t xml:space="preserve">[0.0035, 1.5825]</w:t>
            </w:r>
          </w:p>
        </w:tc>
        <w:tc>
          <w:tcPr>
            <w:tcW w:w="0" w:type="auto"/>
          </w:tcPr>
          <w:p>
            <w:pPr>
              <w:spacing w:line="240" w:lineRule="auto" w:before="0" w:after="0"/>
              <w:pStyle w:val="Compact"/>
            </w:pPr>
            <w:r>
              <w:rPr>
                <w:sz w:val="20"/>
                <w:szCs w:val="20"/>
              </w:rPr>
              <w:t xml:space="preserve">2.2101</w:t>
            </w:r>
          </w:p>
        </w:tc>
      </w:tr>
      <w:tr>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0.3256</w:t>
            </w:r>
          </w:p>
        </w:tc>
        <w:tc>
          <w:tcPr>
            <w:tcW w:w="0" w:type="auto"/>
          </w:tcPr>
          <w:p>
            <w:pPr>
              <w:spacing w:line="240" w:lineRule="auto" w:before="0" w:after="0"/>
              <w:pStyle w:val="Compact"/>
            </w:pPr>
            <w:r>
              <w:rPr>
                <w:sz w:val="20"/>
                <w:szCs w:val="20"/>
              </w:rPr>
              <w:t xml:space="preserve">0.3258</w:t>
            </w:r>
          </w:p>
        </w:tc>
        <w:tc>
          <w:tcPr>
            <w:tcW w:w="0" w:type="auto"/>
          </w:tcPr>
          <w:p>
            <w:pPr>
              <w:spacing w:line="240" w:lineRule="auto" w:before="0" w:after="0"/>
              <w:pStyle w:val="Compact"/>
            </w:pPr>
            <w:r>
              <w:rPr>
                <w:sz w:val="20"/>
                <w:szCs w:val="20"/>
              </w:rPr>
              <w:t xml:space="preserve">0.9992</w:t>
            </w:r>
          </w:p>
        </w:tc>
        <w:tc>
          <w:tcPr>
            <w:tcW w:w="0" w:type="auto"/>
          </w:tcPr>
          <w:p>
            <w:pPr>
              <w:spacing w:line="240" w:lineRule="auto" w:before="0" w:after="0"/>
              <w:pStyle w:val="Compact"/>
            </w:pPr>
            <w:r>
              <w:rPr>
                <w:sz w:val="20"/>
                <w:szCs w:val="20"/>
              </w:rPr>
              <w:t xml:space="preserve">0.3177</w:t>
            </w:r>
          </w:p>
        </w:tc>
        <w:tc>
          <w:tcPr>
            <w:tcW w:w="0" w:type="auto"/>
          </w:tcPr>
          <w:p>
            <w:pPr>
              <w:spacing w:line="240" w:lineRule="auto" w:before="0" w:after="0"/>
              <w:pStyle w:val="Compact"/>
            </w:pPr>
            <w:r>
              <w:rPr>
                <w:sz w:val="20"/>
                <w:szCs w:val="20"/>
              </w:rPr>
              <w:t xml:space="preserve">[-0.3131, 0.9642]</w:t>
            </w:r>
          </w:p>
        </w:tc>
        <w:tc>
          <w:tcPr>
            <w:tcW w:w="0" w:type="auto"/>
          </w:tcPr>
          <w:p>
            <w:pPr>
              <w:spacing w:line="240" w:lineRule="auto" w:before="0" w:after="0"/>
              <w:pStyle w:val="Compact"/>
            </w:pPr>
            <w:r>
              <w:rPr>
                <w:sz w:val="20"/>
                <w:szCs w:val="20"/>
              </w:rPr>
              <w:t xml:space="preserve">1.3848</w:t>
            </w:r>
          </w:p>
        </w:tc>
      </w:tr>
      <w:tr>
        <w:tc>
          <w:tcPr>
            <w:tcW w:w="0" w:type="auto"/>
          </w:tcPr>
          <w:p>
            <w:pPr>
              <w:spacing w:line="240" w:lineRule="auto" w:before="0" w:after="0"/>
              <w:pStyle w:val="Compact"/>
            </w:pPr>
            <w:r>
              <w:rPr>
                <w:sz w:val="20"/>
                <w:szCs w:val="20"/>
              </w:rPr>
              <w:t xml:space="preserve">costplus</w:t>
            </w:r>
          </w:p>
        </w:tc>
        <w:tc>
          <w:tcPr>
            <w:tcW w:w="0" w:type="auto"/>
          </w:tcPr>
          <w:p>
            <w:pPr>
              <w:spacing w:line="240" w:lineRule="auto" w:before="0" w:after="0"/>
              <w:pStyle w:val="Compact"/>
            </w:pPr>
            <w:r>
              <w:rPr>
                <w:sz w:val="20"/>
                <w:szCs w:val="20"/>
              </w:rPr>
              <w:t xml:space="preserve">0.3854</w:t>
            </w:r>
          </w:p>
        </w:tc>
        <w:tc>
          <w:tcPr>
            <w:tcW w:w="0" w:type="auto"/>
          </w:tcPr>
          <w:p>
            <w:pPr>
              <w:spacing w:line="240" w:lineRule="auto" w:before="0" w:after="0"/>
              <w:pStyle w:val="Compact"/>
            </w:pPr>
            <w:r>
              <w:rPr>
                <w:sz w:val="20"/>
                <w:szCs w:val="20"/>
              </w:rPr>
              <w:t xml:space="preserve">0.9101</w:t>
            </w:r>
          </w:p>
        </w:tc>
        <w:tc>
          <w:tcPr>
            <w:tcW w:w="0" w:type="auto"/>
          </w:tcPr>
          <w:p>
            <w:pPr>
              <w:spacing w:line="240" w:lineRule="auto" w:before="0" w:after="0"/>
              <w:pStyle w:val="Compact"/>
            </w:pPr>
            <w:r>
              <w:rPr>
                <w:sz w:val="20"/>
                <w:szCs w:val="20"/>
              </w:rPr>
              <w:t xml:space="preserve">0.4235</w:t>
            </w:r>
          </w:p>
        </w:tc>
        <w:tc>
          <w:tcPr>
            <w:tcW w:w="0" w:type="auto"/>
          </w:tcPr>
          <w:p>
            <w:pPr>
              <w:spacing w:line="240" w:lineRule="auto" w:before="0" w:after="0"/>
              <w:pStyle w:val="Compact"/>
            </w:pPr>
            <w:r>
              <w:rPr>
                <w:sz w:val="20"/>
                <w:szCs w:val="20"/>
              </w:rPr>
              <w:t xml:space="preserve">0.6719</w:t>
            </w:r>
          </w:p>
        </w:tc>
        <w:tc>
          <w:tcPr>
            <w:tcW w:w="0" w:type="auto"/>
          </w:tcPr>
          <w:p>
            <w:pPr>
              <w:spacing w:line="240" w:lineRule="auto" w:before="0" w:after="0"/>
              <w:pStyle w:val="Compact"/>
            </w:pPr>
            <w:r>
              <w:rPr>
                <w:sz w:val="20"/>
                <w:szCs w:val="20"/>
              </w:rPr>
              <w:t xml:space="preserve">[-1.3985, 2.1693]</w:t>
            </w:r>
          </w:p>
        </w:tc>
        <w:tc>
          <w:tcPr>
            <w:tcW w:w="0" w:type="auto"/>
          </w:tcPr>
          <w:p>
            <w:pPr>
              <w:spacing w:line="240" w:lineRule="auto" w:before="0" w:after="0"/>
              <w:pStyle w:val="Compact"/>
            </w:pPr>
            <w:r>
              <w:rPr>
                <w:sz w:val="20"/>
                <w:szCs w:val="20"/>
              </w:rPr>
              <w:t xml:space="preserve">1.4702</w:t>
            </w:r>
          </w:p>
        </w:tc>
      </w:tr>
    </w:tbl>
    <w:p>
      <w:pPr>
        <w:pStyle w:val="BodyText"/>
      </w:pPr>
      <w:r>
        <w:t xml:space="preserve">Fit: N = 25 events = 16</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69" Target="https://doi.org/10.1016/j.actaastro.2021.11.016" TargetMode="External" /><Relationship Type="http://schemas.openxmlformats.org/officeDocument/2006/relationships/hyperlink" Id="rId71" Target="https://doi.org/10.1016/j.actaastro.2024.09.005" TargetMode="External" /></Relationships>
</file>

<file path=word/_rels/footnotes.xml.rels><?xml version="1.0" encoding="UTF-8"?><Relationships xmlns="http://schemas.openxmlformats.org/package/2006/relationships"><Relationship Type="http://schemas.openxmlformats.org/officeDocument/2006/relationships/hyperlink" Id="rId69" Target="https://doi.org/10.1016/j.actaastro.2021.11.016" TargetMode="External" /><Relationship Type="http://schemas.openxmlformats.org/officeDocument/2006/relationships/hyperlink" Id="rId71" Target="https://doi.org/10.1016/j.actaastro.2024.09.00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2026-06-22T20:31:11Z</dcterms:created>
  <dcterms:modified xsi:type="dcterms:W3CDTF">2026-06-22T20:31:11Z</dcterms:modified>
</cp:coreProperties>
</file>

<file path=docProps/custom.xml><?xml version="1.0" encoding="utf-8"?>
<Properties xmlns="http://schemas.openxmlformats.org/officeDocument/2006/custom-properties" xmlns:vt="http://schemas.openxmlformats.org/officeDocument/2006/docPropsVTypes"/>
</file>