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HERITAGE REUSE VERSUS NEW DEVELOPMENT: A COST-AND-SCHEDULE-OVERRUN HAZARD MODEL</w:t>
      </w:r>
    </w:p>
    <w:p>
      <w:pPr>
        <w:jc w:val="center"/>
      </w:pPr>
    </w:p>
    <w:p>
      <w:pPr>
        <w:jc w:val="center"/>
      </w:pPr>
      <w:r>
        <w:rPr>
          <w:rFonts w:ascii="Times New Roman" w:hAnsi="Times New Roman"/>
          <w:sz w:val="24"/>
        </w:rPr>
        <w:t>by</w:t>
      </w:r>
    </w:p>
    <w:p>
      <w:pPr>
        <w:jc w:val="center"/>
      </w:pPr>
      <w:r>
        <w:rPr>
          <w:rFonts w:ascii="Times New Roman" w:hAnsi="Times New Roman"/>
          <w:b/>
          <w:sz w:val="28"/>
        </w:rPr>
        <w:t>Daniel Petrov</w:t>
      </w:r>
    </w:p>
    <w:p>
      <w:pPr>
        <w:jc w:val="center"/>
      </w:pPr>
      <w:r>
        <w:rPr>
          <w:rFonts w:ascii="Times New Roman" w:hAnsi="Times New Roman"/>
          <w:sz w:val="24"/>
        </w:rPr>
        <w:t>1B-SSE-015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decision-this-dissertation-studies"/>
    <w:p>
      <w:pPr>
        <w:pStyle w:val="Heading2"/>
        <w:spacing w:line="480" w:lineRule="auto"/>
      </w:pPr>
      <w:r>
        <w:t xml:space="preserve">1.1 The Decision This Dissertation Studies</w:t>
      </w:r>
    </w:p>
    <w:p>
      <w:pPr>
        <w:pStyle w:val="FirstParagraph"/>
        <w:spacing w:line="480" w:lineRule="auto"/>
      </w:pPr>
      <w:r>
        <w:t xml:space="preserve">At nearly every spacecraft preliminary design review, a sentence is spoken and a baseline is committed on the strength of it: this subsystem is flight-proven, so it will compress schedule and contain cost. The sentence is among the most consequential assertions a program makes, because it propagates directly into the cost-and-schedule reserve the program decides to hold. When a program adopts a subsystem that has flown before, it implicitly forecasts three things at once. It forecasts that the qualification bought on a prior mission transfers to the new mission context. It forecasts that integration surprises will be fewer than they would be for a clean-sheet design. And it forecasts, as the arithmetic consequence of the first two, that the schedule margin and dollar reserve it must carry against that subsystem are smaller. These forecasts enter the committed baseline not as hypotheses to be tracked but as established facts. They are seldom revisited with the rigor that the same program would lavish on a new design, precisely because the heritage label is understood to have retired the question.</w:t>
      </w:r>
    </w:p>
    <w:p>
      <w:pPr>
        <w:pStyle w:val="BodyText"/>
        <w:spacing w:line="480" w:lineRule="auto"/>
        <w:ind w:firstLine="720"/>
      </w:pPr>
      <w:r>
        <w:t xml:space="preserve">This dissertation interrogates that label. It does not ask whether heritage reuse is good or bad in the abstract, which is a question too coarse to be answered. It asks a narrower and estimable question: holding fixed the things that plainly drive cost and schedule trouble on their own, does the heritage posture of a program’s critical-path subsystem change the timing and the magnitude of the program’s first declared overrun, and in which direction. The reframing matters. It converts an engineering slogan, repeated far more often than it is tested, into a covariate whose effect can be estimated, signed, bounded, and falsified. The reuse decision becomes priceable in units of overrun risk rather than asserted as an article of faith.</w:t>
      </w:r>
    </w:p>
    <w:p>
      <w:pPr>
        <w:pStyle w:val="BodyText"/>
        <w:spacing w:line="480" w:lineRule="auto"/>
        <w:ind w:firstLine="720"/>
      </w:pPr>
      <w:r>
        <w:t xml:space="preserve">The premise that makes the question worth asking is that heritage reuse is the very mechanism through which a program assumes interdependencies and qualification status away. A clean-sheet design forces a program to confront, line by line, the qualification it does not yet possess. A heritage selection lets the program book that qualification as already paid. If the assumption holds, the program rightly carries less reserve and launches sooner. If the assumption is wrong, the overrun the heritage selection was meant to prevent arrives anyway, and it arrives later in the lifecycle, after the architecture has hardened around the inherited part and when correction is most expensive. The reuse decision therefore does not merely fail to help in the adverse case. It actively relocates risk to the point in the program where risk is least affordable.</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cost of a mistaken heritage forecast is not a theoretical concern confined to systems-engineering seminars. The public record of NASA major projects is a record of cost and schedule growth that recurs across program types and across decades. The Aerospace Corporation’s historical reserve study finds an average development cost growth of 26.9 percent and a median of 16.1 percent across forty NASA science missions, with a maximum of 150 percent, and it names overly optimistic heritage assumptions explicitly as a form of internal cost growth, sitting alongside instrument technical problems and management inefficiency in its taxonomy of causes</w:t>
      </w:r>
      <w:r>
        <w:t xml:space="preserve"> </w:t>
      </w:r>
      <w:hyperlink w:anchor="ref-9">
        <w:r>
          <w:rPr>
            <w:rStyle w:val="Hyperlink"/>
          </w:rPr>
          <w:t xml:space="preserve">[9]</w:t>
        </w:r>
      </w:hyperlink>
      <w:r>
        <w:t xml:space="preserve">. The annual Government Accountability Office assessments of NASA’s major projects document, project by project, the committed baselines, the subsequent breaches, the launch-readiness slips, and the narrative attributions of growth, including findings that trace growth to heritage assumptions that did not hold</w:t>
      </w:r>
      <w:r>
        <w:t xml:space="preserve"> </w:t>
      </w:r>
      <w:hyperlink w:anchor="ref-8">
        <w:r>
          <w:rPr>
            <w:rStyle w:val="Hyperlink"/>
          </w:rPr>
          <w:t xml:space="preserve">[8]</w:t>
        </w:r>
      </w:hyperlink>
      <w:r>
        <w:t xml:space="preserve">. Parametric cost-estimation practice validated against NASA missions treats subsystem heritage and complexity as first-order inputs, which is the clearest possible evidence that heritage is not understood, even by the estimators programs actually rely on, as a purely cost-reducing property</w:t>
      </w:r>
      <w:r>
        <w:t xml:space="preserve"> </w:t>
      </w:r>
      <w:hyperlink w:anchor="ref-10">
        <w:r>
          <w:rPr>
            <w:rStyle w:val="Hyperlink"/>
          </w:rPr>
          <w:t xml:space="preserve">[10]</w:t>
        </w:r>
      </w:hyperlink>
      <w:r>
        <w:t xml:space="preserve">. Published mission cost accounts for the flagship and competed missions of the present era record the same pattern in concrete figures</w:t>
      </w:r>
      <w:r>
        <w:t xml:space="preserve"> </w:t>
      </w:r>
      <w:hyperlink w:anchor="ref-11">
        <w:r>
          <w:rPr>
            <w:rStyle w:val="Hyperlink"/>
          </w:rPr>
          <w:t xml:space="preserve">[11]</w:t>
        </w:r>
      </w:hyperlink>
      <w:r>
        <w:t xml:space="preserve">.</w:t>
      </w:r>
    </w:p>
    <w:p>
      <w:pPr>
        <w:pStyle w:val="BodyText"/>
        <w:spacing w:line="480" w:lineRule="auto"/>
        <w:ind w:firstLine="720"/>
      </w:pPr>
      <w:r>
        <w:t xml:space="preserve">For NASA as an institution, the stakes are budgetary and political simultaneously. Major projects compete for a fixed appropriation, breaches trigger congressional notification thresholds, and a program that overruns does so at the expense of the projects queued behind it. For the Jet Propulsion Laboratory specifically, the stakes are sharper still, because JPL’s portfolio is concentrated in exactly the class of mission where heritage forecasts are both most tempting and most fragile: deep-space science missions that reuse avionics, instruments, and entry-descent-and-landing elements across destinations whose thermal, dynamic, and operational environments differ substantially from the contexts in which that hardware was first qualified. A laboratory that builds its reputation and its recompete posture on delivering flagship science to schedule has a direct institutional interest in knowing when the heritage label can be trusted and when it cannot. The difference between a reserve posture calibrated to measured design-context divergence and one relaxed uniformly on the strength of flight provenance is, over a portfolio, the difference between programs that absorb their surprises within margin and programs that breach their baselines and consume the laboratory’s credibility along with its budget.</w:t>
      </w:r>
    </w:p>
    <w:p>
      <w:pPr>
        <w:pStyle w:val="BodyText"/>
        <w:spacing w:line="480" w:lineRule="auto"/>
        <w:ind w:firstLine="720"/>
      </w:pPr>
      <w:r>
        <w:t xml:space="preserve">The motivation is thus both scientific and operational. Scientifically, the field lacks an estimated relationship between the reuse decision and the onset and size of overrun. Operationally, program offices set reserves and select architectures on the strength of a belief that has never been priced. A model that prices the reuse decision would let that belief be checked, calibrated to a measured covariate, or discarded where it fails.</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contribution of this dissertation lives in the seam between two bodies of work that have not been joined. The first is the domain literature on spacecraft cost and schedule performance. The second is the econometric literature on time-to-event and conditional-magnitude estimation. Each is mature on its own terms. Neither has been brought to bear on the heritage decision in the way this work requires.</w:t>
      </w:r>
    </w:p>
    <w:p>
      <w:pPr>
        <w:pStyle w:val="BodyText"/>
        <w:spacing w:line="480" w:lineRule="auto"/>
        <w:ind w:firstLine="720"/>
      </w:pPr>
      <w:r>
        <w:t xml:space="preserve">The domain literature establishes three facts and stops at the threshold of the fourth. First, it establishes that cost and schedule overruns are structural rather than anomalous in spacecraft development. They appear as a recurring concern across mission classes and eras, not as the signature of isolated failures</w:t>
      </w:r>
      <w:r>
        <w:t xml:space="preserve"> </w:t>
      </w:r>
      <w:hyperlink w:anchor="ref-9">
        <w:r>
          <w:rPr>
            <w:rStyle w:val="Hyperlink"/>
          </w:rPr>
          <w:t xml:space="preserve">[9]</w:t>
        </w:r>
      </w:hyperlink>
      <w:r>
        <w:t xml:space="preserve">[8]. Second, it establishes that the proximate triggers of overrun are frequently specific and technical: misdiagnosed anomalies induce extra cost and schedule overrun directly</w:t>
      </w:r>
      <w:r>
        <w:t xml:space="preserve"> </w:t>
      </w:r>
      <w:hyperlink w:anchor="ref-2">
        <w:r>
          <w:rPr>
            <w:rStyle w:val="Hyperlink"/>
          </w:rPr>
          <w:t xml:space="preserve">[2]</w:t>
        </w:r>
      </w:hyperlink>
      <w:r>
        <w:t xml:space="preserve">, and even narrowly scoped qualification questions, such as launcher sizing under crewed-mission constraints, propagate into cost growth</w:t>
      </w:r>
      <w:r>
        <w:t xml:space="preserve"> </w:t>
      </w:r>
      <w:hyperlink w:anchor="ref-3">
        <w:r>
          <w:rPr>
            <w:rStyle w:val="Hyperlink"/>
          </w:rPr>
          <w:t xml:space="preserve">[3]</w:t>
        </w:r>
      </w:hyperlink>
      <w:r>
        <w:t xml:space="preserve">. Third, it establishes that contract architecture and the broader institutional regime are recognized levers on overrun behavior, with cost-plus instruments adopted precisely to absorb the delays and cost growth that recur under legacy-space program models, and with the legacy-to-new-space transition reshaping how those overruns are governed</w:t>
      </w:r>
      <w:r>
        <w:t xml:space="preserve"> </w:t>
      </w:r>
      <w:hyperlink w:anchor="ref-4">
        <w:r>
          <w:rPr>
            <w:rStyle w:val="Hyperlink"/>
          </w:rPr>
          <w:t xml:space="preserve">[4]</w:t>
        </w:r>
      </w:hyperlink>
      <w:r>
        <w:t xml:space="preserve">. The economic literature, for its part, records that large flagship efforts repeatedly fail against budget and schedule, sometimes to the point of cancellation, and that institutional appetite for such programs tracks broader shifts in public investment</w:t>
      </w:r>
      <w:r>
        <w:t xml:space="preserve"> </w:t>
      </w:r>
      <w:hyperlink w:anchor="ref-5">
        <w:r>
          <w:rPr>
            <w:rStyle w:val="Hyperlink"/>
          </w:rPr>
          <w:t xml:space="preserve">[5]</w:t>
        </w:r>
      </w:hyperlink>
      <w:r>
        <w:t xml:space="preserve">. The architectural record of how space-use norms shift under socio-technical pressure supplies the further observation that inherited assumptions hold only while the operating context that justified them remains stable</w:t>
      </w:r>
      <w:r>
        <w:t xml:space="preserve"> </w:t>
      </w:r>
      <w:hyperlink w:anchor="ref-6">
        <w:r>
          <w:rPr>
            <w:rStyle w:val="Hyperlink"/>
          </w:rPr>
          <w:t xml:space="preserve">[6]</w:t>
        </w:r>
      </w:hyperlink>
      <w:r>
        <w:t xml:space="preserve">.</w:t>
      </w:r>
    </w:p>
    <w:p>
      <w:pPr>
        <w:pStyle w:val="BodyText"/>
        <w:spacing w:line="480" w:lineRule="auto"/>
        <w:ind w:firstLine="720"/>
      </w:pPr>
      <w:r>
        <w:t xml:space="preserve">What this literature does not do is treat heritage status as an estimable covariate on the hazard or the magnitude of overrun. It models cost growth as an outcome. It treats contract form and anomaly causation as influences. It even names heritage optimism as a cause in its qualitative taxonomy</w:t>
      </w:r>
      <w:r>
        <w:t xml:space="preserve"> </w:t>
      </w:r>
      <w:hyperlink w:anchor="ref-9">
        <w:r>
          <w:rPr>
            <w:rStyle w:val="Hyperlink"/>
          </w:rPr>
          <w:t xml:space="preserve">[9]</w:t>
        </w:r>
      </w:hyperlink>
      <w:r>
        <w:t xml:space="preserve">. But it does not isolate the reuse-versus-new-development choice as a time-varying predictor of when an overrun first occurs, nor as a conditional predictor of how large that overrun becomes, with the standard confounders held fixed. The governance literature contrasts legacy-space and new-space models without isolating the reuse decision from the broader institutional shift</w:t>
      </w:r>
      <w:r>
        <w:t xml:space="preserve"> </w:t>
      </w:r>
      <w:hyperlink w:anchor="ref-4">
        <w:r>
          <w:rPr>
            <w:rStyle w:val="Hyperlink"/>
          </w:rPr>
          <w:t xml:space="preserve">[4]</w:t>
        </w:r>
      </w:hyperlink>
      <w:r>
        <w:t xml:space="preserve">. The economic literature documents flagship failure without decomposing how much of it is attributable to heritage forecasts that did not hold</w:t>
      </w:r>
      <w:r>
        <w:t xml:space="preserve"> </w:t>
      </w:r>
      <w:hyperlink w:anchor="ref-5">
        <w:r>
          <w:rPr>
            <w:rStyle w:val="Hyperlink"/>
          </w:rPr>
          <w:t xml:space="preserve">[5]</w:t>
        </w:r>
      </w:hyperlink>
      <w:r>
        <w:t xml:space="preserve">. The reserve-guideline literature aspires to convert historical growth into forward reserve rules but lacks the divergence covariate that would let the rule discriminate the well-behaved reuse from the dangerous one</w:t>
      </w:r>
      <w:r>
        <w:t xml:space="preserve"> </w:t>
      </w:r>
      <w:hyperlink w:anchor="ref-9">
        <w:r>
          <w:rPr>
            <w:rStyle w:val="Hyperlink"/>
          </w:rPr>
          <w:t xml:space="preserve">[9]</w:t>
        </w:r>
      </w:hyperlink>
      <w:r>
        <w:t xml:space="preserve">. The gap is therefore not the existence of overruns, which is exhaustively attested, but the absence of a falsifiable, covariate-level account of whether, when, and by how much heritage reuse changes overrun behavior relative to new development.</w:t>
      </w:r>
    </w:p>
    <w:p>
      <w:pPr>
        <w:pStyle w:val="BodyText"/>
        <w:spacing w:line="480" w:lineRule="auto"/>
        <w:ind w:firstLine="720"/>
      </w:pPr>
      <w:r>
        <w:t xml:space="preserve">The method literature is where the missing instrument already exists, unapplied. Discrete-time and continuous-time survival analysis is the standard apparatus for estimating how a covariate shifts the timing of a first event under right-censoring, and it returns each covariate as a hazard ratio with a defensible interpretation. Cross-sectional regression with heteroskedasticity-robust inference is the standard apparatus for estimating how a covariate shifts the magnitude of an outcome that is bounded below and heavy-tailed above, which is exactly the shape a cost-growth outcome exhibits. These tools are routine in labor economics, in reliability engineering, and in program evaluation. They have not been pointed at the heritage decision in spacecraft development, where the data to support them, milestone-level baseline and replan records, are public and machine-readable in their tabular appendices</w:t>
      </w:r>
      <w:r>
        <w:t xml:space="preserve"> </w:t>
      </w:r>
      <w:hyperlink w:anchor="ref-8">
        <w:r>
          <w:rPr>
            <w:rStyle w:val="Hyperlink"/>
          </w:rPr>
          <w:t xml:space="preserve">[8]</w:t>
        </w:r>
      </w:hyperlink>
      <w:r>
        <w:t xml:space="preserve">. The dissertation’s move is to import the event-history and conditional-magnitude apparatus from the method literature and apply it to the heritage covariate that the domain literature has described qualitatively but never estimated. The contribution is the join, executed precisely enough that it can fail.</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advances one contribution, stated precisely so that it can be refuted cleanly. The contribution is that heritage reuse does not uniformly improve a program’s overrun profile, and that the operative quantity is not the binary fact of reuse but the design-context divergence between a subsystem’s prior qualified context and the new context into which it is carried. Stated as a covariate claim across the two estimable dimensions the dissertation models, timing and magnitude, the proposition is the following.</w:t>
      </w:r>
    </w:p>
    <w:p>
      <w:pPr>
        <w:pStyle w:val="BodyText"/>
        <w:spacing w:line="480" w:lineRule="auto"/>
        <w:ind w:firstLine="720"/>
      </w:pPr>
      <w:r>
        <w:t xml:space="preserve">Let the event of interest be the first formally declared cost or schedule overrun, defined as the first approved replan that breaches the program’s committed baseline by a preregistered margin. Let the principal covariate be design-context divergence, an ordinal measure of how far the critical-path heritage subsystem is pushed from the context in which it was qualified, anchored at zero for clean-sheet development or like-for-like rebuild and rising with the unfamiliarity of the new thermal, dynamic, or operational environment.</w:t>
      </w:r>
    </w:p>
    <w:p>
      <w:pPr>
        <w:pStyle w:val="BodyText"/>
        <w:spacing w:line="480" w:lineRule="auto"/>
        <w:ind w:firstLine="720"/>
      </w:pPr>
      <w:r>
        <w:t xml:space="preserve">The null hypothesis H0 holds that, conditional on subsystem complexity and contract structure, overrun behavior is invariant to heritage divergence. In the hazard dimension, the divergence coefficient is zero and its hazard ratio equals one, so the timing of first overrun does not depend on how far heritage is stretched. In the magnitude dimension, the divergence coefficient is zero or negative, so heritage posture does not raise the size of realized cost growth once the standard drivers are controlled.</w:t>
      </w:r>
    </w:p>
    <w:p>
      <w:pPr>
        <w:pStyle w:val="BodyText"/>
        <w:spacing w:line="480" w:lineRule="auto"/>
        <w:ind w:firstLine="720"/>
      </w:pPr>
      <w:r>
        <w:t xml:space="preserve">The alternative hypothesis H1 holds that heritage divergence worsens overrun behavior conditional on the same controls. In the hazard dimension, the divergence coefficient is positive and its hazard ratio exceeds one, so each step of divergence brings the first overrun sooner, while a like-for-like rebuild behaves like new development or better. In the magnitude dimension, the divergence coefficient is positive, so each step from new development to comparable reuse to divergent reuse is associated with larger development cost growth.</w:t>
      </w:r>
    </w:p>
    <w:p>
      <w:pPr>
        <w:pStyle w:val="BodyText"/>
        <w:spacing w:line="480" w:lineRule="auto"/>
        <w:ind w:firstLine="720"/>
      </w:pPr>
      <w:r>
        <w:t xml:space="preserve">H1 is falsified, in either dimension, if the estimated divergence effect is statistically indistinguishable from no effect, or if its sign is negative in the conditional model. The two dimensions are designed to fail independently. A hazard result about onset says nothing mechanical about the size of the eventual breach, and a magnitude result about size says nothing about when it lands, so a program intuition that survives one test still faces the other. The claim is deliberately narrow. It does not assert that heritage is harmful, which would be false and would be falsified by the well-behaved rebuild case. It asserts only that the protective value of heritage is a property of context rather than of the part, and that the loss of protection is estimable as a positive loading on a measured divergence covariate. That is a proposition a single contrary sign can refute.</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develops, estimates, and defends this contribution across its timing and magnitude dimensions, then reports what survives.</w:t>
      </w:r>
    </w:p>
    <w:p>
      <w:pPr>
        <w:pStyle w:val="BodyText"/>
        <w:spacing w:line="480" w:lineRule="auto"/>
        <w:ind w:firstLine="720"/>
      </w:pPr>
      <w:r>
        <w:t xml:space="preserve">Chapter 2 reviews the two literatures the introduction has placed in tension and makes the seam between them explicit. It surveys the domain record on spacecraft cost and schedule growth, the named role of heritage optimism within that record, the governance and economic accounts of why large programs overrun, and the event-history and conditional-magnitude methods that the domain work has not adopted. The chapter closes by stating the divergence construct formally and distinguishing it from the binary reuse construct that prior work has implicitly used.</w:t>
      </w:r>
    </w:p>
    <w:p>
      <w:pPr>
        <w:pStyle w:val="BodyText"/>
        <w:spacing w:line="480" w:lineRule="auto"/>
        <w:ind w:firstLine="720"/>
      </w:pPr>
      <w:r>
        <w:t xml:space="preserve">Chapter 3 specifies the data and the coding protocol. It defines the major-project unit of analysis, the construction of the first-overrun event from the agency baseline-and-replan record, the percent-development-cost-growth outcome for the magnitude model, and the ordinal divergence index, together with the complexity and contract controls. It documents provenance so that every event date, baseline figure, and heritage code resolves to a citable government document or peer-reviewed source</w:t>
      </w:r>
      <w:r>
        <w:t xml:space="preserve"> </w:t>
      </w:r>
      <w:hyperlink w:anchor="ref-8">
        <w:r>
          <w:rPr>
            <w:rStyle w:val="Hyperlink"/>
          </w:rPr>
          <w:t xml:space="preserve">[8]</w:t>
        </w:r>
      </w:hyperlink>
      <w:r>
        <w:t xml:space="preserve">[9][11], and it sets out the preregistration plan for the divergence coding so that the classification is reproducible by a second analyst.</w:t>
      </w:r>
    </w:p>
    <w:p>
      <w:pPr>
        <w:pStyle w:val="BodyText"/>
        <w:spacing w:line="480" w:lineRule="auto"/>
        <w:ind w:firstLine="720"/>
      </w:pPr>
      <w:r>
        <w:t xml:space="preserve">Chapter 4 presents the timing model. It develops the survival specification for the hazard of first overrun, estimates it on the panel of NASA and ESA major projects, reports the divergence hazard ratio against the H0 and H1 criteria, and examines the conditioning controls. This chapter carries the onset half of the falsifiable claim.</w:t>
      </w:r>
    </w:p>
    <w:p>
      <w:pPr>
        <w:pStyle w:val="BodyText"/>
        <w:spacing w:line="480" w:lineRule="auto"/>
        <w:ind w:firstLine="720"/>
      </w:pPr>
      <w:r>
        <w:t xml:space="preserve">Chapter 5 presents the magnitude model. It develops the conditional-magnitude regression for the size of development cost growth with heteroskedasticity-robust inference, estimates it on the NASA major-project panel, and reports the divergence coefficient against the same H0 and H1 criteria. This chapter carries the magnitude half of the claim and establishes whether the two dimensions corroborate or diverge.</w:t>
      </w:r>
    </w:p>
    <w:p>
      <w:pPr>
        <w:pStyle w:val="BodyText"/>
        <w:spacing w:line="480" w:lineRule="auto"/>
        <w:ind w:firstLine="720"/>
      </w:pPr>
      <w:r>
        <w:t xml:space="preserve">Chapter 6 confronts the threats to validity that bound both estimates. It addresses selection on the reuse decision, the dependence of the first-overrun definition on agency replan accounting, the co-movement of contract form and institutional regime with reuse behavior</w:t>
      </w:r>
      <w:r>
        <w:t xml:space="preserve"> </w:t>
      </w:r>
      <w:hyperlink w:anchor="ref-4">
        <w:r>
          <w:rPr>
            <w:rStyle w:val="Hyperlink"/>
          </w:rPr>
          <w:t xml:space="preserve">[4]</w:t>
        </w:r>
      </w:hyperlink>
      <w:r>
        <w:t xml:space="preserve">[5][6], and the external-validity limits of a NASA-and-ESA-anchored panel. Each threat is mapped to a specific diagnostic, and the contribution is retained only where it survives them.</w:t>
      </w:r>
    </w:p>
    <w:p>
      <w:pPr>
        <w:pStyle w:val="BodyText"/>
        <w:spacing w:line="480" w:lineRule="auto"/>
        <w:ind w:firstLine="720"/>
      </w:pPr>
      <w:r>
        <w:t xml:space="preserve">Chapter 7 concludes. It states what the estimates license a program office to do differently, namely to condition reserve on measured design-context divergence rather than on the binary fact of flight provenance, and it sets out the bounded conjectures under which the finding might extend to commercial and non-US programs. The closing argument is the one the introduction has promised: that flight-proven is a property of a context and not of a part, and that the cost of forgetting that distinction is, on the evidence assembled here, estimable rather than merely cautionary.</w:t>
      </w:r>
    </w:p>
    <w:bookmarkEnd w:id="65"/>
    <w:bookmarkEnd w:id="66"/>
    <w:bookmarkStart w:id="73" w:name="chapter-2.-literature-review"/>
    <w:p>
      <w:pPr>
        <w:pStyle w:val="Heading1"/>
        <w:spacing w:line="480" w:lineRule="auto"/>
      </w:pPr>
      <w:r>
        <w:t xml:space="preserve">Chapter 2. Literature Review</w:t>
      </w:r>
    </w:p>
    <w:bookmarkStart w:id="67" w:name="purpose-and-organization-of-the-review"/>
    <w:p>
      <w:pPr>
        <w:pStyle w:val="Heading2"/>
        <w:spacing w:line="480" w:lineRule="auto"/>
      </w:pPr>
      <w:r>
        <w:t xml:space="preserve">2.1 Purpose and Organization of the Review</w:t>
      </w:r>
    </w:p>
    <w:p>
      <w:pPr>
        <w:pStyle w:val="FirstParagraph"/>
        <w:spacing w:line="480" w:lineRule="auto"/>
      </w:pPr>
      <w:r>
        <w:t xml:space="preserve">This chapter assembles the evidentiary and methodological foundations for a single, narrowly stated proposition: that the decision to reuse heritage hardware, rather than to develop a subsystem anew, is an estimable covariate on the hazard and the magnitude of a spacecraft program’s first declared cost or schedule overrun. The proposition sits at the intersection of two scholarly literatures that have, to this point, developed in near-total isolation from one another. The first is the domain-technical and cost-engineering literature on spacecraft development, which documents in exhaustive detail that overruns are pervasive, that their proximate causes are frequently traceable to specific technical events, and that heritage assumptions are among the named drivers of internal cost growth. The second is the cliometric and econometric methodology literature on hazard modeling, survival analysis, and the conditional estimation of treatment effects from observational panels, which supplies the apparatus by which a repeated engineering intuition can be converted into a refutable, covariate-level claim. The two literatures rarely cite one another, and to the candidate’s knowledge no published work has joined them to treat heritage status as a time-varying predictor of overrun onset.</w:t>
      </w:r>
    </w:p>
    <w:p>
      <w:pPr>
        <w:pStyle w:val="BodyText"/>
        <w:spacing w:line="480" w:lineRule="auto"/>
        <w:ind w:firstLine="720"/>
      </w:pPr>
      <w:r>
        <w:t xml:space="preserve">The review proceeds in five movements. Section 2.2 establishes the structural, rather than anomalous, character of cost and schedule overruns in spacecraft development and fixes the empirical magnitudes against which any model must be calibrated. Section 2.3 examines the proximate, technical causation of overruns, with particular attention to qualification, anomaly, and heritage-assumption channels. Section 2.4 reviews the governance and economic literature that frames contract form and institutional regime as overrun-relevant confounders. Section 2.5 surveys the cliometric and econometric methodology literature, isolating the survival-analytic and conditional-regression tools the dissertation will deploy and explaining why they have not previously been turned on this question. Section 2.6 synthesizes the two bodies of work, states the gap precisely, and positions the dissertation’s contribution as the joining of an unjoined seam. Throughout, the review distinguishes what the retrieved record demonstrates from what it merely asserts, because the central thesis of this dissertation is that one of the field’s most consequential assertions has never been tested.</w:t>
      </w:r>
    </w:p>
    <w:bookmarkEnd w:id="67"/>
    <w:bookmarkStart w:id="68" w:name="Xe2787f175ab4acb95e776ed04806180ebaf3b42"/>
    <w:p>
      <w:pPr>
        <w:pStyle w:val="Heading2"/>
        <w:spacing w:line="480" w:lineRule="auto"/>
      </w:pPr>
      <w:r>
        <w:t xml:space="preserve">2.2 Overruns as a Structural Feature of Spacecraft Development</w:t>
      </w:r>
    </w:p>
    <w:p>
      <w:pPr>
        <w:pStyle w:val="FirstParagraph"/>
        <w:spacing w:line="480" w:lineRule="auto"/>
      </w:pPr>
      <w:r>
        <w:t xml:space="preserve">The first thing the literature establishes, and establishes overwhelmingly, is that cost and schedule overruns are not aberrations in spacecraft development. They are the expected state of the world. The single most important empirical anchor for this claim is the Aerospace Corporation’s historical reserve study, which examined forty NASA science missions and found an average development cost growth of 26.9 percent, a median of 16.1 percent, and a maximum of 150 percent</w:t>
      </w:r>
      <w:r>
        <w:t xml:space="preserve"> </w:t>
      </w:r>
      <w:hyperlink w:anchor="ref-9">
        <w:r>
          <w:rPr>
            <w:rStyle w:val="Hyperlink"/>
          </w:rPr>
          <w:t xml:space="preserve">[9]</w:t>
        </w:r>
      </w:hyperlink>
      <w:r>
        <w:t xml:space="preserve">. These are not the figures of a process that occasionally misfires; they are the figures of a process in which growth is the modal outcome and the interesting scientific variation lies in the size and timing of that growth rather than in its presence or absence. The same study is doubly important to this dissertation because it does not stop at documenting magnitudes. It decomposes growth into causal channels and names overly optimistic heritage assumptions explicitly as a category of internal cost growth, placing it alongside instrument technical problems and management inefficiency</w:t>
      </w:r>
      <w:r>
        <w:t xml:space="preserve"> </w:t>
      </w:r>
      <w:hyperlink w:anchor="ref-9">
        <w:r>
          <w:rPr>
            <w:rStyle w:val="Hyperlink"/>
          </w:rPr>
          <w:t xml:space="preserve">[9]</w:t>
        </w:r>
      </w:hyperlink>
      <w:r>
        <w:t xml:space="preserve">. This is the closest the prior literature comes to the dissertation’s thesis, and it is worth dwelling on what it does and does not do. It identifies heritage optimism as a driver. It does not price that driver, it does not model it as a covariate, and it does not estimate the conditional relationship between heritage posture and the timing or magnitude of the resulting growth. It is a taxonomy, not an estimator.</w:t>
      </w:r>
    </w:p>
    <w:p>
      <w:pPr>
        <w:pStyle w:val="BodyText"/>
        <w:spacing w:line="480" w:lineRule="auto"/>
        <w:ind w:firstLine="720"/>
      </w:pPr>
      <w:r>
        <w:t xml:space="preserve">The structural character of overruns is corroborated by the parametric cost-estimation literature, which treats heritage and complexity as first-order, tunable cost drivers rather than as second-order corrections. The blind validation study of the SEER-H parametric estimator against NASA space missions is the canonical example</w:t>
      </w:r>
      <w:r>
        <w:t xml:space="preserve"> </w:t>
      </w:r>
      <w:hyperlink w:anchor="ref-10">
        <w:r>
          <w:rPr>
            <w:rStyle w:val="Hyperlink"/>
          </w:rPr>
          <w:t xml:space="preserve">[10]</w:t>
        </w:r>
      </w:hyperlink>
      <w:r>
        <w:t xml:space="preserve">. The very existence of such a validation exercise carries an implication that bears directly on the dissertation’s hypothesis: if subsystem heritage moved cost only downward, it would not need to be a tunable input in the estimators that programs actually use to set their baselines. The estimator-validation literature thus treats heritage as a bidirectional cost lever, capable of amplifying as well as reducing, without ever formally testing the conditions under which the amplifying direction dominates. The dissertation takes up precisely that untested question.</w:t>
      </w:r>
    </w:p>
    <w:p>
      <w:pPr>
        <w:pStyle w:val="BodyText"/>
        <w:spacing w:line="480" w:lineRule="auto"/>
        <w:ind w:firstLine="720"/>
      </w:pPr>
      <w:r>
        <w:t xml:space="preserve">The contemporary government-assessment record extends and refreshes the historical picture. The Government Accountability Office’s annual series, NASA: Assessments of Major Projects, reports for each major project the committed cost and schedule baseline, subsequent baseline breaches, launch-readiness slips, and narrative attributions of cost and schedule growth, including explicit heritage-related findings</w:t>
      </w:r>
      <w:r>
        <w:t xml:space="preserve"> </w:t>
      </w:r>
      <w:hyperlink w:anchor="ref-8">
        <w:r>
          <w:rPr>
            <w:rStyle w:val="Hyperlink"/>
          </w:rPr>
          <w:t xml:space="preserve">[8]</w:t>
        </w:r>
      </w:hyperlink>
      <w:r>
        <w:t xml:space="preserve">. The most recent edition documents, among many examples, a Mars 2020 development cost increase that breached the fifteen percent congressional notification threshold and a Psyche entry whose narrative states explicitly that the design is based heavily on heritage technologies</w:t>
      </w:r>
      <w:r>
        <w:t xml:space="preserve"> </w:t>
      </w:r>
      <w:hyperlink w:anchor="ref-8">
        <w:r>
          <w:rPr>
            <w:rStyle w:val="Hyperlink"/>
          </w:rPr>
          <w:t xml:space="preserve">[8]</w:t>
        </w:r>
      </w:hyperlink>
      <w:r>
        <w:t xml:space="preserve">. The GAO series matters to this review for two reasons. First, it confirms across a rolling, contemporary panel that the structural pattern the Aerospace study found in the 1990s and 2000s persists into the flagship and Artemis era. Second, it furnishes the machine-readable, source-traceable event record on which a discrete-time survival panel can actually be built, a point developed in the methodology synthesis below. Published mission-cost accounts assembled by independent observers provide an additional corroborating layer, supplying per-mission baseline and final-cost figures for high-visibility programs such as Psyche, Lucy, Perseverance, OSIRIS-REx, and the James Webb Space Telescope that can be cross-checked against the agency record</w:t>
      </w:r>
      <w:r>
        <w:t xml:space="preserve"> </w:t>
      </w:r>
      <w:hyperlink w:anchor="ref-11">
        <w:r>
          <w:rPr>
            <w:rStyle w:val="Hyperlink"/>
          </w:rPr>
          <w:t xml:space="preserve">[11]</w:t>
        </w:r>
      </w:hyperlink>
      <w:r>
        <w:t xml:space="preserve">.</w:t>
      </w:r>
    </w:p>
    <w:p>
      <w:pPr>
        <w:pStyle w:val="BodyText"/>
        <w:spacing w:line="480" w:lineRule="auto"/>
        <w:ind w:firstLine="720"/>
      </w:pPr>
      <w:r>
        <w:t xml:space="preserve">The economic literature situates these technical and accounting findings inside a broader pattern of large-program failure. Flagship efforts repeatedly fail against budget and schedule, sometimes to the point of cancellation, and institutional appetite for such programs tracks broader shifts in public investment</w:t>
      </w:r>
      <w:r>
        <w:t xml:space="preserve"> </w:t>
      </w:r>
      <w:hyperlink w:anchor="ref-5">
        <w:r>
          <w:rPr>
            <w:rStyle w:val="Hyperlink"/>
          </w:rPr>
          <w:t xml:space="preserve">[5]</w:t>
        </w:r>
      </w:hyperlink>
      <w:r>
        <w:t xml:space="preserve">. This is the cliometric register at its most general: it documents that the failure of large space programs is a recurring, structural feature of the political economy of spaceflight rather than a series of unrelated managerial accidents. What the economic literature supplies in breadth it forgoes in resolution. It does not decompose how much of the documented failure is attributable to heritage forecasts that did not hold, because heritage status is not one of its variables. The dissertation reads this as an invitation rather than a closed question: the macro-pattern of large-program failure is well attested, and the micro-mechanism of heritage divergence is a plausible and estimable contributor to it that the economic literature leaves on the table.</w:t>
      </w:r>
    </w:p>
    <w:p>
      <w:pPr>
        <w:pStyle w:val="BodyText"/>
        <w:spacing w:line="480" w:lineRule="auto"/>
        <w:ind w:firstLine="720"/>
      </w:pPr>
      <w:r>
        <w:t xml:space="preserve">Taken together, the magnitude literature</w:t>
      </w:r>
      <w:r>
        <w:t xml:space="preserve"> </w:t>
      </w:r>
      <w:hyperlink w:anchor="ref-9">
        <w:r>
          <w:rPr>
            <w:rStyle w:val="Hyperlink"/>
          </w:rPr>
          <w:t xml:space="preserve">[9]</w:t>
        </w:r>
      </w:hyperlink>
      <w:r>
        <w:t xml:space="preserve">, the estimator literature</w:t>
      </w:r>
      <w:r>
        <w:t xml:space="preserve"> </w:t>
      </w:r>
      <w:hyperlink w:anchor="ref-10">
        <w:r>
          <w:rPr>
            <w:rStyle w:val="Hyperlink"/>
          </w:rPr>
          <w:t xml:space="preserve">[10]</w:t>
        </w:r>
      </w:hyperlink>
      <w:r>
        <w:t xml:space="preserve">, the contemporary assessment record</w:t>
      </w:r>
      <w:r>
        <w:t xml:space="preserve"> </w:t>
      </w:r>
      <w:hyperlink w:anchor="ref-8">
        <w:r>
          <w:rPr>
            <w:rStyle w:val="Hyperlink"/>
          </w:rPr>
          <w:t xml:space="preserve">[8]</w:t>
        </w:r>
      </w:hyperlink>
      <w:r>
        <w:t xml:space="preserve">[11], and the economic framing</w:t>
      </w:r>
      <w:r>
        <w:t xml:space="preserve"> </w:t>
      </w:r>
      <w:hyperlink w:anchor="ref-5">
        <w:r>
          <w:rPr>
            <w:rStyle w:val="Hyperlink"/>
          </w:rPr>
          <w:t xml:space="preserve">[5]</w:t>
        </w:r>
      </w:hyperlink>
      <w:r>
        <w:t xml:space="preserve"> </w:t>
      </w:r>
      <w:r>
        <w:t xml:space="preserve">establish the first of three settled facts on which this dissertation builds: overruns are structural, their magnitudes are large and measurable, and heritage optimism is a named but unestimated channel among their causes.</w:t>
      </w:r>
    </w:p>
    <w:bookmarkEnd w:id="68"/>
    <w:bookmarkStart w:id="69" w:name="Xd0ffe669bedbdf04b4c247ed71ce5019dd2f04a"/>
    <w:p>
      <w:pPr>
        <w:pStyle w:val="Heading2"/>
        <w:spacing w:line="480" w:lineRule="auto"/>
      </w:pPr>
      <w:r>
        <w:t xml:space="preserve">2.3 The Proximate, Technical Causation of Overruns</w:t>
      </w:r>
    </w:p>
    <w:p>
      <w:pPr>
        <w:pStyle w:val="FirstParagraph"/>
        <w:spacing w:line="480" w:lineRule="auto"/>
      </w:pPr>
      <w:r>
        <w:t xml:space="preserve">The second settled fact is that the proximate triggers of overrun are frequently specific and technical, and that they are documented at the subsystem level in the engineering literature. This matters to the dissertation because heritage reuse is the mechanism through which a program assumes precisely these subsystem-level triggers away. If the assumption is wrong, the trigger fires anyway, and the literature on technical causation is therefore the literature on what heritage forecasts are betting against.</w:t>
      </w:r>
    </w:p>
    <w:p>
      <w:pPr>
        <w:pStyle w:val="BodyText"/>
        <w:spacing w:line="480" w:lineRule="auto"/>
        <w:ind w:firstLine="720"/>
      </w:pPr>
      <w:r>
        <w:t xml:space="preserve">Three causal channels appear repeatedly. The first is anomaly misdiagnosis. The literature documents that misdiagnosed on-orbit and integration anomalies induce extra cost and schedule overrun directly, because a misattributed root cause leads to a misdirected and therefore wasted corrective effort</w:t>
      </w:r>
      <w:r>
        <w:t xml:space="preserve"> </w:t>
      </w:r>
      <w:hyperlink w:anchor="ref-2">
        <w:r>
          <w:rPr>
            <w:rStyle w:val="Hyperlink"/>
          </w:rPr>
          <w:t xml:space="preserve">[2]</w:t>
        </w:r>
      </w:hyperlink>
      <w:r>
        <w:t xml:space="preserve">[7][17]. The autonomous fault-detection and diagnosis literature is the obverse of this finding: the considerable effort invested in on-board, autonomous, hybrid spacecraft subsystem fault and anomaly detection, diagnosis, root-cause determination, and recovery is justified precisely because the cost of getting diagnosis wrong is high</w:t>
      </w:r>
      <w:r>
        <w:t xml:space="preserve"> </w:t>
      </w:r>
      <w:hyperlink w:anchor="ref-14">
        <w:r>
          <w:rPr>
            <w:rStyle w:val="Hyperlink"/>
          </w:rPr>
          <w:t xml:space="preserve">[14]</w:t>
        </w:r>
      </w:hyperlink>
      <w:r>
        <w:t xml:space="preserve">. Heritage reuse interacts with the anomaly channel in a specific and underappreciated way. A flight-proven subsystem carries with it a diagnostic prior, an inherited expectation of how it behaves and fails, and that prior is accurate only so long as the operating context remains the one in which the heritage was earned. Carried into a divergent context, the inherited diagnostic prior becomes a source of misdiagnosis rather than a guard against it, because the program reasons about a new failure mode using a model qualified for the old environment.</w:t>
      </w:r>
    </w:p>
    <w:p>
      <w:pPr>
        <w:pStyle w:val="BodyText"/>
        <w:spacing w:line="480" w:lineRule="auto"/>
        <w:ind w:firstLine="720"/>
      </w:pPr>
      <w:r>
        <w:t xml:space="preserve">The second channel is qualification propagation. The literature shows that even narrowly scoped qualification questions propagate into cost growth. Salotti’s analysis of launcher sizing under crewed-Mars-mission constraints is the cited exemplar: a single qualification parameter, the launcher size required to close a crewed architecture, drives cost consequences that ramify across the program</w:t>
      </w:r>
      <w:r>
        <w:t xml:space="preserve"> </w:t>
      </w:r>
      <w:hyperlink w:anchor="ref-3">
        <w:r>
          <w:rPr>
            <w:rStyle w:val="Hyperlink"/>
          </w:rPr>
          <w:t xml:space="preserve">[3]</w:t>
        </w:r>
      </w:hyperlink>
      <w:r>
        <w:t xml:space="preserve">[23]. The generalization the dissertation draws is that qualification is not transitive across context. A subsystem qualified for one thermal, dynamic, or operational regime is not thereby qualified for a divergent one, and the cost of discovering this is paid late in the lifecycle, when re-qualification is most expensive. The cost-estimation literature reinforces the point by treating qualification status and heritage as estimator inputs that must be set per mission</w:t>
      </w:r>
      <w:r>
        <w:t xml:space="preserve"> </w:t>
      </w:r>
      <w:hyperlink w:anchor="ref-10">
        <w:r>
          <w:rPr>
            <w:rStyle w:val="Hyperlink"/>
          </w:rPr>
          <w:t xml:space="preserve">[10]</w:t>
        </w:r>
      </w:hyperlink>
      <w:r>
        <w:t xml:space="preserve">[21], where the hypersonic-vehicle cost-prediction work demonstrates that research, development, and production cost models for novel vehicle classes depend explicitly on the degree of departure from qualified precedent</w:t>
      </w:r>
      <w:r>
        <w:t xml:space="preserve"> </w:t>
      </w:r>
      <w:hyperlink w:anchor="ref-21">
        <w:r>
          <w:rPr>
            <w:rStyle w:val="Hyperlink"/>
          </w:rPr>
          <w:t xml:space="preserve">[21]</w:t>
        </w:r>
      </w:hyperlink>
      <w:r>
        <w:t xml:space="preserve">.</w:t>
      </w:r>
    </w:p>
    <w:p>
      <w:pPr>
        <w:pStyle w:val="BodyText"/>
        <w:spacing w:line="480" w:lineRule="auto"/>
        <w:ind w:firstLine="720"/>
      </w:pPr>
      <w:r>
        <w:t xml:space="preserve">The third channel is interdependency. Unforeseen program interdependencies translate directly into schedule slips and budget increases, because a delay or failure in one element propagates to the elements that depend on it</w:t>
      </w:r>
      <w:r>
        <w:t xml:space="preserve"> </w:t>
      </w:r>
      <w:hyperlink w:anchor="ref-6">
        <w:r>
          <w:rPr>
            <w:rStyle w:val="Hyperlink"/>
          </w:rPr>
          <w:t xml:space="preserve">[6]</w:t>
        </w:r>
      </w:hyperlink>
      <w:r>
        <w:t xml:space="preserve">. The GAO assessment record operationalizes this at the portfolio level in its finding that the Artemis programs are interdependent drivers of portfolio overrun, in which Orion and the Space Launch System co-move because each is on the other’s critical path</w:t>
      </w:r>
      <w:r>
        <w:t xml:space="preserve"> </w:t>
      </w:r>
      <w:hyperlink w:anchor="ref-8">
        <w:r>
          <w:rPr>
            <w:rStyle w:val="Hyperlink"/>
          </w:rPr>
          <w:t xml:space="preserve">[8]</w:t>
        </w:r>
      </w:hyperlink>
      <w:r>
        <w:t xml:space="preserve">. Heritage reuse interacts with interdependency in the same way it interacts with anomaly and qualification: a heritage selection amounts to a bet that the inherited subsystem’s interfaces and interdependencies are stable, and that bet fails when the subsystem is carried into an architecture whose interdependency structure differs from the one in which the heritage was earned. The architectural literature on how space-use norms shift under socio-technical pressure provides the conceptual frame, establishing that inherited assumptions hold only while the operating context remains stable and that transformative change in the surrounding system invalidates them</w:t>
      </w:r>
      <w:r>
        <w:t xml:space="preserve"> </w:t>
      </w:r>
      <w:hyperlink w:anchor="ref-6">
        <w:r>
          <w:rPr>
            <w:rStyle w:val="Hyperlink"/>
          </w:rPr>
          <w:t xml:space="preserve">[6]</w:t>
        </w:r>
      </w:hyperlink>
      <w:r>
        <w:t xml:space="preserve">.</w:t>
      </w:r>
    </w:p>
    <w:p>
      <w:pPr>
        <w:pStyle w:val="BodyText"/>
        <w:spacing w:line="480" w:lineRule="auto"/>
        <w:ind w:firstLine="720"/>
      </w:pPr>
      <w:r>
        <w:t xml:space="preserve">A substantial adjacent body of space-systems engineering literature, while not directly concerned with cost growth, supplies the domain texture that makes the heritage-divergence mechanism concrete. Work on space situational awareness architectures and their evolution</w:t>
      </w:r>
      <w:r>
        <w:t xml:space="preserve"> </w:t>
      </w:r>
      <w:hyperlink w:anchor="ref-1">
        <w:r>
          <w:rPr>
            <w:rStyle w:val="Hyperlink"/>
          </w:rPr>
          <w:t xml:space="preserve">[1]</w:t>
        </w:r>
      </w:hyperlink>
      <w:r>
        <w:t xml:space="preserve">[13], on complete SSA schemes combining data aggregation with in-orbit inspection</w:t>
      </w:r>
      <w:r>
        <w:t xml:space="preserve"> </w:t>
      </w:r>
      <w:hyperlink w:anchor="ref-2">
        <w:r>
          <w:rPr>
            <w:rStyle w:val="Hyperlink"/>
          </w:rPr>
          <w:t xml:space="preserve">[2]</w:t>
        </w:r>
      </w:hyperlink>
      <w:r>
        <w:t xml:space="preserve">[7][17], on flexible closed-loop feedback control architectures for space-domain-awareness payloads</w:t>
      </w:r>
      <w:r>
        <w:t xml:space="preserve"> </w:t>
      </w:r>
      <w:hyperlink w:anchor="ref-16">
        <w:r>
          <w:rPr>
            <w:rStyle w:val="Hyperlink"/>
          </w:rPr>
          <w:t xml:space="preserve">[16]</w:t>
        </w:r>
      </w:hyperlink>
      <w:r>
        <w:t xml:space="preserve">, on hosted-payload pathfinders for partnership</w:t>
      </w:r>
      <w:r>
        <w:t xml:space="preserve"> </w:t>
      </w:r>
      <w:hyperlink w:anchor="ref-12">
        <w:r>
          <w:rPr>
            <w:rStyle w:val="Hyperlink"/>
          </w:rPr>
          <w:t xml:space="preserve">[12]</w:t>
        </w:r>
      </w:hyperlink>
      <w:r>
        <w:t xml:space="preserve">, and on heritage-payload reuse such as Sapphire-like payloads for space situational awareness</w:t>
      </w:r>
      <w:r>
        <w:t xml:space="preserve"> </w:t>
      </w:r>
      <w:hyperlink w:anchor="ref-18">
        <w:r>
          <w:rPr>
            <w:rStyle w:val="Hyperlink"/>
          </w:rPr>
          <w:t xml:space="preserve">[18]</w:t>
        </w:r>
      </w:hyperlink>
      <w:r>
        <w:t xml:space="preserve"> </w:t>
      </w:r>
      <w:r>
        <w:t xml:space="preserve">collectively illustrate how subsystems conceived for one mission context are repeatedly proposed for reuse in adjacent but non-identical contexts. The active-debris-removal strategy literature</w:t>
      </w:r>
      <w:r>
        <w:t xml:space="preserve"> </w:t>
      </w:r>
      <w:hyperlink w:anchor="ref-19">
        <w:r>
          <w:rPr>
            <w:rStyle w:val="Hyperlink"/>
          </w:rPr>
          <w:t xml:space="preserve">[19]</w:t>
        </w:r>
      </w:hyperlink>
      <w:r>
        <w:t xml:space="preserve">, the launcher-options and trajectory-design literature responding to a changing launch market</w:t>
      </w:r>
      <w:r>
        <w:t xml:space="preserve"> </w:t>
      </w:r>
      <w:hyperlink w:anchor="ref-20">
        <w:r>
          <w:rPr>
            <w:rStyle w:val="Hyperlink"/>
          </w:rPr>
          <w:t xml:space="preserve">[20]</w:t>
        </w:r>
      </w:hyperlink>
      <w:r>
        <w:t xml:space="preserve">[22][24][25], and the instrument-design literature for novel science missions</w:t>
      </w:r>
      <w:r>
        <w:t xml:space="preserve"> </w:t>
      </w:r>
      <w:hyperlink w:anchor="ref-26">
        <w:r>
          <w:rPr>
            <w:rStyle w:val="Hyperlink"/>
          </w:rPr>
          <w:t xml:space="preserve">[26]</w:t>
        </w:r>
      </w:hyperlink>
      <w:r>
        <w:t xml:space="preserve"> </w:t>
      </w:r>
      <w:r>
        <w:t xml:space="preserve">each present cases in which a flight-proven element is stretched toward a new application. None of these works estimates a cost-growth or overrun relationship; their value to this review is that they populate the space of heritage-divergence decisions with real, documented instances, demonstrating that the divergence covariate the dissertation proposes to estimate is not a theoretical abstraction but a recurring engineering reality. The space-sustainability and traffic-management literature on trusted stakeholder coordination</w:t>
      </w:r>
      <w:r>
        <w:t xml:space="preserve"> </w:t>
      </w:r>
      <w:hyperlink w:anchor="ref-15">
        <w:r>
          <w:rPr>
            <w:rStyle w:val="Hyperlink"/>
          </w:rPr>
          <w:t xml:space="preserve">[15]</w:t>
        </w:r>
      </w:hyperlink>
      <w:r>
        <w:t xml:space="preserve"> </w:t>
      </w:r>
      <w:r>
        <w:t xml:space="preserve">and the space-sustainability-rating literature on composite indicators that incentivize operator behavior</w:t>
      </w:r>
      <w:r>
        <w:t xml:space="preserve"> </w:t>
      </w:r>
      <w:hyperlink w:anchor="ref-27">
        <w:r>
          <w:rPr>
            <w:rStyle w:val="Hyperlink"/>
          </w:rPr>
          <w:t xml:space="preserve">[27]</w:t>
        </w:r>
      </w:hyperlink>
      <w:r>
        <w:t xml:space="preserve"> </w:t>
      </w:r>
      <w:r>
        <w:t xml:space="preserve">further demonstrate that the field is comfortable constructing ordinal and composite indices over qualitative engineering judgments, which is the measurement move the dissertation’s divergence index requires.</w:t>
      </w:r>
    </w:p>
    <w:p>
      <w:pPr>
        <w:pStyle w:val="BodyText"/>
        <w:spacing w:line="480" w:lineRule="auto"/>
        <w:ind w:firstLine="720"/>
      </w:pPr>
      <w:r>
        <w:t xml:space="preserve">The second settled fact is therefore that overruns have specific, traceable, subsystem-level technical causes, and that each principal cause, anomaly misdiagnosis, qualification non-transitivity, and interdependency, is a channel through which a mistaken heritage forecast does its damage. The engineering literature describes these channels richly. It does not estimate the heritage-divergence covariate that, on the dissertation’s reading, governs whether they fire.</w:t>
      </w:r>
    </w:p>
    <w:bookmarkEnd w:id="69"/>
    <w:bookmarkStart w:id="70" w:name="X8a5730c4d71d2d51a5011a142425e2c6c2957fb"/>
    <w:p>
      <w:pPr>
        <w:pStyle w:val="Heading2"/>
        <w:spacing w:line="480" w:lineRule="auto"/>
      </w:pPr>
      <w:r>
        <w:t xml:space="preserve">2.4 Contract Form, Governance, and Institutional Regime as Confounders</w:t>
      </w:r>
    </w:p>
    <w:p>
      <w:pPr>
        <w:pStyle w:val="FirstParagraph"/>
        <w:spacing w:line="480" w:lineRule="auto"/>
      </w:pPr>
      <w:r>
        <w:t xml:space="preserve">The third settled fact concerns the institutional and contractual environment in which overruns occur, and it matters principally because it identifies the confounders any credible estimate of a heritage effect must hold fixed. The governance literature documents that agencies adopt cost-plus contract instruments precisely to absorb the delays and cost growth that recur under legacy-space program models, and that the broader legacy-to-new-space transition reshapes how those overruns are governed</w:t>
      </w:r>
      <w:r>
        <w:t xml:space="preserve"> </w:t>
      </w:r>
      <w:hyperlink w:anchor="ref-4">
        <w:r>
          <w:rPr>
            <w:rStyle w:val="Hyperlink"/>
          </w:rPr>
          <w:t xml:space="preserve">[4]</w:t>
        </w:r>
      </w:hyperlink>
      <w:r>
        <w:t xml:space="preserve">. This finding is double-edged for the present study. On one hand, it confirms that contract form is overrun-relevant and must be controlled. On the other, it warns that contract form and institutional regime co-move with reuse behavior, because legacy-space programs are both more likely to use cost-plus instruments and more likely to inherit heritage hardware. Any estimate of a heritage effect that fails to condition on contract structure and regime risks attributing to heritage what properly belongs to the institutional context in which heritage is chosen.</w:t>
      </w:r>
    </w:p>
    <w:p>
      <w:pPr>
        <w:pStyle w:val="BodyText"/>
        <w:spacing w:line="480" w:lineRule="auto"/>
        <w:ind w:firstLine="720"/>
      </w:pPr>
      <w:r>
        <w:t xml:space="preserve">The economic literature reinforces the regime concern at the macro scale. The recurring budget-and-schedule failure of large flagship programs is bound up with the broader political economy of public space investment, so that institutional appetite, contract form, and program scale move together</w:t>
      </w:r>
      <w:r>
        <w:t xml:space="preserve"> </w:t>
      </w:r>
      <w:hyperlink w:anchor="ref-5">
        <w:r>
          <w:rPr>
            <w:rStyle w:val="Hyperlink"/>
          </w:rPr>
          <w:t xml:space="preserve">[5]</w:t>
        </w:r>
      </w:hyperlink>
      <w:r>
        <w:t xml:space="preserve">. The architectural literature on transformative change in space-use norms makes the same point in a different register: socio-technological transformation reshapes the entire field of constraints within which programs are conceived and governed, so that the meaning and consequence of a reuse decision are themselves regime-dependent</w:t>
      </w:r>
      <w:r>
        <w:t xml:space="preserve"> </w:t>
      </w:r>
      <w:hyperlink w:anchor="ref-6">
        <w:r>
          <w:rPr>
            <w:rStyle w:val="Hyperlink"/>
          </w:rPr>
          <w:t xml:space="preserve">[6]</w:t>
        </w:r>
      </w:hyperlink>
      <w:r>
        <w:t xml:space="preserve">. The methodological lesson the dissertation draws is unambiguous. Heritage status cannot be estimated as if it floated free of institutional regime. It must be estimated conditional on contract form, mission class, and, where the panel permits, regime fixed effects, with any residual confounding reported rather than concealed.</w:t>
      </w:r>
    </w:p>
    <w:p>
      <w:pPr>
        <w:pStyle w:val="BodyText"/>
        <w:spacing w:line="480" w:lineRule="auto"/>
        <w:ind w:firstLine="720"/>
      </w:pPr>
      <w:r>
        <w:t xml:space="preserve">The governance literature also clarifies what the dissertation is not doing. It is not contrasting legacy-space and new-space models, a contrast the existing literature already draws well</w:t>
      </w:r>
      <w:r>
        <w:t xml:space="preserve"> </w:t>
      </w:r>
      <w:hyperlink w:anchor="ref-4">
        <w:r>
          <w:rPr>
            <w:rStyle w:val="Hyperlink"/>
          </w:rPr>
          <w:t xml:space="preserve">[4]</w:t>
        </w:r>
      </w:hyperlink>
      <w:r>
        <w:t xml:space="preserve">. It is isolating the reuse decision from that broader institutional shift, asking whether, within a regime and conditional on its contractual instruments, the heritage posture of the critical-path subsystem still carries an estimable effect on overrun timing and magnitude. The existing governance literature provides the controls; it does not provide the estimate.</w:t>
      </w:r>
    </w:p>
    <w:bookmarkEnd w:id="70"/>
    <w:bookmarkStart w:id="71"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second of the two unjoined literatures is methodological. It supplies the apparatus, survival analysis, hazard modeling, and the conditional estimation of effects from observational panels, by which the engineering intuition reviewed above can be made refutable. The defining feature of this literature, for present purposes, is that it has been applied to almost every domain of large-project performance except the heritage-versus-new-development decision in spacecraft systems engineering, and that the engineering literature reviewed in Sections 2.2 through 2.4 nowhere employs it. The seam between the two is the dissertation’s contribution, and this section establishes that the methodological tools exist, are mature, and are appropriate to the data the engineering record makes available.</w:t>
      </w:r>
    </w:p>
    <w:p>
      <w:pPr>
        <w:pStyle w:val="BodyText"/>
        <w:spacing w:line="480" w:lineRule="auto"/>
        <w:ind w:firstLine="720"/>
      </w:pPr>
      <w:r>
        <w:t xml:space="preserve">The first relevant methodological family is duration and survival analysis. The dissertation’s central object is the timing of a discrete event, the first formally declared cost or schedule overrun, observed on a panel of programs that are followed from baseline confirmation until the event occurs or until they are right-censored at launch or cancellation. This is the canonical setting for hazard modeling. Two specifications are standard. The Cox proportional-hazards model expresses the hazard of the event at a given program age as the product of an unspecified baseline hazard and an exponential function of covariates, leaving the baseline hazard unparameterized, accommodating right-censoring naturally, and reporting each covariate as a hazard ratio, the multiplicative shift in instantaneous risk associated with a one-unit change in that covariate while the others are held fixed. The companion research that anchors this dissertation demonstrates the feasibility of the Cox specification on a twenty-five-project NASA-and-ESA panel, recovering a positive and significant coefficient on design-context divergence. The discrete-time complementary log-log model is the natural alternative when events are recorded in milestone periods rather than in continuous time, as the GAO assessment record’s annual cadence implies; it shares the hazard-ratio interpretation while handling interval-censored, period-structured data and permitting program-clustered standard errors. The proportional-hazards assumption common to the Cox family is itself testable through Schoenfeld-residual diagnostics, so the methodological literature supplies not only the estimator but the means of checking its key assumption.</w:t>
      </w:r>
    </w:p>
    <w:p>
      <w:pPr>
        <w:pStyle w:val="BodyText"/>
        <w:spacing w:line="480" w:lineRule="auto"/>
        <w:ind w:firstLine="720"/>
      </w:pPr>
      <w:r>
        <w:t xml:space="preserve">The second methodological family is the conditional cross-sectional estimation of effect magnitude. Where the hazard model asks when an overrun first arrives, a magnitude model asks, among programs that grow, how much they grow as a function of the same covariates. The natural estimator is ordinary least squares with heteroskedasticity-robust standard errors, regressing development cost growth on heritage divergence and the standard confounders. Robust covariance estimation is appropriate because a cost-growth outcome, bounded below at the no-growth floor but heavy-tailed above, plainly exhibits non-constant error variance. The companion magnitude study in this dissertation demonstrates this estimator on a twenty-eight-project NASA panel, recovering a positive and significant heritage-divergence coefficient that survives adjustment for complexity, launch-window restriction, and Artemis interdependency. The two estimators, hazard for onset and robust OLS for magnitude, are designed to fail independently, because a result about the timing of onset says nothing mechanical about the size of the eventual breach and a result about size says nothing about when it lands. Estimating both is what converts a single engineering slogan into a pair of separately refutable propositions, and the methodological literature provides each estimator off the shelf.</w:t>
      </w:r>
    </w:p>
    <w:p>
      <w:pPr>
        <w:pStyle w:val="BodyText"/>
        <w:spacing w:line="480" w:lineRule="auto"/>
        <w:ind w:firstLine="720"/>
      </w:pPr>
      <w:r>
        <w:t xml:space="preserve">The third methodological concern is identification under non-random treatment assignment. The reuse decision is not randomly assigned; programs that choose heritage may differ systematically from those that do not, and the divergence estimate therefore identifies a conditional association rather than a fully de-confounded causal effect unless additional structure is imposed. The methodology literature supplies the relevant devices. Conditioning controls block the most plausible confounders the engineering literature flags, namely complexity and contract form</w:t>
      </w:r>
      <w:r>
        <w:t xml:space="preserve"> </w:t>
      </w:r>
      <w:hyperlink w:anchor="ref-3">
        <w:r>
          <w:rPr>
            <w:rStyle w:val="Hyperlink"/>
          </w:rPr>
          <w:t xml:space="preserve">[3]</w:t>
        </w:r>
      </w:hyperlink>
      <w:r>
        <w:t xml:space="preserve">[4][9][10]. An instrumental-variables sensitivity analysis, using the prior-mission availability of a qualifying subsystem as an instrument, can bound the residual selection bias, on the logic that subsystem availability is plausibly exogenous to a given program’s overrun trajectory; the threat that availability itself proxies for institutional maturity is addressed by reporting estimates under progressively weaker exclusion assumptions so that the reader can locate where the sign of the heritage effect would flip. Regime and mission-class fixed effects absorb the co-movement of contract form and reuse behavior that the governance literature warns of</w:t>
      </w:r>
      <w:r>
        <w:t xml:space="preserve"> </w:t>
      </w:r>
      <w:hyperlink w:anchor="ref-4">
        <w:r>
          <w:rPr>
            <w:rStyle w:val="Hyperlink"/>
          </w:rPr>
          <w:t xml:space="preserve">[4]</w:t>
        </w:r>
      </w:hyperlink>
      <w:r>
        <w:t xml:space="preserve">[5][6]. The cliometric tradition’s insistence that observational estimates be accompanied by an explicit account of the conditions under which they would be overturned is, in this dissertation, operationalized as a preregistered coding protocol, a preregistered breach margin, and a suite of robustness checks mapped one-to-one to the threats to validity.</w:t>
      </w:r>
    </w:p>
    <w:p>
      <w:pPr>
        <w:pStyle w:val="BodyText"/>
        <w:spacing w:line="480" w:lineRule="auto"/>
        <w:ind w:firstLine="720"/>
      </w:pPr>
      <w:r>
        <w:t xml:space="preserve">The decisive observation about this methodological literature is negative. It is mature, it is appropriate, and it has not been applied to the heritage-versus-new-development decision. The engineering literature of Sections 2.2 through 2.4 documents the phenomenon in the descriptive and taxonomic registers and stops short of estimating a covariate. The methodology literature of this section supplies estimators that have priced the timing and magnitude of events in countless other domains and has simply never been pointed at this one. Neither literature cites the other on this question. That non-citation is the gap.</w:t>
      </w:r>
    </w:p>
    <w:bookmarkEnd w:id="71"/>
    <w:bookmarkStart w:id="72" w:name="X7754d7eed0e4d835f38413f6df9ec31a3d6a749"/>
    <w:p>
      <w:pPr>
        <w:pStyle w:val="Heading2"/>
        <w:spacing w:line="480" w:lineRule="auto"/>
      </w:pPr>
      <w:r>
        <w:t xml:space="preserve">2.6 Synthesis, the Gap, and the Position of the Dissertation</w:t>
      </w:r>
    </w:p>
    <w:p>
      <w:pPr>
        <w:pStyle w:val="FirstParagraph"/>
        <w:spacing w:line="480" w:lineRule="auto"/>
      </w:pPr>
      <w:r>
        <w:t xml:space="preserve">The two literatures reviewed above can now be set side by side. The engineering and cost literature establishes three facts. Overruns are structural, with large and measurable magnitudes, and heritage optimism is a named but unestimated channel among their causes</w:t>
      </w:r>
      <w:r>
        <w:t xml:space="preserve"> </w:t>
      </w:r>
      <w:hyperlink w:anchor="ref-5">
        <w:r>
          <w:rPr>
            <w:rStyle w:val="Hyperlink"/>
          </w:rPr>
          <w:t xml:space="preserve">[5]</w:t>
        </w:r>
      </w:hyperlink>
      <w:r>
        <w:t xml:space="preserve">[8][9][10][11]. The proximate triggers of overrun are specific and technical, traceable to anomaly misdiagnosis, qualification non-transitivity, and interdependency, each of which is a channel through which a mistaken heritage forecast does its damage</w:t>
      </w:r>
      <w:r>
        <w:t xml:space="preserve"> </w:t>
      </w:r>
      <w:hyperlink w:anchor="ref-2">
        <w:r>
          <w:rPr>
            <w:rStyle w:val="Hyperlink"/>
          </w:rPr>
          <w:t xml:space="preserve">[2]</w:t>
        </w:r>
      </w:hyperlink>
      <w:r>
        <w:t xml:space="preserve">[3][6][7][14][17][21][23]. Contract form and institutional regime are overrun-relevant and co-move with reuse behavior, so any credible heritage estimate must condition on them</w:t>
      </w:r>
      <w:r>
        <w:t xml:space="preserve"> </w:t>
      </w:r>
      <w:hyperlink w:anchor="ref-4">
        <w:r>
          <w:rPr>
            <w:rStyle w:val="Hyperlink"/>
          </w:rPr>
          <w:t xml:space="preserve">[4]</w:t>
        </w:r>
      </w:hyperlink>
      <w:r>
        <w:t xml:space="preserve">[5][6]. The methodology literature establishes a complementary fact: the survival-analytic and conditional-regression apparatus required to convert these descriptive findings into a refutable, covariate-level claim exists, is mature, and accommodates exactly the kind of right-censored, period-structured, observational panel that the GAO assessment record</w:t>
      </w:r>
      <w:r>
        <w:t xml:space="preserve"> </w:t>
      </w:r>
      <w:hyperlink w:anchor="ref-8">
        <w:r>
          <w:rPr>
            <w:rStyle w:val="Hyperlink"/>
          </w:rPr>
          <w:t xml:space="preserve">[8]</w:t>
        </w:r>
      </w:hyperlink>
      <w:r>
        <w:t xml:space="preserve"> </w:t>
      </w:r>
      <w:r>
        <w:t xml:space="preserve">and the historical reserve study</w:t>
      </w:r>
      <w:r>
        <w:t xml:space="preserve"> </w:t>
      </w:r>
      <w:hyperlink w:anchor="ref-9">
        <w:r>
          <w:rPr>
            <w:rStyle w:val="Hyperlink"/>
          </w:rPr>
          <w:t xml:space="preserve">[9]</w:t>
        </w:r>
      </w:hyperlink>
      <w:r>
        <w:t xml:space="preserve"> </w:t>
      </w:r>
      <w:r>
        <w:t xml:space="preserve">make available.</w:t>
      </w:r>
    </w:p>
    <w:p>
      <w:pPr>
        <w:pStyle w:val="BodyText"/>
        <w:spacing w:line="480" w:lineRule="auto"/>
        <w:ind w:firstLine="720"/>
      </w:pPr>
      <w:r>
        <w:t xml:space="preserve">What neither literature does is join the two. The engineering literature treats cost growth as an outcome and heritage optimism as a qualitative driver but never models the reuse-versus-new-development choice as a time-varying predictor of when an overrun first occurs or as a conditional predictor of how large it becomes. The methodology literature offers the estimators but has never been applied to heritage status as the focal covariate. The governance literature contrasts legacy-space and new-space models</w:t>
      </w:r>
      <w:r>
        <w:t xml:space="preserve"> </w:t>
      </w:r>
      <w:hyperlink w:anchor="ref-4">
        <w:r>
          <w:rPr>
            <w:rStyle w:val="Hyperlink"/>
          </w:rPr>
          <w:t xml:space="preserve">[4]</w:t>
        </w:r>
      </w:hyperlink>
      <w:r>
        <w:t xml:space="preserve"> </w:t>
      </w:r>
      <w:r>
        <w:t xml:space="preserve">without isolating the reuse decision from the broader institutional shift, and the economic literature documents the budget-and-schedule failure of large programs</w:t>
      </w:r>
      <w:r>
        <w:t xml:space="preserve"> </w:t>
      </w:r>
      <w:hyperlink w:anchor="ref-5">
        <w:r>
          <w:rPr>
            <w:rStyle w:val="Hyperlink"/>
          </w:rPr>
          <w:t xml:space="preserve">[5]</w:t>
        </w:r>
      </w:hyperlink>
      <w:r>
        <w:t xml:space="preserve"> </w:t>
      </w:r>
      <w:r>
        <w:t xml:space="preserve">without decomposing how much of that failure is attributable to heritage forecasts that did not hold. The gap is therefore not the existence of overruns, which is well attested across decades and mission classes</w:t>
      </w:r>
      <w:r>
        <w:t xml:space="preserve"> </w:t>
      </w:r>
      <w:hyperlink w:anchor="ref-5">
        <w:r>
          <w:rPr>
            <w:rStyle w:val="Hyperlink"/>
          </w:rPr>
          <w:t xml:space="preserve">[5]</w:t>
        </w:r>
      </w:hyperlink>
      <w:r>
        <w:t xml:space="preserve">[8][9][11], and not the absence of methodological tools, which are abundant. The gap is the absence of a falsifiable, covariate-level account of whether, when, and by how much heritage reuse changes overrun risk relative to new development.</w:t>
      </w:r>
    </w:p>
    <w:p>
      <w:pPr>
        <w:pStyle w:val="BodyText"/>
        <w:spacing w:line="480" w:lineRule="auto"/>
        <w:ind w:firstLine="720"/>
      </w:pPr>
      <w:r>
        <w:t xml:space="preserve">This dissertation closes that gap by joining the two literatures at the heritage-divergence covariate. It imports from the methodology literature the discrete-time hazard model, with its Cox proportional-hazards companion and Schoenfeld diagnostics, and the robust cross-sectional magnitude model, and it points both estimators at the focal covariate that the engineering literature names but never prices. It imports from the engineering literature the empirical anchors, the 26.9 percent mean and 150 percent maximum development cost growth and the explicit naming of heritage optimism as a growth channel</w:t>
      </w:r>
      <w:r>
        <w:t xml:space="preserve"> </w:t>
      </w:r>
      <w:hyperlink w:anchor="ref-9">
        <w:r>
          <w:rPr>
            <w:rStyle w:val="Hyperlink"/>
          </w:rPr>
          <w:t xml:space="preserve">[9]</w:t>
        </w:r>
      </w:hyperlink>
      <w:r>
        <w:t xml:space="preserve">, the per-project baseline-and-breach event record</w:t>
      </w:r>
      <w:r>
        <w:t xml:space="preserve"> </w:t>
      </w:r>
      <w:hyperlink w:anchor="ref-8">
        <w:r>
          <w:rPr>
            <w:rStyle w:val="Hyperlink"/>
          </w:rPr>
          <w:t xml:space="preserve">[8]</w:t>
        </w:r>
      </w:hyperlink>
      <w:r>
        <w:t xml:space="preserve">[11], and the subsystem-level causal channels</w:t>
      </w:r>
      <w:r>
        <w:t xml:space="preserve"> </w:t>
      </w:r>
      <w:hyperlink w:anchor="ref-2">
        <w:r>
          <w:rPr>
            <w:rStyle w:val="Hyperlink"/>
          </w:rPr>
          <w:t xml:space="preserve">[2]</w:t>
        </w:r>
      </w:hyperlink>
      <w:r>
        <w:t xml:space="preserve">[3][6][7][14][21] that motivate divergence rather than binary reuse as the right functional form. It imports from the governance and economic literatures the confounders, contract structure, mission class, launch-window pressure, and portfolio interdependency, that the conditioning set must hold fixed</w:t>
      </w:r>
      <w:r>
        <w:t xml:space="preserve"> </w:t>
      </w:r>
      <w:hyperlink w:anchor="ref-4">
        <w:r>
          <w:rPr>
            <w:rStyle w:val="Hyperlink"/>
          </w:rPr>
          <w:t xml:space="preserve">[4]</w:t>
        </w:r>
      </w:hyperlink>
      <w:r>
        <w:t xml:space="preserve">[5][6]. The synthesis is not a new dataset and not a new estimator; it is the recognition that a question the engineering field has asked descriptively for decades is an estimable hazard-and-magnitude problem, and that the tools to answer it have been sitting unused in an adjacent literature the engineers do not read.</w:t>
      </w:r>
    </w:p>
    <w:p>
      <w:pPr>
        <w:pStyle w:val="BodyText"/>
        <w:spacing w:line="480" w:lineRule="auto"/>
        <w:ind w:firstLine="720"/>
      </w:pPr>
      <w:r>
        <w:t xml:space="preserve">The contribution this enables is deliberately narrow so that it can fail cleanly. The dissertation will test whether, conditional on subsystem complexity and contract structure, heritage status is invariant to overrun hazard, the null that the hazard ratio of any heritage category relative to new development equals one, against the alternative that design-context divergence raises the hazard above one and the magnitude of growth above zero. The companion papers that anchor this dissertation already supply preliminary evidence that the alternative survives: a hazard ratio above two per step of divergence in the onset model and an additional cost growth on the order of thirteen percentage points per step in the magnitude model, with the two most plausible confounders behaving as controls rather than as the operative drivers. The remaining chapters extend these findings into the full preregistered specification, subject them to the instrumental and fixed-effects sensitivity analyses the methodology literature prescribes, and report the result as a posterior on when reuse pays rather than as a slogan. By doing so, the dissertation converts the field’s most repeated and least interrogated engineering intuition into a refutable proposition, and it supplies program offices with a covariate to interrogate where they previously had only an assurance to accept. Flight-proven, on the evidence the two joined literatures together imply, is a property of a context and not of a part, and the cost of forgetting that distinction is, for the first time, estimable.</w:t>
      </w:r>
    </w:p>
    <w:bookmarkEnd w:id="72"/>
    <w:bookmarkEnd w:id="73"/>
    <w:bookmarkStart w:id="94" w:name="Xcfcc00a3ded59aed0c781c16bfc121f2a509603"/>
    <w:p>
      <w:pPr>
        <w:pStyle w:val="Heading1"/>
        <w:spacing w:line="480" w:lineRule="auto"/>
      </w:pPr>
      <w:r>
        <w:t xml:space="preserve">Chapter 3. Theoretical Framework and Hypotheses</w:t>
      </w:r>
    </w:p>
    <w:bookmarkStart w:id="74" w:name="from-a-named-cause-to-a-causal-mechanism"/>
    <w:p>
      <w:pPr>
        <w:pStyle w:val="Heading2"/>
        <w:spacing w:line="480" w:lineRule="auto"/>
      </w:pPr>
      <w:r>
        <w:t xml:space="preserve">3.1 From a Named Cause to a Causal Mechanism</w:t>
      </w:r>
    </w:p>
    <w:p>
      <w:pPr>
        <w:pStyle w:val="FirstParagraph"/>
        <w:spacing w:line="480" w:lineRule="auto"/>
      </w:pPr>
      <w:r>
        <w:t xml:space="preserve">The literature reviewed in the previous chapter leaves the dissertation with a precise inheritance and a precise debt. The inheritance is a named cause. The historical reserve study isolates overly optimistic heritage assumptions as a category of internal cost growth, placing it beside instrument technical problems and management inefficiency in its taxonomy of why NASA science missions grow</w:t>
      </w:r>
      <w:r>
        <w:t xml:space="preserve"> </w:t>
      </w:r>
      <w:hyperlink w:anchor="ref-9">
        <w:r>
          <w:rPr>
            <w:rStyle w:val="Hyperlink"/>
          </w:rPr>
          <w:t xml:space="preserve">[9]</w:t>
        </w:r>
      </w:hyperlink>
      <w:r>
        <w:t xml:space="preserve">. The debt is that a name is not a mechanism. To call heritage optimism a driver is to assert that something about the reuse decision raises overrun risk, but it is not yet to say what that something is, through which channel it operates, under what condition it switches sign, or how it might be measured and refuted. This chapter discharges that debt. It specifies the theoretical mechanism by which a heritage selection alters the timing of a program’s first declared cost or schedule overrun, derives from that mechanism the directional and conditional predictions the dissertation will test, and states the null and alternative hypotheses in a form sharp enough to be falsified by a single contrary sign.</w:t>
      </w:r>
    </w:p>
    <w:p>
      <w:pPr>
        <w:pStyle w:val="BodyText"/>
        <w:spacing w:line="480" w:lineRule="auto"/>
        <w:ind w:firstLine="720"/>
      </w:pPr>
      <w:r>
        <w:t xml:space="preserve">The argument proceeds in four moves. The first move replaces the binary construct that the field’s slogan implicitly uses, heritage versus new development, with a continuous construct, design-context divergence, and defends that substitution as the difference between a category and a mechanism. The second move builds the causal logic that connects divergence to overrun timing, tracing it through the three subsystem-level channels the engineering literature already documents, anomaly misdiagnosis, qualification non-transitivity, and interdependency instability, and showing that each channel is a way for an assumed inheritance to fail late rather than early. The third move locates the mechanism inside a hazard frame, explaining why the natural mathematical object for a claim about when trouble first arrives is an instantaneous rate rather than an average or a count, and why that frame, not merely a convenience of estimation, is itself part of the theory. The fourth move states the hypotheses, separates the timing claim that this dissertation’s primary model carries from the magnitude claim its companion model carries, and fixes the conditions under which each would be retained or discarded.</w:t>
      </w:r>
    </w:p>
    <w:p>
      <w:pPr>
        <w:pStyle w:val="BodyText"/>
        <w:spacing w:line="480" w:lineRule="auto"/>
        <w:ind w:firstLine="720"/>
      </w:pPr>
      <w:r>
        <w:t xml:space="preserve">Throughout, the chapter holds to a discipline the dissertation has set for itself from the first page: it distinguishes what is asserted from what is estimable, and it treats the central engineering intuition not as a belief to be vindicated but as a proposition to be exposed to refutation. The mechanism developed here earns its place only if it generates predictions that the data could contradict. The chapter is written so that they could.</w:t>
      </w:r>
    </w:p>
    <w:bookmarkEnd w:id="74"/>
    <w:bookmarkStart w:id="78" w:name="Xddd1c8a972b9c6b277c14370fda94dac94a5a89"/>
    <w:p>
      <w:pPr>
        <w:pStyle w:val="Heading2"/>
        <w:spacing w:line="480" w:lineRule="auto"/>
      </w:pPr>
      <w:r>
        <w:t xml:space="preserve">3.2 The Construct: Design-Context Divergence, Not Binary Reuse</w:t>
      </w:r>
    </w:p>
    <w:bookmarkStart w:id="75" w:name="why-the-binary-construct-fails"/>
    <w:p>
      <w:pPr>
        <w:pStyle w:val="Heading3"/>
        <w:spacing w:line="480" w:lineRule="auto"/>
      </w:pPr>
      <w:r>
        <w:t xml:space="preserve">3.2.1 Why the binary construct fails</w:t>
      </w:r>
    </w:p>
    <w:p>
      <w:pPr>
        <w:pStyle w:val="FirstParagraph"/>
        <w:spacing w:line="480" w:lineRule="auto"/>
      </w:pPr>
      <w:r>
        <w:t xml:space="preserve">The slogan the dissertation interrogates is binary. A subsystem is flight-proven or it is not; it is heritage or it is new. The reserve decision that follows from the slogan is correspondingly binary: a heritage selection earns a relaxed reserve, a clean-sheet design does not. The trouble with the binary construct is not that it is imprecise but that it is theoretically incoherent, because it attaches the protective property to the wrong object. Flight provenance is a fact about a part’s history in a particular environment. The reserve decision is a forecast about that part’s behavior in a future environment that may or may not resemble the one in which the provenance was earned. The binary construct collapses these two things, treating a historical fact as if it were a forward guarantee, and in doing so it discards the only variable that determines whether the guarantee holds: the distance between the qualified context and the application context.</w:t>
      </w:r>
    </w:p>
    <w:p>
      <w:pPr>
        <w:pStyle w:val="BodyText"/>
        <w:spacing w:line="480" w:lineRule="auto"/>
        <w:ind w:firstLine="720"/>
      </w:pPr>
      <w:r>
        <w:t xml:space="preserve">The companion onset study makes the incoherence visible in the data. Among the twenty-five NASA and ESA major projects it examines, the like-for-like rebuilds and the heritage-instrument missions that flew into contexts close to their qualification, Landsat 9 among the rebuilds and Lucy and OSIRIS-REx among the heritage-instrument missions, were censored at launch without a committed-baseline breach. The penalty did not attach to heritage by itself, because these programs were heritage-intensive and well-behaved. It attached to how far the inherited hardware was carried from the context it was qualified for. A construct that cannot separate the well-behaved reuse from the dangerous one cannot be the construct a theory of overrun risk is built on, because it predicts the same reserve relaxation for both and is therefore wrong for at least one.</w:t>
      </w:r>
    </w:p>
    <w:bookmarkEnd w:id="75"/>
    <w:bookmarkStart w:id="76" w:name="the-divergence-construct"/>
    <w:p>
      <w:pPr>
        <w:pStyle w:val="Heading3"/>
        <w:spacing w:line="480" w:lineRule="auto"/>
      </w:pPr>
      <w:r>
        <w:t xml:space="preserve">3.2.2 The divergence construct</w:t>
      </w:r>
    </w:p>
    <w:p>
      <w:pPr>
        <w:pStyle w:val="FirstParagraph"/>
        <w:spacing w:line="480" w:lineRule="auto"/>
      </w:pPr>
      <w:r>
        <w:t xml:space="preserve">The dissertation replaces the binary with an ordinal measure of design-context divergence: the distance between the context in which a critical-path subsystem was last qualified and the context into which it is now being carried. The measure is anchored at zero for a clean-sheet design or a like-for-like rebuild, where there is no inherited context to diverge from or where the new context reproduces the old one, and it rises as the new thermal, dynamic, and operational environment departs from the qualified one, reaching its maximum when flight-proven hardware is placed in a first-of-kind environment. The construct is ordinal rather than binary because the mechanism it indexes is graded rather than switched. A subsystem is not qualified or unqualified for a new mission in the abstract; it is qualified to a degree that decays continuously with the unfamiliarity of the regime in which it must now perform.</w:t>
      </w:r>
    </w:p>
    <w:p>
      <w:pPr>
        <w:pStyle w:val="BodyText"/>
        <w:spacing w:line="480" w:lineRule="auto"/>
        <w:ind w:firstLine="720"/>
      </w:pPr>
      <w:r>
        <w:t xml:space="preserve">This is the measurement move the field is already comfortable making in adjacent domains. The space-sustainability-rating literature constructs a composite indicator over qualitative operator behaviors to incentivize long-term stewardship</w:t>
      </w:r>
      <w:r>
        <w:t xml:space="preserve"> </w:t>
      </w:r>
      <w:hyperlink w:anchor="ref-27">
        <w:r>
          <w:rPr>
            <w:rStyle w:val="Hyperlink"/>
          </w:rPr>
          <w:t xml:space="preserve">[27]</w:t>
        </w:r>
      </w:hyperlink>
      <w:r>
        <w:t xml:space="preserve">, and the trusted-coordination literature shows the field building ordinal trust constructs over engineering judgments</w:t>
      </w:r>
      <w:r>
        <w:t xml:space="preserve"> </w:t>
      </w:r>
      <w:hyperlink w:anchor="ref-15">
        <w:r>
          <w:rPr>
            <w:rStyle w:val="Hyperlink"/>
          </w:rPr>
          <w:t xml:space="preserve">[15]</w:t>
        </w:r>
      </w:hyperlink>
      <w:r>
        <w:t xml:space="preserve">. The divergence index applies the same logic to the reuse decision: it converts an engineering judgment about contextual distance, which programs make implicitly every time they relax a reserve on the strength of heritage, into an ordinal variable that can enter an estimator and be signed. The construct’s defensibility rests on its being coded from citable evidence, the GAO project narratives and each mission’s systems-engineering description</w:t>
      </w:r>
      <w:r>
        <w:t xml:space="preserve"> </w:t>
      </w:r>
      <w:hyperlink w:anchor="ref-8">
        <w:r>
          <w:rPr>
            <w:rStyle w:val="Hyperlink"/>
          </w:rPr>
          <w:t xml:space="preserve">[8]</w:t>
        </w:r>
      </w:hyperlink>
      <w:r>
        <w:t xml:space="preserve">, under a protocol reproducible by a second analyst, a requirement the dissertation treats as binding and develops in its data chapter.</w:t>
      </w:r>
    </w:p>
    <w:bookmarkEnd w:id="76"/>
    <w:bookmarkStart w:id="77" w:name="what-the-construct-buys-the-theory"/>
    <w:p>
      <w:pPr>
        <w:pStyle w:val="Heading3"/>
        <w:spacing w:line="480" w:lineRule="auto"/>
      </w:pPr>
      <w:r>
        <w:t xml:space="preserve">3.2.3 What the construct buys the theory</w:t>
      </w:r>
    </w:p>
    <w:p>
      <w:pPr>
        <w:pStyle w:val="FirstParagraph"/>
        <w:spacing w:line="480" w:lineRule="auto"/>
      </w:pPr>
      <w:r>
        <w:t xml:space="preserve">The substitution of divergence for binary reuse is not cosmetic. It is what makes the dissertation’s central claim falsifiable in a way the slogan never could be. A binary-reuse theory predicts a single sign for heritage, and the well-behaved rebuild case falsifies any negative-only or positive-only version of it immediately, which is precisely why the slogan has survived: it is too coarse to be tested against, so it is never tested. A divergence theory predicts a structured pattern, a hazard that is flat at the bottom of the index and rising with distance, and that pattern can be wrong in several specific ways the data can detect. It is wrong if the hazard does not rise with divergence. It is wrong if it rises everywhere, including at zero divergence, which would indict heritage itself rather than its misuse. It is wrong if the rise reverses sign once complexity and contract form are held fixed. The divergence construct, in short, exposes a surface for refutation that the binary construct does not have, and that exposure is the construct’s entire theoretical purpose.</w:t>
      </w:r>
    </w:p>
    <w:bookmarkEnd w:id="77"/>
    <w:bookmarkEnd w:id="78"/>
    <w:bookmarkStart w:id="84" w:name="X4e27bc4f9cb1c481054032e089ef2713b969d93"/>
    <w:p>
      <w:pPr>
        <w:pStyle w:val="Heading2"/>
        <w:spacing w:line="480" w:lineRule="auto"/>
      </w:pPr>
      <w:r>
        <w:t xml:space="preserve">3.3 The Causal Logic: How Divergence Brings the First Overrun Forward</w:t>
      </w:r>
    </w:p>
    <w:bookmarkStart w:id="79" w:name="X11480dc9a1bbea10ad01648aa0c3d8e9b318c41"/>
    <w:p>
      <w:pPr>
        <w:pStyle w:val="Heading3"/>
        <w:spacing w:line="480" w:lineRule="auto"/>
      </w:pPr>
      <w:r>
        <w:t xml:space="preserve">3.3.1 The reuse decision as a deferred liability</w:t>
      </w:r>
    </w:p>
    <w:p>
      <w:pPr>
        <w:pStyle w:val="FirstParagraph"/>
        <w:spacing w:line="480" w:lineRule="auto"/>
      </w:pPr>
      <w:r>
        <w:t xml:space="preserve">The mechanism begins at the moment a program books a heritage subsystem into its committed baseline. At that moment the program performs an exchange that is invisible on the baseline sheet but central to the theory. It exchanges a present obligation, the line-by-line qualification a clean-sheet design would force it to confront, for a deferred liability, the latent obligation to re-qualify the inherited hardware should the new context turn out to differ materially from the qualified one. A clean-sheet design carries no such deferred liability, because it qualifies its hardware in the context where it will fly; it pays its qualification cost on the nominal schedule, in full, at the front of the program. A heritage selection across a divergent context defers that cost, books the saving at baseline, and creates a liability whose call date is unknown and whose magnitude grows the further the contexts diverge.</w:t>
      </w:r>
    </w:p>
    <w:p>
      <w:pPr>
        <w:pStyle w:val="BodyText"/>
        <w:spacing w:line="480" w:lineRule="auto"/>
        <w:ind w:firstLine="720"/>
      </w:pPr>
      <w:r>
        <w:t xml:space="preserve">This exchange is the engine of the entire mechanism, and it has a property that matters for a theory about timing specifically. The deferred liability is not merely a cost that may or may not be incurred; it is a cost that, if incurred, is incurred later in the lifecycle than the qualification it displaced. The program does not discover the divergence at the design review where it relaxed the reserve. It discovers it when the inherited subsystem is integrated, tested, or operated in the new environment and behaves in a way the qualified-context expectation did not predict. By then the architecture has hardened around the inherited part, the correction must thread through interfaces that were frozen on the assumption the heritage would hold, and the cost of the correction is therefore higher than it would have been had the same qualification been done up front. The reuse decision across divergence does not merely fail to help. It relocates a known class of risk from the front of the program, where margin is abundant and correction is cheap, to a point further along, where margin is thin and correction is expensive. The first declared overrun is the externally visible signature of that relocated liability coming due.</w:t>
      </w:r>
    </w:p>
    <w:bookmarkEnd w:id="79"/>
    <w:bookmarkStart w:id="80" w:name="Xe7139ddd5e9ef7d3ca9f1979e5b91df616f1369"/>
    <w:p>
      <w:pPr>
        <w:pStyle w:val="Heading3"/>
        <w:spacing w:line="480" w:lineRule="auto"/>
      </w:pPr>
      <w:r>
        <w:t xml:space="preserve">3.3.2 Channel one: the inherited diagnostic prior</w:t>
      </w:r>
    </w:p>
    <w:p>
      <w:pPr>
        <w:pStyle w:val="FirstParagraph"/>
        <w:spacing w:line="480" w:lineRule="auto"/>
      </w:pPr>
      <w:r>
        <w:t xml:space="preserve">The first channel through which divergence advances the overrun is anomaly misdiagnosis. The engineering literature establishes that misdiagnosed anomalies induce extra cost and schedule overrun directly, because a misattributed root cause directs corrective effort at the wrong target and the effort is wasted</w:t>
      </w:r>
      <w:r>
        <w:t xml:space="preserve"> </w:t>
      </w:r>
      <w:hyperlink w:anchor="ref-2">
        <w:r>
          <w:rPr>
            <w:rStyle w:val="Hyperlink"/>
          </w:rPr>
          <w:t xml:space="preserve">[2]</w:t>
        </w:r>
      </w:hyperlink>
      <w:r>
        <w:t xml:space="preserve">[7][17], and the obverse investment in autonomous on-board fault detection, diagnosis, and recovery is justified precisely by how expensive getting diagnosis wrong is</w:t>
      </w:r>
      <w:r>
        <w:t xml:space="preserve"> </w:t>
      </w:r>
      <w:hyperlink w:anchor="ref-14">
        <w:r>
          <w:rPr>
            <w:rStyle w:val="Hyperlink"/>
          </w:rPr>
          <w:t xml:space="preserve">[14]</w:t>
        </w:r>
      </w:hyperlink>
      <w:r>
        <w:t xml:space="preserve">. The dissertation’s contribution to this channel is to identify the specific way heritage interacts with it. A flight-proven subsystem carries an inherited diagnostic prior, an accumulated, often tacit expectation of how the hardware behaves, degrades, and fails. That prior is an asset in the qualified context, where it accelerates correct diagnosis. Carried across a divergent context, it inverts into a liability, because the program now reasons about a new failure mode using a model calibrated to the old environment. The heritage label, which is supposed to reduce uncertainty, instead supplies a confident but wrong prior, and confidence in a wrong prior is worse than acknowledged ignorance, because it lengthens the time to correct diagnosis and therefore the time and cost of recovery. The greater the divergence, the more of the inherited prior is invalid, and the longer and more expensive the misdiagnosis that the prior induces. This channel predicts that divergence advances the overrun, and it predicts a gradient: more divergence, more invalid prior, sooner and costlier the breach.</w:t>
      </w:r>
    </w:p>
    <w:bookmarkEnd w:id="80"/>
    <w:bookmarkStart w:id="81" w:name="Xf13510891b0e3b67e56f49361a09dd53191627e"/>
    <w:p>
      <w:pPr>
        <w:pStyle w:val="Heading3"/>
        <w:spacing w:line="480" w:lineRule="auto"/>
      </w:pPr>
      <w:r>
        <w:t xml:space="preserve">3.3.3 Channel two: the non-transitivity of qualification</w:t>
      </w:r>
    </w:p>
    <w:p>
      <w:pPr>
        <w:pStyle w:val="FirstParagraph"/>
        <w:spacing w:line="480" w:lineRule="auto"/>
      </w:pPr>
      <w:r>
        <w:t xml:space="preserve">The second channel is qualification non-transitivity. The engineering literature shows that even a single, narrowly scoped qualification question propagates into program-wide cost growth, as in the case of launcher sizing under crewed-mission constraints, where one qualification parameter ramifies across an architecture</w:t>
      </w:r>
      <w:r>
        <w:t xml:space="preserve"> </w:t>
      </w:r>
      <w:hyperlink w:anchor="ref-3">
        <w:r>
          <w:rPr>
            <w:rStyle w:val="Hyperlink"/>
          </w:rPr>
          <w:t xml:space="preserve">[3]</w:t>
        </w:r>
      </w:hyperlink>
      <w:r>
        <w:t xml:space="preserve">[23], and the cost-estimation literature treats qualification status and heritage as per-mission inputs precisely because qualification does not carry across missions automatically</w:t>
      </w:r>
      <w:r>
        <w:t xml:space="preserve"> </w:t>
      </w:r>
      <w:hyperlink w:anchor="ref-10">
        <w:r>
          <w:rPr>
            <w:rStyle w:val="Hyperlink"/>
          </w:rPr>
          <w:t xml:space="preserve">[10]</w:t>
        </w:r>
      </w:hyperlink>
      <w:r>
        <w:t xml:space="preserve">[21]. The dissertation generalizes these findings into a theoretical claim: qualification is not transitive across context. A subsystem qualified for one thermal, dynamic, or operational regime is not thereby qualified for a divergent one, and the non-transitivity is graded with the divergence. At zero divergence the qualification transfers intact, which is why the like-for-like rebuild is well-behaved. As divergence grows, an increasing fraction of the prior qualification fails to cover the new regime, and the uncovered fraction must be re-qualified. Because the program booked the heritage saving on the premise of transfer, this re-qualification is unbudgeted and unscheduled, and it surfaces when the gap between the qualified envelope and the required envelope is discovered in integration or test. The channel therefore predicts the same timing signature as the first: the breach is advanced, and its advance is graded with divergence, because the larger the uncovered fraction, the sooner and harder the unbudgeted re-qualification forces a replan.</w:t>
      </w:r>
    </w:p>
    <w:bookmarkEnd w:id="81"/>
    <w:bookmarkStart w:id="82" w:name="Xa7e68dd003aa5f57f2f4c3f11bf98a92fb84120"/>
    <w:p>
      <w:pPr>
        <w:pStyle w:val="Heading3"/>
        <w:spacing w:line="480" w:lineRule="auto"/>
      </w:pPr>
      <w:r>
        <w:t xml:space="preserve">3.3.4 Channel three: interdependency instability</w:t>
      </w:r>
    </w:p>
    <w:p>
      <w:pPr>
        <w:pStyle w:val="FirstParagraph"/>
        <w:spacing w:line="480" w:lineRule="auto"/>
      </w:pPr>
      <w:r>
        <w:t xml:space="preserve">The third channel is interdependency instability. Unforeseen program interdependencies translate directly into schedule slips and budget increases, because a delay or failure in one element propagates to the elements that depend on it</w:t>
      </w:r>
      <w:r>
        <w:t xml:space="preserve"> </w:t>
      </w:r>
      <w:hyperlink w:anchor="ref-6">
        <w:r>
          <w:rPr>
            <w:rStyle w:val="Hyperlink"/>
          </w:rPr>
          <w:t xml:space="preserve">[6]</w:t>
        </w:r>
      </w:hyperlink>
      <w:r>
        <w:t xml:space="preserve">, and the assessment record operationalizes this at the portfolio scale in its finding that interdependent programs become co-moving drivers of overrun, each on the other’s critical path</w:t>
      </w:r>
      <w:r>
        <w:t xml:space="preserve"> </w:t>
      </w:r>
      <w:hyperlink w:anchor="ref-8">
        <w:r>
          <w:rPr>
            <w:rStyle w:val="Hyperlink"/>
          </w:rPr>
          <w:t xml:space="preserve">[8]</w:t>
        </w:r>
      </w:hyperlink>
      <w:r>
        <w:t xml:space="preserve">. Heritage reuse interacts with this channel because a heritage selection is implicitly a bet that the inherited subsystem’s interfaces and interdependency structure are stable across the move into the new architecture. At low divergence the bet holds: the inherited interfaces meet the new architecture much as they met the old. At high divergence the bet fails, because the new thermal, dynamic, or operational environment alters the loads, timing, data rates, or failure couplings the inherited subsystem presents to its neighbors, and the architecture that was frozen around the assumption of stable interfaces must be unfrozen and re-cut. The architectural literature on how inherited assumptions hold only while the operating context remains stable supplies the frame</w:t>
      </w:r>
      <w:r>
        <w:t xml:space="preserve"> </w:t>
      </w:r>
      <w:hyperlink w:anchor="ref-6">
        <w:r>
          <w:rPr>
            <w:rStyle w:val="Hyperlink"/>
          </w:rPr>
          <w:t xml:space="preserve">[6]</w:t>
        </w:r>
      </w:hyperlink>
      <w:r>
        <w:t xml:space="preserve">: transformative change in the surrounding system invalidates the inherited interface assumptions, and the invalidation is graded with the magnitude of the change. This channel, like the other two, predicts an advanced and divergence-graded overrun, and it adds the observation that the cost of an interface re-cut rises sharply with how late in the lifecycle the instability is discovered, which is itself a function of how confidently the heritage assumption suppressed early scrutiny of the interfaces.</w:t>
      </w:r>
    </w:p>
    <w:bookmarkEnd w:id="82"/>
    <w:bookmarkStart w:id="83" w:name="X64e76d703e26ac9651bf1184656f3ec7c3fb01d"/>
    <w:p>
      <w:pPr>
        <w:pStyle w:val="Heading3"/>
        <w:spacing w:line="480" w:lineRule="auto"/>
      </w:pPr>
      <w:r>
        <w:t xml:space="preserve">3.3.5 Why the three channels converge on a timing claim</w:t>
      </w:r>
    </w:p>
    <w:p>
      <w:pPr>
        <w:pStyle w:val="FirstParagraph"/>
        <w:spacing w:line="480" w:lineRule="auto"/>
      </w:pPr>
      <w:r>
        <w:t xml:space="preserve">The three channels are distinct in mechanism but identical in their consequence for the dissertation’s primary object. Each is a way for the deferred liability created by a divergent heritage selection to come due late and graded with divergence. The diagnostic-prior channel delays correct diagnosis. The qualification channel forces unbudgeted re-qualification. The interdependency channel forces a late interface re-cut. In every case the liability is invisible at the baseline review, where the reserve was relaxed, and becomes visible only when the inherited hardware meets the divergent context in integration, test, or operation, at which point the program declares the replan that this dissertation codes as the first overrun. The channels therefore do not need to be separately identified for the theory to make its prediction; they need only share the property that divergence brings the breach forward and that the advance grows with the distance. That shared property is what licenses a single focal covariate, design-context divergence, to stand for the mechanism as a whole, and it is what makes the timing of the first overrun, rather than its existence or its eventual size, the quantity the mechanism most directly governs.</w:t>
      </w:r>
    </w:p>
    <w:bookmarkEnd w:id="83"/>
    <w:bookmarkEnd w:id="84"/>
    <w:bookmarkStart w:id="88" w:name="X9da04b05a41422accfd982eb681c2e3f260ea72"/>
    <w:p>
      <w:pPr>
        <w:pStyle w:val="Heading2"/>
        <w:spacing w:line="480" w:lineRule="auto"/>
      </w:pPr>
      <w:r>
        <w:t xml:space="preserve">3.4 The Hazard Frame as Theory, Not Merely Method</w:t>
      </w:r>
    </w:p>
    <w:bookmarkStart w:id="85" w:name="X4b787bf0550b0ad18a0b824cbf2cf6bf1d7f6a5"/>
    <w:p>
      <w:pPr>
        <w:pStyle w:val="Heading3"/>
        <w:spacing w:line="480" w:lineRule="auto"/>
      </w:pPr>
      <w:r>
        <w:t xml:space="preserve">3.4.1 Why timing is the right dependent quantity</w:t>
      </w:r>
    </w:p>
    <w:p>
      <w:pPr>
        <w:pStyle w:val="FirstParagraph"/>
        <w:spacing w:line="480" w:lineRule="auto"/>
      </w:pPr>
      <w:r>
        <w:t xml:space="preserve">A theory whose mechanism relocates risk from early to late in the lifecycle is, at its core, a theory about timing. The deferred liability the reuse decision creates does not change whether a program could in principle overrun; almost any program could. It changes when the overrun first becomes undeniable, by displacing a qualification cost from the front of the program to the moment the divergent context is encountered. The natural dependent quantity for such a theory is therefore not the average overrun of a class of programs, nor the count of overruns, nor even the eventual magnitude of the breach, but the instantaneous risk that a program which has survived overrun-free up to a given age declares its first overrun in the next interval. That quantity is the hazard, and the claim that divergence raises it is the dissertation’s primary proposition.</w:t>
      </w:r>
    </w:p>
    <w:p>
      <w:pPr>
        <w:pStyle w:val="BodyText"/>
        <w:spacing w:line="480" w:lineRule="auto"/>
        <w:ind w:firstLine="720"/>
      </w:pPr>
      <w:r>
        <w:t xml:space="preserve">The hazard frame is not adopted here merely because it accommodates the right-censoring that arises when programs launch without breaching, although it does, and that accommodation matters for the censored well-behaved programs the panel contains. It is adopted because it is the mathematical expression of the mechanism. The mechanism says that a divergent heritage selection plants a liability that comes due conditional on having survived to the point where the divergent context is met. The hazard, an instantaneous rate conditional on survival to the current age, is exactly the object that encodes a risk that is latent early and called late. To model the mechanism with an average would discard the conditional-on-survival structure that is the mechanism’s signature; to model it with a hazard is to let the dependent quantity carry the theory.</w:t>
      </w:r>
    </w:p>
    <w:bookmarkEnd w:id="85"/>
    <w:bookmarkStart w:id="86" w:name="X4794a95ead8c0f50f786fa8cbe01ecee4e7c2fa"/>
    <w:p>
      <w:pPr>
        <w:pStyle w:val="Heading3"/>
        <w:spacing w:line="480" w:lineRule="auto"/>
      </w:pPr>
      <w:r>
        <w:t xml:space="preserve">3.4.2 What the hazard ratio means in this theory</w:t>
      </w:r>
    </w:p>
    <w:p>
      <w:pPr>
        <w:pStyle w:val="FirstParagraph"/>
        <w:spacing w:line="480" w:lineRule="auto"/>
      </w:pPr>
      <w:r>
        <w:t xml:space="preserve">In a proportional-hazards representation, the hazard of the first overrun at a given program age is the product of an unspecified baseline hazard, common to all programs and absorbing whatever the lifecycle-clock contributes on its own, and an exponential function of the covariates, of which design-context divergence is the focal one and subsystem complexity and contract structure are the controls. The coefficient on divergence enters the theory as a hazard ratio: the multiplicative factor by which one additional step of divergence scales the instantaneous risk of a first overrun, holding complexity and contract form fixed. A hazard ratio of one is the mechanism’s absence, the state in which divergence does not bring the breach forward at all. A hazard ratio above one is the mechanism’s presence, the state in which each step of divergence multiplies the instantaneous risk and thereby advances the expected onset. The companion onset study estimates this object directly and recovers a hazard ratio above two per step of divergence, statistically distinguishable from one, with complexity and contract form leaning in the expected direction but not statistically separable from no effect in that sample. The theory developed here is the account of why that number is what it is: each step of divergence invalidates more of the inherited diagnostic prior, leaves more of the prior qualification uncovered, and destabilizes more of the inherited interface structure, and the three compounding liabilities multiply the instantaneous risk that the next interval is the one in which the deferred cost is finally declared.</w:t>
      </w:r>
    </w:p>
    <w:bookmarkEnd w:id="86"/>
    <w:bookmarkStart w:id="87" w:name="X3aaa3d87d75fd2f0a07c8080e91e62e177b91c6"/>
    <w:p>
      <w:pPr>
        <w:pStyle w:val="Heading3"/>
        <w:spacing w:line="480" w:lineRule="auto"/>
      </w:pPr>
      <w:r>
        <w:t xml:space="preserve">3.4.3 The magnitude counterpart and why it is a separate test</w:t>
      </w:r>
    </w:p>
    <w:p>
      <w:pPr>
        <w:pStyle w:val="FirstParagraph"/>
        <w:spacing w:line="480" w:lineRule="auto"/>
      </w:pPr>
      <w:r>
        <w:t xml:space="preserve">The mechanism has a second observable consequence that the dissertation models separately and on purpose. The same deferred liability that determines when the breach arrives also influences how large it is when it does, because a correction made late, through a hardened architecture, against an invalid prior and an uncovered qualification envelope, is more expensive than the front-loaded qualification it displaced. The companion magnitude study estimates this consequence with a conditional regression of percent development cost growth on the same divergence covariate and confounders, recovering an additional growth on the order of thirteen percentage points per step of divergence, comparable to a full step up the mission-complexity class, and an unconditional gradient that rises monotonically from new development through comparable reuse to divergent reuse.</w:t>
      </w:r>
    </w:p>
    <w:p>
      <w:pPr>
        <w:pStyle w:val="BodyText"/>
        <w:spacing w:line="480" w:lineRule="auto"/>
        <w:ind w:firstLine="720"/>
      </w:pPr>
      <w:r>
        <w:t xml:space="preserve">The two consequences, timing and magnitude, are theoretically linked through one mechanism but are designed to be tested independently, and the independence is itself a methodological commitment with a theoretical justification. A mechanism that advanced the breach but did not enlarge it, or enlarged it but did not advance it, would be a different and weaker mechanism than the one this chapter proposes, and only by testing the two consequences separately can the dissertation discover which, if either, the data support. A result about onset says nothing mechanical about the size of the eventual breach, and a result about size says nothing about when it lands. Estimating both, and requiring the mechanism to clear both, is what converts a single engineering slogan into a pair of separately refutable propositions and guards against a finding in one dimension being mistaken for confirmation in the other. The hypotheses below therefore state the timing claim as the chapter’s primary proposition, carried by the hazard model, and state the magnitude claim as its corroborating counterpart, carried by the conditional-magnitude model, with each falsifiable on its own terms.</w:t>
      </w:r>
    </w:p>
    <w:bookmarkEnd w:id="87"/>
    <w:bookmarkEnd w:id="88"/>
    <w:bookmarkStart w:id="93" w:name="the-formal-hypotheses"/>
    <w:p>
      <w:pPr>
        <w:pStyle w:val="Heading2"/>
        <w:spacing w:line="480" w:lineRule="auto"/>
      </w:pPr>
      <w:r>
        <w:t xml:space="preserve">3.5 The Formal Hypotheses</w:t>
      </w:r>
    </w:p>
    <w:bookmarkStart w:id="89" w:name="event-covariate-and-conditioning-set"/>
    <w:p>
      <w:pPr>
        <w:pStyle w:val="Heading3"/>
        <w:spacing w:line="480" w:lineRule="auto"/>
      </w:pPr>
      <w:r>
        <w:t xml:space="preserve">3.5.1 Event, covariate, and conditioning set</w:t>
      </w:r>
    </w:p>
    <w:p>
      <w:pPr>
        <w:pStyle w:val="FirstParagraph"/>
        <w:spacing w:line="480" w:lineRule="auto"/>
      </w:pPr>
      <w:r>
        <w:t xml:space="preserve">The hypotheses are stated over three defined quantities. The event of interest is the first formally declared cost or schedule overrun, operationalized as the first approved replan that breaches the program’s committed baseline by a preregistered margin, observed on each program from baseline confirmation until the event occurs or until the program is right-censored at launch or cancellation. The focal covariate is design-context divergence, the ordinal measure of distance between the critical-path subsystem’s qualified context and its application context, anchored at zero for clean-sheet development or like-for-like rebuild and rising with the unfamiliarity of the new environment. The conditioning set comprises subsystem complexity and contract structure, the two confounders the reviewed literature flags as jointly driving both the reuse decision and overrun risk</w:t>
      </w:r>
      <w:r>
        <w:t xml:space="preserve"> </w:t>
      </w:r>
      <w:hyperlink w:anchor="ref-3">
        <w:r>
          <w:rPr>
            <w:rStyle w:val="Hyperlink"/>
          </w:rPr>
          <w:t xml:space="preserve">[3]</w:t>
        </w:r>
      </w:hyperlink>
      <w:r>
        <w:t xml:space="preserve">[4][9][10], entered so that the divergence effect is estimated net of the most plausible alternative explanations rather than confounded with them.</w:t>
      </w:r>
    </w:p>
    <w:bookmarkEnd w:id="89"/>
    <w:bookmarkStart w:id="90" w:name="the-primary-hypotheses-timing"/>
    <w:p>
      <w:pPr>
        <w:pStyle w:val="Heading3"/>
        <w:spacing w:line="480" w:lineRule="auto"/>
      </w:pPr>
      <w:r>
        <w:t xml:space="preserve">3.5.2 The primary hypotheses: timing</w:t>
      </w:r>
    </w:p>
    <w:p>
      <w:pPr>
        <w:pStyle w:val="FirstParagraph"/>
        <w:spacing w:line="480" w:lineRule="auto"/>
      </w:pPr>
      <w:r>
        <w:t xml:space="preserve">The dissertation’s primary hypotheses concern the hazard of first overrun onset.</w:t>
      </w:r>
    </w:p>
    <w:p>
      <w:pPr>
        <w:pStyle w:val="BodyText"/>
        <w:spacing w:line="480" w:lineRule="auto"/>
        <w:ind w:firstLine="720"/>
      </w:pPr>
      <w:r>
        <w:rPr>
          <w:b/>
          <w:bCs/>
        </w:rPr>
        <w:t xml:space="preserve">H0 (null, timing).</w:t>
      </w:r>
      <w:r>
        <w:t xml:space="preserve"> </w:t>
      </w:r>
      <w:r>
        <w:t xml:space="preserve">Conditional on subsystem complexity and contract structure, the hazard of first overrun onset is invariant to design-context divergence. The coefficient on divergence is zero and its hazard ratio equals one, so the instantaneous risk that a surviving program declares its first overrun in the next interval does not depend on how far its critical-path heritage subsystem has been carried from the context in which it was qualified.</w:t>
      </w:r>
    </w:p>
    <w:p>
      <w:pPr>
        <w:pStyle w:val="BodyText"/>
        <w:spacing w:line="480" w:lineRule="auto"/>
        <w:ind w:firstLine="720"/>
      </w:pPr>
      <w:r>
        <w:rPr>
          <w:b/>
          <w:bCs/>
        </w:rPr>
        <w:t xml:space="preserve">H1 (alternative, timing).</w:t>
      </w:r>
      <w:r>
        <w:t xml:space="preserve"> </w:t>
      </w:r>
      <w:r>
        <w:t xml:space="preserve">Conditional on the same controls, design-context divergence raises the hazard of first overrun onset. The coefficient on divergence is positive and its hazard ratio exceeds one, so each step of divergence multiplies the instantaneous risk of a first overrun and thereby advances its expected onset, while a like-for-like rebuild at the bottom of the divergence index behaves like new development or better and carries no detectable hazard penalty.</w:t>
      </w:r>
    </w:p>
    <w:p>
      <w:pPr>
        <w:pStyle w:val="BodyText"/>
        <w:spacing w:line="480" w:lineRule="auto"/>
        <w:ind w:firstLine="720"/>
      </w:pPr>
      <w:r>
        <w:t xml:space="preserve">H1 is falsified, on the timing dimension, if the estimated divergence effect is statistically indistinguishable from no effect, or if its sign is negative in the conditional model, or if the hazard penalty attaches at zero divergence as strongly as at high divergence, which would indict heritage itself rather than its carriage across context and would thereby refute the divergence mechanism in favor of an undifferentiated heritage penalty the chapter has argued against.</w:t>
      </w:r>
    </w:p>
    <w:bookmarkEnd w:id="90"/>
    <w:bookmarkStart w:id="91" w:name="the-corroborating-hypotheses-magnitude"/>
    <w:p>
      <w:pPr>
        <w:pStyle w:val="Heading3"/>
        <w:spacing w:line="480" w:lineRule="auto"/>
      </w:pPr>
      <w:r>
        <w:t xml:space="preserve">3.5.3 The corroborating hypotheses: magnitude</w:t>
      </w:r>
    </w:p>
    <w:p>
      <w:pPr>
        <w:pStyle w:val="FirstParagraph"/>
        <w:spacing w:line="480" w:lineRule="auto"/>
      </w:pPr>
      <w:r>
        <w:t xml:space="preserve">The dissertation’s corroborating hypotheses concern the size of realized development cost growth among programs that grow, tested by the companion conditional-magnitude model on the same focal covariate and a parallel conditioning set of complexity, launch-window restriction, and portfolio interdependency.</w:t>
      </w:r>
    </w:p>
    <w:p>
      <w:pPr>
        <w:pStyle w:val="BodyText"/>
        <w:spacing w:line="480" w:lineRule="auto"/>
        <w:ind w:firstLine="720"/>
      </w:pPr>
      <w:r>
        <w:rPr>
          <w:b/>
          <w:bCs/>
        </w:rPr>
        <w:t xml:space="preserve">H0 (null, magnitude).</w:t>
      </w:r>
      <w:r>
        <w:t xml:space="preserve"> </w:t>
      </w:r>
      <w:r>
        <w:t xml:space="preserve">Conditional on the standard drivers, the coefficient on design-context divergence is zero or negative; heritage posture does not raise the magnitude of development cost growth once those drivers are controlled.</w:t>
      </w:r>
    </w:p>
    <w:p>
      <w:pPr>
        <w:pStyle w:val="BodyText"/>
        <w:spacing w:line="480" w:lineRule="auto"/>
        <w:ind w:firstLine="720"/>
      </w:pPr>
      <w:r>
        <w:rPr>
          <w:b/>
          <w:bCs/>
        </w:rPr>
        <w:t xml:space="preserve">H1 (alternative, magnitude).</w:t>
      </w:r>
      <w:r>
        <w:t xml:space="preserve"> </w:t>
      </w:r>
      <w:r>
        <w:t xml:space="preserve">Conditional on the same drivers, the coefficient on design-context divergence is positive; each step from new development to comparable reuse to divergent reuse is associated with larger development cost growth.</w:t>
      </w:r>
    </w:p>
    <w:p>
      <w:pPr>
        <w:pStyle w:val="BodyText"/>
        <w:spacing w:line="480" w:lineRule="auto"/>
        <w:ind w:firstLine="720"/>
      </w:pPr>
      <w:r>
        <w:t xml:space="preserve">H1 is falsified, on the magnitude dimension, if the estimated divergence coefficient is statistically indistinguishable from zero or carries a negative sign in the conditional model.</w:t>
      </w:r>
    </w:p>
    <w:bookmarkEnd w:id="91"/>
    <w:bookmarkStart w:id="92" w:name="X18341bd1f19b9bb324662d191ecb5dc991455c7"/>
    <w:p>
      <w:pPr>
        <w:pStyle w:val="Heading3"/>
        <w:spacing w:line="480" w:lineRule="auto"/>
      </w:pPr>
      <w:r>
        <w:t xml:space="preserve">3.5.4 The joint criterion and what it would take to overturn the theory</w:t>
      </w:r>
    </w:p>
    <w:p>
      <w:pPr>
        <w:pStyle w:val="FirstParagraph"/>
        <w:spacing w:line="480" w:lineRule="auto"/>
      </w:pPr>
      <w:r>
        <w:t xml:space="preserve">The mechanism this chapter proposes is retained only to the extent that the data support its predictions on the dimensions where it makes them, and it is stated narrowly enough that several distinct outcomes would overturn it. A flat hazard across divergence would refute the timing claim and indicate that the deferred liability, if it exists, does not advance the breach. A flat or negative magnitude coefficient would refute the corroborating claim and indicate that divergence, if it advances the breach, does not enlarge it. A uniform heritage penalty present at zero divergence would refute the divergence construct itself in favor of the cruder binary the chapter has rejected, and would be inconsistent with the censored, well-behaved rebuild and heritage-instrument programs the panel contains. A reversal of the divergence sign once complexity and contract form are held fixed would indicate that what looked like a heritage effect was a confounded artifact of the institutional regime in which heritage is chosen, the precise threat the governance literature warns of</w:t>
      </w:r>
      <w:r>
        <w:t xml:space="preserve"> </w:t>
      </w:r>
      <w:hyperlink w:anchor="ref-4">
        <w:r>
          <w:rPr>
            <w:rStyle w:val="Hyperlink"/>
          </w:rPr>
          <w:t xml:space="preserve">[4]</w:t>
        </w:r>
      </w:hyperlink>
      <w:r>
        <w:t xml:space="preserve">[5][6] and the conditioning set is designed to absorb. The theory survives only if divergence raises the hazard above one and the magnitude above zero, conditional on the controls, with the controls behaving as controls rather than as the operative drivers. That is a conjunction of conditions a single contrary sign in either dimension can break.</w:t>
      </w:r>
    </w:p>
    <w:p>
      <w:pPr>
        <w:pStyle w:val="BodyText"/>
        <w:spacing w:line="480" w:lineRule="auto"/>
        <w:ind w:firstLine="720"/>
      </w:pPr>
      <w:r>
        <w:t xml:space="preserve">The deliberate narrowness is the point. The chapter has not asserted that heritage is harmful, a claim the well-behaved rebuild case would falsify on its own and which the dissertation does not make. It has asserted that the protective value of heritage is a property of the relationship between two contexts rather than a property of the part, that the loss of that protection operates through three documented subsystem-level channels that share a timing signature, and that the resulting risk is expressible as a positive loading on a measured divergence covariate in a hazard frame whose conditional-on-survival structure is the mechanism made mathematical. Each of those assertions generates a prediction the data could contradict. The remaining chapters expose them to that contradiction, specify the panel and the coding protocol that make the divergence covariate reproducible, estimate the timing and magnitude models against the H0 and H1 criteria fixed here, and subject the surviving estimates to the sensitivity analyses the methodology requires. The hypotheses stated in this chapter are the fixed targets against which all of that estimation is scored, and they are written so that a program office could, on the strength of the result, replace a slogan with a posterior on when reuse pays.</w:t>
      </w:r>
    </w:p>
    <w:bookmarkEnd w:id="92"/>
    <w:bookmarkEnd w:id="93"/>
    <w:bookmarkEnd w:id="94"/>
    <w:bookmarkStart w:id="102" w:name="chapter-4.-data-and-measurement"/>
    <w:p>
      <w:pPr>
        <w:pStyle w:val="Heading1"/>
        <w:spacing w:line="480" w:lineRule="auto"/>
      </w:pPr>
      <w:r>
        <w:t xml:space="preserve">Chapter 4. Data and Measurement</w:t>
      </w:r>
    </w:p>
    <w:bookmarkStart w:id="95"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foundation on which the dissertation’s two estimating papers rest. The argument of the thesis is that the heritage-versus-new-development decision is an estimable covariate on overrun behavior rather than a slogan, and a claim of that kind is only as credible as the records from which its variables are built. The two papers ask complementary questions about the same phenomenon. Paper 1 models the timing of the first declared cost or schedule overrun and treats design-context divergence as a hazard covariate. Paper 2 models the magnitude of realized development cost growth and treats heritage divergence as a regressor on the size of the breach. Because the two questions are designed to fail independently, they draw on overlapping but distinct datasets, share a common authoritative spine, and demand that every variable resolve to a primary record. The chapter sets out, in order, the unit of analysis common to both studies, the authoritative sources from which observations are drawn, the construction of each variable from primary documents, the two assembled panels, and the measurement controls that protect the coding from drift. The governing principle throughout is provenance: every event date, every baseline figure, and every heritage code is traceable to a citable government document or a peer-reviewed source, so that a second analyst working from the same records would reconstruct the same dataset.</w:t>
      </w:r>
    </w:p>
    <w:bookmarkEnd w:id="95"/>
    <w:bookmarkStart w:id="96" w:name="the-unit-of-analysis"/>
    <w:p>
      <w:pPr>
        <w:pStyle w:val="Heading2"/>
        <w:spacing w:line="480" w:lineRule="auto"/>
      </w:pPr>
      <w:r>
        <w:t xml:space="preserve">4.2 The Unit of Analysis</w:t>
      </w:r>
    </w:p>
    <w:p>
      <w:pPr>
        <w:pStyle w:val="FirstParagraph"/>
        <w:spacing w:line="480" w:lineRule="auto"/>
      </w:pPr>
      <w:r>
        <w:t xml:space="preserve">Both papers take the major project as the unit of analysis, and the choice is deliberate rather than incidental. A major project is the level at which agencies establish, commit, and report a baseline; it is therefore the only level at which an overrun is a defined and dated event rather than an interpretive judgment. In Paper 1 each NASA or ESA major project is observed as a single development effort from baseline confirmation to either its first declared overrun or its right-censoring at launch, and the project supplies one duration record together with its event status. In Paper 2 the NASA major project is the cross-sectional observation, and each project contributes one realized development cost growth figure measured at the end of the development phase. The decision to fix the unit at the project rather than at the subsystem warrants explanation, because the dissertation’s causal logic is fundamentally about a critical-path subsystem and its heritage posture. The subsystem is the locus of the heritage decision, but it is not the locus of the reported event. Baselines are committed, breached, and replanned at the project level in the records that agencies publish, and no public source reports a subsystem-level overrun date with the fidelity required for a survival model. The resolution adopted here is to retain the project as the unit of observation while coding the heritage and divergence variables from the project’s critical-path subsystem, so that the covariate is measured at the level where the engineering decision is made and the outcome is measured at the level where the breach is recorded. This alignment is consistent with how the cost-analysis literature treats mission-level growth as the dependent quantity while naming subsystem heritage assumptions among its internal causes</w:t>
      </w:r>
      <w:r>
        <w:t xml:space="preserve"> </w:t>
      </w:r>
      <w:hyperlink w:anchor="ref-9">
        <w:r>
          <w:rPr>
            <w:rStyle w:val="Hyperlink"/>
          </w:rPr>
          <w:t xml:space="preserve">[9]</w:t>
        </w:r>
      </w:hyperlink>
      <w:r>
        <w:t xml:space="preserve">.</w:t>
      </w:r>
    </w:p>
    <w:p>
      <w:pPr>
        <w:pStyle w:val="BodyText"/>
        <w:spacing w:line="480" w:lineRule="auto"/>
        <w:ind w:firstLine="720"/>
      </w:pPr>
      <w:r>
        <w:t xml:space="preserve">The temporal frame differs between the two papers, and the unit of analysis is what makes that difference coherent. Paper 1 is a discrete-time and continuous-time survival study in which the project is followed across program-time, so the unit carries a clock that starts at baseline confirmation. Paper 2 is cross-sectional, so the project carries no clock and is summarized by its terminal cost-growth outcome. The same project can therefore appear in both panels with different temporal representations, the timing record feeding the hazard model and the magnitude record feeding the regression, without any contradiction in what the unit denotes.</w:t>
      </w:r>
    </w:p>
    <w:bookmarkEnd w:id="96"/>
    <w:bookmarkStart w:id="97" w:name="authoritative-sources"/>
    <w:p>
      <w:pPr>
        <w:pStyle w:val="Heading2"/>
        <w:spacing w:line="480" w:lineRule="auto"/>
      </w:pPr>
      <w:r>
        <w:t xml:space="preserve">4.3 Authoritative Sources</w:t>
      </w:r>
    </w:p>
    <w:p>
      <w:pPr>
        <w:pStyle w:val="FirstParagraph"/>
        <w:spacing w:line="480" w:lineRule="auto"/>
      </w:pPr>
      <w:r>
        <w:t xml:space="preserve">The empirical spine of both papers is the U.S. Government Accountability Office annual series, NASA: Assessments of Major Projects, with the 2025 edition serving as the anchor reference</w:t>
      </w:r>
      <w:r>
        <w:t xml:space="preserve"> </w:t>
      </w:r>
      <w:hyperlink w:anchor="ref-8">
        <w:r>
          <w:rPr>
            <w:rStyle w:val="Hyperlink"/>
          </w:rPr>
          <w:t xml:space="preserve">[8]</w:t>
        </w:r>
      </w:hyperlink>
      <w:r>
        <w:t xml:space="preserve">. This series is authoritative for the present purpose because it is a recurring, congressionally mandated review that reports, for each major NASA project, the established cost and schedule baseline, subsequent baseline breaches, launch-readiness slips, and narrative attributions of cost and schedule growth. The reports are public, their tabular appendices are machine-readable, and they span enough program-years to support both a survival panel and a cross-section. Critically for this dissertation, the GAO narratives frequently include explicit heritage-related findings, identifying where a program’s cost or schedule trouble was traced to an assumption that flight-proven hardware would transfer to a new context. The series therefore supplies three of the dissertation’s quantities at once: the event timing and breach status for Paper 1, the percent of development cost growth for Paper 2, and the narrative basis for coding the heritage and divergence variables in both. Paper 2 anchors its modern cost-growth figures on two specific editions of this series, the April 2020 report and the July 2025 report, so that the percent-growth quantity for projects such as Mars 2020 and Psyche is read directly from a dated government table rather than reconstructed</w:t>
      </w:r>
      <w:r>
        <w:t xml:space="preserve"> </w:t>
      </w:r>
      <w:hyperlink w:anchor="ref-8">
        <w:r>
          <w:rPr>
            <w:rStyle w:val="Hyperlink"/>
          </w:rPr>
          <w:t xml:space="preserve">[8]</w:t>
        </w:r>
      </w:hyperlink>
      <w:r>
        <w:t xml:space="preserve">.</w:t>
      </w:r>
    </w:p>
    <w:p>
      <w:pPr>
        <w:pStyle w:val="BodyText"/>
        <w:spacing w:line="480" w:lineRule="auto"/>
        <w:ind w:firstLine="720"/>
      </w:pPr>
      <w:r>
        <w:t xml:space="preserve">The second authoritative source, and the one that gives Paper 2 its historical depth, is the Aerospace Corporation study on using historical NASA cost and schedule growth to set future program and project reserve guidelines</w:t>
      </w:r>
      <w:r>
        <w:t xml:space="preserve"> </w:t>
      </w:r>
      <w:hyperlink w:anchor="ref-9">
        <w:r>
          <w:rPr>
            <w:rStyle w:val="Hyperlink"/>
          </w:rPr>
          <w:t xml:space="preserve">[9]</w:t>
        </w:r>
      </w:hyperlink>
      <w:r>
        <w:t xml:space="preserve">. This study is authoritative for the 1990s science-mission record because it compiles development cost growth across forty NASA science missions and reports the distributional summaries that frame the magnitude analysis: an average development cost growth of 26.9 percent, a median of 16.1 percent, and a maximum of 150 percent. It is doubly load-bearing because it does more than report growth; it isolates the causal channels of that growth and names overly optimistic heritage assumptions explicitly as a form of internal cost growth, alongside instrument technical problems and management inefficiency</w:t>
      </w:r>
      <w:r>
        <w:t xml:space="preserve"> </w:t>
      </w:r>
      <w:hyperlink w:anchor="ref-9">
        <w:r>
          <w:rPr>
            <w:rStyle w:val="Hyperlink"/>
          </w:rPr>
          <w:t xml:space="preserve">[9]</w:t>
        </w:r>
      </w:hyperlink>
      <w:r>
        <w:t xml:space="preserve">. The study thereby supplies both the dependent-variable construction for the older missions and the substantive warrant for treating heritage as a candidate cost amplifier rather than a neutral reducer. Paper 2 also borrows from this study the restricted-launch-window classification used to build one of its controls, so the source contributes a covariate as well as outcomes</w:t>
      </w:r>
      <w:r>
        <w:t xml:space="preserve"> </w:t>
      </w:r>
      <w:hyperlink w:anchor="ref-9">
        <w:r>
          <w:rPr>
            <w:rStyle w:val="Hyperlink"/>
          </w:rPr>
          <w:t xml:space="preserve">[9]</w:t>
        </w:r>
      </w:hyperlink>
      <w:r>
        <w:t xml:space="preserve">.</w:t>
      </w:r>
    </w:p>
    <w:p>
      <w:pPr>
        <w:pStyle w:val="BodyText"/>
        <w:spacing w:line="480" w:lineRule="auto"/>
        <w:ind w:firstLine="720"/>
      </w:pPr>
      <w:r>
        <w:t xml:space="preserve">The third source is the corroborating layer. Modern mission baselines and cost accounts are cross-checked against published mission cost series, specifically The Planetary Society’s cost accounts for Psyche, Lucy, Perseverance, OSIRIS-REx, and the James Webb Space Telescope</w:t>
      </w:r>
      <w:r>
        <w:t xml:space="preserve"> </w:t>
      </w:r>
      <w:hyperlink w:anchor="ref-11">
        <w:r>
          <w:rPr>
            <w:rStyle w:val="Hyperlink"/>
          </w:rPr>
          <w:t xml:space="preserve">[11]</w:t>
        </w:r>
      </w:hyperlink>
      <w:r>
        <w:t xml:space="preserve">. This source is not used to originate any figure that the GAO series reports; it is used to confirm that the government figure agrees with an independent public accounting, which guards against transcription error and against any single-source idiosyncrasy in the GAO tables. The fourth source layer is the technical literature, which is used not to supply numbers but to corroborate the qualitative coding of anomaly and qualification triggers. Where a GAO narrative attributes growth to a misdiagnosed anomaly or to a narrowly scoped qualification question, that attribution is checked against the peer-reviewed record on anomaly causation and qualification-driven cost growth</w:t>
      </w:r>
      <w:r>
        <w:t xml:space="preserve"> </w:t>
      </w:r>
      <w:hyperlink w:anchor="ref-2">
        <w:r>
          <w:rPr>
            <w:rStyle w:val="Hyperlink"/>
          </w:rPr>
          <w:t xml:space="preserve">[2]</w:t>
        </w:r>
      </w:hyperlink>
      <w:r>
        <w:t xml:space="preserve">[3], and the parametric cost-estimation literature is used to confirm that subsystem heritage and complexity are treated as first-order cost drivers in the estimators programs actually use</w:t>
      </w:r>
      <w:r>
        <w:t xml:space="preserve"> </w:t>
      </w:r>
      <w:hyperlink w:anchor="ref-10">
        <w:r>
          <w:rPr>
            <w:rStyle w:val="Hyperlink"/>
          </w:rPr>
          <w:t xml:space="preserve">[10]</w:t>
        </w:r>
      </w:hyperlink>
      <w:r>
        <w:t xml:space="preserve">. The governance literature anchors the institutional-regime framing under which reuse behavior co-moves with contract form</w:t>
      </w:r>
      <w:r>
        <w:t xml:space="preserve"> </w:t>
      </w:r>
      <w:hyperlink w:anchor="ref-4">
        <w:r>
          <w:rPr>
            <w:rStyle w:val="Hyperlink"/>
          </w:rPr>
          <w:t xml:space="preserve">[4]</w:t>
        </w:r>
      </w:hyperlink>
      <w:r>
        <w:t xml:space="preserve">, and the economic and architectural literatures supply the background that overruns are structural and that inherited forms carried into new contexts misbehave</w:t>
      </w:r>
      <w:r>
        <w:t xml:space="preserve"> </w:t>
      </w:r>
      <w:hyperlink w:anchor="ref-5">
        <w:r>
          <w:rPr>
            <w:rStyle w:val="Hyperlink"/>
          </w:rPr>
          <w:t xml:space="preserve">[5]</w:t>
        </w:r>
      </w:hyperlink>
      <w:r>
        <w:t xml:space="preserve">[6]. None of these literature sources contributes a row to either panel; their role is to validate the interpretation of the primary records.</w:t>
      </w:r>
    </w:p>
    <w:bookmarkEnd w:id="97"/>
    <w:bookmarkStart w:id="98" w:name="X31163920985116d904ddf393a44de31a19e1424"/>
    <w:p>
      <w:pPr>
        <w:pStyle w:val="Heading2"/>
        <w:spacing w:line="480" w:lineRule="auto"/>
      </w:pPr>
      <w:r>
        <w:t xml:space="preserve">4.4 Variable Construction in Paper 1: The Timing Panel</w:t>
      </w:r>
    </w:p>
    <w:p>
      <w:pPr>
        <w:pStyle w:val="FirstParagraph"/>
        <w:spacing w:line="480" w:lineRule="auto"/>
      </w:pPr>
      <w:r>
        <w:t xml:space="preserve">Paper 1 is carried by four variables, each constructed from a primary record. The first is the duration, defined as the number of months from baseline confirmation to the first declared overrun. Baseline confirmation is the dated point at which the project’s committed cost and schedule baseline is established in the GAO record, and the first declared overrun is the first approved replan that breaches that committed baseline. The duration is therefore not an analyst’s estimate of when trouble began but the elapsed interval between two dated agency events, both read from the assessments series</w:t>
      </w:r>
      <w:r>
        <w:t xml:space="preserve"> </w:t>
      </w:r>
      <w:hyperlink w:anchor="ref-8">
        <w:r>
          <w:rPr>
            <w:rStyle w:val="Hyperlink"/>
          </w:rPr>
          <w:t xml:space="preserve">[8]</w:t>
        </w:r>
      </w:hyperlink>
      <w:r>
        <w:t xml:space="preserve">. For projects that flew without breaching their committed baseline, the duration is right-censored at launch, which means the project is recorded as having survived to launch without experiencing the event. This censoring convention is what allows the on-time, no-breach records of certain missions to enter the model as informative survivors rather than as missing data.</w:t>
      </w:r>
    </w:p>
    <w:p>
      <w:pPr>
        <w:pStyle w:val="BodyText"/>
        <w:spacing w:line="480" w:lineRule="auto"/>
        <w:ind w:firstLine="720"/>
      </w:pPr>
      <w:r>
        <w:t xml:space="preserve">The second variable is the event indicator, a binary marker of whether an overrun was declared during the observation window. Its construction is mechanical: a project receives an event of one if the GAO record shows a committed-baseline breach before launch and an event of zero if it reached launch without one. In the assembled panel of twenty-five NASA and ESA major projects, sixteen carry an event of one and nine are censored at launch, the censored group including like-for-like rebuilds such as Landsat 9 and heritage-instrument missions such as Lucy and OSIRIS-REx that flew without a committed-baseline breach. The pairing of the duration and the event indicator is the standard survival-data structure, and both elements are sourced from the same dated agency tables, which keeps the outcome internally consistent.</w:t>
      </w:r>
    </w:p>
    <w:p>
      <w:pPr>
        <w:pStyle w:val="BodyText"/>
        <w:spacing w:line="480" w:lineRule="auto"/>
        <w:ind w:firstLine="720"/>
      </w:pPr>
      <w:r>
        <w:t xml:space="preserve">The third and focal variable is design-context divergence, an index running from zero to three that captures how far heritage hardware was carried from its qualified context. A value of zero denotes a clean-sheet design or a like-for-like rebuild, the case in which either no heritage is invoked or the heritage is reused in a context essentially identical to its original qualification. A value of three denotes heritage hardware placed in a first-of-kind thermal, dynamic, or operational environment, the case in which the qualification that justified reuse no longer covers the regime in which the hardware must perform. The intermediate values grade the distance between these poles. The index is coded from each mission’s public systems-engineering and program descriptions and from the GAO project narratives, with the coder asking, for the critical-path subsystem, how close the new application context is to the context in which the subsystem was previously qualified. The construction is deliberately ordinal because the underlying quantity, design-context distance, is a graded judgment rather than a measured length, and the dissertation’s identification strategy treats the crossover from protective to harmful reuse as something to be estimated along this index rather than assumed. The coding leans on primary documents at every step: the divergence value attaches to a named subsystem, and the basis for the value is a citable description of that subsystem’s prior and current contexts.</w:t>
      </w:r>
    </w:p>
    <w:p>
      <w:pPr>
        <w:pStyle w:val="BodyText"/>
        <w:spacing w:line="480" w:lineRule="auto"/>
        <w:ind w:firstLine="720"/>
      </w:pPr>
      <w:r>
        <w:t xml:space="preserve">The fourth and fifth elements are the conditioning controls, subsystem complexity and a cost-plus contract indicator. Subsystem complexity is coded to capture the intrinsic difficulty of the critical-path subsystem, drawing on the mission’s technical description and on the recognition in the cost-estimation literature that complexity is a first-order driver</w:t>
      </w:r>
      <w:r>
        <w:t xml:space="preserve"> </w:t>
      </w:r>
      <w:hyperlink w:anchor="ref-10">
        <w:r>
          <w:rPr>
            <w:rStyle w:val="Hyperlink"/>
          </w:rPr>
          <w:t xml:space="preserve">[10]</w:t>
        </w:r>
      </w:hyperlink>
      <w:r>
        <w:t xml:space="preserve">. The cost-plus indicator is a binary flag drawn from the public contract-award record, marking whether the development was governed by a cost-plus instrument; its inclusion follows the governance finding that agencies adopt cost-plus structures precisely to absorb the delays and cost growth recurring under legacy-space models</w:t>
      </w:r>
      <w:r>
        <w:t xml:space="preserve"> </w:t>
      </w:r>
      <w:hyperlink w:anchor="ref-4">
        <w:r>
          <w:rPr>
            <w:rStyle w:val="Hyperlink"/>
          </w:rPr>
          <w:t xml:space="preserve">[4]</w:t>
        </w:r>
      </w:hyperlink>
      <w:r>
        <w:t xml:space="preserve">. Both controls are entered because they are the two most plausible confounders that jointly drive the reuse decision and the overrun risk, and conditioning on them is what allows the divergence coefficient to be read as a partial association rather than a confounded correlation.</w:t>
      </w:r>
    </w:p>
    <w:bookmarkEnd w:id="98"/>
    <w:bookmarkStart w:id="99" w:name="X9341c644bc122b66638ab73cf6954cf8014d30e"/>
    <w:p>
      <w:pPr>
        <w:pStyle w:val="Heading2"/>
        <w:spacing w:line="480" w:lineRule="auto"/>
      </w:pPr>
      <w:r>
        <w:t xml:space="preserve">4.5 Variable Construction in Paper 2: The Magnitude Panel</w:t>
      </w:r>
    </w:p>
    <w:p>
      <w:pPr>
        <w:pStyle w:val="FirstParagraph"/>
        <w:spacing w:line="480" w:lineRule="auto"/>
      </w:pPr>
      <w:r>
        <w:t xml:space="preserve">Paper 2 reconstructs the same heritage logic for the size of the breach rather than its timing, and its variables are constructed accordingly. The dependent variable is development cost growth, defined as the percent change in the development-phase cost estimate from the committed baseline to the final actual cost, with operations excluded. This construction follows the definition used in the Aerospace Corporation reserve study so that the modern and historical observations are measured on the same scale</w:t>
      </w:r>
      <w:r>
        <w:t xml:space="preserve"> </w:t>
      </w:r>
      <w:hyperlink w:anchor="ref-9">
        <w:r>
          <w:rPr>
            <w:rStyle w:val="Hyperlink"/>
          </w:rPr>
          <w:t xml:space="preserve">[9]</w:t>
        </w:r>
      </w:hyperlink>
      <w:r>
        <w:t xml:space="preserve">. For modern projects the figure is taken directly from the relevant year of the GAO assessments series, which reports each project’s baseline, breaches, and percent of development cost growth</w:t>
      </w:r>
      <w:r>
        <w:t xml:space="preserve"> </w:t>
      </w:r>
      <w:hyperlink w:anchor="ref-8">
        <w:r>
          <w:rPr>
            <w:rStyle w:val="Hyperlink"/>
          </w:rPr>
          <w:t xml:space="preserve">[8]</w:t>
        </w:r>
      </w:hyperlink>
      <w:r>
        <w:t xml:space="preserve">. The construction is concrete and document-anchored: the Mars 2020 entry, for instance, records a development cost increase of 21.4 percent that breached the fifteen-percent congressional notification threshold, and the Psyche entry records a baseline only 4.1 percent above the top of its preliminary estimate together with an explicit statement that the design is based heavily on heritage technologies</w:t>
      </w:r>
      <w:r>
        <w:t xml:space="preserve"> </w:t>
      </w:r>
      <w:hyperlink w:anchor="ref-8">
        <w:r>
          <w:rPr>
            <w:rStyle w:val="Hyperlink"/>
          </w:rPr>
          <w:t xml:space="preserve">[8]</w:t>
        </w:r>
      </w:hyperlink>
      <w:r>
        <w:t xml:space="preserve">. For the 1990s science missions the percent figures are drawn from the Aerospace Corporation study, and individual modern-mission baselines are corroborated against the published mission cost accounts</w:t>
      </w:r>
      <w:r>
        <w:t xml:space="preserve"> </w:t>
      </w:r>
      <w:hyperlink w:anchor="ref-9">
        <w:r>
          <w:rPr>
            <w:rStyle w:val="Hyperlink"/>
          </w:rPr>
          <w:t xml:space="preserve">[9]</w:t>
        </w:r>
      </w:hyperlink>
      <w:r>
        <w:t xml:space="preserve">[11]. The outcome is therefore a single number per project, read from a dated table, cross-checked against an independent accounting, and expressed on a definition held constant across four decades of missions.</w:t>
      </w:r>
    </w:p>
    <w:p>
      <w:pPr>
        <w:pStyle w:val="BodyText"/>
        <w:spacing w:line="480" w:lineRule="auto"/>
        <w:ind w:firstLine="720"/>
      </w:pPr>
      <w:r>
        <w:t xml:space="preserve">The focal regressor is heritage divergence, coded ordinally as new development, heritage reuse in a comparable context, or heritage reuse across a divergent context. The coding source is identical in spirit to Paper 1: the divergence category is read from the GAO project narratives and each mission’s systems-engineering description, applied to the program’s critical-path subsystem. The ordinal scale is the magnitude-study analogue of Paper 1’s zero-to-three index, collapsed to three steps because the cross-sectional sample size rewards a coarser, more defensible partition. Complexity enters as a one-to-five mission-class index, capturing the intrinsic difficulty of the mission and reproducing the cost-estimation literature’s treatment of complexity as a first-order driver</w:t>
      </w:r>
      <w:r>
        <w:t xml:space="preserve"> </w:t>
      </w:r>
      <w:hyperlink w:anchor="ref-10">
        <w:r>
          <w:rPr>
            <w:rStyle w:val="Hyperlink"/>
          </w:rPr>
          <w:t xml:space="preserve">[10]</w:t>
        </w:r>
      </w:hyperlink>
      <w:r>
        <w:t xml:space="preserve">. Two further controls are constructed from named primary findings. The restricted-launch-window flag follows the planetary-launch-window classification in the Aerospace study, marking missions that faced a hard celestial-mechanics launch constraint</w:t>
      </w:r>
      <w:r>
        <w:t xml:space="preserve"> </w:t>
      </w:r>
      <w:hyperlink w:anchor="ref-9">
        <w:r>
          <w:rPr>
            <w:rStyle w:val="Hyperlink"/>
          </w:rPr>
          <w:t xml:space="preserve">[9]</w:t>
        </w:r>
      </w:hyperlink>
      <w:r>
        <w:t xml:space="preserve">. The Artemis-interdependency flag follows the GAO finding that the Artemis projects are interdependent drivers of portfolio overrun, marking the programs whose schedules and budgets are coupled through the campaign architecture</w:t>
      </w:r>
      <w:r>
        <w:t xml:space="preserve"> </w:t>
      </w:r>
      <w:hyperlink w:anchor="ref-8">
        <w:r>
          <w:rPr>
            <w:rStyle w:val="Hyperlink"/>
          </w:rPr>
          <w:t xml:space="preserve">[8]</w:t>
        </w:r>
      </w:hyperlink>
      <w:r>
        <w:t xml:space="preserve">. Each of these four covariates therefore resolves to a specific document: the divergence and complexity codes to mission systems-engineering descriptions and GAO narratives, the restricted-window flag to the Aerospace classification, and the Artemis flag to the GAO interdependency finding.</w:t>
      </w:r>
    </w:p>
    <w:bookmarkEnd w:id="99"/>
    <w:bookmarkStart w:id="100" w:name="the-assembled-panels"/>
    <w:p>
      <w:pPr>
        <w:pStyle w:val="Heading2"/>
        <w:spacing w:line="480" w:lineRule="auto"/>
      </w:pPr>
      <w:r>
        <w:t xml:space="preserve">4.6 The Assembled Panels</w:t>
      </w:r>
    </w:p>
    <w:p>
      <w:pPr>
        <w:pStyle w:val="FirstParagraph"/>
        <w:spacing w:line="480" w:lineRule="auto"/>
      </w:pPr>
      <w:r>
        <w:t xml:space="preserve">The two papers assemble two panels that overlap in their authoritative spine but differ in composition and temporal structure. Paper 1’s panel comprises twenty-five NASA and ESA development efforts, each recorded in the data file with its own source citation and observed from baseline confirmation to first declared overrun or right-censoring at launch. Of the twenty-five, sixteen experienced a declared overrun and nine were censored at launch. The inclusion of ESA projects alongside NASA projects widens the population beyond a single agency, and the censored group is substantively important because it contains the like-for-like rebuilds and heritage-instrument missions whose clean records identify the lower end of the divergence index. Paper 2’s panel comprises twenty-eight NASA major projects spanning the faster-better-cheaper Discovery and Explorer missions of the 1990s through the flagship and Artemis-era programs of the present decade. The wider historical reach of Paper 2 is what the Aerospace Corporation study makes possible, since that source supplies the 1990s science-mission growth figures that the GAO series, beginning later, does not cover</w:t>
      </w:r>
      <w:r>
        <w:t xml:space="preserve"> </w:t>
      </w:r>
      <w:hyperlink w:anchor="ref-9">
        <w:r>
          <w:rPr>
            <w:rStyle w:val="Hyperlink"/>
          </w:rPr>
          <w:t xml:space="preserve">[9]</w:t>
        </w:r>
      </w:hyperlink>
      <w:r>
        <w:t xml:space="preserve">. The unconditional structure of the magnitude panel is itself informative: mean cost growth rises monotonically from 0.5 percent for the eight new-development programs, to 16.6 percent for the fourteen comparable-reuse programs, to 50.2 percent for the six divergent-reuse programs, a gradient visible in the raw data before any model is estimated.</w:t>
      </w:r>
    </w:p>
    <w:p>
      <w:pPr>
        <w:pStyle w:val="BodyText"/>
        <w:spacing w:line="480" w:lineRule="auto"/>
        <w:ind w:firstLine="720"/>
      </w:pPr>
      <w:r>
        <w:t xml:space="preserve">The two panels share missions but are not identical, and the difference is principled rather than accidental. The timing panel requires a dated baseline-confirmation point and a dated breach or launch, which restricts it to projects with sufficiently complete milestone records, and it admits ESA projects because the survival structure does not depend on the GAO percent-growth field. The magnitude panel requires a development cost growth percentage on a common definition, which admits the older NASA science missions through the Aerospace source but excludes missions for which no percent figure can be placed on that scale. The papers are designed to fail independently, and the modest divergence in their panels reinforces that independence: a result about onset timing in twenty-five mixed-agency projects and a result about growth magnitude in twenty-eight NASA projects cannot be artifacts of a single shared sample.</w:t>
      </w:r>
    </w:p>
    <w:bookmarkEnd w:id="100"/>
    <w:bookmarkStart w:id="101" w:name="X5a0d0ad80a1ffdfc9ebdda207271f885bff5634"/>
    <w:p>
      <w:pPr>
        <w:pStyle w:val="Heading2"/>
        <w:spacing w:line="480" w:lineRule="auto"/>
      </w:pPr>
      <w:r>
        <w:t xml:space="preserve">4.7 Measurement Integrity, Coding Protocol, and Provenance</w:t>
      </w:r>
    </w:p>
    <w:p>
      <w:pPr>
        <w:pStyle w:val="FirstParagraph"/>
        <w:spacing w:line="480" w:lineRule="auto"/>
      </w:pPr>
      <w:r>
        <w:t xml:space="preserve">The credibility of an ordinal heritage code rests on the discipline of its coding protocol, and the dissertation treats this as a measurement problem rather than an afterthought. Three safeguards govern the construction of the divergence variables in both papers. First, every observation carries its source in the data file, so that the divergence value, the cost-growth figure, and the event timing each resolve to a named document rather than to the analyst’s recollection. Second, the coding protocol is to be preregistered so that the heritage classification is reproducible by a second analyst, which converts the ordinal judgment from a private assessment into a public, auditable rule. Both papers acknowledge in their own discussions that the ordinal divergence coding should be reproduced by an independent coder under a preregistered protocol before the coefficient is treated as a planning constant, and the data-and-measurement design anticipates that requirement rather than deferring it. Third, the small number of observations for which an exact per-mission percent was not separately published are flagged transparently: in Paper 2, four rows are marked illustrative and constitute under fifteen percent of the panel, so that the reader can locate the boundary between firmly sourced and approximated figures and can test the model’s sensitivity to their exclusion.</w:t>
      </w:r>
    </w:p>
    <w:p>
      <w:pPr>
        <w:pStyle w:val="BodyText"/>
        <w:spacing w:line="480" w:lineRule="auto"/>
        <w:ind w:firstLine="720"/>
      </w:pPr>
      <w:r>
        <w:t xml:space="preserve">The corroboration architecture is the final layer of measurement integrity. The dependent quantities are not accepted from a single source where an independent cross-check exists. Modern cost-growth and baseline figures from the GAO series are confirmed against the published mission cost accounts, so that a transcription error or a single-source idiosyncrasy would surface as a disagreement between the two</w:t>
      </w:r>
      <w:r>
        <w:t xml:space="preserve"> </w:t>
      </w:r>
      <w:hyperlink w:anchor="ref-8">
        <w:r>
          <w:rPr>
            <w:rStyle w:val="Hyperlink"/>
          </w:rPr>
          <w:t xml:space="preserve">[8]</w:t>
        </w:r>
      </w:hyperlink>
      <w:r>
        <w:t xml:space="preserve">[11]. The qualitative attributions that justify a divergence code, where a GAO narrative ties trouble to an anomaly or a qualification gap, are checked against the technical literature on anomaly causation and qualification-driven growth</w:t>
      </w:r>
      <w:r>
        <w:t xml:space="preserve"> </w:t>
      </w:r>
      <w:hyperlink w:anchor="ref-2">
        <w:r>
          <w:rPr>
            <w:rStyle w:val="Hyperlink"/>
          </w:rPr>
          <w:t xml:space="preserve">[2]</w:t>
        </w:r>
      </w:hyperlink>
      <w:r>
        <w:t xml:space="preserve">[3], and the broader claim that complexity and heritage are estimable cost drivers is grounded in the parametric estimation record</w:t>
      </w:r>
      <w:r>
        <w:t xml:space="preserve"> </w:t>
      </w:r>
      <w:hyperlink w:anchor="ref-10">
        <w:r>
          <w:rPr>
            <w:rStyle w:val="Hyperlink"/>
          </w:rPr>
          <w:t xml:space="preserve">[10]</w:t>
        </w:r>
      </w:hyperlink>
      <w:r>
        <w:t xml:space="preserve">. The structural premise that overruns are pervasive and that inherited institutional and contractual forms misbehave when carried into new contexts is supported by the governance and economic literatures, which frame the institutional regime within which the reuse decision is taken</w:t>
      </w:r>
      <w:r>
        <w:t xml:space="preserve"> </w:t>
      </w:r>
      <w:hyperlink w:anchor="ref-4">
        <w:r>
          <w:rPr>
            <w:rStyle w:val="Hyperlink"/>
          </w:rPr>
          <w:t xml:space="preserve">[4]</w:t>
        </w:r>
      </w:hyperlink>
      <w:r>
        <w:t xml:space="preserve">[5][6]. None of these supporting sources originates a measured value, and that separation is intentional: the primary records carry the numbers, and the literature carries the interpretation, so that the provenance of every quantity remains traceable to a government table or a peer-reviewed dataset.</w:t>
      </w:r>
    </w:p>
    <w:p>
      <w:pPr>
        <w:pStyle w:val="BodyText"/>
        <w:spacing w:line="480" w:lineRule="auto"/>
        <w:ind w:firstLine="720"/>
      </w:pPr>
      <w:r>
        <w:t xml:space="preserve">Taken together, these provisions establish that the dissertation’s empirical claims are built from authoritative, public, and reproducible records. The unit of analysis is fixed at the level where baselines are committed and breaches are reported. The outcomes are read from dated GAO tables and a recognized historical reserve study, cross-checked against an independent cost accounting. The focal heritage and divergence variables are coded from mission systems-engineering documentation and GAO narratives under a protocol designed for independent reproduction. The controls are drawn from named classifications and findings rather than constructed ad hoc. The result is a measurement design in which the conversion of an engineering slogan into a refutable proposition does not depend on any number the reader cannot independently verify, and in which the two estimating papers stand on overlapping but distinct evidentiary foundations that fail or survive on their own terms.</w:t>
      </w:r>
    </w:p>
    <w:bookmarkEnd w:id="101"/>
    <w:bookmarkEnd w:id="102"/>
    <w:bookmarkStart w:id="110" w:name="chapter-5.-methods-and-identification"/>
    <w:p>
      <w:pPr>
        <w:pStyle w:val="Heading1"/>
        <w:spacing w:line="480" w:lineRule="auto"/>
      </w:pPr>
      <w:r>
        <w:t xml:space="preserve">Chapter 5. Methods and Identification</w:t>
      </w:r>
    </w:p>
    <w:bookmarkStart w:id="103" w:name="overview-and-the-estimand"/>
    <w:p>
      <w:pPr>
        <w:pStyle w:val="Heading2"/>
        <w:spacing w:line="480" w:lineRule="auto"/>
      </w:pPr>
      <w:r>
        <w:t xml:space="preserve">5.1 Overview and the Estimand</w:t>
      </w:r>
    </w:p>
    <w:p>
      <w:pPr>
        <w:pStyle w:val="FirstParagraph"/>
        <w:spacing w:line="480" w:lineRule="auto"/>
      </w:pPr>
      <w:r>
        <w:t xml:space="preserve">This chapter specifies the estimators that carry the dissertation, states the identification strategy that licenses a causal reading of their central coefficients, and enumerates the threats to that reading together with the diagnostic that bounds each one. The argument is organized around a single estimand stated two ways. In the timing problem, the estimand is the effect of heritage status on the hazard of a program’s first formally declared cost or schedule overrun. In the magnitude problem, the estimand is the effect of heritage status on the percent development cost growth that a program eventually realizes. The two are deliberately distinct quantities estimated on overlapping but non-identical panels, so that a result about when an overrun arrives carries no mechanical implication for how large it becomes, and a result about size carries none about onset. A reader who accepts one is not thereby compelled to accept the other, and the dissertation’s contribution is retained only where both survive their respective tests.</w:t>
      </w:r>
    </w:p>
    <w:p>
      <w:pPr>
        <w:pStyle w:val="BodyText"/>
        <w:spacing w:line="480" w:lineRule="auto"/>
        <w:ind w:firstLine="720"/>
      </w:pPr>
      <w:r>
        <w:t xml:space="preserve">The focal covariate in both problems is design-context divergence: the distance between the context in which a critical-path subsystem was previously qualified and the context into which the program now carries it. Divergence is the operative refinement of the cruder heritage-versus-new-development contrast stated in the prospectus. It replaces a binary label with an ordinal measure precisely because the dissertation’s claim is not that heritage helps or hurts uniformly but that its effect is conditional on how far the inheritance is stretched. The estimators below are constructed so that the coefficient on divergence is the object whose sign and significance decide H1 against H0 in each problem.</w:t>
      </w:r>
    </w:p>
    <w:bookmarkEnd w:id="103"/>
    <w:bookmarkStart w:id="104" w:name="X10e17493079181d4e2382e0cd37149862e69cfc"/>
    <w:p>
      <w:pPr>
        <w:pStyle w:val="Heading2"/>
        <w:spacing w:line="480" w:lineRule="auto"/>
      </w:pPr>
      <w:r>
        <w:t xml:space="preserve">5.2 The Timing Estimator: Discrete-Time Hazard with a Cox Companion</w:t>
      </w:r>
    </w:p>
    <w:p>
      <w:pPr>
        <w:pStyle w:val="FirstParagraph"/>
        <w:spacing w:line="480" w:lineRule="auto"/>
      </w:pPr>
      <w:r>
        <w:t xml:space="preserve">The base specification for the timing problem is a discrete-time hazard model. Each major project contributes one observation per milestone period from baseline confirmation until the period in which it either declares its first overrun or is right-censored at launch or cancellation. The hazard in a given period is the conditional probability that the first overrun is declared in that period given that no overrun has yet occurred, and it is modeled with a complementary log-log link of the focal and control covariates. The complementary log-log form is chosen over the logit because the underlying overrun process is naturally read in continuous program time even though the data arrive in discrete milestone intervals; the complementary log-log link is the discrete-time analogue of an underlying proportional-hazards process and therefore lets the discrete estimates be interpreted in the same hazard-ratio language as the continuous companion. Standard errors are clustered by program so that the repeated milestone-period observations contributed by a single project are not treated as independent draws.</w:t>
      </w:r>
    </w:p>
    <w:p>
      <w:pPr>
        <w:pStyle w:val="BodyText"/>
        <w:spacing w:line="480" w:lineRule="auto"/>
        <w:ind w:firstLine="720"/>
      </w:pPr>
      <w:r>
        <w:t xml:space="preserve">The continuous-time companion, and the estimator actually reported in the first study of this dissertation, is the Cox proportional-hazards model. Its hazard at a given program age is the product of an unspecified baseline hazard and an exponential function of design-context divergence, subsystem complexity, and a cost-plus contract indicator. The Cox form earns its place for three reasons. It leaves the baseline hazard unparameterized, so the estimate of the divergence effect does not depend on assuming a functional shape for how overrun risk evolves with program age; it accommodates the right-censoring of projects that launched without a committed-baseline breach, which is essential because nine of the twenty-five projects in the timing panel are censored at launch, including like-for-like rebuilds such as Landsat 9 and heritage-instrument missions such as Lucy and OSIRIS-REx; and it reports each covariate as a hazard ratio, the multiplicative shift in instantaneous overrun risk associated with a one-unit increase in that covariate with the others held fixed. The model is estimated by partial-likelihood maximization on the full panel. The coefficient of interest is the one on divergence: a positive coefficient, equivalently a hazard ratio above one, is the signature of H1, and a coefficient statistically indistinguishable from zero is the signature of H0.</w:t>
      </w:r>
    </w:p>
    <w:p>
      <w:pPr>
        <w:pStyle w:val="BodyText"/>
        <w:spacing w:line="480" w:lineRule="auto"/>
        <w:ind w:firstLine="720"/>
      </w:pPr>
      <w:r>
        <w:t xml:space="preserve">The discrete-time complementary log-log specification and the Cox specification are run as cross-checks on one another rather than as rivals. Agreement between them on the sign, the approximate magnitude, and the significance of the divergence coefficient is treated as evidence that the headline result is not an artifact of the choice between discretized and continuous time. Where the first study reports a divergence hazard ratio of 2.21 with a p-value of 0.049, the companion specification’s role is to confirm that this near-doubling per step of divergence is stable across the link-function choice, not to provide an independent test of a different hypothesis.</w:t>
      </w:r>
    </w:p>
    <w:p>
      <w:pPr>
        <w:pStyle w:val="BodyText"/>
        <w:spacing w:line="480" w:lineRule="auto"/>
        <w:ind w:firstLine="720"/>
      </w:pPr>
      <w:r>
        <w:t xml:space="preserve">The proportional-hazards assumption that the Cox form imposes, namely that the hazard ratio attached to divergence is constant over program age, is itself testable and is tested. Schoenfeld residuals are computed for each covariate and regressed on a function of program time; a slope statistically indistinguishable from zero is consistent with proportionality, and a significant slope flags a covariate whose effect intensifies or decays over the program lifecycle. Should divergence fail the proportionality test, the remedy is a divergence-by-time interaction that lets the hazard ratio vary with program age, and the interaction estimate is reported rather than suppressed. This matters substantively as well as technically: the engineering logic of the dissertation predicts that a divergence penalty should land later in the lifecycle, when a flight-proven subsystem first meets the thermal, dynamic, or operational regime it was never qualified for, so a non-proportional divergence effect would be informative rather than merely inconvenient.</w:t>
      </w:r>
    </w:p>
    <w:bookmarkEnd w:id="104"/>
    <w:bookmarkStart w:id="105" w:name="X5ecc3297badefee1170fcb726de6b903de06379"/>
    <w:p>
      <w:pPr>
        <w:pStyle w:val="Heading2"/>
        <w:spacing w:line="480" w:lineRule="auto"/>
      </w:pPr>
      <w:r>
        <w:t xml:space="preserve">5.3 The Magnitude Estimator: Robust Cross-Sectional Regression</w:t>
      </w:r>
    </w:p>
    <w:p>
      <w:pPr>
        <w:pStyle w:val="FirstParagraph"/>
        <w:spacing w:line="480" w:lineRule="auto"/>
      </w:pPr>
      <w:r>
        <w:t xml:space="preserve">The magnitude problem is estimated with ordinary least squares with heteroskedasticity-consistent HC1 standard errors. Development cost growth in percent is regressed on heritage divergence, a one-to-five mission-complexity index, a restricted-launch-window indicator, and an Artemis-interdependency indicator, on a cross-section of twenty-eight NASA major projects spanning the faster-better-cheaper Discovery and Explorer missions of the 1990s through the flagship and Artemis-era programs of the present decade. The specification is the magnitude analogue of the timing model: where the hazard estimator asks whether divergence shifts the timing of onset, this estimator asks whether divergence shifts the size of the realized growth, conditioning on the same family of confounders. The coefficient of interest is again the one on divergence, and the controls are present to block the most obvious competing explanations, since complexity and launch pressure are independently cost-relevant in both the parametric-estimator literature and the historical-growth literature</w:t>
      </w:r>
      <w:r>
        <w:t xml:space="preserve"> </w:t>
      </w:r>
      <w:hyperlink w:anchor="ref-9">
        <w:r>
          <w:rPr>
            <w:rStyle w:val="Hyperlink"/>
          </w:rPr>
          <w:t xml:space="preserve">[9]</w:t>
        </w:r>
      </w:hyperlink>
      <w:r>
        <w:t xml:space="preserve">[10].</w:t>
      </w:r>
    </w:p>
    <w:p>
      <w:pPr>
        <w:pStyle w:val="BodyText"/>
        <w:spacing w:line="480" w:lineRule="auto"/>
        <w:ind w:firstLine="720"/>
      </w:pPr>
      <w:r>
        <w:t xml:space="preserve">The robust covariance estimator is not a cosmetic choice. A development-cost-growth outcome is bounded below near zero and heavy-tailed above, with a maximum of 150 percent in the historical reserve study against an average of 26.9 percent and a median of 16.1 percent across forty NASA science missions</w:t>
      </w:r>
      <w:r>
        <w:t xml:space="preserve"> </w:t>
      </w:r>
      <w:hyperlink w:anchor="ref-9">
        <w:r>
          <w:rPr>
            <w:rStyle w:val="Hyperlink"/>
          </w:rPr>
          <w:t xml:space="preserve">[9]</w:t>
        </w:r>
      </w:hyperlink>
      <w:r>
        <w:t xml:space="preserve">. That shape produces non-constant error variance by construction, and the HC1 estimator guards the inference on the divergence coefficient against it. The first study’s magnitude result, an additional 13.41 percentage points of cost growth per step of divergence with a robust standard error of 5.28 and a p-value of 0.011, is therefore an inference whose standard error already absorbs the outcome’s heteroskedasticity rather than assuming it away. The unconditional gradient that the regression conditions, mean cost growth rising from 0.5 percent for new-development programs to 16.6 percent for comparable-reuse programs to 50.2 percent for divergent-reuse programs, is reported alongside the conditional estimate so that the reader can see the raw pattern the controls are adjusting rather than only the adjusted coefficient.</w:t>
      </w:r>
    </w:p>
    <w:p>
      <w:pPr>
        <w:pStyle w:val="BodyText"/>
        <w:spacing w:line="480" w:lineRule="auto"/>
        <w:ind w:firstLine="720"/>
      </w:pPr>
      <w:r>
        <w:t xml:space="preserve">The choice of OLS over a generalized linear model for a bounded outcome is deliberate and is defended on interpretability and sample size. With twenty-eight observations and four covariates, a more elaborate link risks overfitting the very tails that make the outcome interesting, and the linear coefficient has a planning interpretation the dissertation needs: it states the additional expected cost growth per step of divergence in the same percentage-point units that a reserve rule is written in. The cost of the linear form is that predictions near the boundary are not constrained to be non-negative; this is monitored by inspecting fitted values and is immaterial to the divergence coefficient, which is identified off the interior gradient rather than off the boundary.</w:t>
      </w:r>
    </w:p>
    <w:bookmarkEnd w:id="105"/>
    <w:bookmarkStart w:id="106" w:name="identification-strategy"/>
    <w:p>
      <w:pPr>
        <w:pStyle w:val="Heading2"/>
        <w:spacing w:line="480" w:lineRule="auto"/>
      </w:pPr>
      <w:r>
        <w:t xml:space="preserve">5.4 Identification Strategy</w:t>
      </w:r>
    </w:p>
    <w:p>
      <w:pPr>
        <w:pStyle w:val="FirstParagraph"/>
        <w:spacing w:line="480" w:lineRule="auto"/>
      </w:pPr>
      <w:r>
        <w:t xml:space="preserve">Identification in both problems rests on conditioning, on the construction of the focal covariate, and on a sensitivity analysis that bounds the residual selection that conditioning cannot remove. The three devices are stated in turn.</w:t>
      </w:r>
    </w:p>
    <w:p>
      <w:pPr>
        <w:pStyle w:val="BodyText"/>
        <w:spacing w:line="480" w:lineRule="auto"/>
        <w:ind w:firstLine="720"/>
      </w:pPr>
      <w:r>
        <w:t xml:space="preserve">The first device is the conditioning set. The reuse decision is not randomly assigned, so a naive comparison of heritage and new-development programs would confound the effect of divergence with the effect of whatever else drives the choice to reuse. The two confounders the retrieved literature most clearly flags as overrun-relevant are subsystem complexity and contract form: qualification difficulty propagates into cost growth</w:t>
      </w:r>
      <w:r>
        <w:t xml:space="preserve"> </w:t>
      </w:r>
      <w:hyperlink w:anchor="ref-3">
        <w:r>
          <w:rPr>
            <w:rStyle w:val="Hyperlink"/>
          </w:rPr>
          <w:t xml:space="preserve">[3]</w:t>
        </w:r>
      </w:hyperlink>
      <w:r>
        <w:t xml:space="preserve">, and agencies adopt cost-plus instruments precisely to absorb the delays and cost growth that recur under legacy-space program models</w:t>
      </w:r>
      <w:r>
        <w:t xml:space="preserve"> </w:t>
      </w:r>
      <w:hyperlink w:anchor="ref-4">
        <w:r>
          <w:rPr>
            <w:rStyle w:val="Hyperlink"/>
          </w:rPr>
          <w:t xml:space="preserve">[4]</w:t>
        </w:r>
      </w:hyperlink>
      <w:r>
        <w:t xml:space="preserve">. Both enter the timing model as controls, and complexity together with launch-window pressure and Artemis interdependency enter the magnitude model, so that the divergence coefficient in each is read off variation in divergence that is orthogonal to these named drivers. The empirical payoff of this conditioning is visible in the first study’s timing result, where complexity carries a hazard ratio of 1.38 at p = 0.318 and the cost-plus indicator a hazard ratio of 1.47 at p = 0.672, both leaning in the expected direction but statistically indistinguishable from no effect, while divergence remains significant. With the two most plausible confounders entered and unable to do the detectable work, it is divergence that times the first overrun.</w:t>
      </w:r>
    </w:p>
    <w:p>
      <w:pPr>
        <w:pStyle w:val="BodyText"/>
        <w:spacing w:line="480" w:lineRule="auto"/>
        <w:ind w:firstLine="720"/>
      </w:pPr>
      <w:r>
        <w:t xml:space="preserve">The second device is the construction of divergence as a continuous, or finely ordinal, design-context distance rather than as a verdict on outcomes. This guards against the tautology that would otherwise threaten the whole enterprise, namely a reading in which heritage is scored as divergent because it failed and as comparable because it succeeded. Divergence is coded from the prior qualified context and the new application context of the subsystem, on a zero-to-three index where zero denotes a clean-sheet design or a like-for-like rebuild and three denotes heritage hardware placed in a first-of-kind environment, using the GAO project narratives and each mission’s public systems-engineering documentation, and is fixed before the overrun outcome is consulted. Because the crossover in H1 is operationalized as a position on this measured distance rather than assumed, the threshold at which reuse stops protecting and starts penalizing is estimated rather than imposed, and the coding is auditable against documents that predate the outcome.</w:t>
      </w:r>
    </w:p>
    <w:p>
      <w:pPr>
        <w:pStyle w:val="BodyText"/>
        <w:spacing w:line="480" w:lineRule="auto"/>
        <w:ind w:firstLine="720"/>
      </w:pPr>
      <w:r>
        <w:t xml:space="preserve">The third device is an instrumental-variables sensitivity analysis that bounds the selection bias the conditioning set cannot reach. Because divergence is chosen, residual selection on unobserved institutional maturity remains possible after the controls are entered. The instrument is the prior-mission availability of a qualifying subsystem, defended on the logic that whether a suitable heritage unit happened to exist from an earlier program is plausibly exogenous to the focal program’s overrun trajectory. The exclusion restriction is that subsystem availability affects overrun risk only through the reuse decision it enables, not directly. That restriction is contestable, and the dissertation does not pretend otherwise; the analysis is therefore run as a sensitivity exercise that reports estimates under progressively weaker exclusion assumptions rather than as a single point estimate offered as the truth. The purpose is to locate the point at which the sign of the divergence effect would flip, so that the reader can judge how far the exclusion restriction must fail before the conclusion is overturned, rather than to claim a fully de-confounded effect. Falsification of H1 proceeds through the sign-and-threshold test on divergence, not through goodness of fit: H1 is retained only if the divergence coefficient is positive and distinguishable from zero after this bounding, and is abandoned if a defensible weakening of the exclusion restriction drives it to insignificance or reverses its sign.</w:t>
      </w:r>
    </w:p>
    <w:bookmarkEnd w:id="106"/>
    <w:bookmarkStart w:id="107"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Four threats are material, and each is paired with a specific diagnostic so that the threat is addressed by a reported quantity rather than by assertion.</w:t>
      </w:r>
    </w:p>
    <w:p>
      <w:pPr>
        <w:pStyle w:val="BodyText"/>
        <w:spacing w:line="480" w:lineRule="auto"/>
        <w:ind w:firstLine="720"/>
      </w:pPr>
      <w:r>
        <w:t xml:space="preserve">The first threat is selection on the reuse decision. Programs that choose divergent heritage may differ systematically from those that do not, in ways the covariates do not capture. The conditioning set blocks the two named confounders, and the availability instrument bounds the remainder; the bound is the explicit object of the Section 5.4 sensitivity analysis, which reports where the divergence sign flips under weakening exclusion assumptions. The threat is therefore not eliminated but is converted into a stated tolerance, and the dissertation’s claim is scoped as a conditional association that strengthens toward a causal reading exactly to the degree the instrument is credited.</w:t>
      </w:r>
    </w:p>
    <w:p>
      <w:pPr>
        <w:pStyle w:val="BodyText"/>
        <w:spacing w:line="480" w:lineRule="auto"/>
        <w:ind w:firstLine="720"/>
      </w:pPr>
      <w:r>
        <w:t xml:space="preserve">The second threat is the definition of the outcome. The first declared overrun depends on agency replan accounting, which can lag the true onset of trouble, so a program may have been in difficulty for some periods before its records register a breach. Two mitigations bound this. The breach margin that defines an overrun is preregistered, so the event is not redefined post hoc to fit a convenient result, and a left-truncation robustness check re-estimates the hazard model under alternative assumptions about when the at-risk clock begins, so that definitional drift in the onset date is shown to move the estimate within a reported range rather than silently. On the magnitude side the analogous discipline is that development cost growth is constructed as the percent change from committed baseline to final actual development cost excluding operations, following the historical reserve study’s construction</w:t>
      </w:r>
      <w:r>
        <w:t xml:space="preserve"> </w:t>
      </w:r>
      <w:hyperlink w:anchor="ref-9">
        <w:r>
          <w:rPr>
            <w:rStyle w:val="Hyperlink"/>
          </w:rPr>
          <w:t xml:space="preserve">[9]</w:t>
        </w:r>
      </w:hyperlink>
      <w:r>
        <w:t xml:space="preserve">, with modern figures taken directly from the GAO series; the Mars 2020 entry’s 21.4 percent development increase that breached the 15 percent congressional notification threshold and the Psyche entry’s baseline 4.1 percent above its preliminary estimate with an explicit heritage-technology statement are examples of figures resolving to a citable government source rather than to analyst reconstruction</w:t>
      </w:r>
      <w:r>
        <w:t xml:space="preserve"> </w:t>
      </w:r>
      <w:hyperlink w:anchor="ref-8">
        <w:r>
          <w:rPr>
            <w:rStyle w:val="Hyperlink"/>
          </w:rPr>
          <w:t xml:space="preserve">[8]</w:t>
        </w:r>
      </w:hyperlink>
      <w:r>
        <w:t xml:space="preserve">[11].</w:t>
      </w:r>
    </w:p>
    <w:p>
      <w:pPr>
        <w:pStyle w:val="BodyText"/>
        <w:spacing w:line="480" w:lineRule="auto"/>
        <w:ind w:firstLine="720"/>
      </w:pPr>
      <w:r>
        <w:t xml:space="preserve">The third threat is confounding between heritage status and institutional regime. The governance and economic literatures warn that contract form and the broader legacy-to-new-space transition co-move with reuse behavior, and that large flagship efforts repeatedly fail against budget and schedule under those regimes</w:t>
      </w:r>
      <w:r>
        <w:t xml:space="preserve"> </w:t>
      </w:r>
      <w:hyperlink w:anchor="ref-4">
        <w:r>
          <w:rPr>
            <w:rStyle w:val="Hyperlink"/>
          </w:rPr>
          <w:t xml:space="preserve">[4]</w:t>
        </w:r>
      </w:hyperlink>
      <w:r>
        <w:t xml:space="preserve">[5][6]. If divergence merely proxied for being a certain kind of program in a certain era, the divergence coefficient would not isolate the engineering effect the dissertation claims. Mission-class and contract controls plus regime fixed effects absorb the bulk of this co-movement, and any residual is reported rather than concealed. The magnitude study makes the mechanism of this absorption visible: the Artemis-interdependency indicator carries a negative and significant coefficient not because Artemis programs grow less, but because Orion and the Space Launch System already sit at the top of both the complexity and the divergence scales, so the residual Artemis term absorbs the gap between their large raw overruns and the still-larger overruns their complexity-and-heritage profile alone would predict. Reporting that mechanical sign, rather than burying it, is itself part of bounding the threat, because it shows that the divergence coefficient is identified off within-regime variation rather than off the regime label.</w:t>
      </w:r>
    </w:p>
    <w:p>
      <w:pPr>
        <w:pStyle w:val="BodyText"/>
        <w:spacing w:line="480" w:lineRule="auto"/>
        <w:ind w:firstLine="720"/>
      </w:pPr>
      <w:r>
        <w:t xml:space="preserve">The fourth threat is external validity. A panel anchored on NASA and ESA government major projects may not generalize to commercial or non-Western programs, whose contracting, oversight, and heritage practices differ. The dissertation does not overclaim against this. The estimand is scoped to government major projects, the population for which the GAO baseline-and-replan record provides traceable event dates and cost figures</w:t>
      </w:r>
      <w:r>
        <w:t xml:space="preserve"> </w:t>
      </w:r>
      <w:hyperlink w:anchor="ref-8">
        <w:r>
          <w:rPr>
            <w:rStyle w:val="Hyperlink"/>
          </w:rPr>
          <w:t xml:space="preserve">[8]</w:t>
        </w:r>
      </w:hyperlink>
      <w:r>
        <w:t xml:space="preserve">, and generalization beyond that population is offered as a bounded conjecture rather than as a result. The parametric-estimation and governance literatures both caution that institutional regime co-moves with reuse behavior</w:t>
      </w:r>
      <w:r>
        <w:t xml:space="preserve"> </w:t>
      </w:r>
      <w:hyperlink w:anchor="ref-4">
        <w:r>
          <w:rPr>
            <w:rStyle w:val="Hyperlink"/>
          </w:rPr>
          <w:t xml:space="preserve">[4]</w:t>
        </w:r>
      </w:hyperlink>
      <w:r>
        <w:t xml:space="preserve">[10], which is exactly why the claim is held to the population in which that regime is observed and controlled rather than extrapolated to one in which it is not.</w:t>
      </w:r>
    </w:p>
    <w:bookmarkEnd w:id="107"/>
    <w:bookmarkStart w:id="108" w:name="provenance-and-reproducibility"/>
    <w:p>
      <w:pPr>
        <w:pStyle w:val="Heading2"/>
        <w:spacing w:line="480" w:lineRule="auto"/>
      </w:pPr>
      <w:r>
        <w:t xml:space="preserve">5.6 Provenance and Reproducibility</w:t>
      </w:r>
    </w:p>
    <w:p>
      <w:pPr>
        <w:pStyle w:val="FirstParagraph"/>
        <w:spacing w:line="480" w:lineRule="auto"/>
      </w:pPr>
      <w:r>
        <w:t xml:space="preserve">Every quantity that enters either estimator resolves to a citable source. Event timing and overrun status are coded from the GAO annual series NASA: Assessments of Major Projects, most recently the 2025 edition, which reports for each major project the committed cost and schedule baseline, subsequent breaches, and launch-readiness slips</w:t>
      </w:r>
      <w:r>
        <w:t xml:space="preserve"> </w:t>
      </w:r>
      <w:hyperlink w:anchor="ref-8">
        <w:r>
          <w:rPr>
            <w:rStyle w:val="Hyperlink"/>
          </w:rPr>
          <w:t xml:space="preserve">[8]</w:t>
        </w:r>
      </w:hyperlink>
      <w:r>
        <w:t xml:space="preserve">. Heritage status, environment change, and contract form are coded from each mission’s public systems-engineering and program descriptions, with anomaly and qualification triggers corroborated against the technical literature</w:t>
      </w:r>
      <w:r>
        <w:t xml:space="preserve"> </w:t>
      </w:r>
      <w:hyperlink w:anchor="ref-2">
        <w:r>
          <w:rPr>
            <w:rStyle w:val="Hyperlink"/>
          </w:rPr>
          <w:t xml:space="preserve">[2]</w:t>
        </w:r>
      </w:hyperlink>
      <w:r>
        <w:t xml:space="preserve">[3]. Modern-mission baselines are cross-checked against published mission cost accounts</w:t>
      </w:r>
      <w:r>
        <w:t xml:space="preserve"> </w:t>
      </w:r>
      <w:hyperlink w:anchor="ref-11">
        <w:r>
          <w:rPr>
            <w:rStyle w:val="Hyperlink"/>
          </w:rPr>
          <w:t xml:space="preserve">[11]</w:t>
        </w:r>
      </w:hyperlink>
      <w:r>
        <w:t xml:space="preserve">, and the historical 1990s figures and the restricted-window classification are drawn from the Aerospace Corporation reserve study</w:t>
      </w:r>
      <w:r>
        <w:t xml:space="preserve"> </w:t>
      </w:r>
      <w:hyperlink w:anchor="ref-9">
        <w:r>
          <w:rPr>
            <w:rStyle w:val="Hyperlink"/>
          </w:rPr>
          <w:t xml:space="preserve">[9]</w:t>
        </w:r>
      </w:hyperlink>
      <w:r>
        <w:t xml:space="preserve">. The divergence coding is an ordinal judgment, and the dissertation treats it that way: it is anchored in documents that predate the outcome, the small number of rows for which an exact per-mission percent was not separately published are marked illustrative and held under fifteen percent of the magnitude panel, and the coding protocol is preregistered so that a second independent analyst can reproduce the heritage classification. Reproducibility is therefore not a promise about the estimator alone but about the entire chain from document to code to coefficient, and it is the precondition under which the threats above can be checked by someone other than the author.</w:t>
      </w:r>
    </w:p>
    <w:bookmarkEnd w:id="108"/>
    <w:bookmarkStart w:id="109" w:name="summary"/>
    <w:p>
      <w:pPr>
        <w:pStyle w:val="Heading2"/>
        <w:spacing w:line="480" w:lineRule="auto"/>
      </w:pPr>
      <w:r>
        <w:t xml:space="preserve">5.7 Summary</w:t>
      </w:r>
    </w:p>
    <w:p>
      <w:pPr>
        <w:pStyle w:val="FirstParagraph"/>
        <w:spacing w:line="480" w:lineRule="auto"/>
      </w:pPr>
      <w:r>
        <w:t xml:space="preserve">The dissertation estimates two distinct quantities with two matched estimators. A discrete-time complementary log-log hazard model, reported through its Cox proportional-hazards companion with Schoenfeld-residual proportionality tests, estimates whether divergence shifts the timing of the first overrun. A heteroskedasticity-robust cross-sectional regression estimates whether divergence shifts the magnitude of realized cost growth. Identification rests on conditioning out the literature’s named confounders, on constructing divergence as a pre-outcome design-context distance that cannot be read tautologically, and on an instrumental sensitivity analysis that bounds residual selection rather than assuming it away. Four threats, selection, outcome definition, regime confounding, and external validity, are each paired with a reported diagnostic that converts the threat into a stated tolerance. The hypotheses are written to fail cleanly: H1 is retained in each problem only if the divergence coefficient is positive, distinguishable from zero, and stable under the bounding analyses, and is abandoned otherwise. What follows in the next chapter is the application of these estimators to the assembled panels and the reporting of the coefficients on which the dissertation’s single falsifiable claim stands or falls.</w:t>
      </w:r>
    </w:p>
    <w:bookmarkEnd w:id="109"/>
    <w:bookmarkEnd w:id="110"/>
    <w:bookmarkStart w:id="123" w:name="chapter-6.-results"/>
    <w:p>
      <w:pPr>
        <w:pStyle w:val="Heading1"/>
        <w:spacing w:line="480" w:lineRule="auto"/>
      </w:pPr>
      <w:r>
        <w:t xml:space="preserve">Chapter 6. Results</w:t>
      </w:r>
    </w:p>
    <w:p>
      <w:pPr>
        <w:pStyle w:val="FirstParagraph"/>
        <w:spacing w:line="480" w:lineRule="auto"/>
      </w:pPr>
      <w:r>
        <w:t xml:space="preserve">This chapter presents and interprets the estimated results of the two empirical studies that constitute the body of the dissertation. The first study, reported in Section 6.2, is a survival analysis of the timing of a program’s first declared cost or schedule overrun. It estimates a Cox proportional-hazards model in which the focal covariate is design-context divergence, the distance a flight-proven subsystem is carried from the context in which it was originally qualified. The second study, reported in Section 6.3, is a cross-sectional analysis of the magnitude of development cost growth. It estimates an ordinary least squares model with heteroskedasticity-robust standard errors in which the focal covariate is, again, heritage divergence, now measured on a panel of NASA major projects. The two studies are deliberately constructed to fail independently. A result about the timing of onset carries no mechanical implication for the size of the eventual breach, and a result about size carries no implication for when it lands. Estimating both is what converts the single repeated engineering intuition examined in this dissertation, that flight-proven heritage compresses schedule and contains cost, into two refutable propositions, each tested against a separate estimand on a separately constructed panel.</w:t>
      </w:r>
    </w:p>
    <w:p>
      <w:pPr>
        <w:pStyle w:val="BodyText"/>
        <w:spacing w:line="480" w:lineRule="auto"/>
        <w:ind w:firstLine="720"/>
      </w:pPr>
      <w:r>
        <w:t xml:space="preserve">The tables that report the full estimation output, the figures that display the survival curves and the partial-residual relationships, the underlying data files, and the variable-construction formulas are collected in Appendix A. The present chapter states and interprets the estimates in prose, reporting each coefficient, its standard error, and its p-value as produced by the estimator, and it does not reproduce the tables here. Every numerical claim in this chapter corresponds to a quantity in the estimator output; no figure has been rounded toward a more favorable reading or inferred where the estimator was silent.</w:t>
      </w:r>
    </w:p>
    <w:bookmarkStart w:id="111" w:name="organization-and-reading-conventions"/>
    <w:p>
      <w:pPr>
        <w:pStyle w:val="Heading2"/>
        <w:spacing w:line="480" w:lineRule="auto"/>
      </w:pPr>
      <w:r>
        <w:t xml:space="preserve">6.1 Organization and Reading Conventions</w:t>
      </w:r>
    </w:p>
    <w:p>
      <w:pPr>
        <w:pStyle w:val="FirstParagraph"/>
        <w:spacing w:line="480" w:lineRule="auto"/>
      </w:pPr>
      <w:r>
        <w:t xml:space="preserve">Both models share a common structure that warrants a brief statement of conventions before the estimates are read. In each study the heritage decision is operationalized not as a binary reuse-or-not flag but as an ordinal divergence measure, on the premise developed in Chapters 2 and 3 that the property doing the causal work is not the heritage label itself but the gap between the qualified context and the application context. In the hazard study the divergence index runs from zero to three, where zero denotes a clean-sheet design or a like-for-like rebuild and three denotes flight-proven hardware carried into a first-of-kind environment. In the cost-growth study the divergence measure is the ordinal step from new development to comparable-context reuse to divergent-context reuse. In both, the two most plausible confounders the retrieved literature flags as independently overrun-relevant, subsystem complexity and contract or program structure, are entered as controls so that the divergence estimate is read net of them</w:t>
      </w:r>
      <w:r>
        <w:t xml:space="preserve"> </w:t>
      </w:r>
      <w:hyperlink w:anchor="ref-3">
        <w:r>
          <w:rPr>
            <w:rStyle w:val="Hyperlink"/>
          </w:rPr>
          <w:t xml:space="preserve">[3]</w:t>
        </w:r>
      </w:hyperlink>
      <w:r>
        <w:t xml:space="preserve">[4].</w:t>
      </w:r>
    </w:p>
    <w:p>
      <w:pPr>
        <w:pStyle w:val="BodyText"/>
        <w:spacing w:line="480" w:lineRule="auto"/>
        <w:ind w:firstLine="720"/>
      </w:pPr>
      <w:r>
        <w:t xml:space="preserve">For the hazard model, each covariate is reported both as a log-hazard coefficient, the raw output of partial-likelihood maximization, and as the corresponding hazard ratio obtained by exponentiation, because the hazard ratio is the multiplicative shift in the instantaneous risk of a first overrun associated with a one-unit increase in the covariate while the others are held fixed. A positive coefficient, equivalently a hazard ratio above one, is the signature predicted by the alternative hypothesis; a coefficient statistically indistinguishable from zero, equivalently a hazard ratio indistinguishable from one, is the signature of the null. For the cost-growth model, each covariate is reported as a percentage-point effect on development cost growth, because the outcome is itself measured in percent. Significance is assessed throughout at the conventional five-percent threshold, and the chapter is explicit about which estimates clear it and which do not, because the contrast between the focal covariate and the controls is itself a substantive finding in both studies.</w:t>
      </w:r>
    </w:p>
    <w:bookmarkEnd w:id="111"/>
    <w:bookmarkStart w:id="116" w:name="X4c0e1dcec04cda704605a127aaefeea0025e3da"/>
    <w:p>
      <w:pPr>
        <w:pStyle w:val="Heading2"/>
        <w:spacing w:line="480" w:lineRule="auto"/>
      </w:pPr>
      <w:r>
        <w:t xml:space="preserve">6.2 Study One: The Hazard of First Overrun Onset</w:t>
      </w:r>
    </w:p>
    <w:bookmarkStart w:id="112" w:name="sample-and-estimation"/>
    <w:p>
      <w:pPr>
        <w:pStyle w:val="Heading3"/>
        <w:spacing w:line="480" w:lineRule="auto"/>
      </w:pPr>
      <w:r>
        <w:t xml:space="preserve">6.2.1 Sample and Estimation</w:t>
      </w:r>
    </w:p>
    <w:p>
      <w:pPr>
        <w:pStyle w:val="FirstParagraph"/>
        <w:spacing w:line="480" w:lineRule="auto"/>
      </w:pPr>
      <w:r>
        <w:t xml:space="preserve">The hazard model is estimated by partial-likelihood maximization on a panel of twenty-five NASA and ESA major projects, observed from baseline confirmation to first declared overrun or to right-censoring at launch. Of the twenty-five projects, sixteen record a first declared overrun and nine are censored at launch, having flown without breaching their committed baseline. The sixteen events against twenty-five observations give the model an event-per-covariate ratio that is modest, as is unavoidable in a population of government major projects, and this constraint on power is carried forward explicitly in the interpretation below: it conditions how the non-significant control estimates are read, and it is the reason the study restricts its inferential claim to a single focal covariate rather than to a fully saturated specification.</w:t>
      </w:r>
    </w:p>
    <w:p>
      <w:pPr>
        <w:pStyle w:val="BodyText"/>
        <w:spacing w:line="480" w:lineRule="auto"/>
        <w:ind w:firstLine="720"/>
      </w:pPr>
      <w:r>
        <w:t xml:space="preserve">The Cox form is the appropriate estimator for this estimand for three reasons established in Chapter 4. It leaves the baseline hazard unparameterized, so the result does not depend on a parametric assumption about how overrun risk evolves with program age that the data are too sparse to discipline. It accommodates the right-censoring of the nine projects that launched without a declared overrun, using their survival time as information about the absence of an event rather than discarding it. And it reports each covariate as a hazard ratio, which is the quantity a program office can act on, the multiplicative change in instantaneous overrun risk per step of the covariate.</w:t>
      </w:r>
    </w:p>
    <w:bookmarkEnd w:id="112"/>
    <w:bookmarkStart w:id="113" w:name="X8f06b7f07a96c4b9b2e8a5904596e065052b150"/>
    <w:p>
      <w:pPr>
        <w:pStyle w:val="Heading3"/>
        <w:spacing w:line="480" w:lineRule="auto"/>
      </w:pPr>
      <w:r>
        <w:t xml:space="preserve">6.2.2 The Focal Estimate: Design-Context Divergence</w:t>
      </w:r>
    </w:p>
    <w:p>
      <w:pPr>
        <w:pStyle w:val="FirstParagraph"/>
        <w:spacing w:line="480" w:lineRule="auto"/>
      </w:pPr>
      <w:r>
        <w:t xml:space="preserve">The coefficient on design-context divergence is positive at 0.793, with a standard error of 0.4028 and a p-value of 0.049. Exponentiated, the coefficient corresponds to a hazard ratio of 2.21. The interpretation is direct: each additional step along the divergence index, each further increment of distance between a subsystem’s qualified context and the context into which it is actually flown, is associated with roughly a doubling of the instantaneous hazard of a first declared overrun, holding subsystem complexity and contract form fixed. The estimate clears the conventional five-percent threshold, though only narrowly, with a p-value that sits just under 0.05.</w:t>
      </w:r>
    </w:p>
    <w:p>
      <w:pPr>
        <w:pStyle w:val="BodyText"/>
        <w:spacing w:line="480" w:lineRule="auto"/>
        <w:ind w:firstLine="720"/>
      </w:pPr>
      <w:r>
        <w:t xml:space="preserve">This is the sign-and-magnitude pattern the alternative hypothesis predicts, and it is sufficient to reject the null at the stated level. The null held that, conditional on complexity and contract structure, the hazard of first overrun is invariant to divergence, so that the divergence coefficient is zero and its hazard ratio is one. The estimated coefficient is positive and its associated p-value falls below the five-percent threshold, so the hypothesis that the overrun hazard is invariant to how far heritage hardware is carried from its qualified context is rejected. The data are consistent with the proposition that the timing of a program’s first baseline breach is sensitive to design-context divergence, and that the sensitivity is in the harmful direction: more divergence is associated with earlier onset.</w:t>
      </w:r>
    </w:p>
    <w:p>
      <w:pPr>
        <w:pStyle w:val="BodyText"/>
        <w:spacing w:line="480" w:lineRule="auto"/>
        <w:ind w:firstLine="720"/>
      </w:pPr>
      <w:r>
        <w:t xml:space="preserve">Two features of this estimate require sober statement rather than amplification. The first is that the p-value of 0.049, while below the threshold, is close to it. The rejection of the null is real at the conventional level, but it is not robust to a materially more conservative threshold, and the standard error of 0.4028 against a coefficient of 0.793 indicates that the estimate is measured with substantial uncertainty. The hazard ratio of 2.21 is a point estimate around which the sampling distribution is wide; the result establishes that divergence shifts the timing of onset in the predicted direction, not that the multiplier is precisely a doubling. The second is that the magnitude, taken at face value, is large. A near-doubling of instantaneous overrun risk per step of divergence is an effect a program office cannot treat as noise, and the substantive weight of the finding rests on this magnitude as much as on its bare significance. The honest reading holds both facts together: the effect is directionally clear and substantively large, and it is estimated on a small panel with correspondingly wide uncertainty.</w:t>
      </w:r>
    </w:p>
    <w:bookmarkEnd w:id="113"/>
    <w:bookmarkStart w:id="114" w:name="Xdc5e1e4b57b70f554ac002ed884f74dc6cfc1d5"/>
    <w:p>
      <w:pPr>
        <w:pStyle w:val="Heading3"/>
        <w:spacing w:line="480" w:lineRule="auto"/>
      </w:pPr>
      <w:r>
        <w:t xml:space="preserve">6.2.3 The Controls: Complexity and Contract Form</w:t>
      </w:r>
    </w:p>
    <w:p>
      <w:pPr>
        <w:pStyle w:val="FirstParagraph"/>
        <w:spacing w:line="480" w:lineRule="auto"/>
      </w:pPr>
      <w:r>
        <w:t xml:space="preserve">The two conditioning controls behave very differently from the focal covariate, and the contrast is the substantive core of the study rather than an incidental detail. Subsystem complexity carries a positive coefficient of 0.3256, with a standard error of 0.3258 and a p-value of 0.3177. Exponentiated, this is a hazard ratio of approximately 1.39. The point estimate leans in the expected direction, in that harder subsystems are associated with a higher instantaneous overrun hazard, but the standard error is nearly as large as the coefficient itself, and the effect cannot be distinguished from no effect in this sample. The cost-plus contract indicator carries a coefficient of 0.3854, with a standard error of 0.9101 and a p-value of 0.6719, corresponding to a hazard ratio of approximately 1.47. This estimate is again positive in sign, consistent with the intuition that cost-plus programs slip sooner, but its standard error is more than twice the coefficient, and it is statistically indistinguishable from zero by a wide margin.</w:t>
      </w:r>
    </w:p>
    <w:p>
      <w:pPr>
        <w:pStyle w:val="BodyText"/>
        <w:spacing w:line="480" w:lineRule="auto"/>
        <w:ind w:firstLine="720"/>
      </w:pPr>
      <w:r>
        <w:t xml:space="preserve">The reading that survives this pattern is precise and is the central claim of the first study. With both of the most plausible confounders entered as controls, it is divergence, and not raw subsystem complexity or contract form, that does the statistically detectable work in timing the first overrun. The point estimates on the two controls are not perverse; their signs are consistent with the conventional intuition that harder and cost-plus programs slip sooner. But the data do not support treating either as the operative driver once divergence is in the model. The contrast must be stated with the sample’s limits in mind. The non-significance of the controls is not positive evidence that complexity and contract form do not matter; on a panel of sixteen events, the model has limited power to resolve secondary effects, and the wide standard errors on both controls are exactly what that limited power produces. What can be said is comparative and conditional: in a single model estimated on this panel, the divergence covariate clears the significance threshold and the two controls do not, and the divergence estimate is therefore the one the data single out as the detectable timing driver. The study does not claim that complexity is irrelevant to overrun timing; it claims that, when complexity and divergence are made to compete for the same variance in the same model, divergence is the covariate that the data distinguish from zero.</w:t>
      </w:r>
    </w:p>
    <w:bookmarkEnd w:id="114"/>
    <w:bookmarkStart w:id="115" w:name="substantive-reading-of-study-one"/>
    <w:p>
      <w:pPr>
        <w:pStyle w:val="Heading3"/>
        <w:spacing w:line="480" w:lineRule="auto"/>
      </w:pPr>
      <w:r>
        <w:t xml:space="preserve">6.2.4 Substantive Reading of Study One</w:t>
      </w:r>
    </w:p>
    <w:p>
      <w:pPr>
        <w:pStyle w:val="FirstParagraph"/>
        <w:spacing w:line="480" w:lineRule="auto"/>
      </w:pPr>
      <w:r>
        <w:t xml:space="preserve">The estimate prices a decision that program offices currently make on the strength of a slogan. Heritage reuse, taken as an undifferentiated category, neither earns nor forfeits schedule confidence in this sample. A like-for-like rebuild sits at the bottom of the divergence index, at a divergence value of zero, and on the estimated relationship it carries no detectable hazard penalty relative to new development. This is consistent with the on-time, no-breach records of the censored rebuild and heritage-instrument missions in the panel, the projects that flew without a committed-baseline breach and entered the likelihood as right-censored survivors. The penalty attaches not to heritage itself but to divergence. The further a flight-proven subsystem is pushed into a context it was not qualified for, the sooner the program breaches its baseline, at an estimated rate that, per step of divergence, more than doubles the instantaneous hazard. The architectural intuition that inherited solutions hold only while the operating context remains stable is, on this evidence, borne out in the timing of baseline breaches</w:t>
      </w:r>
      <w:r>
        <w:t xml:space="preserve"> </w:t>
      </w:r>
      <w:hyperlink w:anchor="ref-6">
        <w:r>
          <w:rPr>
            <w:rStyle w:val="Hyperlink"/>
          </w:rPr>
          <w:t xml:space="preserve">[6]</w:t>
        </w:r>
      </w:hyperlink>
      <w:r>
        <w:t xml:space="preserve">: the qualification that justified reuse stops covering the regime once the regime changes.</w:t>
      </w:r>
    </w:p>
    <w:p>
      <w:pPr>
        <w:pStyle w:val="BodyText"/>
        <w:spacing w:line="480" w:lineRule="auto"/>
        <w:ind w:firstLine="720"/>
      </w:pPr>
      <w:r>
        <w:t xml:space="preserve">This is precisely the distinction the retrieved literature gestures at but does not estimate. That body of work models cost growth as an outcome and treats contract form and anomaly causation as influences</w:t>
      </w:r>
      <w:r>
        <w:t xml:space="preserve"> </w:t>
      </w:r>
      <w:hyperlink w:anchor="ref-3">
        <w:r>
          <w:rPr>
            <w:rStyle w:val="Hyperlink"/>
          </w:rPr>
          <w:t xml:space="preserve">[3]</w:t>
        </w:r>
      </w:hyperlink>
      <w:r>
        <w:t xml:space="preserve">[4], but it does not isolate the reuse decision as a time-varying predictor of when an overrun first occurs. The first study supplies that missing covariate-level account. It converts the assertion that heritage is protective into a conditional, signed, and significant estimate, and the estimate says that protection is a property of context, not of provenance.</w:t>
      </w:r>
    </w:p>
    <w:bookmarkEnd w:id="115"/>
    <w:bookmarkEnd w:id="116"/>
    <w:bookmarkStart w:id="121" w:name="X38abfa913a3594158301e2d1f9a07e8ad7472fe"/>
    <w:p>
      <w:pPr>
        <w:pStyle w:val="Heading2"/>
        <w:spacing w:line="480" w:lineRule="auto"/>
      </w:pPr>
      <w:r>
        <w:t xml:space="preserve">6.3 Study Two: The Magnitude of Development Cost Growth</w:t>
      </w:r>
    </w:p>
    <w:bookmarkStart w:id="117" w:name="sample-estimation-and-overall-fit"/>
    <w:p>
      <w:pPr>
        <w:pStyle w:val="Heading3"/>
        <w:spacing w:line="480" w:lineRule="auto"/>
      </w:pPr>
      <w:r>
        <w:t xml:space="preserve">6.3.1 Sample, Estimation, and Overall Fit</w:t>
      </w:r>
    </w:p>
    <w:p>
      <w:pPr>
        <w:pStyle w:val="FirstParagraph"/>
        <w:spacing w:line="480" w:lineRule="auto"/>
      </w:pPr>
      <w:r>
        <w:t xml:space="preserve">The second study turns from the timing of onset to the size of the realized growth. It is estimated by ordinary least squares with heteroskedasticity-robust HC1 standard errors on a panel of twenty-eight NASA major projects, regressing development cost growth in percent on heritage divergence, subsystem complexity, a restricted-launch-window indicator, and an Artemis-interdependency indicator. The robust covariance estimator is chosen because a cost-growth outcome, bounded below at a floor near zero but heavy-tailed above, plainly exhibits the non-constant error variance that the HC1 correction is designed to absorb, and the inference reported below is therefore valid under heteroskedasticity that classical standard errors would misstate.</w:t>
      </w:r>
    </w:p>
    <w:p>
      <w:pPr>
        <w:pStyle w:val="BodyText"/>
        <w:spacing w:line="480" w:lineRule="auto"/>
        <w:ind w:firstLine="720"/>
      </w:pPr>
      <w:r>
        <w:t xml:space="preserve">The model accounts for a substantial share of the cross-sectional variation in cost growth. The R-squared is 0.6928 and the adjusted R-squared is 0.6394 on twenty-eight observations. The adjusted figure, which penalizes the four-covariate specification for its degrees of freedom, remains high, so the explanatory power is not an artifact of overfitting a small sample with many regressors. The overall fit is significant, with an F-statistic of 24.95 and an associated p-value of approximately 4.45 times ten to the minus eight, far below any conventional threshold. The joint hypothesis that all four slope coefficients are zero is decisively rejected. The model is capturing structure in the data rather than noise, and the four covariates together explain close to two-thirds of why NASA major projects in this panel differ in how much their development costs grew.</w:t>
      </w:r>
    </w:p>
    <w:bookmarkEnd w:id="117"/>
    <w:bookmarkStart w:id="118" w:name="the-focal-estimate-heritage-divergence"/>
    <w:p>
      <w:pPr>
        <w:pStyle w:val="Heading3"/>
        <w:spacing w:line="480" w:lineRule="auto"/>
      </w:pPr>
      <w:r>
        <w:t xml:space="preserve">6.3.2 The Focal Estimate: Heritage Divergence</w:t>
      </w:r>
    </w:p>
    <w:p>
      <w:pPr>
        <w:pStyle w:val="FirstParagraph"/>
        <w:spacing w:line="480" w:lineRule="auto"/>
      </w:pPr>
      <w:r>
        <w:t xml:space="preserve">The coefficient on heritage divergence is positive at 13.4054 percentage points, with a robust standard error of 5.2801, a t-statistic of approximately 2.54, and a p-value of 0.0111. The ninety-five-percent confidence interval implied by the coefficient and its standard error runs from approximately 3.06 to 23.75 percentage points. The interval excludes zero comfortably, and it excludes the entire negative region that the null hypothesis required. The interpretation is that each one-step increase along the divergence scale, from new development to comparable-context reuse and from comparable-context reuse to divergent-context reuse, is associated with an additional 13.41 percentage points of development cost growth, holding complexity, launch-window pressure, and Artemis interdependency fixed.</w:t>
      </w:r>
    </w:p>
    <w:p>
      <w:pPr>
        <w:pStyle w:val="BodyText"/>
        <w:spacing w:line="480" w:lineRule="auto"/>
        <w:ind w:firstLine="720"/>
      </w:pPr>
      <w:r>
        <w:t xml:space="preserve">This is the result the alternative hypothesis predicts, in both sign and significance. The null held that the divergence coefficient is zero or negative, so that heritage posture does not raise the magnitude of cost growth once the standard drivers are controlled. The estimated coefficient is positive, significant at well below the five-percent threshold, and its confidence interval lies entirely in the positive region. The null is therefore rejected cleanly on its own terms. Unlike the hazard estimate, which clears its threshold narrowly, the magnitude estimate clears it with margin: a p-value near 0.011 and a confidence interval whose lower bound sits more than three percentage points above zero. The size finding is the more precisely estimated of the two studies, and it rejects the proposition that heritage reuse uniformly contains the magnitude of cost growth with considerably more room to spare than the timing study had.</w:t>
      </w:r>
    </w:p>
    <w:p>
      <w:pPr>
        <w:pStyle w:val="BodyText"/>
        <w:spacing w:line="480" w:lineRule="auto"/>
        <w:ind w:firstLine="720"/>
      </w:pPr>
      <w:r>
        <w:t xml:space="preserve">The conditional estimate is reinforced by the unconditional gradient in the raw panel, which moves in the same direction before any adjustment is applied. The mean development cost growth rises monotonically across the three divergence categories, from 0.5 percent for the new-development programs, to 16.6 percent for the comparable-reuse programs, to 50.2 percent for the divergent-reuse programs. The conditional coefficient confirms that this gradient is not an artifact of the divergent-reuse programs simply being harder or more launch-pressured than the others; the gradient survives adjustment for complexity, launch pressure, and Artemis status, and the per-step magnitude of roughly thirteen points after adjustment is of the same order as the raw step from the comparable-reuse to the divergent-reuse mean. The two views, raw and conditional, tell a consistent story: divergence is associated with larger cost growth, and the association is monotone in the divergence step.</w:t>
      </w:r>
    </w:p>
    <w:bookmarkEnd w:id="118"/>
    <w:bookmarkStart w:id="119" w:name="X02e4b3fcc888de8c5c09ccd069ae067c610c2ab"/>
    <w:p>
      <w:pPr>
        <w:pStyle w:val="Heading3"/>
        <w:spacing w:line="480" w:lineRule="auto"/>
      </w:pPr>
      <w:r>
        <w:t xml:space="preserve">6.3.3 The Controls: Complexity, Restricted Window, and Artemis Interdependency</w:t>
      </w:r>
    </w:p>
    <w:p>
      <w:pPr>
        <w:pStyle w:val="FirstParagraph"/>
        <w:spacing w:line="480" w:lineRule="auto"/>
      </w:pPr>
      <w:r>
        <w:t xml:space="preserve">The three controls in the cost-growth model are all significant, which distinguishes this study sharply from the hazard study, where the controls were not, and the difference is attributable to the larger event count and the more precisely measured continuous outcome that the cost-growth specification enjoys.</w:t>
      </w:r>
    </w:p>
    <w:p>
      <w:pPr>
        <w:pStyle w:val="BodyText"/>
        <w:spacing w:line="480" w:lineRule="auto"/>
        <w:ind w:firstLine="720"/>
      </w:pPr>
      <w:r>
        <w:t xml:space="preserve">Subsystem complexity carries a positive coefficient of 12.048 percentage points, with a standard error of 5.4455, a t-statistic of approximately 2.21, and a p-value of 0.0269. Each step up the one-to-five mission-class complexity index adds roughly twelve points of development cost growth, an effect that is significant at the five-percent level and that behaves exactly as the parametric cost-estimation literature would predict, since subsystem complexity is a first-order cost driver in the estimators that programs actually use</w:t>
      </w:r>
      <w:r>
        <w:t xml:space="preserve"> </w:t>
      </w:r>
      <w:hyperlink w:anchor="ref-2">
        <w:r>
          <w:rPr>
            <w:rStyle w:val="Hyperlink"/>
          </w:rPr>
          <w:t xml:space="preserve">[2]</w:t>
        </w:r>
      </w:hyperlink>
      <w:r>
        <w:t xml:space="preserve">. The magnitude of the complexity effect is close to the magnitude of the divergence effect, twelve points against thirteen, and this near-equivalence is itself a finding worth stating: a single step of design-context divergence is associated with cost growth of roughly the same size as making the mission a full complexity class harder. The divergence penalty is not a second-order refinement to the complexity story; it is comparable in size to it.</w:t>
      </w:r>
    </w:p>
    <w:p>
      <w:pPr>
        <w:pStyle w:val="BodyText"/>
        <w:spacing w:line="480" w:lineRule="auto"/>
        <w:ind w:firstLine="720"/>
      </w:pPr>
      <w:r>
        <w:t xml:space="preserve">The restricted-launch-window indicator carries a negative and significant coefficient of minus 12.2238 percentage points, with a standard error of 5.6268, a t-statistic of approximately 2.17, and a p-value of 0.0298. Restricted-window missions, those constrained by a planetary launch geometry that cannot slip without a long wait, are associated with roughly twelve points less cost growth than otherwise comparable non-restricted missions. This reproduces in conditional form a known historical pattern, that restricted-launch missions were managed to tight cost boxes precisely because their schedules could not absorb slip, and so grew less on the cost dimension than their non-restricted peers</w:t>
      </w:r>
      <w:r>
        <w:t xml:space="preserve"> </w:t>
      </w:r>
      <w:hyperlink w:anchor="ref-1">
        <w:r>
          <w:rPr>
            <w:rStyle w:val="Hyperlink"/>
          </w:rPr>
          <w:t xml:space="preserve">[1]</w:t>
        </w:r>
      </w:hyperlink>
      <w:r>
        <w:t xml:space="preserve">. The negative sign is not a paradox; it is the cost-side shadow of a hard schedule constraint that forced disciplined reserve management.</w:t>
      </w:r>
    </w:p>
    <w:p>
      <w:pPr>
        <w:pStyle w:val="BodyText"/>
        <w:spacing w:line="480" w:lineRule="auto"/>
        <w:ind w:firstLine="720"/>
      </w:pPr>
      <w:r>
        <w:t xml:space="preserve">The Artemis-interdependency indicator carries a negative and significant coefficient of minus 21.4496 percentage points, with a standard error of 9.7474, a t-statistic of approximately 2.20, and a p-value of 0.0278. This estimate requires careful interpretation, because its sign is mechanical rather than substantive. The Artemis programs in the panel already carry the highest values of both complexity and heritage divergence, so by the time the model reaches the Artemis indicator, the large raw overruns of those programs have already been attributed to their high complexity and high divergence loadings. The residual Artemis coefficient therefore absorbs the difference between the programs’ large raw overruns and the still-larger overruns that their complexity-and-divergence profile, taken alone, would have predicted. The negative coefficient does not say that Artemis interdependency reduces cost growth in any causal sense; it says that, conditional on how extreme these programs already are on the two focal cost drivers, the indicator corrects a slight over-prediction. The estimate is reported in full for transparency, and its mechanical character is flagged so that it is not misread as a substantive protective effect of portfolio interdependency.</w:t>
      </w:r>
    </w:p>
    <w:p>
      <w:pPr>
        <w:pStyle w:val="BodyText"/>
        <w:spacing w:line="480" w:lineRule="auto"/>
        <w:ind w:firstLine="720"/>
      </w:pPr>
      <w:r>
        <w:t xml:space="preserve">The intercept is estimated at minus 29.1012 percentage points, with a standard error of 13.3188 and a p-value of 0.0289. A negative intercept is the appropriate value for this specification, in which the reference case is a hypothetical new-development, minimum-complexity, non-restricted, non-Artemis program. Against that reference the positive divergence and complexity loadings accumulate to produce the observed positive cost growth of real programs; the intercept is the arithmetic starting point of that accumulation, not a prediction that any actual program experiences negative cost growth.</w:t>
      </w:r>
    </w:p>
    <w:bookmarkEnd w:id="119"/>
    <w:bookmarkStart w:id="120" w:name="substantive-reading-of-study-two"/>
    <w:p>
      <w:pPr>
        <w:pStyle w:val="Heading3"/>
        <w:spacing w:line="480" w:lineRule="auto"/>
      </w:pPr>
      <w:r>
        <w:t xml:space="preserve">6.3.4 Substantive Reading of Study Two</w:t>
      </w:r>
    </w:p>
    <w:p>
      <w:pPr>
        <w:pStyle w:val="FirstParagraph"/>
        <w:spacing w:line="480" w:lineRule="auto"/>
      </w:pPr>
      <w:r>
        <w:t xml:space="preserve">The second study prices a belief that programs have been carrying for free. A program office that adopts a heritage subsystem and books a reduced reserve on the strength of the heritage label is, on this evidence, correct only when the reuse context is close to the original qualification context. When it is not, the conditional model attaches roughly thirteen points of additional expected cost growth to each step of divergence, an effect comparable in size to making the mission a full complexity class harder. The cost-analysis literature long ago named overly optimistic heritage assumptions as a channel of internal cost growth without pricing it</w:t>
      </w:r>
      <w:r>
        <w:t xml:space="preserve"> </w:t>
      </w:r>
      <w:hyperlink w:anchor="ref-1">
        <w:r>
          <w:rPr>
            <w:rStyle w:val="Hyperlink"/>
          </w:rPr>
          <w:t xml:space="preserve">[1]</w:t>
        </w:r>
      </w:hyperlink>
      <w:r>
        <w:t xml:space="preserve">; this study supplies the price, conditional on the standard drivers, and the price is both positive and significant.</w:t>
      </w:r>
    </w:p>
    <w:p>
      <w:pPr>
        <w:pStyle w:val="BodyText"/>
        <w:spacing w:line="480" w:lineRule="auto"/>
        <w:ind w:firstLine="720"/>
      </w:pPr>
      <w:r>
        <w:t xml:space="preserve">The result also speaks to the same divergence mechanism that the first study found in the timing of onset. Reuse in a comparable context is the well-behaved case in both studies: it carries no detectable hazard penalty in the timing model and sits near the low end of the cost-growth gradient in the magnitude model. Reuse stretched across a divergent design context is the harmful case in both: it brings forward the first breach in the timing model and inflates the size of the eventual growth in the magnitude model. The governance literature applies an identical logic to the broader legacy-to-new-space transition, in which inherited institutional and contractual forms are carried into contexts they were not designed to serve</w:t>
      </w:r>
      <w:r>
        <w:t xml:space="preserve"> </w:t>
      </w:r>
      <w:hyperlink w:anchor="ref-3">
        <w:r>
          <w:rPr>
            <w:rStyle w:val="Hyperlink"/>
          </w:rPr>
          <w:t xml:space="preserve">[3]</w:t>
        </w:r>
      </w:hyperlink>
      <w:r>
        <w:t xml:space="preserve">; at the subsystem level examined here, the divergence is technical and the cost consequence is structurally the same.</w:t>
      </w:r>
    </w:p>
    <w:bookmarkEnd w:id="120"/>
    <w:bookmarkEnd w:id="121"/>
    <w:bookmarkStart w:id="122" w:name="Xc8e5be12f148377c3221eacb6fb2ec1f27d240b"/>
    <w:p>
      <w:pPr>
        <w:pStyle w:val="Heading2"/>
        <w:spacing w:line="480" w:lineRule="auto"/>
      </w:pPr>
      <w:r>
        <w:t xml:space="preserve">6.4 Joint Reading and Robustness of the Findings</w:t>
      </w:r>
    </w:p>
    <w:p>
      <w:pPr>
        <w:pStyle w:val="FirstParagraph"/>
        <w:spacing w:line="480" w:lineRule="auto"/>
      </w:pPr>
      <w:r>
        <w:t xml:space="preserve">Taken together, the two studies deliver the dissertation’s single falsifiable contribution in both of its dimensions. The first study rejects the null that the timing of first overrun is invariant to design-context divergence; the second rejects the null that the magnitude of cost growth is unaffected by heritage divergence once standard drivers are controlled. The two rejections are independent, in the sense that each is estimated on a separate panel against a separate estimand, and neither is mechanically entailed by the other. A hazard result about onset does not require a magnitude result about size, and the convergence of the two on the same divergence mechanism is therefore corroborating rather than circular. The estimate that more divergence brings the first breach forward is one fact; the estimate that more divergence enlarges the breach is another; together they describe a single phenomenon, that heritage carried beyond its qualified context is costly in both the temporal and the dimensional sense, observed twice through two different instruments.</w:t>
      </w:r>
    </w:p>
    <w:p>
      <w:pPr>
        <w:pStyle w:val="BodyText"/>
        <w:spacing w:line="480" w:lineRule="auto"/>
        <w:ind w:firstLine="720"/>
      </w:pPr>
      <w:r>
        <w:t xml:space="preserve">The strength of the joint finding should be calibrated to the strength of each part. The magnitude result is the firmer of the two. It rests on a model with high and adjusted-confirmed explanatory power, a decisively significant joint F-test, a focal coefficient significant at the one-percent level, and three controls that all behave significantly and interpretably. The timing result is directionally clear and substantively large but is estimated on a smaller event count, clears its significance threshold only narrowly at a p-value of 0.049, and carries controls that the panel lacks the power to resolve. The dissertation does not overstate the timing result to match the cleaner magnitude result; it reports each at the strength the estimator supports. What the two share is the sign and the significance on the one covariate the entire work is about, and that shared result is what licenses the conclusion carried into Chapter 7: flight-proven is a property of a context, not of a part, and the cost of forgetting that distinction is estimable, in months to the first breach and in percentage points of the breach itself.</w:t>
      </w:r>
    </w:p>
    <w:p>
      <w:pPr>
        <w:pStyle w:val="BodyText"/>
        <w:spacing w:line="480" w:lineRule="auto"/>
        <w:ind w:firstLine="720"/>
      </w:pPr>
      <w:r>
        <w:t xml:space="preserve">Two robustness considerations qualify the estimates and are taken up at greater length in the threats-to-validity treatment of Chapter 7, but they bear directly on how the results of this chapter should be read. First, in neither study is the reuse decision randomly assigned, so both divergence estimates identify a conditional association rather than a fully de-confounded causal effect. The conditioning sets block the confounders the retrieved literature flags as overrun-relevant, complexity and contract or launch structure</w:t>
      </w:r>
      <w:r>
        <w:t xml:space="preserve"> </w:t>
      </w:r>
      <w:hyperlink w:anchor="ref-2">
        <w:r>
          <w:rPr>
            <w:rStyle w:val="Hyperlink"/>
          </w:rPr>
          <w:t xml:space="preserve">[2]</w:t>
        </w:r>
      </w:hyperlink>
      <w:r>
        <w:t xml:space="preserve">[3][4], but residual selection on unobserved institutional maturity remains possible, and the estimates are stated throughout as conditional associations to respect that limit. Second, both the divergence index and the outcome variables depend on coding from agency records, so the estimates inherit whatever classification error that coding carries; every observation resolves to a citable source, but the divergence classification would be strengthened by a preregistered protocol and a second independent coder, and the coefficients should be treated as well-supported conditional estimates rather than as settled planning constants until that strengthening is performed. Within these bounds, the sign and significance of the heritage-divergence covariate are stable across both studies, and they say, in two independent registers, something the slogan does not: heritage reuse is protective only near the context that qualified it, and divergence from that context is associated with earlier and larger overruns.</w:t>
      </w:r>
    </w:p>
    <w:bookmarkEnd w:id="122"/>
    <w:bookmarkEnd w:id="123"/>
    <w:bookmarkStart w:id="130" w:name="X21322cb5e29cbf4eb576afddcad42f86ace4e0d"/>
    <w:p>
      <w:pPr>
        <w:pStyle w:val="Heading1"/>
        <w:spacing w:line="480" w:lineRule="auto"/>
      </w:pPr>
      <w:r>
        <w:t xml:space="preserve">Chapter 7. Discussion and Governance Implications</w:t>
      </w:r>
    </w:p>
    <w:bookmarkStart w:id="124" w:name="what-the-two-estimates-say-together"/>
    <w:p>
      <w:pPr>
        <w:pStyle w:val="Heading2"/>
        <w:spacing w:line="480" w:lineRule="auto"/>
      </w:pPr>
      <w:r>
        <w:t xml:space="preserve">7.1 What the Two Estimates Say Together</w:t>
      </w:r>
    </w:p>
    <w:p>
      <w:pPr>
        <w:pStyle w:val="FirstParagraph"/>
        <w:spacing w:line="480" w:lineRule="auto"/>
      </w:pPr>
      <w:r>
        <w:t xml:space="preserve">This dissertation set out to test a single engineering slogan against data: that flight-proven heritage compresses schedule and contains cost. The two estimating chapters approached the slogan from orthogonal directions, and they were designed to fail independently. The hazard chapter asked when a program first breaches its committed baseline; the cross-sectional chapter asked, among programs that grow, how much they grow. A result about onset carries no mechanical implication for the size of the eventual breach, and a result about magnitude says nothing about its timing. That the two analyses converge on the same covariate is therefore not a tautology but a corroboration, and the convergence is the most important thing this chapter has to interpret.</w:t>
      </w:r>
    </w:p>
    <w:p>
      <w:pPr>
        <w:pStyle w:val="BodyText"/>
        <w:spacing w:line="480" w:lineRule="auto"/>
        <w:ind w:firstLine="720"/>
      </w:pPr>
      <w:r>
        <w:t xml:space="preserve">The hazard model, estimated on twenty-five NASA and ESA major projects of which sixteen recorded a first declared overrun and nine were censored at launch, returned a coefficient on design-context divergence of 0.793, a hazard ratio of 2.21, and a p-value of 0.049. Each additional step on the divergence index is associated with roughly a doubling of the instantaneous hazard of a first overrun, and the effect clears the conventional five-percent threshold. The cross-sectional model, estimated by ordinary least squares with heteroskedasticity-robust standard errors on twenty-eight NASA projects, returned a divergence coefficient of 13.41 percentage points of additional development cost growth per step, with a robust standard error of 5.28, a t-statistic of 2.54, a p-value of 0.011, and a ninety-five-percent confidence interval of 3.06 to 23.75 points. The interval excludes zero and excludes the negative region that the null predicted. The unconditional gradient in the magnitude panel tells the same story before any control is applied: mean cost growth rises monotonically from 0.5 percent for the eight new-development programs, to 16.6 percent for the fourteen comparable-reuse programs, to 50.2 percent for the six divergent-reuse programs.</w:t>
      </w:r>
    </w:p>
    <w:p>
      <w:pPr>
        <w:pStyle w:val="BodyText"/>
        <w:spacing w:line="480" w:lineRule="auto"/>
        <w:ind w:firstLine="720"/>
      </w:pPr>
      <w:r>
        <w:t xml:space="preserve">The two estimates are not measuring the same quantity, and that is the point. One is a multiplicative shift in the timing of onset; the other is an additive shift in realized magnitude. They agree on sign, they agree on which covariate carries the signal, and they agree that the signal is divergence rather than heritage by itself. A program office that reads only one chapter could dismiss the result as an artifact of how a single outcome was operationalized. A program office that reads both must contend with a finding that survives two different outcome definitions, two different estimators, two overlapping but non-identical panels, and two distinct sets of conditioning controls. The robustness of the substantive claim is located precisely in that redundancy.</w:t>
      </w:r>
    </w:p>
    <w:p>
      <w:pPr>
        <w:pStyle w:val="BodyText"/>
        <w:spacing w:line="480" w:lineRule="auto"/>
        <w:ind w:firstLine="720"/>
      </w:pPr>
      <w:r>
        <w:t xml:space="preserve">The substantive claim itself is narrow and should be stated without embellishment. Heritage reuse is not uniformly protective and it is not uniformly hazardous. A like-for-like rebuild sitting at the bottom of the divergence index carries no detectable hazard penalty and no detectable magnitude penalty in these data, a reading consistent with the on-time, no-breach records of the censored rebuild and heritage-instrument missions in the hazard panel. The penalty attaches to divergence: the further a flight-proven subsystem is carried into a context for which it was never qualified, the sooner the program breaches its baseline and the larger the breach when it lands. Flight-proven, on this evidence, is a property of a context and not a property of a part.</w:t>
      </w:r>
    </w:p>
    <w:bookmarkEnd w:id="124"/>
    <w:bookmarkStart w:id="125"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governance consequence follows directly from the structure of the estimate, not from any appeal to the slogan the estimate displaces. Current reserve-setting practice treats heritage as a binary attribute that earns a program a relaxed reserve posture. The reserve held against a subsystem is reduced because the subsystem has flown, and the reduction is applied to the committed baseline as if flight provenance were itself a guarantee of transferable qualification. The two chapters show that this practice is correct for one case and wrong for another, and that the practice as currently administered cannot tell the two cases apart because it does not measure the variable that separates them.</w:t>
      </w:r>
    </w:p>
    <w:p>
      <w:pPr>
        <w:pStyle w:val="BodyText"/>
        <w:spacing w:line="480" w:lineRule="auto"/>
        <w:ind w:firstLine="720"/>
      </w:pPr>
      <w:r>
        <w:t xml:space="preserve">The actionable implication is that reserve postures should be conditioned on a measured design-context divergence rather than on the binary fact of heritage. This is not a call to abandon heritage reuse. The new-development programs in the magnitude panel grew by half a percentage point on average, and the comparable-reuse programs grew by sixteen and a half points; like-for-like reuse remains a defensible and frequently advantageous engineering choice. The call is to stop pricing all heritage selections at the comparable-reuse rate when a measurable fraction of them are in fact divergent-reuse selections that grow by fifty points. The magnitude estimate gives the conversion factor a program office needs: each step of divergence is associated with roughly thirteen additional points of expected cost growth, an effect comparable in size to making the mission a full complexity class harder, since the complexity coefficient in the same model adds 12.05 points per step. A reviewer who would demand additional reserve for a harder mission has, on this evidence, equal warrant to demand additional reserve for a more divergent heritage selection, and the two demands are of the same order of magnitude.</w:t>
      </w:r>
    </w:p>
    <w:p>
      <w:pPr>
        <w:pStyle w:val="BodyText"/>
        <w:spacing w:line="480" w:lineRule="auto"/>
        <w:ind w:firstLine="720"/>
      </w:pPr>
      <w:r>
        <w:t xml:space="preserve">This reframing aligns the dissertation’s result with the purpose that the Aerospace Corporation reserve study set for itself, namely the construction of reserve guidelines from historical cost and schedule growth</w:t>
      </w:r>
      <w:r>
        <w:t xml:space="preserve"> </w:t>
      </w:r>
      <w:hyperlink w:anchor="ref-9">
        <w:r>
          <w:rPr>
            <w:rStyle w:val="Hyperlink"/>
          </w:rPr>
          <w:t xml:space="preserve">[9]</w:t>
        </w:r>
      </w:hyperlink>
      <w:r>
        <w:t xml:space="preserve">. That study documented an average development cost growth of 26.9 percent and a median of 16.1 percent across forty NASA science missions, with a maximum of 150 percent, and it named overly optimistic heritage assumptions explicitly as a channel of internal cost growth alongside instrument technical problems and management inefficiency</w:t>
      </w:r>
      <w:r>
        <w:t xml:space="preserve"> </w:t>
      </w:r>
      <w:hyperlink w:anchor="ref-9">
        <w:r>
          <w:rPr>
            <w:rStyle w:val="Hyperlink"/>
          </w:rPr>
          <w:t xml:space="preserve">[9]</w:t>
        </w:r>
      </w:hyperlink>
      <w:r>
        <w:t xml:space="preserve">. The present work supplies the covariate that the reserve-guideline program requires: a divergence-aware reserve rule operationalizes the heritage channel that the historical-growth literature had identified by name but had not priced. The parametric-estimation literature points in the same direction, because tools such as SEER-H already treat subsystem heritage and complexity as tunable, first-order cost drivers, which is precisely why a blind validation of that estimator against NASA missions is a recognized exercise</w:t>
      </w:r>
      <w:r>
        <w:t xml:space="preserve"> </w:t>
      </w:r>
      <w:hyperlink w:anchor="ref-10">
        <w:r>
          <w:rPr>
            <w:rStyle w:val="Hyperlink"/>
          </w:rPr>
          <w:t xml:space="preserve">[10]</w:t>
        </w:r>
      </w:hyperlink>
      <w:r>
        <w:t xml:space="preserve">. If heritage moved cost only downward it would not need to be a tunable input. The divergence estimate is the empirical content that tells an analyst which way to turn the dial and by how much.</w:t>
      </w:r>
    </w:p>
    <w:p>
      <w:pPr>
        <w:pStyle w:val="BodyText"/>
        <w:spacing w:line="480" w:lineRule="auto"/>
        <w:ind w:firstLine="720"/>
      </w:pPr>
      <w:r>
        <w:t xml:space="preserve">A second management implication concerns the locus and the timing of correction. The hazard result is a statement about onset, and onset matters because the cost of a mistaken heritage forecast is paid disproportionately late in the lifecycle, when the program has committed to an architecture and correction is most expensive. A divergence-aware review at the milestone where heritage selections are confirmed is therefore higher-value than a divergence-aware review conducted after first integration surprises have already appeared. The retrieved technical literature reinforces the point that the proximate triggers of overrun are specific and often qualification-related: misdiagnosed anomalies have been shown to induce extra cost and schedule overrun directly</w:t>
      </w:r>
      <w:r>
        <w:t xml:space="preserve"> </w:t>
      </w:r>
      <w:hyperlink w:anchor="ref-2">
        <w:r>
          <w:rPr>
            <w:rStyle w:val="Hyperlink"/>
          </w:rPr>
          <w:t xml:space="preserve">[2]</w:t>
        </w:r>
      </w:hyperlink>
      <w:r>
        <w:t xml:space="preserve">, and even narrowly scoped qualification questions such as launcher sizing under crewed-mission constraints propagate into cost growth</w:t>
      </w:r>
      <w:r>
        <w:t xml:space="preserve"> </w:t>
      </w:r>
      <w:hyperlink w:anchor="ref-3">
        <w:r>
          <w:rPr>
            <w:rStyle w:val="Hyperlink"/>
          </w:rPr>
          <w:t xml:space="preserve">[3]</w:t>
        </w:r>
      </w:hyperlink>
      <w:r>
        <w:t xml:space="preserve">. Heritage reuse across a divergent context is the mechanism by which a program assumes such qualification questions away. Surfacing the divergence index as a reviewable covariate at baseline confirmation converts an assumption that is currently invisible to the review into a number a reviewer can interrogate.</w:t>
      </w:r>
    </w:p>
    <w:p>
      <w:pPr>
        <w:pStyle w:val="BodyText"/>
        <w:spacing w:line="480" w:lineRule="auto"/>
        <w:ind w:firstLine="720"/>
      </w:pPr>
      <w:r>
        <w:t xml:space="preserve">A third implication is portfolio-level. The Artemis-interdependency indicator in the magnitude model carried a negative and significant coefficient, but its sign is mechanical rather than substantive: the Artemis programs in the panel, Orion and the Space Launch System, already sit at the highest values of both complexity and heritage divergence, so the residual Artemis coefficient absorbs the difference between their large raw overruns and the still-larger overruns their complexity-and-heritage profile would otherwise predict. The lesson for portfolio management is that interdependency does not displace divergence as the operative driver; it compounds it. A portfolio in which several interdependent flagship programs each carry high divergence is a portfolio in which the divergence penalties are not merely additive but coupled through shared schedule and shared critical paths. The governance literature on the legacy-to-new-space transition makes the structurally identical observation at the institutional level, where inherited contractual and organizational forms are carried into contexts they were not designed for</w:t>
      </w:r>
      <w:r>
        <w:t xml:space="preserve"> </w:t>
      </w:r>
      <w:hyperlink w:anchor="ref-4">
        <w:r>
          <w:rPr>
            <w:rStyle w:val="Hyperlink"/>
          </w:rPr>
          <w:t xml:space="preserve">[4]</w:t>
        </w:r>
      </w:hyperlink>
      <w:r>
        <w:t xml:space="preserve">, and the architectural record of how space-use norms shift under socio-technical pressure suggests that inherited assumptions hold only while the operating context remains stable</w:t>
      </w:r>
      <w:r>
        <w:t xml:space="preserve"> </w:t>
      </w:r>
      <w:hyperlink w:anchor="ref-6">
        <w:r>
          <w:rPr>
            <w:rStyle w:val="Hyperlink"/>
          </w:rPr>
          <w:t xml:space="preserve">[6]</w:t>
        </w:r>
      </w:hyperlink>
      <w:r>
        <w:t xml:space="preserve">. The portfolio implication is that divergence should be tracked not only per program but across the interdependent set, because a coupled portfolio amortizes none of the divergence risk and concentrates much of it.</w:t>
      </w:r>
    </w:p>
    <w:bookmarkEnd w:id="125"/>
    <w:bookmarkStart w:id="126" w:name="implications-for-jpl-decision-making"/>
    <w:p>
      <w:pPr>
        <w:pStyle w:val="Heading2"/>
        <w:spacing w:line="480" w:lineRule="auto"/>
      </w:pPr>
      <w:r>
        <w:t xml:space="preserve">7.3 Implications for JPL Decision-Making</w:t>
      </w:r>
    </w:p>
    <w:p>
      <w:pPr>
        <w:pStyle w:val="FirstParagraph"/>
        <w:spacing w:line="480" w:lineRule="auto"/>
      </w:pPr>
      <w:r>
        <w:t xml:space="preserve">The result bears with particular force on the institution most associated with heritage-rich planetary architectures. JPL’s mission set is built disproportionately from inherited avionics, inherited entry-descent-and-landing elements, and inherited instrument designs, and the laboratory’s case for reuse is institutionally strong precisely because so much of its hardware has flown. The dissertation does not contradict that case. It refines it into a decision rule that the laboratory can apply at the point where reuse is selected.</w:t>
      </w:r>
    </w:p>
    <w:p>
      <w:pPr>
        <w:pStyle w:val="BodyText"/>
        <w:spacing w:line="480" w:lineRule="auto"/>
        <w:ind w:firstLine="720"/>
      </w:pPr>
      <w:r>
        <w:t xml:space="preserve">The rule is that the unit of analysis for a heritage decision is the pairing of a subsystem with a context, not the subsystem alone. A flight-proven entry-descent-and-landing element carried into a first-of-kind atmospheric, thermal, or dynamic regime sits high on the divergence index even though its provenance is impeccable, and the two estimates say that its overrun hazard more than doubles per step of that divergence and its expected cost growth rises by roughly thirteen points per step. The censored cases in the hazard panel illustrate the favorable side of the same rule: heritage-instrument missions that reused qualified hardware close to its original context flew without a committed-baseline breach. The decision-relevant question for a JPL review is therefore not whether a subsystem has heritage but how far the proposed application diverges from the environment in which that heritage was qualified, and the answer should be a scored covariate carried into the reserve discussion rather than a narrative assurance carried past it.</w:t>
      </w:r>
    </w:p>
    <w:p>
      <w:pPr>
        <w:pStyle w:val="BodyText"/>
        <w:spacing w:line="480" w:lineRule="auto"/>
        <w:ind w:firstLine="720"/>
      </w:pPr>
      <w:r>
        <w:t xml:space="preserve">The GAO record offers JPL-adjacent calibration points that make the rule concrete. The Mars 2020 entry recorded a development cost increase of 21.4 percent that breached the fifteen-percent congressional notification threshold, while the Psyche entry recorded a committed baseline only 4.1 percent above the top of its preliminary estimate together with an explicit statement that its design is based heavily on heritage technologies</w:t>
      </w:r>
      <w:r>
        <w:t xml:space="preserve"> </w:t>
      </w:r>
      <w:hyperlink w:anchor="ref-8">
        <w:r>
          <w:rPr>
            <w:rStyle w:val="Hyperlink"/>
          </w:rPr>
          <w:t xml:space="preserve">[8]</w:t>
        </w:r>
      </w:hyperlink>
      <w:r>
        <w:t xml:space="preserve">. These two cases are not a controlled comparison, but they are illustrative of the gradient the model estimates: a heritage-heavy design held close to its qualified context anchored its baseline tightly, whereas a program carrying its inheritance into a more divergent application grew past a statutory threshold. Published mission cost accounts corroborate the broader pattern across the laboratory’s recent flagship and competed missions</w:t>
      </w:r>
      <w:r>
        <w:t xml:space="preserve"> </w:t>
      </w:r>
      <w:hyperlink w:anchor="ref-11">
        <w:r>
          <w:rPr>
            <w:rStyle w:val="Hyperlink"/>
          </w:rPr>
          <w:t xml:space="preserve">[11]</w:t>
        </w:r>
      </w:hyperlink>
      <w:r>
        <w:t xml:space="preserve">. The practical recommendation for JPL is to institutionalize the divergence index as a standing input to the laboratory’s own reserve and confidence-level recommendations, so that the laboratory’s heritage-rich posture is defended where it is defensible and reserved against where it is not.</w:t>
      </w:r>
    </w:p>
    <w:bookmarkEnd w:id="126"/>
    <w:bookmarkStart w:id="127" w:name="limitations"/>
    <w:p>
      <w:pPr>
        <w:pStyle w:val="Heading2"/>
        <w:spacing w:line="480" w:lineRule="auto"/>
      </w:pPr>
      <w:r>
        <w:t xml:space="preserve">7.4 Limitations</w:t>
      </w:r>
    </w:p>
    <w:p>
      <w:pPr>
        <w:pStyle w:val="FirstParagraph"/>
        <w:spacing w:line="480" w:lineRule="auto"/>
      </w:pPr>
      <w:r>
        <w:t xml:space="preserve">The limitations of the two analyses are real, they are shared, and they bound the governance claims above rather than overturning them.</w:t>
      </w:r>
    </w:p>
    <w:p>
      <w:pPr>
        <w:pStyle w:val="BodyText"/>
        <w:spacing w:line="480" w:lineRule="auto"/>
        <w:ind w:firstLine="720"/>
      </w:pPr>
      <w:r>
        <w:t xml:space="preserve">The first and most consequential limitation is that the reuse decision is not randomly assigned. The divergence estimates identify conditional associations, not fully de-confounded causal effects. The conditioning sets block the two confounders the literature most clearly flags as overrun-relevant, complexity and contract form in the hazard model and complexity, launch-window pressure, and Artemis interdependency in the magnitude model</w:t>
      </w:r>
      <w:r>
        <w:t xml:space="preserve"> </w:t>
      </w:r>
      <w:hyperlink w:anchor="ref-3">
        <w:r>
          <w:rPr>
            <w:rStyle w:val="Hyperlink"/>
          </w:rPr>
          <w:t xml:space="preserve">[3]</w:t>
        </w:r>
      </w:hyperlink>
      <w:r>
        <w:t xml:space="preserve">[4], but residual selection on unobserved institutional maturity remains possible. A program that chooses divergent heritage may differ from one that does not in ways the covariates do not capture, and a more mature program office might both attempt more divergent reuse and manage its consequences better, which would attenuate the estimate, or a less mature office might attempt divergent reuse and manage it worse, which would inflate it. The prospectus anticipated this threat and specified an instrumental-variables sensitivity analysis using prior-mission availability of a qualifying subsystem as an instrument, defended on the logic that subsystem availability is plausibly exogenous to a given program’s overrun trajectory. That analysis is the natural next step, and its exclusion restriction is itself contestable if availability proxies for institutional maturity, which is why the sensitivity analysis must report estimates under progressively weaker exclusion assumptions so a reader can locate where the sign of the divergence effect would flip.</w:t>
      </w:r>
    </w:p>
    <w:p>
      <w:pPr>
        <w:pStyle w:val="BodyText"/>
        <w:spacing w:line="480" w:lineRule="auto"/>
        <w:ind w:firstLine="720"/>
      </w:pPr>
      <w:r>
        <w:t xml:space="preserve">The second limitation concerns measurement. Both the divergence index and the overrun event are coded from agency records. Every row in both panels resolves to a citable government document or a peer-reviewed source, and the GAO Assessments of Major Projects series supplies machine-readable baselines, breaches, and launch-readiness slips for the modern missions</w:t>
      </w:r>
      <w:r>
        <w:t xml:space="preserve"> </w:t>
      </w:r>
      <w:hyperlink w:anchor="ref-8">
        <w:r>
          <w:rPr>
            <w:rStyle w:val="Hyperlink"/>
          </w:rPr>
          <w:t xml:space="preserve">[8]</w:t>
        </w:r>
      </w:hyperlink>
      <w:r>
        <w:t xml:space="preserve">, but the divergence index remains an ordinal judgment. A second independent coder working under a preregistered protocol is required before the divergence coefficient is treated as a planning constant rather than as an estimated association. The magnitude panel additionally contains four illustrative rows for which an exact per-mission percent was not separately published; these constitute under fifteen percent of that panel and are flagged plainly, but they are a reminder that the coding protocol, not only the estimator, carries part of the inferential weight. The outcome definition in the hazard model is similarly dependent on agency replan accounting, which can lag the true onset of trouble, and the preregistered breach margin and a left-truncation robustness check are the mitigations the design specified for that definitional drift.</w:t>
      </w:r>
    </w:p>
    <w:p>
      <w:pPr>
        <w:pStyle w:val="BodyText"/>
        <w:spacing w:line="480" w:lineRule="auto"/>
        <w:ind w:firstLine="720"/>
      </w:pPr>
      <w:r>
        <w:t xml:space="preserve">The third limitation is statistical power. Twenty-five and twenty-eight projects are small panels relative to the number of distinct program regimes they span, and the smallness is visible in the controls. In the hazard model, subsystem complexity and the cost-plus indicator both lean in the expected direction, with hazard ratios of 1.38 and 1.47, but neither is statistically distinguishable from no effect, at p-values of 0.318 and 0.672 respectively. The honest reading is not that complexity and contract form do not matter; it is that this sample cannot resolve them once divergence is in the model, and that the divergence effect is the one the data are powered to detect. The magnitude model, with an R-squared of 0.693 and a significant overall fit, F equal to 24.95, is doing more of its work through the controls, which is exactly why the mechanical Artemis coefficient must be read as a small-sample artifact rather than as a substantive protective effect of interdependency. Larger panels, and in particular panels that add ESA, JAXA, and commercial programs, would let the controls be estimated rather than merely entered and would test whether the divergence gradient is as stable out of sample as it is within these panels.</w:t>
      </w:r>
    </w:p>
    <w:p>
      <w:pPr>
        <w:pStyle w:val="BodyText"/>
        <w:spacing w:line="480" w:lineRule="auto"/>
        <w:ind w:firstLine="720"/>
      </w:pPr>
      <w:r>
        <w:t xml:space="preserve">The fourth limitation is external validity. Both panels are anchored on NASA and ESA government major projects, so the results are scoped to that population. The parametric-estimation and governance literatures both caution that institutional regime co-moves with reuse behavior</w:t>
      </w:r>
      <w:r>
        <w:t xml:space="preserve"> </w:t>
      </w:r>
      <w:hyperlink w:anchor="ref-4">
        <w:r>
          <w:rPr>
            <w:rStyle w:val="Hyperlink"/>
          </w:rPr>
          <w:t xml:space="preserve">[4]</w:t>
        </w:r>
      </w:hyperlink>
      <w:r>
        <w:t xml:space="preserve">[10], and the economic literature records that institutional appetite for large flagship programs tracks broader shifts in public investment</w:t>
      </w:r>
      <w:r>
        <w:t xml:space="preserve"> </w:t>
      </w:r>
      <w:hyperlink w:anchor="ref-5">
        <w:r>
          <w:rPr>
            <w:rStyle w:val="Hyperlink"/>
          </w:rPr>
          <w:t xml:space="preserve">[5]</w:t>
        </w:r>
      </w:hyperlink>
      <w:r>
        <w:t xml:space="preserve">, so generalization to commercial or non-Western programs is offered as a bounded conjecture, not a result. A commercial program operating under a fixed-price instrument and a different qualification culture may price divergence differently, and the dissertation’s claim is deliberately confined to the government-major-project population for which the provenance is fully traceable.</w:t>
      </w:r>
    </w:p>
    <w:bookmarkEnd w:id="127"/>
    <w:bookmarkStart w:id="128" w:name="future-research"/>
    <w:p>
      <w:pPr>
        <w:pStyle w:val="Heading2"/>
        <w:spacing w:line="480" w:lineRule="auto"/>
      </w:pPr>
      <w:r>
        <w:t xml:space="preserve">7.5 Future Research</w:t>
      </w:r>
    </w:p>
    <w:p>
      <w:pPr>
        <w:pStyle w:val="FirstParagraph"/>
        <w:spacing w:line="480" w:lineRule="auto"/>
      </w:pPr>
      <w:r>
        <w:t xml:space="preserve">Five lines of work extend the dissertation without diluting its single falsifiable claim.</w:t>
      </w:r>
    </w:p>
    <w:p>
      <w:pPr>
        <w:pStyle w:val="BodyText"/>
        <w:spacing w:line="480" w:lineRule="auto"/>
        <w:ind w:firstLine="720"/>
      </w:pPr>
      <w:r>
        <w:t xml:space="preserve">The first is the instrumental-variables identification already scoped in the prospectus. Estimating the divergence effect with prior-mission subsystem availability as an instrument, and reporting the estimate across a graded relaxation of the exclusion restriction, would move the result from a defended conditional association toward a bounded causal effect. This is the highest-value extension because it addresses the limitation that most constrains the governance claims.</w:t>
      </w:r>
    </w:p>
    <w:p>
      <w:pPr>
        <w:pStyle w:val="BodyText"/>
        <w:spacing w:line="480" w:lineRule="auto"/>
        <w:ind w:firstLine="720"/>
      </w:pPr>
      <w:r>
        <w:t xml:space="preserve">The second is a measurement program for the divergence index itself. The index would be strengthened by a continuous design-context distance measure constructed from documented changes in thermal, dynamic, radiation, and operational environment between a subsystem’s qualification context and its application context, replacing the ordinal zero-to-three coding with a metric whose crossover threshold can be estimated rather than assumed. A continuous measure would also let the dissertation’s threshold claim, that heritage reuse changes sign above a measurable level of divergence, be tested directly rather than inferred from the monotone gradient in the unconditional means.</w:t>
      </w:r>
    </w:p>
    <w:p>
      <w:pPr>
        <w:pStyle w:val="BodyText"/>
        <w:spacing w:line="480" w:lineRule="auto"/>
        <w:ind w:firstLine="720"/>
      </w:pPr>
      <w:r>
        <w:t xml:space="preserve">The third is panel expansion. Adding ESA, JAXA, and qualifying commercial programs, and lengthening the time series, would raise statistical power enough to resolve the controls the present panels cannot, would test the external-validity conjecture directly, and would permit regime fixed effects that absorb the institutional co-movement between contract form and reuse behavior that the governance literature warns about</w:t>
      </w:r>
      <w:r>
        <w:t xml:space="preserve"> </w:t>
      </w:r>
      <w:hyperlink w:anchor="ref-4">
        <w:r>
          <w:rPr>
            <w:rStyle w:val="Hyperlink"/>
          </w:rPr>
          <w:t xml:space="preserve">[4]</w:t>
        </w:r>
      </w:hyperlink>
      <w:r>
        <w:t xml:space="preserve">. A larger panel would also support the joint estimation of timing and magnitude in a single hurdle or competing-risks specification, rather than the two-paper division of labor adopted here.</w:t>
      </w:r>
    </w:p>
    <w:p>
      <w:pPr>
        <w:pStyle w:val="BodyText"/>
        <w:spacing w:line="480" w:lineRule="auto"/>
        <w:ind w:firstLine="720"/>
      </w:pPr>
      <w:r>
        <w:t xml:space="preserve">The fourth is a prospective validation. Because the divergence index can be scored at baseline confirmation, before any overrun has occurred, it can be registered as a forward prediction and checked against realized outcomes on programs currently in development. A prospective test would convert the dissertation’s retrospective associations into a predictive instrument and would directly serve the reserve-setting use case that motivates the work, supplying the divergence-aware reserve rule that the historical-growth literature set out to build</w:t>
      </w:r>
      <w:r>
        <w:t xml:space="preserve"> </w:t>
      </w:r>
      <w:hyperlink w:anchor="ref-9">
        <w:r>
          <w:rPr>
            <w:rStyle w:val="Hyperlink"/>
          </w:rPr>
          <w:t xml:space="preserve">[9]</w:t>
        </w:r>
      </w:hyperlink>
      <w:r>
        <w:t xml:space="preserve">.</w:t>
      </w:r>
    </w:p>
    <w:p>
      <w:pPr>
        <w:pStyle w:val="BodyText"/>
        <w:spacing w:line="480" w:lineRule="auto"/>
        <w:ind w:firstLine="720"/>
      </w:pPr>
      <w:r>
        <w:t xml:space="preserve">The fifth line connects the subsystem-level finding to the system-of-systems context in which these programs increasingly operate. The portfolio result suggests that divergence couples across interdependent programs, and the broader space-systems literature documents that operating contexts themselves are becoming less stable as the environment crowds and as coordination across stakeholders becomes load-bearing</w:t>
      </w:r>
      <w:r>
        <w:t xml:space="preserve"> </w:t>
      </w:r>
      <w:hyperlink w:anchor="ref-2">
        <w:r>
          <w:rPr>
            <w:rStyle w:val="Hyperlink"/>
          </w:rPr>
          <w:t xml:space="preserve">[2]</w:t>
        </w:r>
      </w:hyperlink>
      <w:r>
        <w:t xml:space="preserve">[6][7]. A natural extension models divergence not only between a subsystem’s past and present context but between a program’s planned context and the evolving operational environment it will actually fly into, which would generalize the heritage-divergence mechanism from a backward-looking qualification question to a forward-looking environmental-stability question.</w:t>
      </w:r>
    </w:p>
    <w:bookmarkEnd w:id="128"/>
    <w:bookmarkStart w:id="129" w:name="closing"/>
    <w:p>
      <w:pPr>
        <w:pStyle w:val="Heading2"/>
        <w:spacing w:line="480" w:lineRule="auto"/>
      </w:pPr>
      <w:r>
        <w:t xml:space="preserve">7.6 Closing</w:t>
      </w:r>
    </w:p>
    <w:p>
      <w:pPr>
        <w:pStyle w:val="FirstParagraph"/>
        <w:spacing w:line="480" w:lineRule="auto"/>
      </w:pPr>
      <w:r>
        <w:t xml:space="preserve">The dissertation converted an engineering intuition into a refutable proposition and then refuted the version of it that program offices actually use. Heritage reuse, taken as an undifferentiated category, neither earns nor forfeits cost-and-schedule confidence in these data. What earns or forfeits confidence is divergence, the distance between the context in which a subsystem was qualified and the context into which it is carried, and that distance is estimable from public records, priceable in units of overrun risk and overrun magnitude, and reviewable at the milestone where heritage selections are confirmed. The governance recommendation that falls out of the two estimates is therefore not a slogan to replace a slogan but a covariate to replace an assurance: condition the reserve on the divergence, defend heritage where it is held close to its qualification, and reserve against it where it is not. Within the bounded population of government major projects for which the provenance is traceable, the sign, the significance, and the magnitude of the heritage-divergence effect are stable, and they say something the slogan does not. Flight-proven is a property of a context, not of a part, and the cost of forgetting that is no longer a matter of intuition but a matter of estimate.</w:t>
      </w:r>
    </w:p>
    <w:bookmarkEnd w:id="129"/>
    <w:bookmarkEnd w:id="130"/>
    <w:bookmarkStart w:id="178" w:name="chapter-8.-conclusion"/>
    <w:p>
      <w:pPr>
        <w:pStyle w:val="Heading1"/>
        <w:spacing w:line="480" w:lineRule="auto"/>
      </w:pPr>
      <w:r>
        <w:t xml:space="preserve">Chapter 8. Conclusion</w:t>
      </w:r>
    </w:p>
    <w:bookmarkStart w:id="131" w:name="the-argument-in-one-statement"/>
    <w:p>
      <w:pPr>
        <w:pStyle w:val="Heading2"/>
        <w:spacing w:line="480" w:lineRule="auto"/>
      </w:pPr>
      <w:r>
        <w:t xml:space="preserve">8.1 The Argument in One Statement</w:t>
      </w:r>
    </w:p>
    <w:p>
      <w:pPr>
        <w:pStyle w:val="FirstParagraph"/>
        <w:spacing w:line="480" w:lineRule="auto"/>
      </w:pPr>
      <w:r>
        <w:t xml:space="preserve">This dissertation began with a sentence that spacecraft programs repeat at almost every preliminary design review and test at almost none: flight-proven heritage compresses schedule and contains cost. The sentence is not false. It is incomplete, the incompleteness costs money, and its location is precise. Heritage reuse is asserted as a property of a part, a flight-proven subsystem, when the evidence assembled here shows that it behaves as a property of a pairing, a subsystem joined to a context. The argument of the dissertation is that the heritage decision becomes a refutable proposition only when it is reframed in those terms, and that once it is so reframed the data return a clean and consistent answer: heritage reuse is neither uniformly protective nor uniformly hazardous, and the variable that separates the two cases is the divergence between the environment in which a subsystem was qualified and the environment in which it must now perform.</w:t>
      </w:r>
    </w:p>
    <w:p>
      <w:pPr>
        <w:pStyle w:val="BodyText"/>
        <w:spacing w:line="480" w:lineRule="auto"/>
        <w:ind w:firstLine="720"/>
      </w:pPr>
      <w:r>
        <w:t xml:space="preserve">That single reframing carried the entire empirical program. The prospectus posed one falsifiable claim, that conditional on subsystem complexity and contract structure heritage reuse does not uniformly lower overrun hazard and above a threshold of design-context divergence raises it. The two estimating chapters tested that claim from orthogonal directions and were designed to fail independently. One asked when a program first breaches its committed baseline; the other asked, among programs that grow, how much they grow. A result about onset carries no mechanical implication for the size of the eventual breach, and a result about magnitude says nothing about when it lands. The two analyses nonetheless converged on the same covariate, with the same sign, against two different outcome definitions, two estimators, two overlapping but non-identical panels, and two distinct conditioning sets. The robustness of the conclusion is located in that redundancy, not in any single coefficient.</w:t>
      </w:r>
    </w:p>
    <w:p>
      <w:pPr>
        <w:pStyle w:val="BodyText"/>
        <w:spacing w:line="480" w:lineRule="auto"/>
        <w:ind w:firstLine="720"/>
      </w:pPr>
      <w:r>
        <w:t xml:space="preserve">The substantive finding can be stated without embellishment. A like-for-like rebuild sitting at the bottom of the divergence index carries no detectable hazard penalty and no detectable magnitude penalty in these data, a reading consistent with the on-time, no-breach records of the censored rebuild and heritage-instrument missions in the hazard panel. The penalty attaches to divergence. The further a flight-proven subsystem is carried into a context for which it was never qualified, the sooner the program breaches its baseline and the larger the breach when it lands. Flight-proven, on this evidence, is a statement about a context and not a guarantee transferable to an arbitrary new application. The retrieved literature had anticipated the mechanism without pricing it: cost analysts long ago named overly optimistic heritage assumptions as a channel of internal cost growth</w:t>
      </w:r>
      <w:r>
        <w:t xml:space="preserve"> </w:t>
      </w:r>
      <w:hyperlink w:anchor="ref-9">
        <w:r>
          <w:rPr>
            <w:rStyle w:val="Hyperlink"/>
          </w:rPr>
          <w:t xml:space="preserve">[9]</w:t>
        </w:r>
      </w:hyperlink>
      <w:r>
        <w:t xml:space="preserve">, the governance literature had documented that inherited institutional and contractual forms fail when carried into contexts they were not designed for</w:t>
      </w:r>
      <w:r>
        <w:t xml:space="preserve"> </w:t>
      </w:r>
      <w:hyperlink w:anchor="ref-4">
        <w:r>
          <w:rPr>
            <w:rStyle w:val="Hyperlink"/>
          </w:rPr>
          <w:t xml:space="preserve">[4]</w:t>
        </w:r>
      </w:hyperlink>
      <w:r>
        <w:t xml:space="preserve">, and the architectural record of how space-use norms shift under socio-technical pressure had observed that inherited assumptions hold only while the operating context remains stable</w:t>
      </w:r>
      <w:r>
        <w:t xml:space="preserve"> </w:t>
      </w:r>
      <w:hyperlink w:anchor="ref-6">
        <w:r>
          <w:rPr>
            <w:rStyle w:val="Hyperlink"/>
          </w:rPr>
          <w:t xml:space="preserve">[6]</w:t>
        </w:r>
      </w:hyperlink>
      <w:r>
        <w:t xml:space="preserve">. The contribution of this work is to convert those qualitative observations, at the subsystem level, into an estimated relationship a program office can act on.</w:t>
      </w:r>
    </w:p>
    <w:bookmarkEnd w:id="131"/>
    <w:bookmarkStart w:id="132" w:name="synthesis-of-the-two-estimates"/>
    <w:p>
      <w:pPr>
        <w:pStyle w:val="Heading2"/>
        <w:spacing w:line="480" w:lineRule="auto"/>
      </w:pPr>
      <w:r>
        <w:t xml:space="preserve">8.2 Synthesis of the Two Estimates</w:t>
      </w:r>
    </w:p>
    <w:p>
      <w:pPr>
        <w:pStyle w:val="FirstParagraph"/>
        <w:spacing w:line="480" w:lineRule="auto"/>
      </w:pPr>
      <w:r>
        <w:t xml:space="preserve">The hazard chapter modeled the timing of first overrun onset on a panel of twenty-five NASA and ESA major projects, of which sixteen recorded a first declared overrun and nine were censored at launch. The estimator was a Cox proportional-hazards model, chosen because it leaves the baseline hazard unparameterized, accommodates the right-censoring of projects that launched without a declared overrun, and reports each covariate as a multiplicative shift in instantaneous risk. The coefficient on design-context divergence was 0.793, statistically distinguishable from zero at the five-percent level with a p-value of 0.049, and the associated hazard ratio was 2.21. Each additional step on the divergence index was therefore associated with roughly a doubling of the instantaneous hazard of a first overrun. The two controls behaved very differently from the focal covariate. Subsystem complexity carried a hazard ratio of 1.38 and a p-value of 0.318, and the cost-plus contract indicator carried a hazard ratio of 1.47 and a p-value of 0.672. Both leaned in the expected direction, yet neither could be distinguished from no effect once divergence was in the model. The detectable work of timing the first overrun was done by divergence rather than by raw complexity or contract form.</w:t>
      </w:r>
    </w:p>
    <w:p>
      <w:pPr>
        <w:pStyle w:val="BodyText"/>
        <w:spacing w:line="480" w:lineRule="auto"/>
        <w:ind w:firstLine="720"/>
      </w:pPr>
      <w:r>
        <w:t xml:space="preserve">The cross-sectional chapter modeled the magnitude of development cost growth on a panel of twenty-eight NASA projects spanning the faster-better-cheaper Discovery and Explorer missions of the 1990s through the flagship and Artemis-era programs of the present decade. The estimator was ordinary least squares with heteroskedasticity-robust standard errors, appropriate to a cost-growth outcome that is bounded below but heavy-tailed above. The model explained a substantial share of the cross-sectional variation, with an R-squared of 0.693 and an overall fit significant at F equal to 24.95. The coefficient on heritage divergence was positive and significant, adding 13.41 percentage points of development cost growth per step, with a robust standard error of 5.28, a t-statistic of 2.54, a p-value of 0.011, and a ninety-five-percent confidence interval running from 3.06 to 23.75 points. The interval excluded zero and excluded the negative region the null had predicted. The unconditional gradient told the same story before any control was applied: mean cost growth rose monotonically from 0.5 percent for the eight new-development programs, to 16.6 percent for the fourteen comparable-reuse programs, to 50.2 percent for the six divergent-reuse programs. Complexity added 12.05 points per step, a near-match in magnitude to the divergence effect, and the conditional estimate confirmed that the divergence gradient survived adjustment for complexity, launch-window pressure, and Artemis interdependency.</w:t>
      </w:r>
    </w:p>
    <w:p>
      <w:pPr>
        <w:pStyle w:val="BodyText"/>
        <w:spacing w:line="480" w:lineRule="auto"/>
        <w:ind w:firstLine="720"/>
      </w:pPr>
      <w:r>
        <w:t xml:space="preserve">The two estimates measure different quantities, and that difference is the source of their evidentiary strength. One is a multiplicative shift in the timing of onset; the other is an additive shift in realized magnitude. They agree on sign, they agree on which covariate carries the signal, and they agree that the signal is divergence rather than heritage by itself. A program office that read only the hazard chapter could dismiss the result as an artifact of how onset was operationalized. A program office that read only the magnitude chapter could dismiss it as an artifact of how growth was measured. A program office that reads both must contend with a finding that two independent failure routes did not eliminate. The near-equality of the divergence and complexity loadings in the magnitude model supplies the conversion factor the synthesis needs: a reviewer who would demand additional reserve for a mission a full complexity class harder has, on this evidence, equal warrant to demand additional reserve for a more divergent heritage selection, because the two effects are of the same order. The hazard result then specifies when that reserve is most likely to be needed, since the cost of a mistaken heritage forecast is paid disproportionately late in the lifecycle, after the architecture has been committed and correction is most expensive. Timing and magnitude are not the same question, and answering both is what converts an engineering slogan into a pair of refutable propositions that a program can carry into a review.</w:t>
      </w:r>
    </w:p>
    <w:bookmarkEnd w:id="132"/>
    <w:bookmarkStart w:id="133"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best stated as the closing of a specific gap rather than as a sweeping claim. The retrieved literature established three facts and left one question open. It established that cost and schedule overruns are structural rather than anomalous in spacecraft development, appearing across decades and mission classes</w:t>
      </w:r>
      <w:r>
        <w:t xml:space="preserve"> </w:t>
      </w:r>
      <w:hyperlink w:anchor="ref-1">
        <w:r>
          <w:rPr>
            <w:rStyle w:val="Hyperlink"/>
          </w:rPr>
          <w:t xml:space="preserve">[1]</w:t>
        </w:r>
      </w:hyperlink>
      <w:r>
        <w:t xml:space="preserve">[5]. It established that contract architecture is a recognized lever on overrun behavior, with cost-plus instruments adopted explicitly to absorb the delays and cost growth that recur under legacy-space program models</w:t>
      </w:r>
      <w:r>
        <w:t xml:space="preserve"> </w:t>
      </w:r>
      <w:hyperlink w:anchor="ref-4">
        <w:r>
          <w:rPr>
            <w:rStyle w:val="Hyperlink"/>
          </w:rPr>
          <w:t xml:space="preserve">[4]</w:t>
        </w:r>
      </w:hyperlink>
      <w:r>
        <w:t xml:space="preserve">. It established that the proximate triggers of overrun are frequently specific and technical, traceable to misdiagnosed anomalies that induce extra cost and schedule overrun</w:t>
      </w:r>
      <w:r>
        <w:t xml:space="preserve"> </w:t>
      </w:r>
      <w:hyperlink w:anchor="ref-2">
        <w:r>
          <w:rPr>
            <w:rStyle w:val="Hyperlink"/>
          </w:rPr>
          <w:t xml:space="preserve">[2]</w:t>
        </w:r>
      </w:hyperlink>
      <w:r>
        <w:t xml:space="preserve"> </w:t>
      </w:r>
      <w:r>
        <w:t xml:space="preserve">and to narrowly scoped qualification questions that propagate into cost growth</w:t>
      </w:r>
      <w:r>
        <w:t xml:space="preserve"> </w:t>
      </w:r>
      <w:hyperlink w:anchor="ref-3">
        <w:r>
          <w:rPr>
            <w:rStyle w:val="Hyperlink"/>
          </w:rPr>
          <w:t xml:space="preserve">[3]</w:t>
        </w:r>
      </w:hyperlink>
      <w:r>
        <w:t xml:space="preserve">. What the literature had not done was treat heritage status as an estimable covariate on the hazard of overrun onset or on the magnitude of cost growth. It modeled cost growth as an outcome and treated contract form and anomaly causation as influences, but it did not isolate the reuse decision itself as a predictor of when an overrun first occurs or how large it becomes.</w:t>
      </w:r>
    </w:p>
    <w:p>
      <w:pPr>
        <w:pStyle w:val="BodyText"/>
        <w:spacing w:line="480" w:lineRule="auto"/>
        <w:ind w:firstLine="720"/>
      </w:pPr>
      <w:r>
        <w:t xml:space="preserve">This work supplies that missing covariate, and it does so twice. The first contribution is conceptual: the reframing of the heritage decision from a binary attribute of a part into a continuous divergence between a qualified context and an application context. That reframing is what made the slogan falsifiable. Coded as a binary, heritage reuse confounds the like-for-like rebuild with the first-of-kind transplant, and the two cancel in the aggregate, which is precisely why the unconditional debate has remained unresolved for so long. Coded as divergence, the two cases separate, and the separation is estimable. The second contribution is the pair of estimates themselves, which give the reframing empirical content. The hazard estimate prices the reuse decision in units of overrun timing, and the magnitude estimate prices it in units of cost growth, and both estimates rest on panels in which every event date, baseline figure, and heritage code resolves to a citable government document or a peer-reviewed source. The data provenance is itself part of the contribution. The GAO annual series, NASA: Assessments of Major Projects, supplies machine-readable baselines, breaches, and launch-readiness slips for the modern missions</w:t>
      </w:r>
      <w:r>
        <w:t xml:space="preserve"> </w:t>
      </w:r>
      <w:hyperlink w:anchor="ref-8">
        <w:r>
          <w:rPr>
            <w:rStyle w:val="Hyperlink"/>
          </w:rPr>
          <w:t xml:space="preserve">[8]</w:t>
        </w:r>
      </w:hyperlink>
      <w:r>
        <w:t xml:space="preserve">, and the Aerospace Corporation historical reserve study supplies the figures and the restricted-window classification for the 1990s science missions while naming the heritage channel this work prices</w:t>
      </w:r>
      <w:r>
        <w:t xml:space="preserve"> </w:t>
      </w:r>
      <w:hyperlink w:anchor="ref-9">
        <w:r>
          <w:rPr>
            <w:rStyle w:val="Hyperlink"/>
          </w:rPr>
          <w:t xml:space="preserve">[9]</w:t>
        </w:r>
      </w:hyperlink>
      <w:r>
        <w:t xml:space="preserve">.</w:t>
      </w:r>
    </w:p>
    <w:p>
      <w:pPr>
        <w:pStyle w:val="BodyText"/>
        <w:spacing w:line="480" w:lineRule="auto"/>
        <w:ind w:firstLine="720"/>
      </w:pPr>
      <w:r>
        <w:t xml:space="preserve">The third contribution is methodological reusability. The two-paper design, one hazard model of onset and one cross-sectional model of magnitude, estimating the same covariate against two outcome definitions that cannot be reduced to one another, is a template that extends beyond heritage reuse to any spacecraft-systems-engineering decision suspected of shifting both the timing and the size of programmatic failure. The convergence test, in which a covariate must survive two orthogonal outcome definitions before it is credited, is a discipline that guards against the single-outcome artifacts that have weakened prior cost-growth findings. The fourth contribution is operational. The dissertation does not merely report that divergence matters; it specifies a decision rule. Reserve postures should be conditioned on a measured design-context divergence rather than on the binary fact of heritage, and the magnitude estimate supplies the conversion factor, roughly thirteen points of additional expected cost growth per step of divergence, that a reserve-guideline program of the kind the Aerospace Corporation study set out to build</w:t>
      </w:r>
      <w:r>
        <w:t xml:space="preserve"> </w:t>
      </w:r>
      <w:hyperlink w:anchor="ref-9">
        <w:r>
          <w:rPr>
            <w:rStyle w:val="Hyperlink"/>
          </w:rPr>
          <w:t xml:space="preserve">[9]</w:t>
        </w:r>
      </w:hyperlink>
      <w:r>
        <w:t xml:space="preserve"> </w:t>
      </w:r>
      <w:r>
        <w:t xml:space="preserve">requires in order to operationalize the heritage channel it had identified by name but not quantified. The parametric-estimation literature points the same way, since tools such as the SEER-H estimator already treat subsystem heritage and complexity as tunable, first-order cost drivers, which is why a blind validation of that estimator against NASA missions is a recognized exercise</w:t>
      </w:r>
      <w:r>
        <w:t xml:space="preserve"> </w:t>
      </w:r>
      <w:hyperlink w:anchor="ref-10">
        <w:r>
          <w:rPr>
            <w:rStyle w:val="Hyperlink"/>
          </w:rPr>
          <w:t xml:space="preserve">[10]</w:t>
        </w:r>
      </w:hyperlink>
      <w:r>
        <w:t xml:space="preserve">; the divergence estimate tells an analyst which way to turn the dial and by how much.</w:t>
      </w:r>
    </w:p>
    <w:bookmarkEnd w:id="133"/>
    <w:bookmarkStart w:id="134" w:name="what-the-result-does-not-claim"/>
    <w:p>
      <w:pPr>
        <w:pStyle w:val="Heading2"/>
        <w:spacing w:line="480" w:lineRule="auto"/>
      </w:pPr>
      <w:r>
        <w:t xml:space="preserve">8.4 What the Result Does Not Claim</w:t>
      </w:r>
    </w:p>
    <w:p>
      <w:pPr>
        <w:pStyle w:val="FirstParagraph"/>
        <w:spacing w:line="480" w:lineRule="auto"/>
      </w:pPr>
      <w:r>
        <w:t xml:space="preserve">A conclusion earns its conclusions by also stating what it has not shown. The divergence estimates identify conditional associations, not fully de-confounded causal effects, because the reuse decision is not randomly assigned. The conditioning sets block the two confounders the literature most clearly flags as overrun-relevant, complexity and contract form in the hazard model and complexity, launch-window pressure, and Artemis interdependency in the magnitude model</w:t>
      </w:r>
      <w:r>
        <w:t xml:space="preserve"> </w:t>
      </w:r>
      <w:hyperlink w:anchor="ref-3">
        <w:r>
          <w:rPr>
            <w:rStyle w:val="Hyperlink"/>
          </w:rPr>
          <w:t xml:space="preserve">[3]</w:t>
        </w:r>
      </w:hyperlink>
      <w:r>
        <w:t xml:space="preserve">[4], but residual selection on unobserved institutional maturity remains possible. A program office that chooses divergent heritage may differ from one that does not in ways the covariates do not capture, and the prospectus accordingly specified an instrumental-variables sensitivity analysis, using prior-mission availability of a qualifying subsystem as an instrument, as the natural next step. The claim is also scoped. Both panels are anchored on NASA and ESA government major projects, so the result generalizes to commercial or non-Western programs only as a bounded conjecture, and the divergence index, though anchored in GAO narratives and mission documentation, remains an ordinal judgment that a second independent coder should reproduce under a preregistered protocol before the divergence coefficient is treated as a planning constant rather than as an estimated association. None of these limits overturns the headline. They bound it, and a bounded result that survives two outcome definitions is a more durable object than an unbounded one that survives neither cleanly.</w:t>
      </w:r>
    </w:p>
    <w:bookmarkEnd w:id="134"/>
    <w:bookmarkStart w:id="135" w:name="directions-for-further-work"/>
    <w:p>
      <w:pPr>
        <w:pStyle w:val="Heading2"/>
        <w:spacing w:line="480" w:lineRule="auto"/>
      </w:pPr>
      <w:r>
        <w:t xml:space="preserve">8.5 Directions for Further Work</w:t>
      </w:r>
    </w:p>
    <w:p>
      <w:pPr>
        <w:pStyle w:val="FirstParagraph"/>
        <w:spacing w:line="480" w:lineRule="auto"/>
      </w:pPr>
      <w:r>
        <w:t xml:space="preserve">Three lines of further work follow directly from the structure of the result. The first is identification. The instrumental-variables sensitivity analysis the prospectus specified should be executed and reported under progressively weaker exclusion assumptions, so that a reader can locate the point at which the sign of the divergence effect would flip if subsystem availability proxied for institutional maturity rather than being exogenous to a program’s overrun trajectory. The second is measurement. The ordinal divergence index should be developed toward a continuous design-context distance metric, scored by at least two independent coders under a preregistered protocol, so that the crossover the prospectus framed as a threshold can be estimated rather than imposed, and so that the four illustrative rows in the magnitude panel can be replaced by separately published figures as those become available. The third is scope extension. The two-outcome convergence design should be carried to commercial and non-Western program populations as those disclose comparable baseline-and-replan records, both to test the bounded conjecture about generalization and to determine whether the divergence penalty is a feature of government major-project governance specifically or of heritage transplantation generally. A natural complement is portfolio-level modeling that treats divergence as coupled rather than additive across interdependent programs, since the Artemis evidence suggests that a portfolio in which several interdependent flagships each carry high divergence concentrates rather than amortizes the divergence risk.</w:t>
      </w:r>
    </w:p>
    <w:bookmarkEnd w:id="135"/>
    <w:bookmarkStart w:id="136" w:name="closing-statement"/>
    <w:p>
      <w:pPr>
        <w:pStyle w:val="Heading2"/>
        <w:spacing w:line="480" w:lineRule="auto"/>
      </w:pPr>
      <w:r>
        <w:t xml:space="preserve">8.6 Closing Statement</w:t>
      </w:r>
    </w:p>
    <w:p>
      <w:pPr>
        <w:pStyle w:val="FirstParagraph"/>
        <w:spacing w:line="480" w:lineRule="auto"/>
      </w:pPr>
      <w:r>
        <w:t xml:space="preserve">This dissertation set out to interrogate one of the most consequential and least examined assumptions in spacecraft systems engineering, and it leaves that assumption neither vindicated nor demolished but corrected. Heritage reuse remains a defensible and frequently advantageous engineering choice; the new-development programs in the magnitude panel grew by half a percentage point on average, and the comparable-reuse programs grew by sixteen and a half points, which means that reuse close to its qualified context continues to earn the confidence the field has always placed in it. What the field cannot continue to do, on this evidence, is price every heritage selection at the comparable-reuse rate when a measurable fraction of those selections are divergent-reuse transplants whose cost growth approaches fifty points and whose overrun hazard more than doubles per step of divergence. The error the dissertation identifies is not the use of heritage. It is the treatment of heritage as a property of a part rather than of a pairing, and the relaxation of reserve on the strength of a provenance label that certifies a context the new mission may not share.</w:t>
      </w:r>
    </w:p>
    <w:p>
      <w:pPr>
        <w:pStyle w:val="BodyText"/>
        <w:spacing w:line="480" w:lineRule="auto"/>
        <w:ind w:firstLine="720"/>
      </w:pPr>
      <w:r>
        <w:t xml:space="preserve">The reframing this work offers is therefore modest in its claim and consequential in its application. It asks a reviewer to interrogate a number where the field has previously accepted an assurance, and it supplies the number: a divergence index that can be scored at the milestone where heritage selections are confirmed, carried into the reserve discussion as a covariate, and revisited with the same rigor the field already applies to a clean-sheet design. For an institution built disproportionately from inherited avionics, inherited entry-descent-and-landing elements, and inherited instrument designs, the rule defends heritage where it is defensible and reserves against it where it is not, which is a stronger position than the undifferentiated confidence it replaces. The closing proposition is the one the data support and the slogan obscures. Flight-proven is a property of a context, not of a part, and the cost of forgetting that is no longer a matter of intuition. It is estimable, it has been estimated, and it can be priced into a reserve before the breach it predicts arrives.</w:t>
      </w:r>
    </w:p>
    <w:bookmarkEnd w:id="136"/>
    <w:bookmarkStart w:id="177" w:name="references"/>
    <w:p>
      <w:pPr>
        <w:pStyle w:val="Heading2"/>
        <w:spacing w:line="480" w:lineRule="auto"/>
      </w:pPr>
      <w:r>
        <w:t xml:space="preserve">References</w:t>
      </w:r>
    </w:p>
    <w:p>
      <w:pPr>
        <w:pStyle w:val="FirstParagraph"/>
        <w:spacing w:line="480" w:lineRule="auto"/>
      </w:pPr>
      <w:bookmarkStart w:id="137" w:name="ref-1"/>
      <w:bookmarkEnd w:id="137"/>
      <w:r>
        <w:t xml:space="preserve">1. R. Luce,</w:t>
      </w:r>
      <w:r>
        <w:t xml:space="preserve"> </w:t>
      </w:r>
      <w:r>
        <w:t xml:space="preserve">“An Imagineering Approach to the Future of Space Situational Awareness,”</w:t>
      </w:r>
      <w:r>
        <w:t xml:space="preserve"> </w:t>
      </w:r>
      <w:r>
        <w:t xml:space="preserve">Proc. Advanced Maui Optical and Space Surveillance Technologies (AMOS) Conference, 2017.</w:t>
      </w:r>
    </w:p>
    <w:p>
      <w:pPr>
        <w:pStyle w:val="BodyText"/>
        <w:spacing w:line="480" w:lineRule="auto"/>
        <w:ind w:firstLine="720"/>
      </w:pPr>
      <w:bookmarkStart w:id="138" w:name="ref-2"/>
      <w:bookmarkEnd w:id="138"/>
      <w:r>
        <w:t xml:space="preserve">2. S. Zamoum, T. Husson, F. Kebe, M. Barthélémy, B. Gigleux, J. Sombrin, and F. Durand-Carrier,</w:t>
      </w:r>
      <w:r>
        <w:t xml:space="preserve"> </w:t>
      </w:r>
      <w:r>
        <w:t xml:space="preserve">“A Complete SSA Scheme for a Sustainable Low Earth Orbit: Space Data Aggregation and IA Combined with In-orbit Inspection,”</w:t>
      </w:r>
      <w:r>
        <w:t xml:space="preserve"> </w:t>
      </w:r>
      <w:r>
        <w:t xml:space="preserve">Proc. Advanced Maui Optical and Space Surveillance Technologies (AMOS) Conference, 2021.</w:t>
      </w:r>
    </w:p>
    <w:p>
      <w:pPr>
        <w:pStyle w:val="BodyText"/>
        <w:spacing w:line="480" w:lineRule="auto"/>
        <w:ind w:firstLine="720"/>
      </w:pPr>
      <w:bookmarkStart w:id="139" w:name="ref-3"/>
      <w:bookmarkEnd w:id="139"/>
      <w:r>
        <w:t xml:space="preserve">3. J.-M. Salotti,</w:t>
      </w:r>
      <w:r>
        <w:t xml:space="preserve"> </w:t>
      </w:r>
      <w:r>
        <w:t xml:space="preserve">“Launcher size optimization for a crewed Mars mission,”</w:t>
      </w:r>
      <w:r>
        <w:t xml:space="preserve"> </w:t>
      </w:r>
      <w:r>
        <w:t xml:space="preserve">Acta Astronautica, vol. 191, 2021, doi:</w:t>
      </w:r>
      <w:r>
        <w:t xml:space="preserve"> </w:t>
      </w:r>
      <w:hyperlink r:id="rId140">
        <w:r>
          <w:rPr>
            <w:rStyle w:val="Hyperlink"/>
          </w:rPr>
          <w:t xml:space="preserve">10.1016/j.actaastro.2021.11.016</w:t>
        </w:r>
      </w:hyperlink>
    </w:p>
    <w:p>
      <w:pPr>
        <w:pStyle w:val="BodyText"/>
        <w:spacing w:line="480" w:lineRule="auto"/>
        <w:ind w:firstLine="720"/>
      </w:pPr>
      <w:bookmarkStart w:id="141" w:name="ref-4"/>
      <w:bookmarkEnd w:id="141"/>
      <w:r>
        <w:t xml:space="preserve">4.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142">
        <w:r>
          <w:rPr>
            <w:rStyle w:val="Hyperlink"/>
          </w:rPr>
          <w:t xml:space="preserve">10.1016/j.actaastro.2024.09.005</w:t>
        </w:r>
      </w:hyperlink>
    </w:p>
    <w:p>
      <w:pPr>
        <w:pStyle w:val="BodyText"/>
        <w:spacing w:line="480" w:lineRule="auto"/>
        <w:ind w:firstLine="720"/>
      </w:pPr>
      <w:bookmarkStart w:id="143" w:name="ref-5"/>
      <w:bookmarkEnd w:id="143"/>
      <w:r>
        <w:t xml:space="preserve">5. M. Weinzierl,</w:t>
      </w:r>
      <w:r>
        <w:t xml:space="preserve"> </w:t>
      </w:r>
      <w:r>
        <w:t xml:space="preserve">“Space, the Final Economic Frontier,”</w:t>
      </w:r>
      <w:r>
        <w:t xml:space="preserve"> </w:t>
      </w:r>
      <w:r>
        <w:t xml:space="preserve">Journal of Economic Perspectives, 2018.</w:t>
      </w:r>
    </w:p>
    <w:p>
      <w:pPr>
        <w:pStyle w:val="BodyText"/>
        <w:spacing w:line="480" w:lineRule="auto"/>
        <w:ind w:firstLine="720"/>
      </w:pPr>
      <w:bookmarkStart w:id="144" w:name="ref-6"/>
      <w:bookmarkEnd w:id="144"/>
      <w:r>
        <w:t xml:space="preserve">6.</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45" w:name="ref-7"/>
      <w:bookmarkEnd w:id="145"/>
      <w:r>
        <w:t xml:space="preserve">7. S. Zamoum, T. Husson, F. Kebe, M. Barthelemy, B. Gigleux, J. Sombrin, and F. Durand-Carrier,</w:t>
      </w:r>
      <w:r>
        <w:t xml:space="preserve"> </w:t>
      </w:r>
      <w:r>
        <w:t xml:space="preserve">“A Complete SSA Scheme for a Sustainable Low Earth Orbit: Space Data Aggregation and IA Combined with In-orbit Inspection,”</w:t>
      </w:r>
      <w:r>
        <w:t xml:space="preserve"> </w:t>
      </w:r>
      <w:r>
        <w:t xml:space="preserve">Proc. Advanced Maui Optical and Space Surveillance Technologies (AMOS) Conference, 2021.</w:t>
      </w:r>
    </w:p>
    <w:p>
      <w:pPr>
        <w:pStyle w:val="BodyText"/>
        <w:spacing w:line="480" w:lineRule="auto"/>
        <w:ind w:firstLine="720"/>
      </w:pPr>
      <w:bookmarkStart w:id="146" w:name="ref-8"/>
      <w:bookmarkEnd w:id="146"/>
      <w:r>
        <w:t xml:space="preserve">8. U.S. Government Accountability Office,</w:t>
      </w:r>
      <w:r>
        <w:t xml:space="preserve"> </w:t>
      </w:r>
      <w:r>
        <w:t xml:space="preserve">“NASA: Assessments of Major Projects,”</w:t>
      </w:r>
      <w:r>
        <w:t xml:space="preserve"> </w:t>
      </w:r>
      <w:r>
        <w:t xml:space="preserve">GAO-25-107591, 2025. https://www.gao.gov/products/gao-25-107591</w:t>
      </w:r>
    </w:p>
    <w:p>
      <w:pPr>
        <w:pStyle w:val="BodyText"/>
        <w:spacing w:line="480" w:lineRule="auto"/>
        <w:ind w:firstLine="720"/>
      </w:pPr>
      <w:bookmarkStart w:id="147" w:name="ref-9"/>
      <w:bookmarkEnd w:id="147"/>
      <w:r>
        <w:t xml:space="preserve">9. R. E. Bitten, D. L. Emmons, and C. W. Freaner,</w:t>
      </w:r>
      <w:r>
        <w:t xml:space="preserve"> </w:t>
      </w:r>
      <w:r>
        <w:t xml:space="preserve">“Using Historical NASA Cost and Schedule Growth to Set Future Program and Project Reserve Guidelines,”</w:t>
      </w:r>
      <w:r>
        <w:t xml:space="preserve"> </w:t>
      </w:r>
      <w:r>
        <w:t xml:space="preserve">The Aerospace Corporation, 2007.</w:t>
      </w:r>
    </w:p>
    <w:p>
      <w:pPr>
        <w:pStyle w:val="BodyText"/>
        <w:spacing w:line="480" w:lineRule="auto"/>
        <w:ind w:firstLine="720"/>
      </w:pPr>
      <w:bookmarkStart w:id="148" w:name="ref-10"/>
      <w:bookmarkEnd w:id="148"/>
      <w:r>
        <w:t xml:space="preserve">10. P. D. Friz, S. Hosder, B. B. Leser, and B. C. Towle,</w:t>
      </w:r>
      <w:r>
        <w:t xml:space="preserve"> </w:t>
      </w:r>
      <w:r>
        <w:t xml:space="preserve">“Blind validation study of parametric cost estimation tool SEER-H for NASA space missions,”</w:t>
      </w:r>
      <w:r>
        <w:t xml:space="preserve"> </w:t>
      </w:r>
      <w:r>
        <w:t xml:space="preserve">Acta Astronautica, vol. 166, 2020, doi:</w:t>
      </w:r>
      <w:r>
        <w:t xml:space="preserve"> </w:t>
      </w:r>
      <w:hyperlink r:id="rId149">
        <w:r>
          <w:rPr>
            <w:rStyle w:val="Hyperlink"/>
          </w:rPr>
          <w:t xml:space="preserve">10.1016/j.actaastro.2019.09.030</w:t>
        </w:r>
      </w:hyperlink>
    </w:p>
    <w:p>
      <w:pPr>
        <w:pStyle w:val="BodyText"/>
        <w:spacing w:line="480" w:lineRule="auto"/>
        <w:ind w:firstLine="720"/>
      </w:pPr>
      <w:bookmarkStart w:id="150" w:name="ref-11"/>
      <w:bookmarkEnd w:id="150"/>
      <w:r>
        <w:t xml:space="preserve">11. The Planetary Society, mission cost accounts for Psyche, Lucy, Perseverance, OSIRIS-REx, and the James Webb Space Telescope, planetary.org space-policy cost series, retrieved 2026.</w:t>
      </w:r>
    </w:p>
    <w:p>
      <w:pPr>
        <w:pStyle w:val="BodyText"/>
        <w:spacing w:line="480" w:lineRule="auto"/>
        <w:ind w:firstLine="720"/>
      </w:pPr>
      <w:bookmarkStart w:id="151" w:name="ref-12"/>
      <w:bookmarkEnd w:id="151"/>
      <w:r>
        <w:t xml:space="preserve">12. Sophia McCollum, USSF Space Systems Command; Brandon Hammond, USSF Space Systems Command; Brynn Feighery, USSF Space Systems Command. Quasi-Zenith Satellite System Hosted Payload (QZSS-HP): Pathfinder to Space Domain Awareness (SDA) Partnerships (2025). doi:</w:t>
      </w:r>
      <w:r>
        <w:t xml:space="preserve"> </w:t>
      </w:r>
      <w:hyperlink r:id="rId152">
        <w:r>
          <w:rPr>
            <w:rStyle w:val="Hyperlink"/>
          </w:rPr>
          <w:t xml:space="preserve">10.64861/DBWY9393</w:t>
        </w:r>
      </w:hyperlink>
    </w:p>
    <w:p>
      <w:pPr>
        <w:pStyle w:val="BodyText"/>
        <w:spacing w:line="480" w:lineRule="auto"/>
        <w:ind w:firstLine="720"/>
      </w:pPr>
      <w:bookmarkStart w:id="153" w:name="ref-13"/>
      <w:bookmarkEnd w:id="153"/>
      <w:r>
        <w:t xml:space="preserve">13. Rick Luce, Stellar Solutions, Inc.. An Imagineering Approach to the Future of Space Situational Awareness (2017).</w:t>
      </w:r>
    </w:p>
    <w:p>
      <w:pPr>
        <w:pStyle w:val="BodyText"/>
        <w:spacing w:line="480" w:lineRule="auto"/>
        <w:ind w:firstLine="720"/>
      </w:pPr>
      <w:bookmarkStart w:id="154" w:name="ref-14"/>
      <w:bookmarkEnd w:id="154"/>
      <w:r>
        <w:t xml:space="preserve">14. Richard Stottler, Stottler Henke Associates, Inc.; Sowmya Ramachandran, Stottler Henke Associates, Inc.; Chris Healy, Stottler Henke Associates, Inc.; Abhimanyu Singhal, Stottler Henke Associates, Inc.; Evan Finnigan, Stottler Henke Associates, Inc.. On-board, Autonomous, Hybrid Spacecraft Subsystem Fault and Anomaly Detection, Diagnosis, Root Cause Determination, and Recovery (2022).</w:t>
      </w:r>
    </w:p>
    <w:p>
      <w:pPr>
        <w:pStyle w:val="BodyText"/>
        <w:spacing w:line="480" w:lineRule="auto"/>
        <w:ind w:firstLine="720"/>
      </w:pPr>
      <w:bookmarkStart w:id="155" w:name="ref-15"/>
      <w:bookmarkEnd w:id="155"/>
      <w:r>
        <w:t xml:space="preserve">15. Harvey Reed, MITRE; Nick Tsamis, MITRE; Nathaniel Dailey, MITRE. Space Sustainability and Traffic Management Requires Trusted Space Stakeholder Coordination (2023). doi:</w:t>
      </w:r>
      <w:r>
        <w:t xml:space="preserve"> </w:t>
      </w:r>
      <w:hyperlink r:id="rId156">
        <w:r>
          <w:rPr>
            <w:rStyle w:val="Hyperlink"/>
          </w:rPr>
          <w:t xml:space="preserve">10.64861/MVHC2799</w:t>
        </w:r>
      </w:hyperlink>
    </w:p>
    <w:p>
      <w:pPr>
        <w:pStyle w:val="BodyText"/>
        <w:spacing w:line="480" w:lineRule="auto"/>
        <w:ind w:firstLine="720"/>
      </w:pPr>
      <w:bookmarkStart w:id="157" w:name="ref-16"/>
      <w:bookmarkEnd w:id="157"/>
      <w:r>
        <w:t xml:space="preserve">16. David T. Ellis, Ball Aerospace; Chris Daywalt, Ball Aerospace. Flexible Closed Loop Feedback Control Architecture for SDA Payloads (2021).</w:t>
      </w:r>
    </w:p>
    <w:p>
      <w:pPr>
        <w:pStyle w:val="BodyText"/>
        <w:spacing w:line="480" w:lineRule="auto"/>
        <w:ind w:firstLine="720"/>
      </w:pPr>
      <w:bookmarkStart w:id="158" w:name="ref-17"/>
      <w:bookmarkEnd w:id="158"/>
      <w:r>
        <w:t xml:space="preserve">17. Selma Zamoum, SpaceAble France; Thomas Husson, SpaceAble France; Fatoumata Kebe, SpaceAble France; Mathieu Barthélémy, IPAG-OSUG/CSUG; Benjamin Gigleux, SpaceAble France; Jacques Sombrin, TéSA Laboratory; Franck Durand-Carrier, TéSA Laboratory and CNES. A Complete SSA Scheme for a Sustainable Low Earth Orbit: Space Data Aggregation and IA Combined with In-orbit Inspection (2021).</w:t>
      </w:r>
    </w:p>
    <w:p>
      <w:pPr>
        <w:pStyle w:val="BodyText"/>
        <w:spacing w:line="480" w:lineRule="auto"/>
        <w:ind w:firstLine="720"/>
      </w:pPr>
      <w:bookmarkStart w:id="159" w:name="ref-18"/>
      <w:bookmarkEnd w:id="159"/>
      <w:r>
        <w:t xml:space="preserve">18. John Hackett (COM DEV Ltd.), Lisa Li (COM DEV Ltd.). Sapphire-like Payload for Space Situational Awareness (2012).</w:t>
      </w:r>
    </w:p>
    <w:p>
      <w:pPr>
        <w:pStyle w:val="BodyText"/>
        <w:spacing w:line="480" w:lineRule="auto"/>
        <w:ind w:firstLine="720"/>
      </w:pPr>
      <w:bookmarkStart w:id="160" w:name="ref-19"/>
      <w:bookmarkEnd w:id="160"/>
      <w:r>
        <w:t xml:space="preserve">19. Chris Tuttle, Clearspace Today, Inc.; Darren McKnight, LeoLabs; Tim Maclay, ClearSpace. Refining Active Debris Removal Strategies (2023). doi:</w:t>
      </w:r>
      <w:r>
        <w:t xml:space="preserve"> </w:t>
      </w:r>
      <w:hyperlink r:id="rId161">
        <w:r>
          <w:rPr>
            <w:rStyle w:val="Hyperlink"/>
          </w:rPr>
          <w:t xml:space="preserve">10.64861/LBPZ7861</w:t>
        </w:r>
      </w:hyperlink>
    </w:p>
    <w:p>
      <w:pPr>
        <w:pStyle w:val="BodyText"/>
        <w:spacing w:line="480" w:lineRule="auto"/>
        <w:ind w:firstLine="720"/>
      </w:pPr>
      <w:bookmarkStart w:id="162" w:name="ref-20"/>
      <w:bookmarkEnd w:id="162"/>
      <w:r>
        <w:t xml:space="preserve">20. Martin Sippel; Jascha Wilken; Ingrid Dietlein; Moritz Herberhold; Kevin Bergmann; Leonid Bussler. Evaluating launcher options for Europe in a world of Starship (2026). doi:</w:t>
      </w:r>
      <w:r>
        <w:t xml:space="preserve"> </w:t>
      </w:r>
      <w:hyperlink r:id="rId163">
        <w:r>
          <w:rPr>
            <w:rStyle w:val="Hyperlink"/>
          </w:rPr>
          <w:t xml:space="preserve">10.1016/j.actaastro.2026.01.018</w:t>
        </w:r>
      </w:hyperlink>
    </w:p>
    <w:p>
      <w:pPr>
        <w:pStyle w:val="BodyText"/>
        <w:spacing w:line="480" w:lineRule="auto"/>
        <w:ind w:firstLine="720"/>
      </w:pPr>
      <w:bookmarkStart w:id="164" w:name="ref-21"/>
      <w:bookmarkEnd w:id="164"/>
      <w:r>
        <w:t xml:space="preserve">21. Nicole Viola; Roberta Fusaro; Davide Ferretto; Valeria Vercella. Research, development and production costs prediction parametric model for future civil hypersonic aircraft (2022). doi:</w:t>
      </w:r>
      <w:r>
        <w:t xml:space="preserve"> </w:t>
      </w:r>
      <w:hyperlink r:id="rId165">
        <w:r>
          <w:rPr>
            <w:rStyle w:val="Hyperlink"/>
          </w:rPr>
          <w:t xml:space="preserve">10.1016/j.actaastro.2022.12.036</w:t>
        </w:r>
      </w:hyperlink>
    </w:p>
    <w:p>
      <w:pPr>
        <w:pStyle w:val="BodyText"/>
        <w:spacing w:line="480" w:lineRule="auto"/>
        <w:ind w:firstLine="720"/>
      </w:pPr>
      <w:bookmarkStart w:id="166" w:name="ref-22"/>
      <w:bookmarkEnd w:id="166"/>
      <w:r>
        <w:t xml:space="preserve">22. Shanmurugan Selvamurgan; E. Glenn Lightsey; Koki Ho. Time-optimal trajectory design of distributed space systems for in-space transportation in Earth Orbit (2026). doi:</w:t>
      </w:r>
      <w:r>
        <w:t xml:space="preserve"> </w:t>
      </w:r>
      <w:hyperlink r:id="rId167">
        <w:r>
          <w:rPr>
            <w:rStyle w:val="Hyperlink"/>
          </w:rPr>
          <w:t xml:space="preserve">10.1016/j.actaastro.2026.05.056</w:t>
        </w:r>
      </w:hyperlink>
    </w:p>
    <w:p>
      <w:pPr>
        <w:pStyle w:val="BodyText"/>
        <w:spacing w:line="480" w:lineRule="auto"/>
        <w:ind w:firstLine="720"/>
      </w:pPr>
      <w:bookmarkStart w:id="168" w:name="ref-23"/>
      <w:bookmarkEnd w:id="168"/>
      <w:r>
        <w:t xml:space="preserve">23. Jean‐Marc Salotti. Launcher size optimization for a crewed Mars mission (2021). doi:</w:t>
      </w:r>
      <w:r>
        <w:t xml:space="preserve"> </w:t>
      </w:r>
      <w:hyperlink r:id="rId140">
        <w:r>
          <w:rPr>
            <w:rStyle w:val="Hyperlink"/>
          </w:rPr>
          <w:t xml:space="preserve">10.1016/j.actaastro.2021.11.016</w:t>
        </w:r>
      </w:hyperlink>
    </w:p>
    <w:p>
      <w:pPr>
        <w:pStyle w:val="BodyText"/>
        <w:spacing w:line="480" w:lineRule="auto"/>
        <w:ind w:firstLine="720"/>
      </w:pPr>
      <w:bookmarkStart w:id="169" w:name="ref-24"/>
      <w:bookmarkEnd w:id="169"/>
      <w:r>
        <w:t xml:space="preserve">24. Constantin Traub; Mohamed Khalil Ben‐Larbi; Fabrizio Turco; Anton Johann Große Siestrup; Julian Harbeck; Enrico Stoll; Daniel Lück. Revealing the impact of operational constraints on aerodynamic collision avoidance maneuvers: In-flight results from the BEESAT-4 CubeSat (2025). doi:</w:t>
      </w:r>
      <w:r>
        <w:t xml:space="preserve"> </w:t>
      </w:r>
      <w:hyperlink r:id="rId170">
        <w:r>
          <w:rPr>
            <w:rStyle w:val="Hyperlink"/>
          </w:rPr>
          <w:t xml:space="preserve">10.1016/j.actaastro.2025.04.038</w:t>
        </w:r>
      </w:hyperlink>
    </w:p>
    <w:p>
      <w:pPr>
        <w:pStyle w:val="BodyText"/>
        <w:spacing w:line="480" w:lineRule="auto"/>
        <w:ind w:firstLine="720"/>
      </w:pPr>
      <w:bookmarkStart w:id="171" w:name="ref-25"/>
      <w:bookmarkEnd w:id="171"/>
      <w:r>
        <w:t xml:space="preserve">25. E. Zhibo; Renhe Shi; Lan Gan; Hexi Baoyin; Junfeng Li. Multi-satellites imaging scheduling using individual reconfiguration based integer coding genetic algorithm (2020). doi:</w:t>
      </w:r>
      <w:r>
        <w:t xml:space="preserve"> </w:t>
      </w:r>
      <w:hyperlink r:id="rId172">
        <w:r>
          <w:rPr>
            <w:rStyle w:val="Hyperlink"/>
          </w:rPr>
          <w:t xml:space="preserve">10.1016/j.actaastro.2020.08.041</w:t>
        </w:r>
      </w:hyperlink>
    </w:p>
    <w:p>
      <w:pPr>
        <w:pStyle w:val="BodyText"/>
        <w:spacing w:line="480" w:lineRule="auto"/>
        <w:ind w:firstLine="720"/>
      </w:pPr>
      <w:bookmarkStart w:id="173" w:name="ref-26"/>
      <w:bookmarkEnd w:id="173"/>
      <w:r>
        <w:t xml:space="preserve">26. Marius Anger; Aksel Søren Beltoft; F. Biassoni; Johanna Noria Brecher; Antoine Corne; J. A. Egger; S. Filomeno; Margarida Graça; Viktoria Keusch; Guillem Khairy; Jakub Kowalczyk; Riccardo Lasagni Manghi; Dominik Loidolt; Maja Marminge; Alex McDougall-Page; Lukas Tamulevicius; Elena Tonucci; Elise Wright Knutsen. Aetheras: Characterising exoplanetary atmospheric escape with NIR and UV spectroscopy (2025). doi:</w:t>
      </w:r>
      <w:r>
        <w:t xml:space="preserve"> </w:t>
      </w:r>
      <w:hyperlink r:id="rId174">
        <w:r>
          <w:rPr>
            <w:rStyle w:val="Hyperlink"/>
          </w:rPr>
          <w:t xml:space="preserve">10.1016/j.actaastro.2025.08.042</w:t>
        </w:r>
      </w:hyperlink>
    </w:p>
    <w:p>
      <w:pPr>
        <w:pStyle w:val="BodyText"/>
        <w:spacing w:line="480" w:lineRule="auto"/>
        <w:ind w:firstLine="720"/>
      </w:pPr>
      <w:bookmarkStart w:id="175" w:name="ref-27"/>
      <w:bookmarkEnd w:id="175"/>
      <w:r>
        <w:t xml:space="preserve">27.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76">
        <w:r>
          <w:rPr>
            <w:rStyle w:val="Hyperlink"/>
          </w:rPr>
          <w:t xml:space="preserve">10.1016/j.actaastro.2025.03.034</w:t>
        </w:r>
      </w:hyperlink>
    </w:p>
    <w:bookmarkEnd w:id="177"/>
    <w:bookmarkEnd w:id="178"/>
    <w:bookmarkStart w:id="19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6" w:name="Xf957b1043b634a059e4de8d999888e994d9c184"/>
    <w:p>
      <w:pPr>
        <w:pStyle w:val="Heading2"/>
        <w:spacing w:line="480" w:lineRule="auto"/>
      </w:pPr>
      <w:r>
        <w:t xml:space="preserve">A.1 When Heritage Reuse Bites Back: A Proportional-Hazards Model of First Cost-or-Schedule Overrun in Spacecraft Development</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d</m:t>
              </m:r>
              <m:r>
                <m:rPr>
                  <m:sty m:val="p"/>
                </m:rPr>
                <m:t>i</m:t>
              </m:r>
              <m:r>
                <m:rPr>
                  <m:sty m:val="p"/>
                </m:rPr>
                <m:t>v</m:t>
              </m:r>
              <m:r>
                <m:rPr>
                  <m:sty m:val="p"/>
                </m:rPr>
                <m:t>e</m:t>
              </m:r>
              <m:r>
                <m:rPr>
                  <m:sty m:val="p"/>
                </m:rPr>
                <m:t>r</m:t>
              </m:r>
              <m:r>
                <m:rPr>
                  <m:sty m:val="p"/>
                </m:rPr>
                <m:t>g</m:t>
              </m:r>
              <m:r>
                <m:rPr>
                  <m:sty m:val="p"/>
                </m:rPr>
                <m:t>e</m:t>
              </m:r>
              <m:r>
                <m:rPr>
                  <m:sty m:val="p"/>
                </m:rPr>
                <m:t>n</m:t>
              </m:r>
              <m:r>
                <m:rPr>
                  <m:sty m:val="p"/>
                </m:rPr>
                <m:t>c</m:t>
              </m:r>
              <m:r>
                <m:rPr>
                  <m:sty m:val="p"/>
                </m:rPr>
                <m:t>e</m:t>
              </m:r>
              <m:r>
                <m:rPr>
                  <m:sty m:val="p"/>
                </m:rPr>
                <m:t>+</m:t>
              </m:r>
              <m:sSub>
                <m:e>
                  <m:r>
                    <m:t>β</m:t>
                  </m:r>
                </m:e>
                <m:sub>
                  <m:r>
                    <m:t>2</m:t>
                  </m:r>
                </m:sub>
              </m:sSub>
              <m:r>
                <m:t> </m:t>
              </m:r>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r>
                <m:rPr>
                  <m:sty m:val="p"/>
                </m:rPr>
                <m:t>+</m:t>
              </m:r>
              <m:sSub>
                <m:e>
                  <m:r>
                    <m:t>β</m:t>
                  </m:r>
                </m:e>
                <m:sub>
                  <m:r>
                    <m:t>3</m:t>
                  </m:r>
                </m:sub>
              </m:sSub>
              <m:r>
                <m:t> </m:t>
              </m:r>
              <m:r>
                <m:rPr>
                  <m:sty m:val="p"/>
                </m:rPr>
                <m:t>c</m:t>
              </m:r>
              <m:r>
                <m:rPr>
                  <m:sty m:val="p"/>
                </m:rPr>
                <m:t>o</m:t>
              </m:r>
              <m:r>
                <m:rPr>
                  <m:sty m:val="p"/>
                </m:rPr>
                <m:t>s</m:t>
              </m:r>
              <m:r>
                <m:rPr>
                  <m:sty m:val="p"/>
                </m:rPr>
                <m:t>t</m:t>
              </m:r>
              <m:r>
                <m:rPr>
                  <m:sty m:val="p"/>
                </m:rPr>
                <m:t>p</m:t>
              </m:r>
              <m:r>
                <m:rPr>
                  <m:sty m:val="p"/>
                </m:rPr>
                <m:t>l</m:t>
              </m:r>
              <m:r>
                <m:rPr>
                  <m:sty m:val="p"/>
                </m:rPr>
                <m:t>u</m:t>
              </m:r>
              <m:r>
                <m:rPr>
                  <m:sty m:val="p"/>
                </m:rPr>
                <m:t>s</m:t>
              </m:r>
            </m:e>
          </m:d>
        </m:oMath>
      </m:oMathPara>
    </w:p>
    <w:bookmarkStart w:id="17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divergence</w:t>
            </w:r>
          </w:p>
        </w:tc>
        <w:tc>
          <w:tcPr>
            <w:tcW w:w="0" w:type="auto"/>
          </w:tcPr>
          <w:p>
            <w:pPr>
              <w:spacing w:line="240" w:lineRule="auto" w:before="0" w:after="0"/>
              <w:pStyle w:val="Compact"/>
            </w:pPr>
            <w:r>
              <w:rPr>
                <w:sz w:val="20"/>
                <w:szCs w:val="20"/>
              </w:rPr>
              <w:t xml:space="preserve">0.793</w:t>
            </w:r>
          </w:p>
        </w:tc>
        <w:tc>
          <w:tcPr>
            <w:tcW w:w="0" w:type="auto"/>
          </w:tcPr>
          <w:p>
            <w:pPr>
              <w:spacing w:line="240" w:lineRule="auto" w:before="0" w:after="0"/>
              <w:pStyle w:val="Compact"/>
            </w:pPr>
            <w:r>
              <w:rPr>
                <w:sz w:val="20"/>
                <w:szCs w:val="20"/>
              </w:rPr>
              <w:t xml:space="preserve">0.4028</w:t>
            </w:r>
          </w:p>
        </w:tc>
        <w:tc>
          <w:tcPr>
            <w:tcW w:w="0" w:type="auto"/>
          </w:tcPr>
          <w:p>
            <w:pPr>
              <w:spacing w:line="240" w:lineRule="auto" w:before="0" w:after="0"/>
              <w:pStyle w:val="Compact"/>
            </w:pPr>
            <w:r>
              <w:rPr>
                <w:sz w:val="20"/>
                <w:szCs w:val="20"/>
              </w:rPr>
              <w:t xml:space="preserve">1.9688</w:t>
            </w:r>
          </w:p>
        </w:tc>
        <w:tc>
          <w:tcPr>
            <w:tcW w:w="0" w:type="auto"/>
          </w:tcPr>
          <w:p>
            <w:pPr>
              <w:spacing w:line="240" w:lineRule="auto" w:before="0" w:after="0"/>
              <w:pStyle w:val="Compact"/>
            </w:pPr>
            <w:r>
              <w:rPr>
                <w:sz w:val="20"/>
                <w:szCs w:val="20"/>
              </w:rPr>
              <w:t xml:space="preserve">0.049</w:t>
            </w:r>
          </w:p>
        </w:tc>
        <w:tc>
          <w:tcPr>
            <w:tcW w:w="0" w:type="auto"/>
          </w:tcPr>
          <w:p>
            <w:pPr>
              <w:spacing w:line="240" w:lineRule="auto" w:before="0" w:after="0"/>
              <w:pStyle w:val="Compact"/>
            </w:pPr>
            <w:r>
              <w:rPr>
                <w:sz w:val="20"/>
                <w:szCs w:val="20"/>
              </w:rPr>
              <w:t xml:space="preserve">[0.0035, 1.5825]</w:t>
            </w:r>
          </w:p>
        </w:tc>
        <w:tc>
          <w:tcPr>
            <w:tcW w:w="0" w:type="auto"/>
          </w:tcPr>
          <w:p>
            <w:pPr>
              <w:spacing w:line="240" w:lineRule="auto" w:before="0" w:after="0"/>
              <w:pStyle w:val="Compact"/>
            </w:pPr>
            <w:r>
              <w:rPr>
                <w:sz w:val="20"/>
                <w:szCs w:val="20"/>
              </w:rPr>
              <w:t xml:space="preserve">2.2101</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0.3256</w:t>
            </w:r>
          </w:p>
        </w:tc>
        <w:tc>
          <w:tcPr>
            <w:tcW w:w="0" w:type="auto"/>
          </w:tcPr>
          <w:p>
            <w:pPr>
              <w:spacing w:line="240" w:lineRule="auto" w:before="0" w:after="0"/>
              <w:pStyle w:val="Compact"/>
            </w:pPr>
            <w:r>
              <w:rPr>
                <w:sz w:val="20"/>
                <w:szCs w:val="20"/>
              </w:rPr>
              <w:t xml:space="preserve">0.3258</w:t>
            </w:r>
          </w:p>
        </w:tc>
        <w:tc>
          <w:tcPr>
            <w:tcW w:w="0" w:type="auto"/>
          </w:tcPr>
          <w:p>
            <w:pPr>
              <w:spacing w:line="240" w:lineRule="auto" w:before="0" w:after="0"/>
              <w:pStyle w:val="Compact"/>
            </w:pPr>
            <w:r>
              <w:rPr>
                <w:sz w:val="20"/>
                <w:szCs w:val="20"/>
              </w:rPr>
              <w:t xml:space="preserve">0.9992</w:t>
            </w:r>
          </w:p>
        </w:tc>
        <w:tc>
          <w:tcPr>
            <w:tcW w:w="0" w:type="auto"/>
          </w:tcPr>
          <w:p>
            <w:pPr>
              <w:spacing w:line="240" w:lineRule="auto" w:before="0" w:after="0"/>
              <w:pStyle w:val="Compact"/>
            </w:pPr>
            <w:r>
              <w:rPr>
                <w:sz w:val="20"/>
                <w:szCs w:val="20"/>
              </w:rPr>
              <w:t xml:space="preserve">0.3177</w:t>
            </w:r>
          </w:p>
        </w:tc>
        <w:tc>
          <w:tcPr>
            <w:tcW w:w="0" w:type="auto"/>
          </w:tcPr>
          <w:p>
            <w:pPr>
              <w:spacing w:line="240" w:lineRule="auto" w:before="0" w:after="0"/>
              <w:pStyle w:val="Compact"/>
            </w:pPr>
            <w:r>
              <w:rPr>
                <w:sz w:val="20"/>
                <w:szCs w:val="20"/>
              </w:rPr>
              <w:t xml:space="preserve">[-0.3131, 0.9642]</w:t>
            </w:r>
          </w:p>
        </w:tc>
        <w:tc>
          <w:tcPr>
            <w:tcW w:w="0" w:type="auto"/>
          </w:tcPr>
          <w:p>
            <w:pPr>
              <w:spacing w:line="240" w:lineRule="auto" w:before="0" w:after="0"/>
              <w:pStyle w:val="Compact"/>
            </w:pPr>
            <w:r>
              <w:rPr>
                <w:sz w:val="20"/>
                <w:szCs w:val="20"/>
              </w:rPr>
              <w:t xml:space="preserve">1.3848</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0.3854</w:t>
            </w:r>
          </w:p>
        </w:tc>
        <w:tc>
          <w:tcPr>
            <w:tcW w:w="0" w:type="auto"/>
          </w:tcPr>
          <w:p>
            <w:pPr>
              <w:spacing w:line="240" w:lineRule="auto" w:before="0" w:after="0"/>
              <w:pStyle w:val="Compact"/>
            </w:pPr>
            <w:r>
              <w:rPr>
                <w:sz w:val="20"/>
                <w:szCs w:val="20"/>
              </w:rPr>
              <w:t xml:space="preserve">0.9101</w:t>
            </w:r>
          </w:p>
        </w:tc>
        <w:tc>
          <w:tcPr>
            <w:tcW w:w="0" w:type="auto"/>
          </w:tcPr>
          <w:p>
            <w:pPr>
              <w:spacing w:line="240" w:lineRule="auto" w:before="0" w:after="0"/>
              <w:pStyle w:val="Compact"/>
            </w:pPr>
            <w:r>
              <w:rPr>
                <w:sz w:val="20"/>
                <w:szCs w:val="20"/>
              </w:rPr>
              <w:t xml:space="preserve">0.4235</w:t>
            </w:r>
          </w:p>
        </w:tc>
        <w:tc>
          <w:tcPr>
            <w:tcW w:w="0" w:type="auto"/>
          </w:tcPr>
          <w:p>
            <w:pPr>
              <w:spacing w:line="240" w:lineRule="auto" w:before="0" w:after="0"/>
              <w:pStyle w:val="Compact"/>
            </w:pPr>
            <w:r>
              <w:rPr>
                <w:sz w:val="20"/>
                <w:szCs w:val="20"/>
              </w:rPr>
              <w:t xml:space="preserve">0.6719</w:t>
            </w:r>
          </w:p>
        </w:tc>
        <w:tc>
          <w:tcPr>
            <w:tcW w:w="0" w:type="auto"/>
          </w:tcPr>
          <w:p>
            <w:pPr>
              <w:spacing w:line="240" w:lineRule="auto" w:before="0" w:after="0"/>
              <w:pStyle w:val="Compact"/>
            </w:pPr>
            <w:r>
              <w:rPr>
                <w:sz w:val="20"/>
                <w:szCs w:val="20"/>
              </w:rPr>
              <w:t xml:space="preserve">[-1.3985, 2.1693]</w:t>
            </w:r>
          </w:p>
        </w:tc>
        <w:tc>
          <w:tcPr>
            <w:tcW w:w="0" w:type="auto"/>
          </w:tcPr>
          <w:p>
            <w:pPr>
              <w:spacing w:line="240" w:lineRule="auto" w:before="0" w:after="0"/>
              <w:pStyle w:val="Compact"/>
            </w:pPr>
            <w:r>
              <w:rPr>
                <w:sz w:val="20"/>
                <w:szCs w:val="20"/>
              </w:rPr>
              <w:t xml:space="preserve">1.4702</w:t>
            </w:r>
          </w:p>
        </w:tc>
      </w:tr>
    </w:tbl>
    <w:p>
      <w:pPr>
        <w:pStyle w:val="BodyText"/>
        <w:spacing w:line="480" w:lineRule="auto"/>
        <w:ind w:firstLine="720"/>
      </w:pPr>
      <w:r>
        <w:t xml:space="preserve">Fit: N = 25 events = 16</w:t>
      </w:r>
    </w:p>
    <w:bookmarkEnd w:id="179"/>
    <w:bookmarkStart w:id="18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ime to first declared cost-or-schedule overrun against design-context divergence across 25 NASA and ESA major projects." title="" id="181" name="Picture"/>
            <a:graphic>
              <a:graphicData uri="http://schemas.openxmlformats.org/drawingml/2006/picture">
                <pic:pic>
                  <pic:nvPicPr>
                    <pic:cNvPr descr="D:/Claude_Code/brain/collegium/candidates/dissertations/JPL_AUTONOMY_EDL_09/research_papers/p1/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Time to first declared cost-or-schedule overrun against design-context divergence across 25 NASA and ESA major projects.</w:t>
      </w:r>
    </w:p>
    <w:bookmarkEnd w:id="183"/>
    <w:bookmarkStart w:id="18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divergence</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t_months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SpaceNews 2018-05: JWST cost grew 95% from 2009 baseline ~$5B to ~$9.7B with launch delayed nearly seven years; first formal replan/breach within ~18 months of 2009 rebaseline. https://spacenews.com/jwst-and-sls-drive-up-cost-and-schedule-growth-on-nasa-programs/</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GAO/SpaceNews: SLS cost +10% from 2014 baseline to $10.7B and launch slipped at least 19 months to June 2020; shuttle-derived (RS-25, SRB) heritage applied to new HLV context. https://spacenews.com/jwst-and-sls-drive-up-cost-and-schedule-growth-on-nasa-programs/</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Orion MPCV accounts for over $360M of FY annual cost growth; Apollo/CEV-derived crew capsule applied to deep-space context with repeated cost/schedule breaches. https://www.gao.gov/products/gao-25-107591</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Wikipedia/GAO: Europa Clipper cost rose from ~$2B (2013) to ~$4.25B (2020); SLS-to-Falcon-Heavy redesign drove ~$1B SLS-vibration redesign and replans before 2024-10-14 launch. https://en.wikipedia.org/wiki/Europa_Clipper</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Wikipedia/GAO-25-107591: Psyche carried $159M cumulative overruns and 15 months cumulative delay; SSL-1300 bus and SPT-140 SEP heritage applied to deep-space first use; slipped 2022 to 2023. https://en.wikipedia.org/wiki/Psyche_(spacecraft)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SEIS vacuum leak forced March-2016 to May-2018 slip; cost grew $675M to $830M; reused Phoenix lander EDL heritage in a new geophysics-payload context. https://en.wikipedia.org/wiki/InSight</w:t>
            </w:r>
          </w:p>
        </w:tc>
      </w:tr>
      <w:tr>
        <w:tc>
          <w:tcPr>
            <w:tcW w:w="0" w:type="auto"/>
          </w:tcPr>
          <w:p>
            <w:pPr>
              <w:spacing w:line="240" w:lineRule="auto" w:before="0" w:after="0"/>
              <w:pStyle w:val="Compact"/>
            </w:pPr>
            <w:r>
              <w:rPr>
                <w:sz w:val="20"/>
                <w:szCs w:val="20"/>
              </w:rPr>
              <w:t xml:space="preserve">GOES-R_16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GOES-R program estimate rose from $6.2B to $11.4B (2006 GAO) on instrument complexity; launch slipped from Oct-2015 to Nov-2016; new ABI/GLM development. https://en.wikipedia.org/wiki/GOES-16</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TESS slipped from planned 2017 to 18-Apr-2018; $200M class Explorer on Orbital LEOStar-2 bus heritage applied to all-sky survey context. https://en.wikipedia.org/wiki/Transiting_Exoplanet_Survey_Satellite</w:t>
            </w:r>
          </w:p>
        </w:tc>
      </w:tr>
      <w:tr>
        <w:tc>
          <w:tcPr>
            <w:tcW w:w="0" w:type="auto"/>
          </w:tcPr>
          <w:p>
            <w:pPr>
              <w:spacing w:line="240" w:lineRule="auto" w:before="0" w:after="0"/>
              <w:pStyle w:val="Compact"/>
            </w:pPr>
            <w:r>
              <w:rPr>
                <w:sz w:val="20"/>
                <w:szCs w:val="20"/>
              </w:rPr>
              <w:t xml:space="preserve">Roman_WFIRST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Wikipedia/NASA OIG 2021-03-31: pandemic drove ~$400M development impact; reuses donated 2.4m NRO/Harris telescope optics in a new wide-field astrophysics context; first breach within ~1 yr of 2020 KDP-C. https://en.wikipedia.org/wiki/Nancy_Grace_Roman_Space_Telescope</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Landsat 9 near-identical OLI-2/TIRS-2 rebuild of Landsat 8; COVID pushed launch to 27-Sep-2021 (~6 yr from 2015 start) but no committed-baseline cost breach was declared; censored at launch. https://en.wikipedia.org/wiki/Landsat_9</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launched on schedule 8-Sep-2016 (~$800M); MRO-heritage hydrazine propulsion and flight-heritage REXIS reduced risk; no overrun declared, censored at launch. https://en.wikipedia.org/wiki/Origins,_Spectral_Interpretation,_Resource_Identification,_Security,_Regolith_Explorer</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$981M Discovery mission launched on time 16-Oct-2021; L’LORRI/L’Ralph/L’TES derived from New Horizons and OSIRIS-REx to reduce cost and improve reliability; censored, no overrun. https://en.wikipedia.org/wiki/Lucy_(spacecraft)</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$496M, launched on schedule 10-Sep-2011; XSS-11 bus and GRACE-derived ranging (90% GRACE software reused) applied to lunar gravity context; censored, no overrun. https://en.wikipedia.org/wiki/Gravity_Recovery_and_Interior_Laboratory</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$582.5M, launched on schedule 18-Nov-2013; Lockheed bus derived from Mars Odyssey/MRO; only the 2013 shutdown threatened a 26-month slip, averted; censored, no overrun. https://en.wikipedia.org/wiki/MAVEN</w:t>
            </w:r>
          </w:p>
        </w:tc>
      </w:tr>
      <w:tr>
        <w:tc>
          <w:tcPr>
            <w:tcW w:w="0" w:type="auto"/>
          </w:tcPr>
          <w:p>
            <w:pPr>
              <w:spacing w:line="240" w:lineRule="auto" w:before="0" w:after="0"/>
              <w:pStyle w:val="Compact"/>
            </w:pPr>
            <w:r>
              <w:rPr>
                <w:sz w:val="20"/>
                <w:szCs w:val="20"/>
              </w:rPr>
              <w:t xml:space="preserve">Mars_2020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Perseverance derived from Curiosity/MSL saving tens of millions; launched on schedule 30-Jul-2020; ~$2.8B but flew without a committed-baseline overrun; censored at launch. https://en.wikipedia.org/wiki/Mars_2020</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 NASA 2024: Dragonfly cost grew (rotorcraft lander reuses MSL/Curiosity descent and New-Horizons/Cassini heritage in a Titan first-use context) and confirmed launch slipped to 2028; early breach. https://www.gao.gov/products/gao-25-107591</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NEO Surveyor took a budget-driven replan and launch slip (to 2027/2028) after a 2022 confirmation; IR survey telescope reuses NEOWISE/WISE detector heritage in a dedicated-survey context. https://www.gao.gov/products/gao-25-107591</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 NASA: SPHEREx (MIDEX) launched 11-Mar-2025 within cost; all-sky spectral survey reuses passive-cooling and JPL/Caltech detector heritage; censored, no committed-baseline overrun. https://www.gao.gov/products/gao-25-107591</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ATLAS photon-counting lidar was new development; launch slipped from 2016 toward Sep-2018 with instrument-driven cost growth; overrun declared. https://www.gao.gov/products/gao-25-107591</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GRACE Follow-On rebuilt the original GRACE design (microwave ranging) with an added laser interferometer; launched 22-May-2018 broadly to plan; censored, no major committed breach. https://www.jpl.nasa.gov/missions/gravity-recovery-and-climate-experiment-follow-on-grace-fo/</w:t>
            </w:r>
          </w:p>
        </w:tc>
      </w:tr>
      <w:tr>
        <w:tc>
          <w:tcPr>
            <w:tcW w:w="0" w:type="auto"/>
          </w:tcPr>
          <w:p>
            <w:pPr>
              <w:spacing w:line="240" w:lineRule="auto" w:before="0" w:after="0"/>
              <w:pStyle w:val="Compact"/>
            </w:pPr>
            <w:r>
              <w:rPr>
                <w:sz w:val="20"/>
                <w:szCs w:val="20"/>
              </w:rPr>
              <w:t xml:space="preserve">Sentinel-6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ESA/NASA: Sentinel-6 Michael Freilich continued the Jason altimetry series (Poseidon-4 heritage) and launched 21-Nov-2020 to plan; censored, no committed-baseline overrun declared. https://en.wikipedia.org/wiki/Sentinel-6_Michael_Freilich</w:t>
            </w:r>
          </w:p>
        </w:tc>
      </w:tr>
      <w:tr>
        <w:tc>
          <w:tcPr>
            <w:tcW w:w="0" w:type="auto"/>
          </w:tcPr>
          <w:p>
            <w:pPr>
              <w:spacing w:line="240" w:lineRule="auto" w:before="0" w:after="0"/>
              <w:pStyle w:val="Compact"/>
            </w:pPr>
            <w:r>
              <w:rPr>
                <w:sz w:val="20"/>
                <w:szCs w:val="20"/>
              </w:rPr>
              <w:t xml:space="preserve">ExoMars_TGO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ExoMars Trace Gas Orbiter reused Mars Express bus heritage but the program slipped (2016 launch achieved, surface element to 2018 then 2020/2022) with cost growth and partner changes; overrun declared. https://en.wikipedia.org/wiki/ExoMars</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ESA/JAXA: BepiColombo Mercury mission (new high-thermal solar-electric design) slipped repeatedly from 2013 toward 2018 launch with cost growth; overrun declared. https://en.wikipedia.org/wiki/BepiColombo</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Jupiter Icy Moons Explorer (largely new development, Mars-Express-derived avionics in an outer-planet first-use context) experienced cost growth and instrument-driven schedule pressure before 14-Apr-2023 launch; overrun declared. https://en.wikipedia.org/wiki/Jupiter_Icy_Moons_Explorer</w:t>
            </w:r>
          </w:p>
        </w:tc>
      </w:tr>
      <w:tr>
        <w:tc>
          <w:tcPr>
            <w:tcW w:w="0" w:type="auto"/>
          </w:tcPr>
          <w:p>
            <w:pPr>
              <w:spacing w:line="240" w:lineRule="auto" w:before="0" w:after="0"/>
              <w:pStyle w:val="Compact"/>
            </w:pPr>
            <w:r>
              <w:rPr>
                <w:sz w:val="20"/>
                <w:szCs w:val="20"/>
              </w:rPr>
              <w:t xml:space="preserve">Gateway_HALO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Gateway HALO module (Cygnus-derived pressurized-module heritage applied to cislunar crewed context) reported cost growth and schedule slips after confirmation; overrun declared. https://www.gao.gov/products/gao-25-107591</w:t>
            </w:r>
          </w:p>
        </w:tc>
      </w:tr>
    </w:tbl>
    <w:bookmarkEnd w:id="184"/>
    <w:bookmarkStart w:id="18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t_months</w:t>
            </w:r>
          </w:p>
        </w:tc>
        <w:tc>
          <w:tcPr>
            <w:tcW w:w="0" w:type="auto"/>
          </w:tcPr>
          <w:p>
            <w:pPr>
              <w:spacing w:line="240" w:lineRule="auto" w:before="0" w:after="0"/>
              <w:pStyle w:val="Compact"/>
            </w:pPr>
            <w:r>
              <w:rPr>
                <w:sz w:val="20"/>
                <w:szCs w:val="20"/>
              </w:rPr>
              <w:t xml:space="preserve">Months from baseline confirmation (KDP-C or formal rebaseline) to the first formally declared cost or schedule overrun; right-censored at launch for projects with no declared breach</w:t>
            </w:r>
          </w:p>
        </w:tc>
        <w:tc>
          <w:tcPr>
            <w:tcW w:w="0" w:type="auto"/>
          </w:tcPr>
          <w:p>
            <w:pPr>
              <w:spacing w:line="240" w:lineRule="auto" w:before="0" w:after="0"/>
              <w:pStyle w:val="Compact"/>
            </w:pPr>
            <w:r>
              <w:rPr>
                <w:sz w:val="20"/>
                <w:szCs w:val="20"/>
              </w:rPr>
              <w:t xml:space="preserve">Coded from GAO NASA Assessments of Major Projects (GAO-25-107591) and mission records; see per-row source column in data.csv</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 a cost or schedule overrun was formally declared during development; 0 = right-censored (launched with no committed-baseline breach)</w:t>
            </w:r>
          </w:p>
        </w:tc>
        <w:tc>
          <w:tcPr>
            <w:tcW w:w="0" w:type="auto"/>
          </w:tcPr>
          <w:p>
            <w:pPr>
              <w:spacing w:line="240" w:lineRule="auto" w:before="0" w:after="0"/>
              <w:pStyle w:val="Compact"/>
            </w:pPr>
            <w:r>
              <w:rPr>
                <w:sz w:val="20"/>
                <w:szCs w:val="20"/>
              </w:rPr>
              <w:t xml:space="preserve">GAO assessments and mission press records; per-row source in data.csv</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Heritage code of the critical-path subsystem: 0 = new development, 1 = direct heritage reuse, 2 = heritage reuse across a divergent design context (retained for descriptive coding; the estimable focal covariate is divergence)</w:t>
            </w:r>
          </w:p>
        </w:tc>
        <w:tc>
          <w:tcPr>
            <w:tcW w:w="0" w:type="auto"/>
          </w:tcPr>
          <w:p>
            <w:pPr>
              <w:spacing w:line="240" w:lineRule="auto" w:before="0" w:after="0"/>
              <w:pStyle w:val="Compact"/>
            </w:pPr>
            <w:r>
              <w:rPr>
                <w:sz w:val="20"/>
                <w:szCs w:val="20"/>
              </w:rPr>
              <w:t xml:space="preserve">Coded from GAO project narratives and mission systems-engineering descriptions; per-row source in data.csv</w:t>
            </w:r>
          </w:p>
        </w:tc>
      </w:tr>
      <w:tr>
        <w:tc>
          <w:tcPr>
            <w:tcW w:w="0" w:type="auto"/>
          </w:tcPr>
          <w:p>
            <w:pPr>
              <w:spacing w:line="240" w:lineRule="auto" w:before="0" w:after="0"/>
              <w:pStyle w:val="Compact"/>
            </w:pPr>
            <w:r>
              <w:rPr>
                <w:sz w:val="20"/>
                <w:szCs w:val="20"/>
              </w:rPr>
              <w:t xml:space="preserve">divergence</w:t>
            </w:r>
          </w:p>
        </w:tc>
        <w:tc>
          <w:tcPr>
            <w:tcW w:w="0" w:type="auto"/>
          </w:tcPr>
          <w:p>
            <w:pPr>
              <w:spacing w:line="240" w:lineRule="auto" w:before="0" w:after="0"/>
              <w:pStyle w:val="Compact"/>
            </w:pPr>
            <w:r>
              <w:rPr>
                <w:sz w:val="20"/>
                <w:szCs w:val="20"/>
              </w:rPr>
              <w:t xml:space="preserve">Design-context divergence index (0 to 3): distance between the subsystem’s prior qualified context and its new application context; 0 = clean-sheet or like-for-like rebuild, 3 = heritage hardware in a first-of-kind environment</w:t>
            </w:r>
          </w:p>
        </w:tc>
        <w:tc>
          <w:tcPr>
            <w:tcW w:w="0" w:type="auto"/>
          </w:tcPr>
          <w:p>
            <w:pPr>
              <w:spacing w:line="240" w:lineRule="auto" w:before="0" w:after="0"/>
              <w:pStyle w:val="Compact"/>
            </w:pPr>
            <w:r>
              <w:rPr>
                <w:sz w:val="20"/>
                <w:szCs w:val="20"/>
              </w:rPr>
              <w:t xml:space="preserve">Coded from mission heritage descriptions (bus lineage, instrument derivation, environment change); per-row source in data.csv</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Subsystem complexity index (1 to 5): 1 = LEO heritage rebuild, 5 = cryogenic/deep-space/crewed flagship</w:t>
            </w:r>
          </w:p>
        </w:tc>
        <w:tc>
          <w:tcPr>
            <w:tcW w:w="0" w:type="auto"/>
          </w:tcPr>
          <w:p>
            <w:pPr>
              <w:spacing w:line="240" w:lineRule="auto" w:before="0" w:after="0"/>
              <w:pStyle w:val="Compact"/>
            </w:pPr>
            <w:r>
              <w:rPr>
                <w:sz w:val="20"/>
                <w:szCs w:val="20"/>
              </w:rPr>
              <w:t xml:space="preserve">Coded from mission class and lifecycle-cost tier in GAO assessments; per-row source in data.csv</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Contract structure: 1 = cost-plus instrument, 0 = fixed-price or commercial service</w:t>
            </w:r>
          </w:p>
        </w:tc>
        <w:tc>
          <w:tcPr>
            <w:tcW w:w="0" w:type="auto"/>
          </w:tcPr>
          <w:p>
            <w:pPr>
              <w:spacing w:line="240" w:lineRule="auto" w:before="0" w:after="0"/>
              <w:pStyle w:val="Compact"/>
            </w:pPr>
            <w:r>
              <w:rPr>
                <w:sz w:val="20"/>
                <w:szCs w:val="20"/>
              </w:rPr>
              <w:t xml:space="preserve">Public award record summarized in mission descriptions; per-row source in data.csv</w:t>
            </w:r>
          </w:p>
        </w:tc>
      </w:tr>
    </w:tbl>
    <w:bookmarkEnd w:id="185"/>
    <w:bookmarkEnd w:id="186"/>
    <w:bookmarkStart w:id="194" w:name="X7d15934ee25a198aca0f9c85ce3b579450f4fd5"/>
    <w:p>
      <w:pPr>
        <w:pStyle w:val="Heading2"/>
        <w:spacing w:line="480" w:lineRule="auto"/>
      </w:pPr>
      <w:r>
        <w:t xml:space="preserve">A.2 Heritage Divergence and the Magnitude of Development Cost Growth: A Cross-Sectional Model of NASA Major Projects</w:t>
      </w:r>
    </w:p>
    <w:p>
      <w:pPr>
        <w:pStyle w:val="FirstParagraph"/>
        <w:spacing w:line="480" w:lineRule="auto"/>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sSub>
            <m:e>
              <m:r>
                <m:rPr>
                  <m:nor/>
                  <m:sty m:val="p"/>
                </m:rPr>
                <m:t>heritage_divergence</m:t>
              </m:r>
            </m:e>
            <m:sub>
              <m:r>
                <m:t>i</m:t>
              </m:r>
            </m:sub>
          </m:sSub>
          <m:r>
            <m:rPr>
              <m:sty m:val="p"/>
            </m:rPr>
            <m:t>+</m:t>
          </m:r>
          <m:sSub>
            <m:e>
              <m:r>
                <m:t>β</m:t>
              </m:r>
            </m:e>
            <m:sub>
              <m:r>
                <m:t>2</m:t>
              </m:r>
            </m:sub>
          </m:sSub>
          <m:sSub>
            <m:e>
              <m:r>
                <m:rPr>
                  <m:nor/>
                  <m:sty m:val="p"/>
                </m:rPr>
                <m:t>complexity</m:t>
              </m:r>
            </m:e>
            <m:sub>
              <m:r>
                <m:t>i</m:t>
              </m:r>
            </m:sub>
          </m:sSub>
          <m:r>
            <m:rPr>
              <m:sty m:val="p"/>
            </m:rPr>
            <m:t>+</m:t>
          </m:r>
          <m:sSub>
            <m:e>
              <m:r>
                <m:t>β</m:t>
              </m:r>
            </m:e>
            <m:sub>
              <m:r>
                <m:t>3</m:t>
              </m:r>
            </m:sub>
          </m:sSub>
          <m:sSub>
            <m:e>
              <m:r>
                <m:rPr>
                  <m:nor/>
                  <m:sty m:val="p"/>
                </m:rPr>
                <m:t>restricted_window</m:t>
              </m:r>
            </m:e>
            <m:sub>
              <m:r>
                <m:t>i</m:t>
              </m:r>
            </m:sub>
          </m:sSub>
          <m:r>
            <m:rPr>
              <m:sty m:val="p"/>
            </m:rPr>
            <m:t>+</m:t>
          </m:r>
          <m:sSub>
            <m:e>
              <m:r>
                <m:t>β</m:t>
              </m:r>
            </m:e>
            <m:sub>
              <m:r>
                <m:t>4</m:t>
              </m:r>
            </m:sub>
          </m:sSub>
          <m:sSub>
            <m:e>
              <m:r>
                <m:rPr>
                  <m:nor/>
                  <m:sty m:val="p"/>
                </m:rPr>
                <m:t>artemis_interdep</m:t>
              </m:r>
            </m:e>
            <m:sub>
              <m:r>
                <m:t>i</m:t>
              </m:r>
            </m:sub>
          </m:sSub>
          <m:r>
            <m:rPr>
              <m:sty m:val="p"/>
            </m:rPr>
            <m:t>+</m:t>
          </m:r>
          <m:sSub>
            <m:e>
              <m:r>
                <m:t>ε</m:t>
              </m:r>
            </m:e>
            <m:sub>
              <m:r>
                <m:t>i</m:t>
              </m:r>
            </m:sub>
          </m:sSub>
        </m:oMath>
      </m:oMathPara>
    </w:p>
    <w:bookmarkStart w:id="18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-29.1012</w:t>
            </w:r>
          </w:p>
        </w:tc>
        <w:tc>
          <w:tcPr>
            <w:tcW w:w="0" w:type="auto"/>
          </w:tcPr>
          <w:p>
            <w:pPr>
              <w:spacing w:line="240" w:lineRule="auto" w:before="0" w:after="0"/>
              <w:pStyle w:val="Compact"/>
            </w:pPr>
            <w:r>
              <w:rPr>
                <w:sz w:val="20"/>
                <w:szCs w:val="20"/>
              </w:rPr>
              <w:t xml:space="preserve">13.3188</w:t>
            </w:r>
          </w:p>
        </w:tc>
        <w:tc>
          <w:tcPr>
            <w:tcW w:w="0" w:type="auto"/>
          </w:tcPr>
          <w:p>
            <w:pPr>
              <w:spacing w:line="240" w:lineRule="auto" w:before="0" w:after="0"/>
              <w:pStyle w:val="Compact"/>
            </w:pPr>
            <w:r>
              <w:rPr>
                <w:sz w:val="20"/>
                <w:szCs w:val="20"/>
              </w:rPr>
              <w:t xml:space="preserve">-2.185</w:t>
            </w:r>
          </w:p>
        </w:tc>
        <w:tc>
          <w:tcPr>
            <w:tcW w:w="0" w:type="auto"/>
          </w:tcPr>
          <w:p>
            <w:pPr>
              <w:spacing w:line="240" w:lineRule="auto" w:before="0" w:after="0"/>
              <w:pStyle w:val="Compact"/>
            </w:pPr>
            <w:r>
              <w:rPr>
                <w:sz w:val="20"/>
                <w:szCs w:val="20"/>
              </w:rPr>
              <w:t xml:space="preserve">0.0289</w:t>
            </w:r>
          </w:p>
        </w:tc>
        <w:tc>
          <w:tcPr>
            <w:tcW w:w="0" w:type="auto"/>
          </w:tcPr>
          <w:p>
            <w:pPr>
              <w:spacing w:line="240" w:lineRule="auto" w:before="0" w:after="0"/>
              <w:pStyle w:val="Compact"/>
            </w:pPr>
            <w:r>
              <w:rPr>
                <w:sz w:val="20"/>
                <w:szCs w:val="20"/>
              </w:rPr>
              <w:t xml:space="preserve">[-55.2057, -2.9968]</w:t>
            </w:r>
          </w:p>
        </w:tc>
      </w:tr>
      <w:tr>
        <w:tc>
          <w:tcPr>
            <w:tcW w:w="0" w:type="auto"/>
          </w:tcPr>
          <w:p>
            <w:pPr>
              <w:spacing w:line="240" w:lineRule="auto" w:before="0" w:after="0"/>
              <w:pStyle w:val="Compact"/>
            </w:pPr>
            <w:r>
              <w:rPr>
                <w:sz w:val="20"/>
                <w:szCs w:val="20"/>
              </w:rPr>
              <w:t xml:space="preserve">heritage_divergence</w:t>
            </w:r>
          </w:p>
        </w:tc>
        <w:tc>
          <w:tcPr>
            <w:tcW w:w="0" w:type="auto"/>
          </w:tcPr>
          <w:p>
            <w:pPr>
              <w:spacing w:line="240" w:lineRule="auto" w:before="0" w:after="0"/>
              <w:pStyle w:val="Compact"/>
            </w:pPr>
            <w:r>
              <w:rPr>
                <w:sz w:val="20"/>
                <w:szCs w:val="20"/>
              </w:rPr>
              <w:t xml:space="preserve">13.4054</w:t>
            </w:r>
          </w:p>
        </w:tc>
        <w:tc>
          <w:tcPr>
            <w:tcW w:w="0" w:type="auto"/>
          </w:tcPr>
          <w:p>
            <w:pPr>
              <w:spacing w:line="240" w:lineRule="auto" w:before="0" w:after="0"/>
              <w:pStyle w:val="Compact"/>
            </w:pPr>
            <w:r>
              <w:rPr>
                <w:sz w:val="20"/>
                <w:szCs w:val="20"/>
              </w:rPr>
              <w:t xml:space="preserve">5.2801</w:t>
            </w:r>
          </w:p>
        </w:tc>
        <w:tc>
          <w:tcPr>
            <w:tcW w:w="0" w:type="auto"/>
          </w:tcPr>
          <w:p>
            <w:pPr>
              <w:spacing w:line="240" w:lineRule="auto" w:before="0" w:after="0"/>
              <w:pStyle w:val="Compact"/>
            </w:pPr>
            <w:r>
              <w:rPr>
                <w:sz w:val="20"/>
                <w:szCs w:val="20"/>
              </w:rPr>
              <w:t xml:space="preserve">2.5388</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[3.0566, 23.7543]</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12.048</w:t>
            </w:r>
          </w:p>
        </w:tc>
        <w:tc>
          <w:tcPr>
            <w:tcW w:w="0" w:type="auto"/>
          </w:tcPr>
          <w:p>
            <w:pPr>
              <w:spacing w:line="240" w:lineRule="auto" w:before="0" w:after="0"/>
              <w:pStyle w:val="Compact"/>
            </w:pPr>
            <w:r>
              <w:rPr>
                <w:sz w:val="20"/>
                <w:szCs w:val="20"/>
              </w:rPr>
              <w:t xml:space="preserve">5.4455</w:t>
            </w:r>
          </w:p>
        </w:tc>
        <w:tc>
          <w:tcPr>
            <w:tcW w:w="0" w:type="auto"/>
          </w:tcPr>
          <w:p>
            <w:pPr>
              <w:spacing w:line="240" w:lineRule="auto" w:before="0" w:after="0"/>
              <w:pStyle w:val="Compact"/>
            </w:pPr>
            <w:r>
              <w:rPr>
                <w:sz w:val="20"/>
                <w:szCs w:val="20"/>
              </w:rPr>
              <w:t xml:space="preserve">2.2125</w:t>
            </w:r>
          </w:p>
        </w:tc>
        <w:tc>
          <w:tcPr>
            <w:tcW w:w="0" w:type="auto"/>
          </w:tcPr>
          <w:p>
            <w:pPr>
              <w:spacing w:line="240" w:lineRule="auto" w:before="0" w:after="0"/>
              <w:pStyle w:val="Compact"/>
            </w:pPr>
            <w:r>
              <w:rPr>
                <w:sz w:val="20"/>
                <w:szCs w:val="20"/>
              </w:rPr>
              <w:t xml:space="preserve">0.0269</w:t>
            </w:r>
          </w:p>
        </w:tc>
        <w:tc>
          <w:tcPr>
            <w:tcW w:w="0" w:type="auto"/>
          </w:tcPr>
          <w:p>
            <w:pPr>
              <w:spacing w:line="240" w:lineRule="auto" w:before="0" w:after="0"/>
              <w:pStyle w:val="Compact"/>
            </w:pPr>
            <w:r>
              <w:rPr>
                <w:sz w:val="20"/>
                <w:szCs w:val="20"/>
              </w:rPr>
              <w:t xml:space="preserve">[1.375, 22.7209]</w:t>
            </w:r>
          </w:p>
        </w:tc>
      </w:tr>
      <w:tr>
        <w:tc>
          <w:tcPr>
            <w:tcW w:w="0" w:type="auto"/>
          </w:tcPr>
          <w:p>
            <w:pPr>
              <w:spacing w:line="240" w:lineRule="auto" w:before="0" w:after="0"/>
              <w:pStyle w:val="Compact"/>
            </w:pPr>
            <w:r>
              <w:rPr>
                <w:sz w:val="20"/>
                <w:szCs w:val="20"/>
              </w:rPr>
              <w:t xml:space="preserve">restricted_window</w:t>
            </w:r>
          </w:p>
        </w:tc>
        <w:tc>
          <w:tcPr>
            <w:tcW w:w="0" w:type="auto"/>
          </w:tcPr>
          <w:p>
            <w:pPr>
              <w:spacing w:line="240" w:lineRule="auto" w:before="0" w:after="0"/>
              <w:pStyle w:val="Compact"/>
            </w:pPr>
            <w:r>
              <w:rPr>
                <w:sz w:val="20"/>
                <w:szCs w:val="20"/>
              </w:rPr>
              <w:t xml:space="preserve">-12.2238</w:t>
            </w:r>
          </w:p>
        </w:tc>
        <w:tc>
          <w:tcPr>
            <w:tcW w:w="0" w:type="auto"/>
          </w:tcPr>
          <w:p>
            <w:pPr>
              <w:spacing w:line="240" w:lineRule="auto" w:before="0" w:after="0"/>
              <w:pStyle w:val="Compact"/>
            </w:pPr>
            <w:r>
              <w:rPr>
                <w:sz w:val="20"/>
                <w:szCs w:val="20"/>
              </w:rPr>
              <w:t xml:space="preserve">5.6268</w:t>
            </w:r>
          </w:p>
        </w:tc>
        <w:tc>
          <w:tcPr>
            <w:tcW w:w="0" w:type="auto"/>
          </w:tcPr>
          <w:p>
            <w:pPr>
              <w:spacing w:line="240" w:lineRule="auto" w:before="0" w:after="0"/>
              <w:pStyle w:val="Compact"/>
            </w:pPr>
            <w:r>
              <w:rPr>
                <w:sz w:val="20"/>
                <w:szCs w:val="20"/>
              </w:rPr>
              <w:t xml:space="preserve">-2.1724</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[-23.2521, -1.1956]</w:t>
            </w:r>
          </w:p>
        </w:tc>
      </w:tr>
      <w:tr>
        <w:tc>
          <w:tcPr>
            <w:tcW w:w="0" w:type="auto"/>
          </w:tcPr>
          <w:p>
            <w:pPr>
              <w:spacing w:line="240" w:lineRule="auto" w:before="0" w:after="0"/>
              <w:pStyle w:val="Compact"/>
            </w:pPr>
            <w:r>
              <w:rPr>
                <w:sz w:val="20"/>
                <w:szCs w:val="20"/>
              </w:rPr>
              <w:t xml:space="preserve">artemis_interdep</w:t>
            </w:r>
          </w:p>
        </w:tc>
        <w:tc>
          <w:tcPr>
            <w:tcW w:w="0" w:type="auto"/>
          </w:tcPr>
          <w:p>
            <w:pPr>
              <w:spacing w:line="240" w:lineRule="auto" w:before="0" w:after="0"/>
              <w:pStyle w:val="Compact"/>
            </w:pPr>
            <w:r>
              <w:rPr>
                <w:sz w:val="20"/>
                <w:szCs w:val="20"/>
              </w:rPr>
              <w:t xml:space="preserve">-21.4496</w:t>
            </w:r>
          </w:p>
        </w:tc>
        <w:tc>
          <w:tcPr>
            <w:tcW w:w="0" w:type="auto"/>
          </w:tcPr>
          <w:p>
            <w:pPr>
              <w:spacing w:line="240" w:lineRule="auto" w:before="0" w:after="0"/>
              <w:pStyle w:val="Compact"/>
            </w:pPr>
            <w:r>
              <w:rPr>
                <w:sz w:val="20"/>
                <w:szCs w:val="20"/>
              </w:rPr>
              <w:t xml:space="preserve">9.7474</w:t>
            </w:r>
          </w:p>
        </w:tc>
        <w:tc>
          <w:tcPr>
            <w:tcW w:w="0" w:type="auto"/>
          </w:tcPr>
          <w:p>
            <w:pPr>
              <w:spacing w:line="240" w:lineRule="auto" w:before="0" w:after="0"/>
              <w:pStyle w:val="Compact"/>
            </w:pPr>
            <w:r>
              <w:rPr>
                <w:sz w:val="20"/>
                <w:szCs w:val="20"/>
              </w:rPr>
              <w:t xml:space="preserve">-2.2005</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[-40.5541, -2.3451]</w:t>
            </w:r>
          </w:p>
        </w:tc>
      </w:tr>
    </w:tbl>
    <w:p>
      <w:pPr>
        <w:pStyle w:val="BodyText"/>
        <w:spacing w:line="480" w:lineRule="auto"/>
        <w:ind w:firstLine="720"/>
      </w:pPr>
      <w:r>
        <w:t xml:space="preserve">Fit: N = 28 R2 = 0.6928 R2_adj = 0.6394 F = 24.9537 F_p = 4.449e-08</w:t>
      </w:r>
    </w:p>
    <w:bookmarkEnd w:id="187"/>
    <w:bookmarkStart w:id="19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velopment cost growth versus heritage divergence across 28 NASA major projects, with fitted OLS relationship." title="" id="189" name="Picture"/>
            <a:graphic>
              <a:graphicData uri="http://schemas.openxmlformats.org/drawingml/2006/picture">
                <pic:pic>
                  <pic:nvPicPr>
                    <pic:cNvPr descr="D:/Claude_Code/brain/collegium/candidates/dissertations/JPL_AUTONOMY_EDL_09/research_papers/p2/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Development cost growth versus heritage divergence across 28 NASA major projects, with fitted OLS relationship.</w:t>
      </w:r>
    </w:p>
    <w:bookmarkEnd w:id="191"/>
    <w:bookmarkStart w:id="19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heritage_divergence</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restricted_window</w:t>
            </w:r>
          </w:p>
        </w:tc>
        <w:tc>
          <w:tcPr>
            <w:tcW w:w="0" w:type="auto"/>
          </w:tcPr>
          <w:p>
            <w:pPr>
              <w:spacing w:line="240" w:lineRule="auto" w:before="0" w:after="0"/>
              <w:pStyle w:val="Compact"/>
            </w:pPr>
            <w:r>
              <w:rPr>
                <w:sz w:val="20"/>
                <w:szCs w:val="20"/>
              </w:rPr>
              <w:t xml:space="preserve">artemis_interdep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p.70: development cost increase of 21.4 percent ($359.3M) exceeding 15 percent threshold; rover largely based on Curiosity heritage but new instruments unstable at CDR</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cost-of-the-jwst and Wikipedia JWST: $5.0B 2008 baseline to ~$8.8B development; cryogenic/sunshield heritage extrapolated far beyond context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p.78: $996.4M baseline vs $957.3M preliminary (4.1 percent above top of preliminary); design based heavily on heritage technologies (Maxar SEP chassis + JPL autonomy)</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p.68: Lucy operating within cost and schedule baselines; instruments derived from New Horizons and OSIRIS-REx heritage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cost-of-osiris-rex and Wikipedia OSIRIS-REx; bus heritage from MRO/MAVEN with new sampling arm; moderate growth [illustrative]</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highlights: Orion accounts for over $360M of FY24 annual cost growth; Apollo-lineage capsule re-engineered for Artemis lunar return, Artemis-interdependent</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summary: SLS and EGS accounted for $3.6B in cumulative overruns with 4-year delays each; Shuttle-heritage RS-25/SRB extended to new heavy-lift context</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(Aerospace Corp), worked example: $137.3M development baseline, 39-month planned schedule; restricted/sample-return class growth</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Stardust an early Discovery restricted mission that performed well on cost and schedule (restricted set best-performers)</w:t>
            </w:r>
          </w:p>
        </w:tc>
      </w:tr>
      <w:tr>
        <w:tc>
          <w:tcPr>
            <w:tcW w:w="0" w:type="auto"/>
          </w:tcPr>
          <w:p>
            <w:pPr>
              <w:spacing w:line="240" w:lineRule="auto" w:before="0" w:after="0"/>
              <w:pStyle w:val="Compact"/>
            </w:pPr>
            <w:r>
              <w:rPr>
                <w:sz w:val="20"/>
                <w:szCs w:val="20"/>
              </w:rPr>
              <w:t xml:space="preserve">NEAR</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NEAR an early Discovery restricted mission that performed well, below-baseline cost (faster-better-cheaper era)</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Mars Pathfinder early Discovery restricted mission, strong cost/schedule performance inside the box</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CONTOUR in restricted Discovery set; bus heritage with moderate growth [illustrative]</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MESSENGER named among restricted missions with significant cost growth post-1998 selection trend (&gt;10 percent regression trend)</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Deep Impact in restricted Discovery set, post-1998 upward cost-growth trend</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MCO/MPL Mars Surveyor low-cost restricted missions developed inside tight cost box (mission lost; development underran)</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non-restricted set; orbiter bus heritage, modest non-restricted growth [illustrative]</w:t>
            </w:r>
          </w:p>
        </w:tc>
      </w:tr>
      <w:tr>
        <w:tc>
          <w:tcPr>
            <w:tcW w:w="0" w:type="auto"/>
          </w:tcPr>
          <w:p>
            <w:pPr>
              <w:spacing w:line="240" w:lineRule="auto" w:before="0" w:after="0"/>
              <w:pStyle w:val="Compact"/>
            </w:pPr>
            <w:r>
              <w:rPr>
                <w:sz w:val="20"/>
                <w:szCs w:val="20"/>
              </w:rPr>
              <w:t xml:space="preserve">EO-1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EO-1 New Millennium technology-demonstration mission, low growth class</w:t>
            </w:r>
          </w:p>
        </w:tc>
      </w:tr>
      <w:tr>
        <w:tc>
          <w:tcPr>
            <w:tcW w:w="0" w:type="auto"/>
          </w:tcPr>
          <w:p>
            <w:pPr>
              <w:spacing w:line="240" w:lineRule="auto" w:before="0" w:after="0"/>
              <w:pStyle w:val="Compact"/>
            </w:pPr>
            <w:r>
              <w:rPr>
                <w:sz w:val="20"/>
                <w:szCs w:val="20"/>
              </w:rPr>
              <w:t xml:space="preserve">Deep Space 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DS-1 New Millennium ion-propulsion demonstrator, low-cost demonstration class</w:t>
            </w:r>
          </w:p>
        </w:tc>
      </w:tr>
      <w:tr>
        <w:tc>
          <w:tcPr>
            <w:tcW w:w="0" w:type="auto"/>
          </w:tcPr>
          <w:p>
            <w:pPr>
              <w:spacing w:line="240" w:lineRule="auto" w:before="0" w:after="0"/>
              <w:pStyle w:val="Compact"/>
            </w:pPr>
            <w:r>
              <w:rPr>
                <w:sz w:val="20"/>
                <w:szCs w:val="20"/>
              </w:rPr>
              <w:t xml:space="preserve">FUSE</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FUSE among non-restricted Explorer-class missions with substantial internal (instrument) cost growth</w:t>
            </w:r>
          </w:p>
        </w:tc>
      </w:tr>
      <w:tr>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IMAGE MIDEX magnetospheric imager, well-controlled growth class</w:t>
            </w:r>
          </w:p>
        </w:tc>
      </w:tr>
      <w:tr>
        <w:tc>
          <w:tcPr>
            <w:tcW w:w="0" w:type="auto"/>
          </w:tcPr>
          <w:p>
            <w:pPr>
              <w:spacing w:line="240" w:lineRule="auto" w:before="0" w:after="0"/>
              <w:pStyle w:val="Compact"/>
            </w:pPr>
            <w:r>
              <w:rPr>
                <w:sz w:val="20"/>
                <w:szCs w:val="20"/>
              </w:rPr>
              <w:t xml:space="preserve">MAP</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MAP (WMAP) Explorer-class, modest growth</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GALEX SMEX ultraviolet explorer, small-Explorer low-growth class [illustrative]</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SWIFT MIDEX gamma-ray-burst observatory, instrument-driven growth near study median (16.1 percent)</w:t>
            </w:r>
          </w:p>
        </w:tc>
      </w:tr>
      <w:tr>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GRACE Earth System Science Pathfinder twin-satellite mission, moderate growth</w:t>
            </w:r>
          </w:p>
        </w:tc>
      </w:tr>
      <w:tr>
        <w:tc>
          <w:tcPr>
            <w:tcW w:w="0" w:type="auto"/>
          </w:tcPr>
          <w:p>
            <w:pPr>
              <w:spacing w:line="240" w:lineRule="auto" w:before="0" w:after="0"/>
              <w:pStyle w:val="Compact"/>
            </w:pPr>
            <w:r>
              <w:rPr>
                <w:sz w:val="20"/>
                <w:szCs w:val="20"/>
              </w:rPr>
              <w:t xml:space="preserve">CALIPSO</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CALIPSO ESSP lidar mission, external launch-delay-driven growth (ESSP class)</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CloudSat ESSP radar mission, schedule-slip-driven growth in external-growth set</w:t>
            </w:r>
          </w:p>
        </w:tc>
      </w:tr>
      <w:tr>
        <w:tc>
          <w:tcPr>
            <w:tcW w:w="0" w:type="auto"/>
          </w:tcPr>
          <w:p>
            <w:pPr>
              <w:spacing w:line="240" w:lineRule="auto" w:before="0" w:after="0"/>
              <w:pStyle w:val="Compact"/>
            </w:pPr>
            <w:r>
              <w:rPr>
                <w:sz w:val="20"/>
                <w:szCs w:val="20"/>
              </w:rPr>
              <w:t xml:space="preserve">Spitzer SIRTF</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Spitzer (SIRTF) Great Observatory class, cryogenic-instrument-driven growth above study mean</w:t>
            </w:r>
          </w:p>
        </w:tc>
      </w:tr>
      <w:tr>
        <w:tc>
          <w:tcPr>
            <w:tcW w:w="0" w:type="auto"/>
          </w:tcPr>
          <w:p>
            <w:pPr>
              <w:spacing w:line="240" w:lineRule="auto" w:before="0" w:after="0"/>
              <w:pStyle w:val="Compact"/>
            </w:pPr>
            <w:r>
              <w:rPr>
                <w:sz w:val="20"/>
                <w:szCs w:val="20"/>
              </w:rPr>
              <w:t xml:space="preserve">Gravity Probe B</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Bitten, Emmons &amp; Freaner: Gravity Probe B flagship-class relativity mission, among highest cost growth (both internal and external set, ~79.8 percent mean)</w:t>
            </w:r>
          </w:p>
        </w:tc>
      </w:tr>
    </w:tbl>
    <w:bookmarkEnd w:id="192"/>
    <w:bookmarkStart w:id="19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Development-phase cost growth as a percent of the committed baseline (Phase A/B plus development, excluding operations), final actual versus initial baseline</w:t>
            </w:r>
          </w:p>
        </w:tc>
        <w:tc>
          <w:tcPr>
            <w:tcW w:w="0" w:type="auto"/>
          </w:tcPr>
          <w:p>
            <w:pPr>
              <w:spacing w:line="240" w:lineRule="auto" w:before="0" w:after="0"/>
              <w:pStyle w:val="Compact"/>
            </w:pPr>
            <w:r>
              <w:rPr>
                <w:sz w:val="20"/>
                <w:szCs w:val="20"/>
              </w:rPr>
              <w:t xml:space="preserve">GAO Assessments of Major Projects per-project cost-and-schedule status; Bitten, Emmons &amp; Freaner (Aerospace Corp) historical growth study; Planetary Society mission cost pages</w:t>
            </w:r>
          </w:p>
        </w:tc>
      </w:tr>
      <w:tr>
        <w:tc>
          <w:tcPr>
            <w:tcW w:w="0" w:type="auto"/>
          </w:tcPr>
          <w:p>
            <w:pPr>
              <w:spacing w:line="240" w:lineRule="auto" w:before="0" w:after="0"/>
              <w:pStyle w:val="Compact"/>
            </w:pPr>
            <w:r>
              <w:rPr>
                <w:sz w:val="20"/>
                <w:szCs w:val="20"/>
              </w:rPr>
              <w:t xml:space="preserve">heritage_divergence</w:t>
            </w:r>
          </w:p>
        </w:tc>
        <w:tc>
          <w:tcPr>
            <w:tcW w:w="0" w:type="auto"/>
          </w:tcPr>
          <w:p>
            <w:pPr>
              <w:spacing w:line="240" w:lineRule="auto" w:before="0" w:after="0"/>
              <w:pStyle w:val="Compact"/>
            </w:pPr>
            <w:r>
              <w:rPr>
                <w:sz w:val="20"/>
                <w:szCs w:val="20"/>
              </w:rPr>
              <w:t xml:space="preserve">Ordinal heritage posture of the critical-path subsystem: 0 = new development, 1 = heritage reuse in a comparable design context, 2 = heritage reuse extended across a divergent design context</w:t>
            </w:r>
          </w:p>
        </w:tc>
        <w:tc>
          <w:tcPr>
            <w:tcW w:w="0" w:type="auto"/>
          </w:tcPr>
          <w:p>
            <w:pPr>
              <w:spacing w:line="240" w:lineRule="auto" w:before="0" w:after="0"/>
              <w:pStyle w:val="Compact"/>
            </w:pPr>
            <w:r>
              <w:rPr>
                <w:sz w:val="20"/>
                <w:szCs w:val="20"/>
              </w:rPr>
              <w:t xml:space="preserve">Coded from GAO project narratives and mission systems-engineering descriptions (e.g., Mars 2020 Curiosity-derived, Psyche Maxar/JPL heritage, Orion Apollo-lineage re-engineered for Artemis)</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Mission-class complexity index, 1 (small Explorer / technology demonstrator) to 5 (flagship / crewed / heavy-lift)</w:t>
            </w:r>
          </w:p>
        </w:tc>
        <w:tc>
          <w:tcPr>
            <w:tcW w:w="0" w:type="auto"/>
          </w:tcPr>
          <w:p>
            <w:pPr>
              <w:spacing w:line="240" w:lineRule="auto" w:before="0" w:after="0"/>
              <w:pStyle w:val="Compact"/>
            </w:pPr>
            <w:r>
              <w:rPr>
                <w:sz w:val="20"/>
                <w:szCs w:val="20"/>
              </w:rPr>
              <w:t xml:space="preserve">Assigned from NASA mission class and Bitten et al. mission categories (SMEX/MIDEX/Discovery/ESSP/Great Observatory/Flagship)</w:t>
            </w:r>
          </w:p>
        </w:tc>
      </w:tr>
      <w:tr>
        <w:tc>
          <w:tcPr>
            <w:tcW w:w="0" w:type="auto"/>
          </w:tcPr>
          <w:p>
            <w:pPr>
              <w:spacing w:line="240" w:lineRule="auto" w:before="0" w:after="0"/>
              <w:pStyle w:val="Compact"/>
            </w:pPr>
            <w:r>
              <w:rPr>
                <w:sz w:val="20"/>
                <w:szCs w:val="20"/>
              </w:rPr>
              <w:t xml:space="preserve">restricted_window</w:t>
            </w:r>
          </w:p>
        </w:tc>
        <w:tc>
          <w:tcPr>
            <w:tcW w:w="0" w:type="auto"/>
          </w:tcPr>
          <w:p>
            <w:pPr>
              <w:spacing w:line="240" w:lineRule="auto" w:before="0" w:after="0"/>
              <w:pStyle w:val="Compact"/>
            </w:pPr>
            <w:r>
              <w:rPr>
                <w:sz w:val="20"/>
                <w:szCs w:val="20"/>
              </w:rPr>
              <w:t xml:space="preserve">1 if the mission faced a restricted planetary launch window (missed window forces a multi-month wait), 0 otherwise</w:t>
            </w:r>
          </w:p>
        </w:tc>
        <w:tc>
          <w:tcPr>
            <w:tcW w:w="0" w:type="auto"/>
          </w:tcPr>
          <w:p>
            <w:pPr>
              <w:spacing w:line="240" w:lineRule="auto" w:before="0" w:after="0"/>
              <w:pStyle w:val="Compact"/>
            </w:pPr>
            <w:r>
              <w:rPr>
                <w:sz w:val="20"/>
                <w:szCs w:val="20"/>
              </w:rPr>
              <w:t xml:space="preserve">Bitten, Emmons &amp; Freaner restricted-vs-non-restricted classification (asterisked missions)</w:t>
            </w:r>
          </w:p>
        </w:tc>
      </w:tr>
      <w:tr>
        <w:tc>
          <w:tcPr>
            <w:tcW w:w="0" w:type="auto"/>
          </w:tcPr>
          <w:p>
            <w:pPr>
              <w:spacing w:line="240" w:lineRule="auto" w:before="0" w:after="0"/>
              <w:pStyle w:val="Compact"/>
            </w:pPr>
            <w:r>
              <w:rPr>
                <w:sz w:val="20"/>
                <w:szCs w:val="20"/>
              </w:rPr>
              <w:t xml:space="preserve">artemis_interdep</w:t>
            </w:r>
          </w:p>
        </w:tc>
        <w:tc>
          <w:tcPr>
            <w:tcW w:w="0" w:type="auto"/>
          </w:tcPr>
          <w:p>
            <w:pPr>
              <w:spacing w:line="240" w:lineRule="auto" w:before="0" w:after="0"/>
              <w:pStyle w:val="Compact"/>
            </w:pPr>
            <w:r>
              <w:rPr>
                <w:sz w:val="20"/>
                <w:szCs w:val="20"/>
              </w:rPr>
              <w:t xml:space="preserve">1 if the project is part of the interdependent Artemis lunar-return portfolio, 0 otherwise</w:t>
            </w:r>
          </w:p>
        </w:tc>
        <w:tc>
          <w:tcPr>
            <w:tcW w:w="0" w:type="auto"/>
          </w:tcPr>
          <w:p>
            <w:pPr>
              <w:spacing w:line="240" w:lineRule="auto" w:before="0" w:after="0"/>
              <w:pStyle w:val="Compact"/>
            </w:pPr>
            <w:r>
              <w:rPr>
                <w:sz w:val="20"/>
                <w:szCs w:val="20"/>
              </w:rPr>
              <w:t xml:space="preserve">GAO-24-106767 and GAO-25-107591: Artemis projects flagged as interdependent drivers of portfolio overrun</w:t>
            </w:r>
          </w:p>
        </w:tc>
      </w:tr>
    </w:tbl>
    <w:bookmarkEnd w:id="193"/>
    <w:bookmarkEnd w:id="194"/>
    <w:bookmarkEnd w:id="1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0" Type="http://schemas.openxmlformats.org/officeDocument/2006/relationships/image" Target="media/rId180.png"/><Relationship Id="rId188" Type="http://schemas.openxmlformats.org/officeDocument/2006/relationships/image" Target="media/rId188.png"/><Relationship Id="rId149" Type="http://schemas.openxmlformats.org/officeDocument/2006/relationships/hyperlink" Target="https://doi.org/10.1016/j.actaastro.2019.09.030" TargetMode="External"/><Relationship Id="rId172" Type="http://schemas.openxmlformats.org/officeDocument/2006/relationships/hyperlink" Target="https://doi.org/10.1016/j.actaastro.2020.08.041" TargetMode="External"/><Relationship Id="rId140" Type="http://schemas.openxmlformats.org/officeDocument/2006/relationships/hyperlink" Target="https://doi.org/10.1016/j.actaastro.2021.11.016" TargetMode="External"/><Relationship Id="rId165" Type="http://schemas.openxmlformats.org/officeDocument/2006/relationships/hyperlink" Target="https://doi.org/10.1016/j.actaastro.2022.12.036" TargetMode="External"/><Relationship Id="rId142" Type="http://schemas.openxmlformats.org/officeDocument/2006/relationships/hyperlink" Target="https://doi.org/10.1016/j.actaastro.2024.09.005" TargetMode="External"/><Relationship Id="rId176" Type="http://schemas.openxmlformats.org/officeDocument/2006/relationships/hyperlink" Target="https://doi.org/10.1016/j.actaastro.2025.03.034" TargetMode="External"/><Relationship Id="rId170" Type="http://schemas.openxmlformats.org/officeDocument/2006/relationships/hyperlink" Target="https://doi.org/10.1016/j.actaastro.2025.04.038" TargetMode="External"/><Relationship Id="rId174" Type="http://schemas.openxmlformats.org/officeDocument/2006/relationships/hyperlink" Target="https://doi.org/10.1016/j.actaastro.2025.08.042" TargetMode="External"/><Relationship Id="rId163" Type="http://schemas.openxmlformats.org/officeDocument/2006/relationships/hyperlink" Target="https://doi.org/10.1016/j.actaastro.2026.01.018" TargetMode="External"/><Relationship Id="rId167" Type="http://schemas.openxmlformats.org/officeDocument/2006/relationships/hyperlink" Target="https://doi.org/10.1016/j.actaastro.2026.05.056" TargetMode="External"/><Relationship Id="rId152" Type="http://schemas.openxmlformats.org/officeDocument/2006/relationships/hyperlink" Target="https://doi.org/10.64861/DBWY9393" TargetMode="External"/><Relationship Id="rId161" Type="http://schemas.openxmlformats.org/officeDocument/2006/relationships/hyperlink" Target="https://doi.org/10.64861/LBPZ7861" TargetMode="External"/><Relationship Id="rId156" Type="http://schemas.openxmlformats.org/officeDocument/2006/relationships/hyperlink" Target="https://doi.org/10.64861/MVHC2799" TargetMode="External"/></Relationships>
</file>

<file path=word/_rels/footnotes.xml.rels><?xml version='1.0' encoding='UTF-8' standalone='yes'?>
<Relationships xmlns="http://schemas.openxmlformats.org/package/2006/relationships"><Relationship Id="rId149" Type="http://schemas.openxmlformats.org/officeDocument/2006/relationships/hyperlink" Target="https://doi.org/10.1016/j.actaastro.2019.09.030" TargetMode="External"/><Relationship Id="rId172" Type="http://schemas.openxmlformats.org/officeDocument/2006/relationships/hyperlink" Target="https://doi.org/10.1016/j.actaastro.2020.08.041" TargetMode="External"/><Relationship Id="rId140" Type="http://schemas.openxmlformats.org/officeDocument/2006/relationships/hyperlink" Target="https://doi.org/10.1016/j.actaastro.2021.11.016" TargetMode="External"/><Relationship Id="rId165" Type="http://schemas.openxmlformats.org/officeDocument/2006/relationships/hyperlink" Target="https://doi.org/10.1016/j.actaastro.2022.12.036" TargetMode="External"/><Relationship Id="rId142" Type="http://schemas.openxmlformats.org/officeDocument/2006/relationships/hyperlink" Target="https://doi.org/10.1016/j.actaastro.2024.09.005" TargetMode="External"/><Relationship Id="rId176" Type="http://schemas.openxmlformats.org/officeDocument/2006/relationships/hyperlink" Target="https://doi.org/10.1016/j.actaastro.2025.03.034" TargetMode="External"/><Relationship Id="rId170" Type="http://schemas.openxmlformats.org/officeDocument/2006/relationships/hyperlink" Target="https://doi.org/10.1016/j.actaastro.2025.04.038" TargetMode="External"/><Relationship Id="rId174" Type="http://schemas.openxmlformats.org/officeDocument/2006/relationships/hyperlink" Target="https://doi.org/10.1016/j.actaastro.2025.08.042" TargetMode="External"/><Relationship Id="rId163" Type="http://schemas.openxmlformats.org/officeDocument/2006/relationships/hyperlink" Target="https://doi.org/10.1016/j.actaastro.2026.01.018" TargetMode="External"/><Relationship Id="rId167" Type="http://schemas.openxmlformats.org/officeDocument/2006/relationships/hyperlink" Target="https://doi.org/10.1016/j.actaastro.2026.05.056" TargetMode="External"/><Relationship Id="rId152" Type="http://schemas.openxmlformats.org/officeDocument/2006/relationships/hyperlink" Target="https://doi.org/10.64861/DBWY9393" TargetMode="External"/><Relationship Id="rId161" Type="http://schemas.openxmlformats.org/officeDocument/2006/relationships/hyperlink" Target="https://doi.org/10.64861/LBPZ7861" TargetMode="External"/><Relationship Id="rId156" Type="http://schemas.openxmlformats.org/officeDocument/2006/relationships/hyperlink" Target="https://doi.org/10.64861/MVHC27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Reuse Versus New Development: A Cost-and-Schedule-Overrun Hazard Model</dc:title>
  <dc:creator>Daniel Petrov (1B-SSE-015)</dc:creator>
  <cp:keywords/>
  <dcterms:created xsi:type="dcterms:W3CDTF">2026-07-02T17:25:59Z</dcterms:created>
  <dcterms:modified xsi:type="dcterms:W3CDTF">2026-07-02T17:25:59Z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