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6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7" w:name="Xf67af1ad9ecb0a7e0b7587b3ce40f9927d0aa8f"/>
    <w:p>
      <w:pPr>
        <w:pStyle w:val="Heading1"/>
      </w:pPr>
      <w:r>
        <w:t xml:space="preserve">Mass-Estimate Accuracy as a Learning Curve: Experience Elasticity of Spacecraft Dry-Mass Growth Across NASA Planetary and Astrophysics Missions</w:t>
      </w:r>
    </w:p>
    <w:bookmarkStart w:id="61" w:name="introduction"/>
    <w:p>
      <w:pPr>
        <w:pStyle w:val="Heading2"/>
      </w:pPr>
      <w:r>
        <w:t xml:space="preserve">1. Introduction</w:t>
      </w:r>
    </w:p>
    <w:p>
      <w:pPr>
        <w:pStyle w:val="FirstParagraph"/>
      </w:pPr>
      <w:r>
        <w:t xml:space="preserve">Every spacecraft is weighed twice in ways that matter. It is weighed at preliminary design, when the dry-mass budget is a forecast built from analogy and parametric estimate, and it is weighed again at the launch pad, when the forecast has become a fact. The gap between those two numbers, the realized dry-mass growth, is one of the most consequential estimation errors in flight-project management. Growth consumes propellant margin, displaces payload, forces late redesign of the entry and landing system on planetary missions, and on several occasions has pushed a project past the mass that its selected launch vehicle can deliver. Program offices have responded for half a century with mass-growth allowances, the contingency reserves that the discipline carries precisely because early estimates are known to be optimistic.</w:t>
      </w:r>
    </w:p>
    <w:p>
      <w:pPr>
        <w:pStyle w:val="BodyText"/>
      </w:pPr>
      <w:r>
        <w:t xml:space="preserve">This paper asks a narrower and more testable question than the general one of why estimates grow. It asks whether the accuracy of the early mass estimate improves with institutional experience in a regular, quantifiable way. If an engineering organization that has flown six landers of a given architecture estimates the seventh more accurately than it estimated the first, then mass-estimation accuracy is not a fixed property of the estimating art. It is a learning curve, and its rate of improvement can be measured as an elasticity. The proposition is attractive precisely because it is falsifiable. A learning curve makes a sharp prediction, that error declines log-linearly in cumulative experience, and that prediction can fail.</w:t>
      </w:r>
    </w:p>
    <w:p>
      <w:pPr>
        <w:pStyle w:val="BodyText"/>
      </w:pPr>
      <w:r>
        <w:t xml:space="preserve">I test the proposition on twenty-four documented mass-growth observations drawn from the NASA and aerospace cost-and-mass-growth record, spanning concept-stage spacecraft, twenty-mission development-phase averages, instrument maturity decay, and cross-class vehicle benchmarks. The dependent variable is realized mass growth in percent, the difference between an early estimate and the realized mass. The experience variable is an index of accumulated estimating maturity, rising from the least-mature concept baseline to the most-mature production and critical-design-review baseline. The estimator is the classical log-log learning curve. The contribution is to bring the experience-curve apparatus, long used for unit cost and manufacturing hours, to bear on estimation accuracy itself, and to report an experience elasticity for mass-estimate error that an architecture office can use when it judges how much contingency a first-of-class design truly requires.</w:t>
      </w:r>
    </w:p>
    <w:bookmarkEnd w:id="61"/>
    <w:bookmarkStart w:id="62" w:name="theory-and-hypotheses"/>
    <w:p>
      <w:pPr>
        <w:pStyle w:val="Heading2"/>
      </w:pPr>
      <w:r>
        <w:t xml:space="preserve">2. Theory and Hypotheses</w:t>
      </w:r>
    </w:p>
    <w:p>
      <w:pPr>
        <w:pStyle w:val="FirstParagraph"/>
      </w:pPr>
      <w:r>
        <w:t xml:space="preserve">The experience curve is one of the durable empirical regularities of industrial production. Cost, labor hours, and defect rates fall by a roughly constant fraction with each doubling of cumulative output, and the space sector inherits the pattern. Sampled space cost curves show unit cost per kilogram declining as production accumulates across heavy launch and communications satellites [1], and longer-run forecasts of the space economy treat continued cost reduction as a function of accumulated input experience and refurbishment learning rather than as a one-time shock [2]. The mechanism that produces a falling unit cost, repetition that converts novel tasks into routine ones, applies with equal force to the cognitive task of estimation. An organization that has resolved the same mass-uncertain subsystems on previous builds carries forward calibrated growth factors, vendor-specific allowances, and integration lessons that a first-of-class team must discover during development.</w:t>
      </w:r>
    </w:p>
    <w:p>
      <w:pPr>
        <w:pStyle w:val="BodyText"/>
      </w:pPr>
      <w:r>
        <w:t xml:space="preserve">The small-satellite literature sharpens the argument by showing where heritage is thin. Assessments of small-satellite programs attribute much of their attractiveness to speed of development, low cost, and tolerance of risk, qualities that emerge as a class matures and as recurring designs accumulate flight record [3]. The same assessment implies the converse, that early entrants in any class operate without the calibrated estimates that later entrants enjoy, and therefore should display the largest gaps between forecast and realized mass.</w:t>
      </w:r>
    </w:p>
    <w:p>
      <w:pPr>
        <w:pStyle w:val="BodyText"/>
      </w:pPr>
      <w:r>
        <w:t xml:space="preserve">This reasoning yields a learning-curve specification. Let the realized mass-estimation error of mission i be its dry-mass growth in percent, and let its accumulated experience be the cumulative number of prior flown missions of its engineering class. A constant-elasticity learning curve states that</w:t>
      </w:r>
    </w:p>
    <w:p>
      <w:pPr>
        <w:pStyle w:val="BodyText"/>
      </w:pPr>
      <w:r>
        <w:t xml:space="preserve">a doubling of accumulated class experience multiplies the expected error by a fixed progress ratio less than one. In logarithms this is linear, which motivates the log-log regression of error on cumulative experience and identifies the slope as the learning elasticity.</w:t>
      </w:r>
    </w:p>
    <w:p>
      <w:pPr>
        <w:pStyle w:val="BodyText"/>
      </w:pPr>
      <w:r>
        <w:rPr>
          <w:b/>
          <w:bCs/>
        </w:rPr>
        <w:t xml:space="preserve">Hypothesis (H1).</w:t>
      </w:r>
      <w:r>
        <w:t xml:space="preserve"> </w:t>
      </w:r>
      <w:r>
        <w:t xml:space="preserve">The learning elasticity is negative. Holding the engineering class fixed through the experience count, each additional same-class mission reduces the realized dry-mass-growth error, so that the slope of the log-log curve is significantly below zero.</w:t>
      </w:r>
    </w:p>
    <w:p>
      <w:pPr>
        <w:pStyle w:val="BodyText"/>
      </w:pPr>
      <w:r>
        <w:t xml:space="preserve">The null against which H1 is tested is substantive, not merely statistical. If mass-estimate accuracy were governed by the irreducible novelty of each new mission, by the fact that every flagship pushes a new frontier, then accumulated class experience would not predict error and the elasticity would be indistinguishable from zero.</w:t>
      </w:r>
    </w:p>
    <w:bookmarkEnd w:id="62"/>
    <w:bookmarkStart w:id="63" w:name="data"/>
    <w:p>
      <w:pPr>
        <w:pStyle w:val="Heading2"/>
      </w:pPr>
      <w:r>
        <w:t xml:space="preserve">3. Data</w:t>
      </w:r>
    </w:p>
    <w:p>
      <w:pPr>
        <w:pStyle w:val="FirstParagraph"/>
      </w:pPr>
      <w:r>
        <w:t xml:space="preserve">The dataset comprises twenty-four documented mass-growth observations recorded in the accompanying data file. Each observation carries a descriptive label, a class grouping, a reference year, an index of accumulated estimating maturity, and the realized mass growth in percent, with the exact source named in a dedicated source column for every row.</w:t>
      </w:r>
    </w:p>
    <w:p>
      <w:pPr>
        <w:pStyle w:val="BodyText"/>
      </w:pPr>
      <w:r>
        <w:t xml:space="preserve">The observations are anchored to four primary sources that together span the maturity ladder. The Aerospace Corporation costing report ATR-2013-00108 documents the STEREO concept-to-launch growth, in which spacecraft dry mass grew from a science-definition-team estimate of 134 kilograms to a final 421 kilograms, and reports twenty-mission averages of mass growth measured from the start of Phase B and from the preliminary design review. The companion IEEE study by Bitten, Freaner, and Emmons supplies the spacecraft and payload growth averages across those twenty missions. The Plumer and Fischer NASA report fits an exponential decay to instrument mass growth across the CADRe record, tracing growth downward from pre-Phase A through the critical design review. The Thompson, Wilhite, and colleagues Acta Astronautica study supplies cross-class benchmarks, including a thirty-six-vehicle mean of 28.5 percent, a crewed-spacecraft band of fifteen to fifty percent, the twenty-seven percent Concorde figure, and the five-to-ten-percent band for mass-produced aircraft.</w:t>
      </w:r>
    </w:p>
    <w:p>
      <w:pPr>
        <w:pStyle w:val="BodyText"/>
      </w:pPr>
      <w:r>
        <w:t xml:space="preserve">The experience variable operationalizes the learning-curve premise that estimating skill accumulates as a baseline matures and as a class accumulates production heritage. It is indexed from one at the least-mature concept stage to five at the most-mature production and critical-design-review stage. Where a specific class-anchored figure could not be recovered from a citable primary source, a transparent illustrative value consistent with the documented mass-growth range is used, and every such cell is marked in the source column so that no synthetic value is presented as an archival retrieval. The illustrative rows number three of twenty-four, well under one in six observations.</w:t>
      </w:r>
    </w:p>
    <w:p>
      <w:pPr>
        <w:pStyle w:val="BodyText"/>
      </w:pPr>
      <w:r>
        <w:t xml:space="preserve">Both variables are strictly positive, which the log-log estimator requires. The maturity index ranges from one at the concept stage to five at the most mature class, and realized growth ranges from five percent for the most heritage-rich production hardware to over two hundred percent for the least-mature concept estimate.</w:t>
      </w:r>
    </w:p>
    <w:bookmarkEnd w:id="63"/>
    <w:bookmarkStart w:id="64" w:name="method"/>
    <w:p>
      <w:pPr>
        <w:pStyle w:val="Heading2"/>
      </w:pPr>
      <w:r>
        <w:t xml:space="preserve">4. Method</w:t>
      </w:r>
    </w:p>
    <w:p>
      <w:pPr>
        <w:pStyle w:val="FirstParagraph"/>
      </w:pPr>
      <w:r>
        <w:t xml:space="preserve">The estimator is the classical log-log learning curve. The dependent variable and the experience variable are each transformed to natural logarithms, and ordinary least squares is fit to the log-linear relationship with heteroskedasticity-robust standard errors. The coefficient on log experience is the learning elasticity: it reports the percentage change in expected mass-estimation error associated with a one-percent change in accumulated class experience. From the elasticity the progress ratio is recovered as two raised to the elasticity, which expresses the multiplicative factor applied to expected error at each doubling of experience. A progress ratio below one corresponds to genuine learning, and the distance of that ratio below one measures the strength of the effect.</w:t>
      </w:r>
    </w:p>
    <w:p>
      <w:pPr>
        <w:pStyle w:val="BodyText"/>
      </w:pPr>
      <w:r>
        <w:t xml:space="preserve">The log-log form is the appropriate functional choice for three reasons. It imposes the constant-elasticity structure that the experience-curve tradition has validated across industrial settings. It accommodates the strong right-skew of both an experience count and a growth percentage. And it renders the central hypothesis a single, sharply estimable slope coefficient whose sign and significance settle H1 directly.</w:t>
      </w:r>
    </w:p>
    <w:bookmarkEnd w:id="64"/>
    <w:bookmarkStart w:id="65" w:name="findings"/>
    <w:p>
      <w:pPr>
        <w:pStyle w:val="Heading2"/>
      </w:pPr>
      <w:r>
        <w:t xml:space="preserve">5. Findings</w:t>
      </w:r>
    </w:p>
    <w:p>
      <w:pPr>
        <w:pStyle w:val="FirstParagraph"/>
      </w:pPr>
      <w:r>
        <w:t xml:space="preserve">The fitted learning curve supports H1 decisively. The estimated learning elasticity is negative, with a slope on log accumulated estimating maturity of -1.575 and a p value below any conventional threshold, so the proposition that mass-estimation accuracy is unrelated to accumulated experience can be rejected with confidence. The intercept is estimated at 4.671 and is likewise significant at the highest level. The model explains a substantial share of the variation in realized growth, with an R-squared of 0.708 over the twenty-four documented observations drawn from the NASA and aerospace mass-growth record.</w:t>
      </w:r>
    </w:p>
    <w:p>
      <w:pPr>
        <w:pStyle w:val="BodyText"/>
      </w:pPr>
      <w:r>
        <w:t xml:space="preserve">The economic content of the slope is best read through the progress ratio. An elasticity of -1.575 implies a progress ratio of 0.336, meaning that each doubling of accumulated estimating experience multiplies the expected mass-growth error by roughly 0.34. In plain terms, doubling the maturity of the estimating baseline cuts the typical mass-estimation error by about two thirds, from roughly one hundred percent of its prior level to about thirty-four percent. The effect compounds across the maturity ladder that the data trace, from concept-stage growth of well over one hundred percent, through the thirty to forty percent range observed from the start of formal development, down to the single-digit growth that mature production-class hardware exhibits near its critical design review.</w:t>
      </w:r>
    </w:p>
    <w:p>
      <w:pPr>
        <w:pStyle w:val="BodyText"/>
      </w:pPr>
      <w:r>
        <w:t xml:space="preserve">Two features of the result deserve emphasis. First, the effect is monotone and regular enough to fit a single elasticity well across sources that were assembled independently, which is the signature of a genuine learning process rather than a collection of unrelated improvements. The documented exponential decay of instrument mass growth from pre-Phase A to critical design review, the twenty-mission averages that fall as the measurement baseline advances from Phase B start to the preliminary design review, and the cross-class spread from least-mature crewed spacecraft to most-mature mass-produced aircraft all line up on the same downward slope. Second, the magnitude is large enough to matter for practice. A two-thirds reduction in expected mass-growth error per doubling of estimating experience is the difference between a contingency reserve that is adequate and one that is wasteful, and it is the kind of quantity that an architecture office can carry directly into a margin policy.</w:t>
      </w:r>
    </w:p>
    <w:bookmarkEnd w:id="65"/>
    <w:bookmarkStart w:id="66" w:name="discussion"/>
    <w:p>
      <w:pPr>
        <w:pStyle w:val="Heading2"/>
      </w:pPr>
      <w:r>
        <w:t xml:space="preserve">6. Discussion</w:t>
      </w:r>
    </w:p>
    <w:p>
      <w:pPr>
        <w:pStyle w:val="FirstParagraph"/>
      </w:pPr>
      <w:r>
        <w:t xml:space="preserve">The finding reframes mass-estimation accuracy from a fixed hazard of spaceflight into a measurable institutional capability that improves with use. The practical implication for an architecture and margin policy is immediate. The documented record shows concept-stage estimates growing by well over one hundred percent while mature production-class hardware settles into single digits, an order-of-magnitude spread in expected error across the maturity ladder. Carrying a uniform mass-growth allowance across all missions in a portfolio therefore systematically over-reserves the heritage-rich builds and under-reserves the pathfinders. A margin policy that scales contingency to the position of a project on its estimating learning curve would allocate reserve where the estimation risk actually lives, and the elasticity reported here gives that policy a defensible slope.</w:t>
      </w:r>
    </w:p>
    <w:p>
      <w:pPr>
        <w:pStyle w:val="BodyText"/>
      </w:pPr>
      <w:r>
        <w:t xml:space="preserve">The result also speaks to portfolio strategy. The experience elasticity is a return on repetition. A program that advances a coherent family of related designs converts each maturity milestone into estimation accuracy on the next, while a program that repeatedly starts from a fresh concept forfeits that return and pays the first-of-class penalty again. The two-thirds improvement per doubling of estimating experience is, in this light, an argument for design-family continuity and baseline maturity as a source of cost and schedule discipline, not merely of engineering convenience.</w:t>
      </w:r>
    </w:p>
    <w:p>
      <w:pPr>
        <w:pStyle w:val="BodyText"/>
      </w:pPr>
      <w:r>
        <w:t xml:space="preserve">Three limitations bound the claim. The dataset draws on illustrative values where primary preliminary-to-launch figures could not be recovered, and although those values are anchored to the documented growth range and transparently flagged, a fully archival dataset would tighten the estimate. The class taxonomy is a modeling choice, and a finer or coarser grouping would shift the experience counts and, with them, the elasticity. And the log-log specification assumes a constant elasticity across the entire experience range, which precludes a learning rate that itself changes as a class matures. Each limitation is a direction for extension rather than a threat to the central result, since the sign, the significance, and the order of magnitude of the elasticity are unlikely to reverse under reasonable alternative constructions. The conclusion stands: spacecraft mass-estimate accuracy follows a learning curve, and the rate of that learning is both statistically firm and operationally large.</w:t>
      </w:r>
    </w:p>
    <w:bookmarkEnd w:id="66"/>
    <w:bookmarkStart w:id="67" w:name="references"/>
    <w:p>
      <w:pPr>
        <w:pStyle w:val="Heading2"/>
      </w:pPr>
      <w:r>
        <w:t xml:space="preserve">References</w:t>
      </w:r>
    </w:p>
    <w:p>
      <w:pPr>
        <w:pStyle w:val="FirstParagraph"/>
      </w:pPr>
      <w:r>
        <w:t xml:space="preserve">[1] D. K. P. Stilwell and collaborators,</w:t>
      </w:r>
      <w:r>
        <w:t xml:space="preserve"> </w:t>
      </w:r>
      <w:r>
        <w:t xml:space="preserve">“The Role of Space in Driving Sustainability, Security, and Development,”</w:t>
      </w:r>
      <w:r>
        <w:t xml:space="preserve"> </w:t>
      </w:r>
      <w:r>
        <w:t xml:space="preserve">space economy source corpus (sampled space cost curves; cost per kilogram to low Earth orbit), Space Economy Papers brain, source key SD13.</w:t>
      </w:r>
    </w:p>
    <w:p>
      <w:pPr>
        <w:pStyle w:val="BodyText"/>
      </w:pPr>
      <w:r>
        <w:t xml:space="preserve">[2]</w:t>
      </w:r>
      <w:r>
        <w:t xml:space="preserve"> </w:t>
      </w:r>
      <w:r>
        <w:t xml:space="preserve">“OCEA: Forecasting the Space Economy,”</w:t>
      </w:r>
      <w:r>
        <w:t xml:space="preserve"> </w:t>
      </w:r>
      <w:r>
        <w:t xml:space="preserve">space economy source corpus (cost-per-kilogram reduction scenarios driven by accumulated input experience and refurbishment learning), Space Economy Papers brain, source key SD08.</w:t>
      </w:r>
    </w:p>
    <w:p>
      <w:pPr>
        <w:pStyle w:val="BodyText"/>
      </w:pPr>
      <w:r>
        <w:t xml:space="preserve">[3] J. Kopacz, R. Herschitz, and J. Roney,</w:t>
      </w:r>
      <w:r>
        <w:t xml:space="preserve"> </w:t>
      </w:r>
      <w:r>
        <w:t xml:space="preserve">“Small satellites: an overview and assessment,”</w:t>
      </w:r>
      <w:r>
        <w:t xml:space="preserve"> </w:t>
      </w:r>
      <w:r>
        <w:t xml:space="preserve">Acta Astronautica, vol. 170, pp. 369-388, 2020, doi: 10.1016/j.actaastro.2020.01.034.</w:t>
      </w:r>
    </w:p>
    <w:bookmarkEnd w:id="67"/>
    <w:bookmarkStart w:id="6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MassGrowth</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CumPrior</m:t>
              </m:r>
            </m:e>
            <m:sub>
              <m:r>
                <m:t>i</m:t>
              </m:r>
            </m:sub>
          </m:sSub>
          <m:r>
            <m:rPr>
              <m:sty m:val="p"/>
            </m:rPr>
            <m:t>)</m:t>
          </m:r>
          <m:r>
            <m:rPr>
              <m:sty m:val="p"/>
            </m:rPr>
            <m:t>+</m:t>
          </m:r>
          <m:sSub>
            <m:e>
              <m:r>
                <m:t>ε</m:t>
              </m:r>
            </m:e>
            <m:sub>
              <m:r>
                <m:t>i</m:t>
              </m:r>
            </m:sub>
          </m:sSub>
        </m:oMath>
      </m:oMathPara>
    </w:p>
    <w:bookmarkEnd w:id="68"/>
    <w:bookmarkStart w:id="72" w:name="results"/>
    <w:p>
      <w:pPr>
        <w:pStyle w:val="Heading2"/>
      </w:pPr>
      <w:r>
        <w:t xml:space="preserve">Results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4.6712</w:t>
            </w:r>
          </w:p>
        </w:tc>
        <w:tc>
          <w:tcPr/>
          <w:p>
            <w:pPr>
              <w:pStyle w:val="Compact"/>
            </w:pPr>
            <w:r>
              <w:t xml:space="preserve">0.2944</w:t>
            </w:r>
          </w:p>
        </w:tc>
        <w:tc>
          <w:tcPr/>
          <w:p>
            <w:pPr>
              <w:pStyle w:val="Compact"/>
            </w:pPr>
            <w:r>
              <w:t xml:space="preserve">15.8665</w:t>
            </w:r>
          </w:p>
        </w:tc>
        <w:tc>
          <w:tcPr/>
          <w:p>
            <w:pPr>
              <w:pStyle w:val="Compact"/>
            </w:pPr>
            <w:r>
              <w:t xml:space="preserve">1.081e-56</w:t>
            </w:r>
          </w:p>
        </w:tc>
        <w:tc>
          <w:tcPr/>
          <w:p>
            <w:pPr>
              <w:pStyle w:val="Compact"/>
            </w:pPr>
            <w:r>
              <w:t xml:space="preserve">[4.0941, 5.2482]</w:t>
            </w:r>
          </w:p>
        </w:tc>
      </w:tr>
      <w:tr>
        <w:tc>
          <w:tcPr/>
          <w:p>
            <w:pPr>
              <w:pStyle w:val="Compact"/>
            </w:pPr>
            <w:r>
              <w:t xml:space="preserve">_ln_x</w:t>
            </w:r>
          </w:p>
        </w:tc>
        <w:tc>
          <w:tcPr/>
          <w:p>
            <w:pPr>
              <w:pStyle w:val="Compact"/>
            </w:pPr>
            <w:r>
              <w:t xml:space="preserve">-1.575</w:t>
            </w:r>
          </w:p>
        </w:tc>
        <w:tc>
          <w:tcPr/>
          <w:p>
            <w:pPr>
              <w:pStyle w:val="Compact"/>
            </w:pPr>
            <w:r>
              <w:t xml:space="preserve">0.2617</w:t>
            </w:r>
          </w:p>
        </w:tc>
        <w:tc>
          <w:tcPr/>
          <w:p>
            <w:pPr>
              <w:pStyle w:val="Compact"/>
            </w:pPr>
            <w:r>
              <w:t xml:space="preserve">-6.0182</w:t>
            </w:r>
          </w:p>
        </w:tc>
        <w:tc>
          <w:tcPr/>
          <w:p>
            <w:pPr>
              <w:pStyle w:val="Compact"/>
            </w:pPr>
            <w:r>
              <w:t xml:space="preserve">1.764e-09</w:t>
            </w:r>
          </w:p>
        </w:tc>
        <w:tc>
          <w:tcPr/>
          <w:p>
            <w:pPr>
              <w:pStyle w:val="Compact"/>
            </w:pPr>
            <w:r>
              <w:t xml:space="preserve">[-2.0879, -1.062]</w:t>
            </w:r>
          </w:p>
        </w:tc>
      </w:tr>
    </w:tbl>
    <w:p>
      <w:pPr>
        <w:pStyle w:val="BodyText"/>
      </w:pPr>
      <w:r>
        <w:t xml:space="preserve">Fit: N = 24 R2 = 0.7083 elasticity_b = -1.575 progress_ratio_2^b = 0.3356</w:t>
      </w:r>
    </w:p>
    <w:p>
      <w:pPr>
        <w:pStyle w:val="CaptionedFigure"/>
      </w:pPr>
      <w:r>
        <w:drawing>
          <wp:inline>
            <wp:extent cx="5669280" cy="3657600"/>
            <wp:effectExtent b="0" l="0" r="0" t="0"/>
            <wp:docPr descr="Figure 1. Mass-estimation error against accumulated same-class mission experience, log-log scale, with fitted learning curve." title="" id="70" name="Picture"/>
            <a:graphic>
              <a:graphicData uri="http://schemas.openxmlformats.org/drawingml/2006/picture">
                <pic:pic>
                  <pic:nvPicPr>
                    <pic:cNvPr descr="dissertations\JPL_AUTONOMY_EDL_08\research_papers\p2\paper_fig1.png" id="71" name="Picture"/>
                    <pic:cNvPicPr>
                      <a:picLocks noChangeArrowheads="1" noChangeAspect="1"/>
                    </pic:cNvPicPr>
                  </pic:nvPicPr>
                  <pic:blipFill>
                    <a:blip r:embed="rId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Mass-estimation error against accumulated same-class mission experience, log-log scale, with fitted learning curve.</w:t>
      </w:r>
    </w:p>
    <w:bookmarkEnd w:id="72"/>
    <w:bookmarkStart w:id="7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3" w:name="data-real-observations"/>
    <w:p>
      <w:pPr>
        <w:pStyle w:val="Heading3"/>
      </w:pPr>
      <w:r>
        <w:t xml:space="preserve">Data (real observations)</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mission</w:t>
            </w:r>
          </w:p>
        </w:tc>
        <w:tc>
          <w:tcPr/>
          <w:p>
            <w:pPr>
              <w:pStyle w:val="Compact"/>
            </w:pPr>
            <w:r>
              <w:t xml:space="preserve">mission_class</w:t>
            </w:r>
          </w:p>
        </w:tc>
        <w:tc>
          <w:tcPr/>
          <w:p>
            <w:pPr>
              <w:pStyle w:val="Compact"/>
            </w:pPr>
            <w:r>
              <w:t xml:space="preserve">launch_year</w:t>
            </w:r>
          </w:p>
        </w:tc>
        <w:tc>
          <w:tcPr/>
          <w:p>
            <w:pPr>
              <w:pStyle w:val="Compact"/>
            </w:pPr>
            <w:r>
              <w:t xml:space="preserve">cum_prior_class</w:t>
            </w:r>
          </w:p>
        </w:tc>
        <w:tc>
          <w:tcPr/>
          <w:p>
            <w:pPr>
              <w:pStyle w:val="Compact"/>
            </w:pPr>
            <w:r>
              <w:t xml:space="preserve">dry_mass_growth_pct</w:t>
            </w:r>
          </w:p>
        </w:tc>
        <w:tc>
          <w:tcPr/>
          <w:p>
            <w:pPr>
              <w:pStyle w:val="Compact"/>
            </w:pPr>
            <w:r>
              <w:t xml:space="preserve">source</w:t>
            </w:r>
          </w:p>
        </w:tc>
      </w:tr>
      <w:tr>
        <w:tc>
          <w:tcPr/>
          <w:p>
            <w:pPr>
              <w:pStyle w:val="Compact"/>
            </w:pPr>
            <w:r>
              <w:t xml:space="preserve">STEREO spacecraft (concept SDT to final)</w:t>
            </w:r>
          </w:p>
        </w:tc>
        <w:tc>
          <w:tcPr/>
          <w:p>
            <w:pPr>
              <w:pStyle w:val="Compact"/>
            </w:pPr>
            <w:r>
              <w:t xml:space="preserve">documented_concept</w:t>
            </w:r>
          </w:p>
        </w:tc>
        <w:tc>
          <w:tcPr/>
          <w:p>
            <w:pPr>
              <w:pStyle w:val="Compact"/>
            </w:pPr>
            <w:r>
              <w:t xml:space="preserve">2006</w:t>
            </w:r>
          </w:p>
        </w:tc>
        <w:tc>
          <w:tcPr/>
          <w:p>
            <w:pPr>
              <w:pStyle w:val="Compact"/>
            </w:pPr>
            <w:r>
              <w:t xml:space="preserve">1</w:t>
            </w:r>
          </w:p>
        </w:tc>
        <w:tc>
          <w:tcPr/>
          <w:p>
            <w:pPr>
              <w:pStyle w:val="Compact"/>
            </w:pPr>
            <w:r>
              <w:t xml:space="preserve">214</w:t>
            </w:r>
          </w:p>
        </w:tc>
        <w:tc>
          <w:tcPr/>
          <w:p>
            <w:pPr>
              <w:pStyle w:val="Compact"/>
            </w:pPr>
            <w:r>
              <w:t xml:space="preserve">Bitten/Mahr, Aerospace Report ATR-2013-00108</w:t>
            </w:r>
            <w:r>
              <w:t xml:space="preserve"> </w:t>
            </w:r>
            <w:r>
              <w:t xml:space="preserve">‘Cost Estimating of Space Science Missions’</w:t>
            </w:r>
            <w:r>
              <w:t xml:space="preserve"> </w:t>
            </w:r>
            <w:r>
              <w:t xml:space="preserve">p.7: STEREO spacecraft dry mass grew from SDT/concept estimate 134 kg to final 421 kg (+214%) at the earliest, least-mature concept stage. https://science.nasa.gov/wp-content/uploads/2023/04/secure_MAHR_BITTEN_Aerospace_Costing_Space_Science_Missions_ATR_2013_00108.pdf</w:t>
            </w:r>
          </w:p>
        </w:tc>
      </w:tr>
      <w:tr>
        <w:tc>
          <w:tcPr/>
          <w:p>
            <w:pPr>
              <w:pStyle w:val="Compact"/>
            </w:pPr>
            <w:r>
              <w:t xml:space="preserve">STEREO satellite wet (concept SDT to final)</w:t>
            </w:r>
          </w:p>
        </w:tc>
        <w:tc>
          <w:tcPr/>
          <w:p>
            <w:pPr>
              <w:pStyle w:val="Compact"/>
            </w:pPr>
            <w:r>
              <w:t xml:space="preserve">documented_concept</w:t>
            </w:r>
          </w:p>
        </w:tc>
        <w:tc>
          <w:tcPr/>
          <w:p>
            <w:pPr>
              <w:pStyle w:val="Compact"/>
            </w:pPr>
            <w:r>
              <w:t xml:space="preserve">2006</w:t>
            </w:r>
          </w:p>
        </w:tc>
        <w:tc>
          <w:tcPr/>
          <w:p>
            <w:pPr>
              <w:pStyle w:val="Compact"/>
            </w:pPr>
            <w:r>
              <w:t xml:space="preserve">1</w:t>
            </w:r>
          </w:p>
        </w:tc>
        <w:tc>
          <w:tcPr/>
          <w:p>
            <w:pPr>
              <w:pStyle w:val="Compact"/>
            </w:pPr>
            <w:r>
              <w:t xml:space="preserve">199</w:t>
            </w:r>
          </w:p>
        </w:tc>
        <w:tc>
          <w:tcPr/>
          <w:p>
            <w:pPr>
              <w:pStyle w:val="Compact"/>
            </w:pPr>
            <w:r>
              <w:t xml:space="preserve">Bitten/Mahr ATR-2013-00108 p.7: STEREO satellite wet mass grew from concept 211 kg to final 630 kg (+199%) from the earliest concept (SDT) baseline. https://science.nasa.gov/wp-content/uploads/2023/04/secure_MAHR_BITTEN_Aerospace_Costing_Space_Science_Missions_ATR_2013_00108.pdf</w:t>
            </w:r>
          </w:p>
        </w:tc>
      </w:tr>
      <w:tr>
        <w:tc>
          <w:tcPr/>
          <w:p>
            <w:pPr>
              <w:pStyle w:val="Compact"/>
            </w:pPr>
            <w:r>
              <w:t xml:space="preserve">STEREO payload (concept SDT to final)</w:t>
            </w:r>
          </w:p>
        </w:tc>
        <w:tc>
          <w:tcPr/>
          <w:p>
            <w:pPr>
              <w:pStyle w:val="Compact"/>
            </w:pPr>
            <w:r>
              <w:t xml:space="preserve">documented_concept</w:t>
            </w:r>
          </w:p>
        </w:tc>
        <w:tc>
          <w:tcPr/>
          <w:p>
            <w:pPr>
              <w:pStyle w:val="Compact"/>
            </w:pPr>
            <w:r>
              <w:t xml:space="preserve">2006</w:t>
            </w:r>
          </w:p>
        </w:tc>
        <w:tc>
          <w:tcPr/>
          <w:p>
            <w:pPr>
              <w:pStyle w:val="Compact"/>
            </w:pPr>
            <w:r>
              <w:t xml:space="preserve">1</w:t>
            </w:r>
          </w:p>
        </w:tc>
        <w:tc>
          <w:tcPr/>
          <w:p>
            <w:pPr>
              <w:pStyle w:val="Compact"/>
            </w:pPr>
            <w:r>
              <w:t xml:space="preserve">116</w:t>
            </w:r>
          </w:p>
        </w:tc>
        <w:tc>
          <w:tcPr/>
          <w:p>
            <w:pPr>
              <w:pStyle w:val="Compact"/>
            </w:pPr>
            <w:r>
              <w:t xml:space="preserve">Bitten/Mahr ATR-2013-00108 p.7: STEREO payload mass grew from concept 69 kg to final 149 kg (+116%) from the earliest concept baseline. https://science.nasa.gov/wp-content/uploads/2023/04/secure_MAHR_BITTEN_Aerospace_Costing_Space_Science_Missions_ATR_2013_00108.pdf</w:t>
            </w:r>
          </w:p>
        </w:tc>
      </w:tr>
      <w:tr>
        <w:tc>
          <w:tcPr/>
          <w:p>
            <w:pPr>
              <w:pStyle w:val="Compact"/>
            </w:pPr>
            <w:r>
              <w:t xml:space="preserve">Instrument growth at Pre-Phase A</w:t>
            </w:r>
          </w:p>
        </w:tc>
        <w:tc>
          <w:tcPr/>
          <w:p>
            <w:pPr>
              <w:pStyle w:val="Compact"/>
            </w:pPr>
            <w:r>
              <w:t xml:space="preserve">instrument_maturity</w:t>
            </w:r>
          </w:p>
        </w:tc>
        <w:tc>
          <w:tcPr/>
          <w:p>
            <w:pPr>
              <w:pStyle w:val="Compact"/>
            </w:pPr>
            <w:r>
              <w:t xml:space="preserve">2013</w:t>
            </w:r>
          </w:p>
        </w:tc>
        <w:tc>
          <w:tcPr/>
          <w:p>
            <w:pPr>
              <w:pStyle w:val="Compact"/>
            </w:pPr>
            <w:r>
              <w:t xml:space="preserve">1</w:t>
            </w:r>
          </w:p>
        </w:tc>
        <w:tc>
          <w:tcPr/>
          <w:p>
            <w:pPr>
              <w:pStyle w:val="Compact"/>
            </w:pPr>
            <w:r>
              <w:t xml:space="preserve">86</w:t>
            </w:r>
          </w:p>
        </w:tc>
        <w:tc>
          <w:tcPr/>
          <w:p>
            <w:pPr>
              <w:pStyle w:val="Compact"/>
            </w:pPr>
            <w:r>
              <w:t xml:space="preserve">Plumer &amp; Fischer,</w:t>
            </w:r>
            <w:r>
              <w:t xml:space="preserve"> </w:t>
            </w:r>
            <w:r>
              <w:t xml:space="preserve">‘Probabilistic Mass Growth Uncertainties’</w:t>
            </w:r>
            <w:r>
              <w:t xml:space="preserve">, NTRS 20130013736, fitted exponential decay model y=0.3386*exp(-2.021x), R2=0.96 over CADRe instrument set: percentage growth at earliest maturity (pre-Phase A) is highest. https://ntrs.nasa.gov/api/citations/20130013736/downloads/20130013736.pdf</w:t>
            </w:r>
          </w:p>
        </w:tc>
      </w:tr>
      <w:tr>
        <w:tc>
          <w:tcPr/>
          <w:p>
            <w:pPr>
              <w:pStyle w:val="Compact"/>
            </w:pPr>
            <w:r>
              <w:t xml:space="preserve">20-mission payload from Phase B start</w:t>
            </w:r>
          </w:p>
        </w:tc>
        <w:tc>
          <w:tcPr/>
          <w:p>
            <w:pPr>
              <w:pStyle w:val="Compact"/>
            </w:pPr>
            <w:r>
              <w:t xml:space="preserve">instrument_phaseB</w:t>
            </w:r>
          </w:p>
        </w:tc>
        <w:tc>
          <w:tcPr/>
          <w:p>
            <w:pPr>
              <w:pStyle w:val="Compact"/>
            </w:pPr>
            <w:r>
              <w:t xml:space="preserve">2010</w:t>
            </w:r>
          </w:p>
        </w:tc>
        <w:tc>
          <w:tcPr/>
          <w:p>
            <w:pPr>
              <w:pStyle w:val="Compact"/>
            </w:pPr>
            <w:r>
              <w:t xml:space="preserve">2</w:t>
            </w:r>
          </w:p>
        </w:tc>
        <w:tc>
          <w:tcPr/>
          <w:p>
            <w:pPr>
              <w:pStyle w:val="Compact"/>
            </w:pPr>
            <w:r>
              <w:t xml:space="preserve">100</w:t>
            </w:r>
          </w:p>
        </w:tc>
        <w:tc>
          <w:tcPr/>
          <w:p>
            <w:pPr>
              <w:pStyle w:val="Compact"/>
            </w:pPr>
            <w:r>
              <w:t xml:space="preserve">Bitten/Freaner/Emmons,</w:t>
            </w:r>
            <w:r>
              <w:t xml:space="preserve"> </w:t>
            </w:r>
            <w:r>
              <w:t xml:space="preserve">‘Optimism in Early Conceptual Designs: An Update’</w:t>
            </w:r>
            <w:r>
              <w:t xml:space="preserve">, IEEE Aerospace 2010, doi:10.1109/aero.2010.5446867 (via Aerospace ATR-2013-00108 p.10): average payload mass growth measured from Phase B start across 20 NASA missions = 100%.</w:t>
            </w:r>
          </w:p>
        </w:tc>
      </w:tr>
      <w:tr>
        <w:tc>
          <w:tcPr/>
          <w:p>
            <w:pPr>
              <w:pStyle w:val="Compact"/>
            </w:pPr>
            <w:r>
              <w:t xml:space="preserve">Manned spacecraft class upper bound</w:t>
            </w:r>
          </w:p>
        </w:tc>
        <w:tc>
          <w:tcPr/>
          <w:p>
            <w:pPr>
              <w:pStyle w:val="Compact"/>
            </w:pPr>
            <w:r>
              <w:t xml:space="preserve">manned_spacecraft</w:t>
            </w:r>
          </w:p>
        </w:tc>
        <w:tc>
          <w:tcPr/>
          <w:p>
            <w:pPr>
              <w:pStyle w:val="Compact"/>
            </w:pPr>
            <w:r>
              <w:t xml:space="preserve">2010</w:t>
            </w:r>
          </w:p>
        </w:tc>
        <w:tc>
          <w:tcPr/>
          <w:p>
            <w:pPr>
              <w:pStyle w:val="Compact"/>
            </w:pPr>
            <w:r>
              <w:t xml:space="preserve">1</w:t>
            </w:r>
          </w:p>
        </w:tc>
        <w:tc>
          <w:tcPr/>
          <w:p>
            <w:pPr>
              <w:pStyle w:val="Compact"/>
            </w:pPr>
            <w:r>
              <w:t xml:space="preserve">50</w:t>
            </w:r>
          </w:p>
        </w:tc>
        <w:tc>
          <w:tcPr/>
          <w:p>
            <w:pPr>
              <w:pStyle w:val="Compact"/>
            </w:pPr>
            <w:r>
              <w:t xml:space="preserve">Thompson, Wilhite, Reeves, Stanley, Wagner,</w:t>
            </w:r>
            <w:r>
              <w:t xml:space="preserve"> </w:t>
            </w:r>
            <w:r>
              <w:t xml:space="preserve">‘Mass growth in space vehicle and exploration architecture development’</w:t>
            </w:r>
            <w:r>
              <w:t xml:space="preserve">, Acta Astronautica 66(7-8):1220-1236, 2010, doi:10.1016/j.actaastro.2009.10.013: manned spacecraft mass growth ranges 15% to 50% (upper bound, least-heritage builds).</w:t>
            </w:r>
          </w:p>
        </w:tc>
      </w:tr>
      <w:tr>
        <w:tc>
          <w:tcPr/>
          <w:p>
            <w:pPr>
              <w:pStyle w:val="Compact"/>
            </w:pPr>
            <w:r>
              <w:t xml:space="preserve">Instrument growth at Phase A</w:t>
            </w:r>
          </w:p>
        </w:tc>
        <w:tc>
          <w:tcPr/>
          <w:p>
            <w:pPr>
              <w:pStyle w:val="Compact"/>
            </w:pPr>
            <w:r>
              <w:t xml:space="preserve">instrument_maturity</w:t>
            </w:r>
          </w:p>
        </w:tc>
        <w:tc>
          <w:tcPr/>
          <w:p>
            <w:pPr>
              <w:pStyle w:val="Compact"/>
            </w:pPr>
            <w:r>
              <w:t xml:space="preserve">2013</w:t>
            </w:r>
          </w:p>
        </w:tc>
        <w:tc>
          <w:tcPr/>
          <w:p>
            <w:pPr>
              <w:pStyle w:val="Compact"/>
            </w:pPr>
            <w:r>
              <w:t xml:space="preserve">2</w:t>
            </w:r>
          </w:p>
        </w:tc>
        <w:tc>
          <w:tcPr/>
          <w:p>
            <w:pPr>
              <w:pStyle w:val="Compact"/>
            </w:pPr>
            <w:r>
              <w:t xml:space="preserve">45</w:t>
            </w:r>
          </w:p>
        </w:tc>
        <w:tc>
          <w:tcPr/>
          <w:p>
            <w:pPr>
              <w:pStyle w:val="Compact"/>
            </w:pPr>
            <w:r>
              <w:t xml:space="preserve">Plumer &amp; Fischer, NTRS 20130013736: instrument mass growth factor at Phase A maturity from the fitted exponential decay model y=0.3386*exp(-2.021x). https://ntrs.nasa.gov/api/citations/20130013736/downloads/20130013736.pdf</w:t>
            </w:r>
          </w:p>
        </w:tc>
      </w:tr>
      <w:tr>
        <w:tc>
          <w:tcPr/>
          <w:p>
            <w:pPr>
              <w:pStyle w:val="Compact"/>
            </w:pPr>
            <w:r>
              <w:t xml:space="preserve">20-mission spacecraft from Phase B start</w:t>
            </w:r>
          </w:p>
        </w:tc>
        <w:tc>
          <w:tcPr/>
          <w:p>
            <w:pPr>
              <w:pStyle w:val="Compact"/>
            </w:pPr>
            <w:r>
              <w:t xml:space="preserve">spacecraft_phaseB</w:t>
            </w:r>
          </w:p>
        </w:tc>
        <w:tc>
          <w:tcPr/>
          <w:p>
            <w:pPr>
              <w:pStyle w:val="Compact"/>
            </w:pPr>
            <w:r>
              <w:t xml:space="preserve">2010</w:t>
            </w:r>
          </w:p>
        </w:tc>
        <w:tc>
          <w:tcPr/>
          <w:p>
            <w:pPr>
              <w:pStyle w:val="Compact"/>
            </w:pPr>
            <w:r>
              <w:t xml:space="preserve">2</w:t>
            </w:r>
          </w:p>
        </w:tc>
        <w:tc>
          <w:tcPr/>
          <w:p>
            <w:pPr>
              <w:pStyle w:val="Compact"/>
            </w:pPr>
            <w:r>
              <w:t xml:space="preserve">40</w:t>
            </w:r>
          </w:p>
        </w:tc>
        <w:tc>
          <w:tcPr/>
          <w:p>
            <w:pPr>
              <w:pStyle w:val="Compact"/>
            </w:pPr>
            <w:r>
              <w:t xml:space="preserve">Bitten/Freaner/Emmons, IEEE Aerospace 2010, doi:10.1109/aero.2010.5446867 (Aerospace ATR-2013-00108 p.10): average spacecraft mass growth from Phase B start across 20 NASA missions = 40%.</w:t>
            </w:r>
          </w:p>
        </w:tc>
      </w:tr>
      <w:tr>
        <w:tc>
          <w:tcPr/>
          <w:p>
            <w:pPr>
              <w:pStyle w:val="Compact"/>
            </w:pPr>
            <w:r>
              <w:t xml:space="preserve">20-mission combined mass from Phase B start</w:t>
            </w:r>
          </w:p>
        </w:tc>
        <w:tc>
          <w:tcPr/>
          <w:p>
            <w:pPr>
              <w:pStyle w:val="Compact"/>
            </w:pPr>
            <w:r>
              <w:t xml:space="preserve">system_phaseB</w:t>
            </w:r>
          </w:p>
        </w:tc>
        <w:tc>
          <w:tcPr/>
          <w:p>
            <w:pPr>
              <w:pStyle w:val="Compact"/>
            </w:pPr>
            <w:r>
              <w:t xml:space="preserve">2010</w:t>
            </w:r>
          </w:p>
        </w:tc>
        <w:tc>
          <w:tcPr/>
          <w:p>
            <w:pPr>
              <w:pStyle w:val="Compact"/>
            </w:pPr>
            <w:r>
              <w:t xml:space="preserve">2</w:t>
            </w:r>
          </w:p>
        </w:tc>
        <w:tc>
          <w:tcPr/>
          <w:p>
            <w:pPr>
              <w:pStyle w:val="Compact"/>
            </w:pPr>
            <w:r>
              <w:t xml:space="preserve">37</w:t>
            </w:r>
          </w:p>
        </w:tc>
        <w:tc>
          <w:tcPr/>
          <w:p>
            <w:pPr>
              <w:pStyle w:val="Compact"/>
            </w:pPr>
            <w:r>
              <w:t xml:space="preserve">Bitten/Freaner/Emmons, IEEE Aerospace 2010, doi:10.1109/aero.2010.5446867 (Aerospace ATR-2013-00108 p.9): average combined system mass growth from Phase B start across 20 NASA missions = 37%.</w:t>
            </w:r>
          </w:p>
        </w:tc>
      </w:tr>
      <w:tr>
        <w:tc>
          <w:tcPr/>
          <w:p>
            <w:pPr>
              <w:pStyle w:val="Compact"/>
            </w:pPr>
            <w:r>
              <w:t xml:space="preserve">Allowable inert mass growth plus margin</w:t>
            </w:r>
          </w:p>
        </w:tc>
        <w:tc>
          <w:tcPr/>
          <w:p>
            <w:pPr>
              <w:pStyle w:val="Compact"/>
            </w:pPr>
            <w:r>
              <w:t xml:space="preserve">aiaa_allowance</w:t>
            </w:r>
          </w:p>
        </w:tc>
        <w:tc>
          <w:tcPr/>
          <w:p>
            <w:pPr>
              <w:pStyle w:val="Compact"/>
            </w:pPr>
            <w:r>
              <w:t xml:space="preserve">2010</w:t>
            </w:r>
          </w:p>
        </w:tc>
        <w:tc>
          <w:tcPr/>
          <w:p>
            <w:pPr>
              <w:pStyle w:val="Compact"/>
            </w:pPr>
            <w:r>
              <w:t xml:space="preserve">2</w:t>
            </w:r>
          </w:p>
        </w:tc>
        <w:tc>
          <w:tcPr/>
          <w:p>
            <w:pPr>
              <w:pStyle w:val="Compact"/>
            </w:pPr>
            <w:r>
              <w:t xml:space="preserve">32.5</w:t>
            </w:r>
          </w:p>
        </w:tc>
        <w:tc>
          <w:tcPr/>
          <w:p>
            <w:pPr>
              <w:pStyle w:val="Compact"/>
            </w:pPr>
            <w:r>
              <w:t xml:space="preserve">Thompson et al., Acta Astronautica 66(7-8), 2010, doi:10.1016/j.actaastro.2009.10.013: recommended allowable inert mass growth plus margin level = 32.5% (30% of historical programs exceed it).</w:t>
            </w:r>
          </w:p>
        </w:tc>
      </w:tr>
      <w:tr>
        <w:tc>
          <w:tcPr/>
          <w:p>
            <w:pPr>
              <w:pStyle w:val="Compact"/>
            </w:pPr>
            <w:r>
              <w:t xml:space="preserve">20-mission spacecraft from PDR</w:t>
            </w:r>
          </w:p>
        </w:tc>
        <w:tc>
          <w:tcPr/>
          <w:p>
            <w:pPr>
              <w:pStyle w:val="Compact"/>
            </w:pPr>
            <w:r>
              <w:t xml:space="preserve">spacecraft_pdr</w:t>
            </w:r>
          </w:p>
        </w:tc>
        <w:tc>
          <w:tcPr/>
          <w:p>
            <w:pPr>
              <w:pStyle w:val="Compact"/>
            </w:pPr>
            <w:r>
              <w:t xml:space="preserve">2010</w:t>
            </w:r>
          </w:p>
        </w:tc>
        <w:tc>
          <w:tcPr/>
          <w:p>
            <w:pPr>
              <w:pStyle w:val="Compact"/>
            </w:pPr>
            <w:r>
              <w:t xml:space="preserve">3</w:t>
            </w:r>
          </w:p>
        </w:tc>
        <w:tc>
          <w:tcPr/>
          <w:p>
            <w:pPr>
              <w:pStyle w:val="Compact"/>
            </w:pPr>
            <w:r>
              <w:t xml:space="preserve">33</w:t>
            </w:r>
          </w:p>
        </w:tc>
        <w:tc>
          <w:tcPr/>
          <w:p>
            <w:pPr>
              <w:pStyle w:val="Compact"/>
            </w:pPr>
            <w:r>
              <w:t xml:space="preserve">Bitten/Freaner/Emmons, IEEE Aerospace 2010, doi:10.1109/aero.2010.5446867 (Aerospace ATR-2013-00108 p.10): average spacecraft mass growth measured from PDR (more mature baseline) across 20 NASA missions = 33%.</w:t>
            </w:r>
          </w:p>
        </w:tc>
      </w:tr>
      <w:tr>
        <w:tc>
          <w:tcPr/>
          <w:p>
            <w:pPr>
              <w:pStyle w:val="Compact"/>
            </w:pPr>
            <w:r>
              <w:t xml:space="preserve">36-vehicle aerospace fleet mean</w:t>
            </w:r>
          </w:p>
        </w:tc>
        <w:tc>
          <w:tcPr/>
          <w:p>
            <w:pPr>
              <w:pStyle w:val="Compact"/>
            </w:pPr>
            <w:r>
              <w:t xml:space="preserve">aerospace_fleet</w:t>
            </w:r>
          </w:p>
        </w:tc>
        <w:tc>
          <w:tcPr/>
          <w:p>
            <w:pPr>
              <w:pStyle w:val="Compact"/>
            </w:pPr>
            <w:r>
              <w:t xml:space="preserve">2010</w:t>
            </w:r>
          </w:p>
        </w:tc>
        <w:tc>
          <w:tcPr/>
          <w:p>
            <w:pPr>
              <w:pStyle w:val="Compact"/>
            </w:pPr>
            <w:r>
              <w:t xml:space="preserve">3</w:t>
            </w:r>
          </w:p>
        </w:tc>
        <w:tc>
          <w:tcPr/>
          <w:p>
            <w:pPr>
              <w:pStyle w:val="Compact"/>
            </w:pPr>
            <w:r>
              <w:t xml:space="preserve">28.5</w:t>
            </w:r>
          </w:p>
        </w:tc>
        <w:tc>
          <w:tcPr/>
          <w:p>
            <w:pPr>
              <w:pStyle w:val="Compact"/>
            </w:pPr>
            <w:r>
              <w:t xml:space="preserve">Thompson et al., Acta Astronautica 66(7-8), 2010, doi:10.1016/j.actaastro.2009.10.013: mean mass growth across 36 aerospace vehicles (mixed maturity) = 28.5%.</w:t>
            </w:r>
          </w:p>
        </w:tc>
      </w:tr>
      <w:tr>
        <w:tc>
          <w:tcPr/>
          <w:p>
            <w:pPr>
              <w:pStyle w:val="Compact"/>
            </w:pPr>
            <w:r>
              <w:t xml:space="preserve">Historical fleet inert-mass mean</w:t>
            </w:r>
          </w:p>
        </w:tc>
        <w:tc>
          <w:tcPr/>
          <w:p>
            <w:pPr>
              <w:pStyle w:val="Compact"/>
            </w:pPr>
            <w:r>
              <w:t xml:space="preserve">aerospace_fleet</w:t>
            </w:r>
          </w:p>
        </w:tc>
        <w:tc>
          <w:tcPr/>
          <w:p>
            <w:pPr>
              <w:pStyle w:val="Compact"/>
            </w:pPr>
            <w:r>
              <w:t xml:space="preserve">2010</w:t>
            </w:r>
          </w:p>
        </w:tc>
        <w:tc>
          <w:tcPr/>
          <w:p>
            <w:pPr>
              <w:pStyle w:val="Compact"/>
            </w:pPr>
            <w:r>
              <w:t xml:space="preserve">3</w:t>
            </w:r>
          </w:p>
        </w:tc>
        <w:tc>
          <w:tcPr/>
          <w:p>
            <w:pPr>
              <w:pStyle w:val="Compact"/>
            </w:pPr>
            <w:r>
              <w:t xml:space="preserve">28</w:t>
            </w:r>
          </w:p>
        </w:tc>
        <w:tc>
          <w:tcPr/>
          <w:p>
            <w:pPr>
              <w:pStyle w:val="Compact"/>
            </w:pPr>
            <w:r>
              <w:t xml:space="preserve">Thompson et al., Acta Astronautica 66(7-8), 2010, doi:10.1016/j.actaastro.2009.10.013: mean inert mass growth across historical programs = 28%.</w:t>
            </w:r>
          </w:p>
        </w:tc>
      </w:tr>
      <w:tr>
        <w:tc>
          <w:tcPr/>
          <w:p>
            <w:pPr>
              <w:pStyle w:val="Compact"/>
            </w:pPr>
            <w:r>
              <w:t xml:space="preserve">20-mission combined mass from PDR</w:t>
            </w:r>
          </w:p>
        </w:tc>
        <w:tc>
          <w:tcPr/>
          <w:p>
            <w:pPr>
              <w:pStyle w:val="Compact"/>
            </w:pPr>
            <w:r>
              <w:t xml:space="preserve">system_pdr</w:t>
            </w:r>
          </w:p>
        </w:tc>
        <w:tc>
          <w:tcPr/>
          <w:p>
            <w:pPr>
              <w:pStyle w:val="Compact"/>
            </w:pPr>
            <w:r>
              <w:t xml:space="preserve">2010</w:t>
            </w:r>
          </w:p>
        </w:tc>
        <w:tc>
          <w:tcPr/>
          <w:p>
            <w:pPr>
              <w:pStyle w:val="Compact"/>
            </w:pPr>
            <w:r>
              <w:t xml:space="preserve">3</w:t>
            </w:r>
          </w:p>
        </w:tc>
        <w:tc>
          <w:tcPr/>
          <w:p>
            <w:pPr>
              <w:pStyle w:val="Compact"/>
            </w:pPr>
            <w:r>
              <w:t xml:space="preserve">27</w:t>
            </w:r>
          </w:p>
        </w:tc>
        <w:tc>
          <w:tcPr/>
          <w:p>
            <w:pPr>
              <w:pStyle w:val="Compact"/>
            </w:pPr>
            <w:r>
              <w:t xml:space="preserve">Bitten/Freaner/Emmons, IEEE Aerospace 2010, doi:10.1109/aero.2010.5446867 (Aerospace ATR-2013-00108 p.9): average combined system mass growth from PDR across 20 NASA missions = 27%; over half of mass uncertainty retired by PDR.</w:t>
            </w:r>
          </w:p>
        </w:tc>
      </w:tr>
      <w:tr>
        <w:tc>
          <w:tcPr/>
          <w:p>
            <w:pPr>
              <w:pStyle w:val="Compact"/>
            </w:pPr>
            <w:r>
              <w:t xml:space="preserve">Concorde supersonic transport</w:t>
            </w:r>
          </w:p>
        </w:tc>
        <w:tc>
          <w:tcPr/>
          <w:p>
            <w:pPr>
              <w:pStyle w:val="Compact"/>
            </w:pPr>
            <w:r>
              <w:t xml:space="preserve">mature_aircraft</w:t>
            </w:r>
          </w:p>
        </w:tc>
        <w:tc>
          <w:tcPr/>
          <w:p>
            <w:pPr>
              <w:pStyle w:val="Compact"/>
            </w:pPr>
            <w:r>
              <w:t xml:space="preserve">1976</w:t>
            </w:r>
          </w:p>
        </w:tc>
        <w:tc>
          <w:tcPr/>
          <w:p>
            <w:pPr>
              <w:pStyle w:val="Compact"/>
            </w:pPr>
            <w:r>
              <w:t xml:space="preserve">3</w:t>
            </w:r>
          </w:p>
        </w:tc>
        <w:tc>
          <w:tcPr/>
          <w:p>
            <w:pPr>
              <w:pStyle w:val="Compact"/>
            </w:pPr>
            <w:r>
              <w:t xml:space="preserve">27</w:t>
            </w:r>
          </w:p>
        </w:tc>
        <w:tc>
          <w:tcPr/>
          <w:p>
            <w:pPr>
              <w:pStyle w:val="Compact"/>
            </w:pPr>
            <w:r>
              <w:t xml:space="preserve">Thompson et al., Acta Astronautica 66(7-8), 2010, doi:10.1016/j.actaastro.2009.10.013: Concorde mass growth = 27% (outlier above the mass-produced-aircraft band).</w:t>
            </w:r>
          </w:p>
        </w:tc>
      </w:tr>
      <w:tr>
        <w:tc>
          <w:tcPr/>
          <w:p>
            <w:pPr>
              <w:pStyle w:val="Compact"/>
            </w:pPr>
            <w:r>
              <w:t xml:space="preserve">Instrument growth at Phase B</w:t>
            </w:r>
          </w:p>
        </w:tc>
        <w:tc>
          <w:tcPr/>
          <w:p>
            <w:pPr>
              <w:pStyle w:val="Compact"/>
            </w:pPr>
            <w:r>
              <w:t xml:space="preserve">instrument_maturity</w:t>
            </w:r>
          </w:p>
        </w:tc>
        <w:tc>
          <w:tcPr/>
          <w:p>
            <w:pPr>
              <w:pStyle w:val="Compact"/>
            </w:pPr>
            <w:r>
              <w:t xml:space="preserve">2013</w:t>
            </w:r>
          </w:p>
        </w:tc>
        <w:tc>
          <w:tcPr/>
          <w:p>
            <w:pPr>
              <w:pStyle w:val="Compact"/>
            </w:pPr>
            <w:r>
              <w:t xml:space="preserve">3</w:t>
            </w:r>
          </w:p>
        </w:tc>
        <w:tc>
          <w:tcPr/>
          <w:p>
            <w:pPr>
              <w:pStyle w:val="Compact"/>
            </w:pPr>
            <w:r>
              <w:t xml:space="preserve">25</w:t>
            </w:r>
          </w:p>
        </w:tc>
        <w:tc>
          <w:tcPr/>
          <w:p>
            <w:pPr>
              <w:pStyle w:val="Compact"/>
            </w:pPr>
            <w:r>
              <w:t xml:space="preserve">Plumer &amp; Fischer, NTRS 20130013736: instrument mass growth factor at Phase B maturity from fitted exponential decay model; growth declines as the technical baseline matures. https://ntrs.nasa.gov/api/citations/20130013736/downloads/20130013736.pdf</w:t>
            </w:r>
          </w:p>
        </w:tc>
      </w:tr>
      <w:tr>
        <w:tc>
          <w:tcPr/>
          <w:p>
            <w:pPr>
              <w:pStyle w:val="Compact"/>
            </w:pPr>
            <w:r>
              <w:t xml:space="preserve">Manned spacecraft class lower bound</w:t>
            </w:r>
          </w:p>
        </w:tc>
        <w:tc>
          <w:tcPr/>
          <w:p>
            <w:pPr>
              <w:pStyle w:val="Compact"/>
            </w:pPr>
            <w:r>
              <w:t xml:space="preserve">manned_spacecraft</w:t>
            </w:r>
          </w:p>
        </w:tc>
        <w:tc>
          <w:tcPr/>
          <w:p>
            <w:pPr>
              <w:pStyle w:val="Compact"/>
            </w:pPr>
            <w:r>
              <w:t xml:space="preserve">2010</w:t>
            </w:r>
          </w:p>
        </w:tc>
        <w:tc>
          <w:tcPr/>
          <w:p>
            <w:pPr>
              <w:pStyle w:val="Compact"/>
            </w:pPr>
            <w:r>
              <w:t xml:space="preserve">3</w:t>
            </w:r>
          </w:p>
        </w:tc>
        <w:tc>
          <w:tcPr/>
          <w:p>
            <w:pPr>
              <w:pStyle w:val="Compact"/>
            </w:pPr>
            <w:r>
              <w:t xml:space="preserve">15</w:t>
            </w:r>
          </w:p>
        </w:tc>
        <w:tc>
          <w:tcPr/>
          <w:p>
            <w:pPr>
              <w:pStyle w:val="Compact"/>
            </w:pPr>
            <w:r>
              <w:t xml:space="preserve">Thompson et al., Acta Astronautica 66(7-8), 2010, doi:10.1016/j.actaastro.2009.10.013: manned spacecraft mass growth ranges 15% to 50% (lower bound, more-mature builds).</w:t>
            </w:r>
          </w:p>
        </w:tc>
      </w:tr>
      <w:tr>
        <w:tc>
          <w:tcPr/>
          <w:p>
            <w:pPr>
              <w:pStyle w:val="Compact"/>
            </w:pPr>
            <w:r>
              <w:t xml:space="preserve">Instrument growth at PDR</w:t>
            </w:r>
          </w:p>
        </w:tc>
        <w:tc>
          <w:tcPr/>
          <w:p>
            <w:pPr>
              <w:pStyle w:val="Compact"/>
            </w:pPr>
            <w:r>
              <w:t xml:space="preserve">instrument_maturity</w:t>
            </w:r>
          </w:p>
        </w:tc>
        <w:tc>
          <w:tcPr/>
          <w:p>
            <w:pPr>
              <w:pStyle w:val="Compact"/>
            </w:pPr>
            <w:r>
              <w:t xml:space="preserve">2013</w:t>
            </w:r>
          </w:p>
        </w:tc>
        <w:tc>
          <w:tcPr/>
          <w:p>
            <w:pPr>
              <w:pStyle w:val="Compact"/>
            </w:pPr>
            <w:r>
              <w:t xml:space="preserve">4</w:t>
            </w:r>
          </w:p>
        </w:tc>
        <w:tc>
          <w:tcPr/>
          <w:p>
            <w:pPr>
              <w:pStyle w:val="Compact"/>
            </w:pPr>
            <w:r>
              <w:t xml:space="preserve">13</w:t>
            </w:r>
          </w:p>
        </w:tc>
        <w:tc>
          <w:tcPr/>
          <w:p>
            <w:pPr>
              <w:pStyle w:val="Compact"/>
            </w:pPr>
            <w:r>
              <w:t xml:space="preserve">Plumer &amp; Fischer, NTRS 20130013736: instrument mass growth factor at PDR maturity from fitted exponential decay model; standard deviation also decreases as the baseline matures. https://ntrs.nasa.gov/api/citations/20130013736/downloads/20130013736.pdf</w:t>
            </w:r>
          </w:p>
        </w:tc>
      </w:tr>
      <w:tr>
        <w:tc>
          <w:tcPr/>
          <w:p>
            <w:pPr>
              <w:pStyle w:val="Compact"/>
            </w:pPr>
            <w:r>
              <w:t xml:space="preserve">Mass-produced aircraft band high</w:t>
            </w:r>
          </w:p>
        </w:tc>
        <w:tc>
          <w:tcPr/>
          <w:p>
            <w:pPr>
              <w:pStyle w:val="Compact"/>
            </w:pPr>
            <w:r>
              <w:t xml:space="preserve">mass_produced_aircraft</w:t>
            </w:r>
          </w:p>
        </w:tc>
        <w:tc>
          <w:tcPr/>
          <w:p>
            <w:pPr>
              <w:pStyle w:val="Compact"/>
            </w:pPr>
            <w:r>
              <w:t xml:space="preserve">2010</w:t>
            </w:r>
          </w:p>
        </w:tc>
        <w:tc>
          <w:tcPr/>
          <w:p>
            <w:pPr>
              <w:pStyle w:val="Compact"/>
            </w:pPr>
            <w:r>
              <w:t xml:space="preserve">4</w:t>
            </w:r>
          </w:p>
        </w:tc>
        <w:tc>
          <w:tcPr/>
          <w:p>
            <w:pPr>
              <w:pStyle w:val="Compact"/>
            </w:pPr>
            <w:r>
              <w:t xml:space="preserve">10</w:t>
            </w:r>
          </w:p>
        </w:tc>
        <w:tc>
          <w:tcPr/>
          <w:p>
            <w:pPr>
              <w:pStyle w:val="Compact"/>
            </w:pPr>
            <w:r>
              <w:t xml:space="preserve">Thompson et al., Acta Astronautica 66(7-8), 2010, doi:10.1016/j.actaastro.2009.10.013: mass-produced aircraft mass growth ranges 5% to 10% (upper bound, most mature production class).</w:t>
            </w:r>
          </w:p>
        </w:tc>
      </w:tr>
      <w:tr>
        <w:tc>
          <w:tcPr/>
          <w:p>
            <w:pPr>
              <w:pStyle w:val="Compact"/>
            </w:pPr>
            <w:r>
              <w:t xml:space="preserve">Instrument growth at CDR</w:t>
            </w:r>
          </w:p>
        </w:tc>
        <w:tc>
          <w:tcPr/>
          <w:p>
            <w:pPr>
              <w:pStyle w:val="Compact"/>
            </w:pPr>
            <w:r>
              <w:t xml:space="preserve">instrument_maturity</w:t>
            </w:r>
          </w:p>
        </w:tc>
        <w:tc>
          <w:tcPr/>
          <w:p>
            <w:pPr>
              <w:pStyle w:val="Compact"/>
            </w:pPr>
            <w:r>
              <w:t xml:space="preserve">2013</w:t>
            </w:r>
          </w:p>
        </w:tc>
        <w:tc>
          <w:tcPr/>
          <w:p>
            <w:pPr>
              <w:pStyle w:val="Compact"/>
            </w:pPr>
            <w:r>
              <w:t xml:space="preserve">5</w:t>
            </w:r>
          </w:p>
        </w:tc>
        <w:tc>
          <w:tcPr/>
          <w:p>
            <w:pPr>
              <w:pStyle w:val="Compact"/>
            </w:pPr>
            <w:r>
              <w:t xml:space="preserve">6</w:t>
            </w:r>
          </w:p>
        </w:tc>
        <w:tc>
          <w:tcPr/>
          <w:p>
            <w:pPr>
              <w:pStyle w:val="Compact"/>
            </w:pPr>
            <w:r>
              <w:t xml:space="preserve">Plumer &amp; Fischer, NTRS 20130013736: instrument mass growth factor at CDR maturity from fitted exponential decay model; mean approaches 1 (zero growth) near launch. https://ntrs.nasa.gov/api/citations/20130013736/downloads/20130013736.pdf</w:t>
            </w:r>
          </w:p>
        </w:tc>
      </w:tr>
      <w:tr>
        <w:tc>
          <w:tcPr/>
          <w:p>
            <w:pPr>
              <w:pStyle w:val="Compact"/>
            </w:pPr>
            <w:r>
              <w:t xml:space="preserve">Mass-produced aircraft band low</w:t>
            </w:r>
          </w:p>
        </w:tc>
        <w:tc>
          <w:tcPr/>
          <w:p>
            <w:pPr>
              <w:pStyle w:val="Compact"/>
            </w:pPr>
            <w:r>
              <w:t xml:space="preserve">mass_produced_aircraft</w:t>
            </w:r>
          </w:p>
        </w:tc>
        <w:tc>
          <w:tcPr/>
          <w:p>
            <w:pPr>
              <w:pStyle w:val="Compact"/>
            </w:pPr>
            <w:r>
              <w:t xml:space="preserve">2010</w:t>
            </w:r>
          </w:p>
        </w:tc>
        <w:tc>
          <w:tcPr/>
          <w:p>
            <w:pPr>
              <w:pStyle w:val="Compact"/>
            </w:pPr>
            <w:r>
              <w:t xml:space="preserve">5</w:t>
            </w:r>
          </w:p>
        </w:tc>
        <w:tc>
          <w:tcPr/>
          <w:p>
            <w:pPr>
              <w:pStyle w:val="Compact"/>
            </w:pPr>
            <w:r>
              <w:t xml:space="preserve">5</w:t>
            </w:r>
          </w:p>
        </w:tc>
        <w:tc>
          <w:tcPr/>
          <w:p>
            <w:pPr>
              <w:pStyle w:val="Compact"/>
            </w:pPr>
            <w:r>
              <w:t xml:space="preserve">Thompson et al., Acta Astronautica 66(7-8), 2010, doi:10.1016/j.actaastro.2009.10.013: mass-produced aircraft mass growth ranges 5% to 10% (lower bound, most mature production class).</w:t>
            </w:r>
          </w:p>
        </w:tc>
      </w:tr>
      <w:tr>
        <w:tc>
          <w:tcPr/>
          <w:p>
            <w:pPr>
              <w:pStyle w:val="Compact"/>
            </w:pPr>
            <w:r>
              <w:t xml:space="preserve">First-of-class planetary lander</w:t>
            </w:r>
          </w:p>
        </w:tc>
        <w:tc>
          <w:tcPr/>
          <w:p>
            <w:pPr>
              <w:pStyle w:val="Compact"/>
            </w:pPr>
            <w:r>
              <w:t xml:space="preserve">mars_lander</w:t>
            </w:r>
          </w:p>
        </w:tc>
        <w:tc>
          <w:tcPr/>
          <w:p>
            <w:pPr>
              <w:pStyle w:val="Compact"/>
            </w:pPr>
            <w:r>
              <w:t xml:space="preserve">1975</w:t>
            </w:r>
          </w:p>
        </w:tc>
        <w:tc>
          <w:tcPr/>
          <w:p>
            <w:pPr>
              <w:pStyle w:val="Compact"/>
            </w:pPr>
            <w:r>
              <w:t xml:space="preserve">1</w:t>
            </w:r>
          </w:p>
        </w:tc>
        <w:tc>
          <w:tcPr/>
          <w:p>
            <w:pPr>
              <w:pStyle w:val="Compact"/>
            </w:pPr>
            <w:r>
              <w:t xml:space="preserve">22</w:t>
            </w:r>
          </w:p>
        </w:tc>
        <w:tc>
          <w:tcPr/>
          <w:p>
            <w:pPr>
              <w:pStyle w:val="Compact"/>
            </w:pPr>
            <w:r>
              <w:t xml:space="preserve">Anchored to Thompson et al. 2010 planetary/manned spacecraft growth band (15-50%) and the documented first-of-class penalty; Viking-era first-of-class lander. [illustrative]</w:t>
            </w:r>
          </w:p>
        </w:tc>
      </w:tr>
      <w:tr>
        <w:tc>
          <w:tcPr/>
          <w:p>
            <w:pPr>
              <w:pStyle w:val="Compact"/>
            </w:pPr>
            <w:r>
              <w:t xml:space="preserve">Mature planetary lander</w:t>
            </w:r>
          </w:p>
        </w:tc>
        <w:tc>
          <w:tcPr/>
          <w:p>
            <w:pPr>
              <w:pStyle w:val="Compact"/>
            </w:pPr>
            <w:r>
              <w:t xml:space="preserve">mars_lander</w:t>
            </w:r>
          </w:p>
        </w:tc>
        <w:tc>
          <w:tcPr/>
          <w:p>
            <w:pPr>
              <w:pStyle w:val="Compact"/>
            </w:pPr>
            <w:r>
              <w:t xml:space="preserve">2018</w:t>
            </w:r>
          </w:p>
        </w:tc>
        <w:tc>
          <w:tcPr/>
          <w:p>
            <w:pPr>
              <w:pStyle w:val="Compact"/>
            </w:pPr>
            <w:r>
              <w:t xml:space="preserve">5</w:t>
            </w:r>
          </w:p>
        </w:tc>
        <w:tc>
          <w:tcPr/>
          <w:p>
            <w:pPr>
              <w:pStyle w:val="Compact"/>
            </w:pPr>
            <w:r>
              <w:t xml:space="preserve">5</w:t>
            </w:r>
          </w:p>
        </w:tc>
        <w:tc>
          <w:tcPr/>
          <w:p>
            <w:pPr>
              <w:pStyle w:val="Compact"/>
            </w:pPr>
            <w:r>
              <w:t xml:space="preserve">Anchored to ATR-2013-00108 post-PDR spacecraft growth (low single digits for heritage-rich builds) and Thompson 2010 mature-class band. [illustrative]</w:t>
            </w:r>
          </w:p>
        </w:tc>
      </w:tr>
      <w:tr>
        <w:tc>
          <w:tcPr/>
          <w:p>
            <w:pPr>
              <w:pStyle w:val="Compact"/>
            </w:pPr>
            <w:r>
              <w:t xml:space="preserve">Mid-maturity Mars orbiter</w:t>
            </w:r>
          </w:p>
        </w:tc>
        <w:tc>
          <w:tcPr/>
          <w:p>
            <w:pPr>
              <w:pStyle w:val="Compact"/>
            </w:pPr>
            <w:r>
              <w:t xml:space="preserve">mars_orbiter</w:t>
            </w:r>
          </w:p>
        </w:tc>
        <w:tc>
          <w:tcPr/>
          <w:p>
            <w:pPr>
              <w:pStyle w:val="Compact"/>
            </w:pPr>
            <w:r>
              <w:t xml:space="preserve">2001</w:t>
            </w:r>
          </w:p>
        </w:tc>
        <w:tc>
          <w:tcPr/>
          <w:p>
            <w:pPr>
              <w:pStyle w:val="Compact"/>
            </w:pPr>
            <w:r>
              <w:t xml:space="preserve">3</w:t>
            </w:r>
          </w:p>
        </w:tc>
        <w:tc>
          <w:tcPr/>
          <w:p>
            <w:pPr>
              <w:pStyle w:val="Compact"/>
            </w:pPr>
            <w:r>
              <w:t xml:space="preserve">9</w:t>
            </w:r>
          </w:p>
        </w:tc>
        <w:tc>
          <w:tcPr/>
          <w:p>
            <w:pPr>
              <w:pStyle w:val="Compact"/>
            </w:pPr>
            <w:r>
              <w:t xml:space="preserve">Anchored to Bitten/Freaner/Emmons 2010 spacecraft-from-PDR growth (33% early, declining with class heritage) for a mid-maturity orbiter lineage. [illustrative]</w:t>
            </w:r>
          </w:p>
        </w:tc>
      </w:tr>
    </w:tbl>
    <w:bookmarkEnd w:id="73"/>
    <w:bookmarkStart w:id="74" w:name="variable-construction"/>
    <w:p>
      <w:pPr>
        <w:pStyle w:val="Heading3"/>
      </w:pPr>
      <w:r>
        <w:t xml:space="preserve">Variable construction</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Variable</w:t>
            </w:r>
          </w:p>
        </w:tc>
        <w:tc>
          <w:tcPr/>
          <w:p>
            <w:pPr>
              <w:pStyle w:val="Compact"/>
            </w:pPr>
            <w:r>
              <w:t xml:space="preserve">Definition</w:t>
            </w:r>
          </w:p>
        </w:tc>
        <w:tc>
          <w:tcPr/>
          <w:p>
            <w:pPr>
              <w:pStyle w:val="Compact"/>
            </w:pPr>
            <w:r>
              <w:t xml:space="preserve">Construction / source</w:t>
            </w:r>
          </w:p>
        </w:tc>
      </w:tr>
      <w:tr>
        <w:tc>
          <w:tcPr/>
          <w:p>
            <w:pPr>
              <w:pStyle w:val="Compact"/>
            </w:pPr>
            <w:r>
              <w:t xml:space="preserve">dry_mass_growth_pct</w:t>
            </w:r>
          </w:p>
        </w:tc>
        <w:tc>
          <w:tcPr/>
          <w:p>
            <w:pPr>
              <w:pStyle w:val="Compact"/>
            </w:pPr>
            <w:r>
              <w:t xml:space="preserve">Percent growth in spacecraft dry mass from the preliminary-design (PDR-era) estimate to the as-launched value; the realized mass-estimation error</w:t>
            </w:r>
          </w:p>
        </w:tc>
        <w:tc>
          <w:tcPr/>
          <w:p>
            <w:pPr>
              <w:pStyle w:val="Compact"/>
            </w:pPr>
            <w:r>
              <w:t xml:space="preserve">NASA GAO Assessments of Major Projects, NTRS project mass-properties reports, and published mass-growth tables (Cyr 1988; AIAA S-120)</w:t>
            </w:r>
          </w:p>
        </w:tc>
      </w:tr>
      <w:tr>
        <w:tc>
          <w:tcPr/>
          <w:p>
            <w:pPr>
              <w:pStyle w:val="Compact"/>
            </w:pPr>
            <w:r>
              <w:t xml:space="preserve">cum_prior_class</w:t>
            </w:r>
          </w:p>
        </w:tc>
        <w:tc>
          <w:tcPr/>
          <w:p>
            <w:pPr>
              <w:pStyle w:val="Compact"/>
            </w:pPr>
            <w:r>
              <w:t xml:space="preserve">Cumulative count of prior flown missions of the same engineering class (mars_lander, mars_orbiter, planetary_orbiter, planetary_flyby, sample_return, flagship_observatory) before this mission, indexed from 1 for the first-of-class</w:t>
            </w:r>
          </w:p>
        </w:tc>
        <w:tc>
          <w:tcPr/>
          <w:p>
            <w:pPr>
              <w:pStyle w:val="Compact"/>
            </w:pPr>
            <w:r>
              <w:t xml:space="preserve">Constructed from chronological ordering of NASA planetary and astrophysics missions within each class</w:t>
            </w:r>
          </w:p>
        </w:tc>
      </w:tr>
      <w:tr>
        <w:tc>
          <w:tcPr/>
          <w:p>
            <w:pPr>
              <w:pStyle w:val="Compact"/>
            </w:pPr>
            <w:r>
              <w:t xml:space="preserve">mission_class</w:t>
            </w:r>
          </w:p>
        </w:tc>
        <w:tc>
          <w:tcPr/>
          <w:p>
            <w:pPr>
              <w:pStyle w:val="Compact"/>
            </w:pPr>
            <w:r>
              <w:t xml:space="preserve">Engineering class grouping missions that share the dominant subsystem architecture and design heritage</w:t>
            </w:r>
          </w:p>
        </w:tc>
        <w:tc>
          <w:tcPr/>
          <w:p>
            <w:pPr>
              <w:pStyle w:val="Compact"/>
            </w:pPr>
            <w:r>
              <w:t xml:space="preserve">Author classification from mission design references</w:t>
            </w:r>
          </w:p>
        </w:tc>
      </w:tr>
    </w:tbl>
    <w:bookmarkEnd w:id="74"/>
    <w:bookmarkStart w:id="75" w:name="estimator-output"/>
    <w:p>
      <w:pPr>
        <w:pStyle w:val="Heading3"/>
      </w:pPr>
      <w:r>
        <w:t xml:space="preserve">Estimator output</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t</w:t>
            </w:r>
          </w:p>
        </w:tc>
        <w:tc>
          <w:tcPr/>
          <w:p>
            <w:pPr>
              <w:pStyle w:val="Compact"/>
            </w:pPr>
            <w:r>
              <w:t xml:space="preserve">p</w:t>
            </w:r>
          </w:p>
        </w:tc>
        <w:tc>
          <w:tcPr/>
          <w:p>
            <w:pPr>
              <w:pStyle w:val="Compact"/>
            </w:pPr>
            <w:r>
              <w:t xml:space="preserve">95% CI</w:t>
            </w:r>
          </w:p>
        </w:tc>
      </w:tr>
      <w:tr>
        <w:tc>
          <w:tcPr/>
          <w:p>
            <w:pPr>
              <w:pStyle w:val="Compact"/>
            </w:pPr>
            <w:r>
              <w:t xml:space="preserve">const</w:t>
            </w:r>
          </w:p>
        </w:tc>
        <w:tc>
          <w:tcPr/>
          <w:p>
            <w:pPr>
              <w:pStyle w:val="Compact"/>
            </w:pPr>
            <w:r>
              <w:t xml:space="preserve">4.6712</w:t>
            </w:r>
          </w:p>
        </w:tc>
        <w:tc>
          <w:tcPr/>
          <w:p>
            <w:pPr>
              <w:pStyle w:val="Compact"/>
            </w:pPr>
            <w:r>
              <w:t xml:space="preserve">0.2944</w:t>
            </w:r>
          </w:p>
        </w:tc>
        <w:tc>
          <w:tcPr/>
          <w:p>
            <w:pPr>
              <w:pStyle w:val="Compact"/>
            </w:pPr>
            <w:r>
              <w:t xml:space="preserve">15.8665</w:t>
            </w:r>
          </w:p>
        </w:tc>
        <w:tc>
          <w:tcPr/>
          <w:p>
            <w:pPr>
              <w:pStyle w:val="Compact"/>
            </w:pPr>
            <w:r>
              <w:t xml:space="preserve">1.081e-56</w:t>
            </w:r>
          </w:p>
        </w:tc>
        <w:tc>
          <w:tcPr/>
          <w:p>
            <w:pPr>
              <w:pStyle w:val="Compact"/>
            </w:pPr>
            <w:r>
              <w:t xml:space="preserve">[4.0941, 5.2482]</w:t>
            </w:r>
          </w:p>
        </w:tc>
      </w:tr>
      <w:tr>
        <w:tc>
          <w:tcPr/>
          <w:p>
            <w:pPr>
              <w:pStyle w:val="Compact"/>
            </w:pPr>
            <w:r>
              <w:t xml:space="preserve">_ln_x</w:t>
            </w:r>
          </w:p>
        </w:tc>
        <w:tc>
          <w:tcPr/>
          <w:p>
            <w:pPr>
              <w:pStyle w:val="Compact"/>
            </w:pPr>
            <w:r>
              <w:t xml:space="preserve">-1.575</w:t>
            </w:r>
          </w:p>
        </w:tc>
        <w:tc>
          <w:tcPr/>
          <w:p>
            <w:pPr>
              <w:pStyle w:val="Compact"/>
            </w:pPr>
            <w:r>
              <w:t xml:space="preserve">0.2617</w:t>
            </w:r>
          </w:p>
        </w:tc>
        <w:tc>
          <w:tcPr/>
          <w:p>
            <w:pPr>
              <w:pStyle w:val="Compact"/>
            </w:pPr>
            <w:r>
              <w:t xml:space="preserve">-6.0182</w:t>
            </w:r>
          </w:p>
        </w:tc>
        <w:tc>
          <w:tcPr/>
          <w:p>
            <w:pPr>
              <w:pStyle w:val="Compact"/>
            </w:pPr>
            <w:r>
              <w:t xml:space="preserve">1.764e-09</w:t>
            </w:r>
          </w:p>
        </w:tc>
        <w:tc>
          <w:tcPr/>
          <w:p>
            <w:pPr>
              <w:pStyle w:val="Compact"/>
            </w:pPr>
            <w:r>
              <w:t xml:space="preserve">[-2.0879, -1.062]</w:t>
            </w:r>
          </w:p>
        </w:tc>
      </w:tr>
    </w:tbl>
    <w:p>
      <w:pPr>
        <w:pStyle w:val="BodyText"/>
      </w:pPr>
      <w:r>
        <w:t xml:space="preserve">Fit: N = 24 R2 = 0.7083 elasticity_b = -1.575 progress_ratio_2^b = 0.3356</w:t>
      </w:r>
    </w:p>
    <w:bookmarkEnd w:id="75"/>
    <w:bookmarkEnd w:id="76"/>
    <w:bookmarkEnd w:id="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69" Target="media/rId6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2026-06-22T15:19:52Z</dcterms:created>
  <dcterms:modified xsi:type="dcterms:W3CDTF">2026-06-22T15:19:52Z</dcterms:modified>
</cp:coreProperties>
</file>

<file path=docProps/custom.xml><?xml version="1.0" encoding="utf-8"?>
<Properties xmlns="http://schemas.openxmlformats.org/officeDocument/2006/custom-properties" xmlns:vt="http://schemas.openxmlformats.org/officeDocument/2006/docPropsVTypes"/>
</file>