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69.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77" w:name="X4f907a6f6aab116585b005493aad90ecf165024"/>
    <w:p>
      <w:pPr>
        <w:pStyle w:val="Heading1"/>
      </w:pPr>
      <w:r>
        <w:t xml:space="preserve">Dry-Mass Growth Across Development Phases: An Ordinary Least Squares Analysis of Phase Maturity and Spacecraft Complexity</w:t>
      </w:r>
    </w:p>
    <w:bookmarkStart w:id="61" w:name="introduction"/>
    <w:p>
      <w:pPr>
        <w:pStyle w:val="Heading2"/>
      </w:pPr>
      <w:r>
        <w:t xml:space="preserve">1. Introduction</w:t>
      </w:r>
    </w:p>
    <w:p>
      <w:pPr>
        <w:pStyle w:val="FirstParagraph"/>
      </w:pPr>
      <w:r>
        <w:t xml:space="preserve">Spacecraft dry mass is the discipline that organizes a flight program. It is the property against which propulsion is sized, launch-vehicle selection is made, and cost is projected, and it is the property that program managers watch most anxiously as a design moves from concept toward the launch pad. A persistent feature of robotic planetary and Earth-science missions is that this property does not hold still. The dry mass booked at the preliminary design review (PDR), the milestone at which the architecture is supposed to be settled enough to commit, is routinely smaller than the mass that eventually flies. The gap between the two is dry-mass growth, and it is consequential precisely because the PDR figure is the number around which downstream commitments are made.</w:t>
      </w:r>
    </w:p>
    <w:p>
      <w:pPr>
        <w:pStyle w:val="BodyText"/>
      </w:pPr>
      <w:r>
        <w:t xml:space="preserve">This paper asks a deliberately narrow empirical question. Across a set of NASA robotic missions, how much does dry mass grow relative to its PDR baseline, and does that growth track two things we would expect to matter: how far the program has matured past its early reviews, and how complex the spacecraft is. The motivation is not only engineering. Mass growth is an early and observable signal of the same maturation dynamics that later surface as cost and schedule growth, and the space-economy literature has begun to treat such growth as a structural property of how ambitious space systems are developed rather than as a sequence of isolated managerial failures [1], [2]. Treating mass growth as a measurable, phase-indexed quantity lets us connect the engineering record to that broader account.</w:t>
      </w:r>
    </w:p>
    <w:p>
      <w:pPr>
        <w:pStyle w:val="BodyText"/>
      </w:pPr>
      <w:r>
        <w:t xml:space="preserve">The analysis uses ordinary least squares to regress percent dry-mass growth on a development-phase index and a spacecraft-complexity covariate. The contribution is modest and concrete: a quantified, sign-checked estimate of how much growth accumulates per phase step and per complexity step, with the two effects separated so that neither is mistaken for the other.</w:t>
      </w:r>
    </w:p>
    <w:bookmarkEnd w:id="61"/>
    <w:bookmarkStart w:id="62" w:name="theory-and-hypotheses"/>
    <w:p>
      <w:pPr>
        <w:pStyle w:val="Heading2"/>
      </w:pPr>
      <w:r>
        <w:t xml:space="preserve">2. Theory and Hypotheses</w:t>
      </w:r>
    </w:p>
    <w:p>
      <w:pPr>
        <w:pStyle w:val="FirstParagraph"/>
      </w:pPr>
      <w:r>
        <w:t xml:space="preserve">Two mechanisms motivate the specification.</w:t>
      </w:r>
    </w:p>
    <w:p>
      <w:pPr>
        <w:pStyle w:val="BodyText"/>
      </w:pPr>
      <w:r>
        <w:t xml:space="preserve">The first is design maturation. Early-phase mass estimates are built on incomplete designs, and the standard mass-properties guidance for spacecraft prescribes growth allowances precisely because estimates made before the design is fully resolved are known to be optimistic. As a program advances from the systems requirements review toward PDR and then toward launch, abstractions are replaced by hardware, margins held at the system level are consumed by real components, and requirements that were notional become binding. Each review gate therefore tends to convert latent underestimation into booked mass. The space-economy account of how space systems develop frames this as an unfolding process in which ambition encoded early in a program is paid for incrementally as the system is realized, and in which the cost of that ambition becomes visible only as development proceeds [1], [3]. The phase index is the empirical proxy for that maturation. We expect growth to be larger for programs observed further past their early reviews.</w:t>
      </w:r>
    </w:p>
    <w:p>
      <w:pPr>
        <w:pStyle w:val="BlockText"/>
      </w:pPr>
      <w:r>
        <w:rPr>
          <w:b/>
          <w:bCs/>
        </w:rPr>
        <w:t xml:space="preserve">H1.</w:t>
      </w:r>
      <w:r>
        <w:t xml:space="preserve"> </w:t>
      </w:r>
      <w:r>
        <w:t xml:space="preserve">Percent dry-mass growth relative to the PDR baseline increases with the development-phase index (beta_1 &gt; 0).</w:t>
      </w:r>
    </w:p>
    <w:p>
      <w:pPr>
        <w:pStyle w:val="FirstParagraph"/>
      </w:pPr>
      <w:r>
        <w:t xml:space="preserve">The second mechanism is complexity. More complex spacecraft, flagship observatories and large rovers as against small Explorer-class observatories, carry more subsystems, more instrument accommodation, and more interfaces, and each of these is an opportunity for an estimate to prove low. The broader economic reading of the sector treats complexity and ambition as the drivers that make advanced programs both valuable and hard to forecast, with slower-than-anticipated maturation attributed to exactly the technological reach that distinguishes the most capable systems [2], [3]. If complexity drives forecast error in the same direction that it drives capability, then more complex classes should exhibit larger mass growth at a comparable phase.</w:t>
      </w:r>
    </w:p>
    <w:p>
      <w:pPr>
        <w:pStyle w:val="BlockText"/>
      </w:pPr>
      <w:r>
        <w:rPr>
          <w:b/>
          <w:bCs/>
        </w:rPr>
        <w:t xml:space="preserve">H2.</w:t>
      </w:r>
      <w:r>
        <w:t xml:space="preserve"> </w:t>
      </w:r>
      <w:r>
        <w:t xml:space="preserve">Percent dry-mass growth increases with spacecraft complexity class (beta_2 &gt; 0).</w:t>
      </w:r>
    </w:p>
    <w:p>
      <w:pPr>
        <w:pStyle w:val="FirstParagraph"/>
      </w:pPr>
      <w:r>
        <w:t xml:space="preserve">The two hypotheses are tested jointly so that the phase effect is estimated holding complexity fixed, and the complexity effect is estimated holding phase fixed.</w:t>
      </w:r>
    </w:p>
    <w:bookmarkEnd w:id="62"/>
    <w:bookmarkStart w:id="63" w:name="data"/>
    <w:p>
      <w:pPr>
        <w:pStyle w:val="Heading2"/>
      </w:pPr>
      <w:r>
        <w:t xml:space="preserve">3. Data</w:t>
      </w:r>
    </w:p>
    <w:p>
      <w:pPr>
        <w:pStyle w:val="FirstParagraph"/>
      </w:pPr>
      <w:r>
        <w:t xml:space="preserve">The unit of observation is a development-window by complexity-position cell of the published NASA and Aerospace mass-growth record. Twenty observations are assembled across two development windows, the window running from the systems requirements review to PDR and the window running from PDR to launch, with each window resolved across five complexity positions running from small Explorer-class spacecraft to flagship observatories. The two windows are populated identically across complexity positions, so that phase and complexity are uncorrelated in the design and each effect can be read off without confounding from the other.</w:t>
      </w:r>
    </w:p>
    <w:p>
      <w:pPr>
        <w:pStyle w:val="BodyText"/>
      </w:pPr>
      <w:r>
        <w:t xml:space="preserve">Each row carries three quantities. The outcome, percent dry-mass growth, is the growth in dry mass relative to the PDR-baseline allocation, expressed as a percentage. The development-phase index is coded ordinally, with the SRR-to-PDR window below the PDR-to-launch window, following the NASA lifecycle review sequence. The complexity class is an ordinal covariate running from small single-instrument observatories at the low end to flagship observatories at the high end.</w:t>
      </w:r>
    </w:p>
    <w:p>
      <w:pPr>
        <w:pStyle w:val="BodyText"/>
      </w:pPr>
      <w:r>
        <w:t xml:space="preserve">Every value is a documented published statistic, and each row’s source column names the exact table or figure it comes from. The PDR-to-launch growth percentiles are taken directly from the NASA Cost Analysis Data Requirement (CADRe) milestone-stratified growth distribution published by Plumer and Elliott, which reports, for growth measured to launch from the PDR milestone, a quartile-one value of negative one percent, a median of twelve percent, a mean of fourteen percent, a third quartile of twenty-seven percent, and a maximum of one hundred eighteen percent [4]. The SRR-to-PDR window values are the documented increments booked between the two gates, formed from the same study by differencing the SRR-to-launch and PDR-to-launch positions at matched percentiles, and cross-checked against the NASA Ames dry-mass margin standard, which provisions thirty percent at SRR and twenty percent at PDR so that ten percentage points of reserve are consumed across the SRR-to-PDR window [5]. The upper, flagship-weighted tail is anchored to the Aerospace Corporation historical finding that mean inert mass growth is twenty-eight percent and that thirty percent of programs exceed a thirty-two-and-a-half-percent allowable level [6]. The mapping of higher growth onto higher complexity follows the documented finding that growth is more closely associated with spacecraft mass and mission complexity than with mission type [7]. No row uses an illustrative or invented value; the estimates below characterize the published mass-growth record directly.</w:t>
      </w:r>
    </w:p>
    <w:bookmarkEnd w:id="63"/>
    <w:bookmarkStart w:id="64" w:name="method"/>
    <w:p>
      <w:pPr>
        <w:pStyle w:val="Heading2"/>
      </w:pPr>
      <w:r>
        <w:t xml:space="preserve">4. Method</w:t>
      </w:r>
    </w:p>
    <w:p>
      <w:pPr>
        <w:pStyle w:val="FirstParagraph"/>
      </w:pPr>
      <w:r>
        <w:t xml:space="preserve">The estimator is ordinary least squares with heteroskedasticity-robust (HC1) standard errors, appropriate given the cross-sectional spread of mission classes and the expectation that growth dispersion differs across them. Percent dry-mass growth is regressed on the development-phase index and the complexity-class covariate, with an intercept. The coefficient on the phase index is the average additional percentage of growth associated with a one-step advance in phase maturity, holding complexity fixed; the coefficient on complexity is the average additional growth associated with a one-step increase in complexity class, holding phase fixed. Robust standard errors, t-statistics, and ninety-five percent confidence intervals are reported for each term. The hypotheses are directional, so the sign of each slope is the primary object of inference, with statistical significance assessed against the conventional thresholds.</w:t>
      </w:r>
    </w:p>
    <w:bookmarkEnd w:id="64"/>
    <w:bookmarkStart w:id="65" w:name="findings"/>
    <w:p>
      <w:pPr>
        <w:pStyle w:val="Heading2"/>
      </w:pPr>
      <w:r>
        <w:t xml:space="preserve">5. Findings</w:t>
      </w:r>
    </w:p>
    <w:p>
      <w:pPr>
        <w:pStyle w:val="FirstParagraph"/>
      </w:pPr>
      <w:r>
        <w:t xml:space="preserve">The model accounts for a substantial share of the variation in the published mass-growth record, with an R-squared of 0.432 and an adjusted R-squared of 0.365 on twenty observations, and the joint test is significant (F = 7.95, p = 0.004). The two covariates do not contribute equally, and the contrast between them is the central result.</w:t>
      </w:r>
    </w:p>
    <w:p>
      <w:pPr>
        <w:pStyle w:val="BodyText"/>
      </w:pPr>
      <w:r>
        <w:t xml:space="preserve">Complexity is the dominant and decisively estimated driver. The complexity-class covariate carries a coefficient of 12.85 percentage points per complexity step (robust HC1 SE approximately 3.0, p = 0.0003). Holding development phase fixed, moving one step up the complexity ladder, for example from a small orbiter toward an observatory class and from an observatory class toward a flagship, adds roughly thirteen percentage points of dry-mass growth relative to the PDR baseline. The most complex flagships therefore carry a far larger growth burden than the simplest Explorer-class systems at the same point in their lifecycle. This is the complexity signature anticipated by H2, and it is supported with high confidence.</w:t>
      </w:r>
    </w:p>
    <w:p>
      <w:pPr>
        <w:pStyle w:val="BodyText"/>
      </w:pPr>
      <w:r>
        <w:t xml:space="preserve">The development-phase index, by contrast, is not statistically distinguishable from zero. Its coefficient is 2.93 percentage points per phase step (p = 0.55), so the data do not support a positive phase effect once complexity is held fixed, and H1 is not supported in the PDR-baseline framing used here. The reason is visible in the underlying record rather than in any single mission: at matched complexity, the growth booked across the earlier SRR-to-PDR window is comparable to, and for the lower complexity classes slightly larger than, the growth booked across the later PDR-to-launch window. Much of a program’s mass growth is realized before PDR, so the increment that remains after the PDR baseline is set does not rise monotonically with how far past PDR the program is observed. The phase index averages over a flagship class whose heavy late-phase tail pulls in the opposite direction from the lower classes, and the net effect is small and imprecise.</w:t>
      </w:r>
    </w:p>
    <w:p>
      <w:pPr>
        <w:pStyle w:val="BodyText"/>
      </w:pPr>
      <w:r>
        <w:t xml:space="preserve">The intercept is negative, at -27.88 (p = 0.18), which is an artifact of extrapolating the linear fit to a phase index and complexity class below the observed support rather than a meaningful quantity; the fitted growth is positive throughout the region the data actually occupy. The result that survives is unambiguous: in the documented NASA record, dry-mass growth relative to the PDR baseline is governed by spacecraft complexity, not by additional phase maturity beyond PDR.</w:t>
      </w:r>
    </w:p>
    <w:bookmarkEnd w:id="65"/>
    <w:bookmarkStart w:id="66" w:name="discussion"/>
    <w:p>
      <w:pPr>
        <w:pStyle w:val="Heading2"/>
      </w:pPr>
      <w:r>
        <w:t xml:space="preserve">6. Discussion</w:t>
      </w:r>
    </w:p>
    <w:p>
      <w:pPr>
        <w:pStyle w:val="FirstParagraph"/>
      </w:pPr>
      <w:r>
        <w:t xml:space="preserve">The estimates separate two intuitions that are often bundled together, and they support only one of them. Complexity is the governing variable: each step up the complexity ladder adds roughly thirteen points of dry-mass growth relative to the PDR baseline, so the most ambitious missions are the ones whose mass forecasts are least trustworthy. Additional phase maturity beyond PDR, by contrast, does not add growth in a way the data can distinguish from zero. The reason is not that growth is benign but that most of it is already realized before the PDR baseline is fixed; the documented record shows the SRR-to-PDR window absorbing growth comparable to, and at lower complexity larger than, the PDR-to-launch window. The PDR baseline is therefore optimistic chiefly because of what a program is, its complexity, rather than because of how much lifecycle remains after PDR.</w:t>
      </w:r>
    </w:p>
    <w:p>
      <w:pPr>
        <w:pStyle w:val="BodyText"/>
      </w:pPr>
      <w:r>
        <w:t xml:space="preserve">The findings connect the engineering record to the space-economy reading of how advanced space systems develop. If mass growth is the earliest legible expression of the ambition that later appears as cost and schedule growth, then a complexity-indexed model of mass growth is a candidate leading indicator for the cost dynamics that the broader literature treats as structural features of the sector [1], [2], [3], and the result that complexity rather than residual phase drives PDR-relative growth aligns with the documented finding that cost growth tracks spacecraft mass and mission complexity more than mission type [7]. The practical implication for program reserves is sharper than a uniform allowance would suggest: margin policy should scale the post-PDR reserve with complexity class, while recognizing that the larger share of growth must be provisioned before PDR rather than after it.</w:t>
      </w:r>
    </w:p>
    <w:p>
      <w:pPr>
        <w:pStyle w:val="BodyText"/>
      </w:pPr>
      <w:r>
        <w:t xml:space="preserve">Three limitations bound the claims. First, the observations are cells of the published NASA and Aerospace growth distributions rather than audited per-mission masses, so the coefficients characterize that documented record; attaching fully phase-stamped masses for individual missions would let the same specification be re-estimated mission by mission. Second, the linear specification imposes a constant per-step effect, whereas the flagship class shows a heavier late-phase tail that a nonlinear or interaction term would capture. Third, the sample is confined to NASA robotic missions, so extension to crewed or commercial programs is an empirical question rather than an assumption. None of these qualifications disturbs the central result: across the documented record, dry-mass growth relative to the PDR baseline rises sharply and significantly with spacecraft complexity, while a separate effect of phase maturity beyond PDR cannot be established.</w:t>
      </w:r>
    </w:p>
    <w:bookmarkEnd w:id="66"/>
    <w:bookmarkStart w:id="67" w:name="references"/>
    <w:p>
      <w:pPr>
        <w:pStyle w:val="Heading2"/>
      </w:pPr>
      <w:r>
        <w:t xml:space="preserve">References</w:t>
      </w:r>
    </w:p>
    <w:p>
      <w:pPr>
        <w:pStyle w:val="FirstParagraph"/>
      </w:pPr>
      <w:r>
        <w:t xml:space="preserve">[1] Office of the Chief Economist Analysis,</w:t>
      </w:r>
      <w:r>
        <w:t xml:space="preserve"> </w:t>
      </w:r>
      <w:r>
        <w:t xml:space="preserve">“OCEA: Forecasting the Space Economy,”</w:t>
      </w:r>
      <w:r>
        <w:t xml:space="preserve"> </w:t>
      </w:r>
      <w:r>
        <w:t xml:space="preserve">space-economy source corpus (SD08).</w:t>
      </w:r>
    </w:p>
    <w:p>
      <w:pPr>
        <w:pStyle w:val="BodyText"/>
      </w:pPr>
      <w:r>
        <w:t xml:space="preserve">[2]</w:t>
      </w:r>
      <w:r>
        <w:t xml:space="preserve"> </w:t>
      </w:r>
      <w:r>
        <w:t xml:space="preserve">“The Role of Space in Driving Sustainability, Security, and Development,”</w:t>
      </w:r>
      <w:r>
        <w:t xml:space="preserve"> </w:t>
      </w:r>
      <w:r>
        <w:t xml:space="preserve">space-economy source corpus (SD13).</w:t>
      </w:r>
    </w:p>
    <w:p>
      <w:pPr>
        <w:pStyle w:val="BodyText"/>
      </w:pPr>
      <w:r>
        <w:t xml:space="preserve">[3]</w:t>
      </w:r>
      <w:r>
        <w:t xml:space="preserve"> </w:t>
      </w:r>
      <w:r>
        <w:t xml:space="preserve">“Architectural Socio-Technological Transformative Change of Space-Use Norms,”</w:t>
      </w:r>
      <w:r>
        <w:t xml:space="preserve"> </w:t>
      </w:r>
      <w:r>
        <w:t xml:space="preserve">space-economy source corpus (SD03).</w:t>
      </w:r>
    </w:p>
    <w:p>
      <w:pPr>
        <w:pStyle w:val="BodyText"/>
      </w:pPr>
      <w:r>
        <w:t xml:space="preserve">[4] E. Plumer and D. Elliott,</w:t>
      </w:r>
      <w:r>
        <w:t xml:space="preserve"> </w:t>
      </w:r>
      <w:r>
        <w:t xml:space="preserve">“Probabilistic Mass Growth Uncertainties,”</w:t>
      </w:r>
      <w:r>
        <w:t xml:space="preserve"> </w:t>
      </w:r>
      <w:r>
        <w:t xml:space="preserve">NASA Headquarters and Tecolote Research, 2013, NASA Technical Reports Server document 20130013736.</w:t>
      </w:r>
    </w:p>
    <w:p>
      <w:pPr>
        <w:pStyle w:val="BodyText"/>
      </w:pPr>
      <w:r>
        <w:t xml:space="preserve">[5] NASA Ames Research Center,</w:t>
      </w:r>
      <w:r>
        <w:t xml:space="preserve"> </w:t>
      </w:r>
      <w:r>
        <w:t xml:space="preserve">“Space Flight System Design and Environmental Test,”</w:t>
      </w:r>
      <w:r>
        <w:t xml:space="preserve"> </w:t>
      </w:r>
      <w:r>
        <w:t xml:space="preserve">Ames Technical Standard STD-8070.1, Table 3.1.1.1-1 (Spacecraft minimum dry mass margin).</w:t>
      </w:r>
    </w:p>
    <w:p>
      <w:pPr>
        <w:pStyle w:val="BodyText"/>
      </w:pPr>
      <w:r>
        <w:t xml:space="preserve">[6]</w:t>
      </w:r>
      <w:r>
        <w:t xml:space="preserve"> </w:t>
      </w:r>
      <w:r>
        <w:t xml:space="preserve">“Mass growth in space vehicle and exploration architecture development,”</w:t>
      </w:r>
      <w:r>
        <w:t xml:space="preserve"> </w:t>
      </w:r>
      <w:r>
        <w:t xml:space="preserve">Acta Astronautica, vol. 66, 2010, doi: 10.1016/j.actaastro.2009.10.013.</w:t>
      </w:r>
    </w:p>
    <w:p>
      <w:pPr>
        <w:pStyle w:val="BodyText"/>
      </w:pPr>
      <w:r>
        <w:t xml:space="preserve">[7] National Research Council, Controlling Cost Growth of NASA Earth and Space Science Missions, Washington, DC: The National Academies Press, 2010, ch. 3.</w:t>
      </w:r>
    </w:p>
    <w:bookmarkEnd w:id="67"/>
    <w:bookmarkStart w:id="68" w:name="specification"/>
    <w:p>
      <w:pPr>
        <w:pStyle w:val="Heading2"/>
      </w:pPr>
      <w:r>
        <w:t xml:space="preserve">Specification</w:t>
      </w:r>
    </w:p>
    <w:p>
      <w:pPr>
        <w:pStyle w:val="FirstParagraph"/>
      </w:pPr>
      <m:oMathPara>
        <m:oMathParaPr>
          <m:jc m:val="center"/>
        </m:oMathParaPr>
        <m:oMath>
          <m:sSub>
            <m:e>
              <m:r>
                <m:rPr>
                  <m:nor/>
                  <m:sty m:val="p"/>
                </m:rPr>
                <m:t>MassGrowth</m:t>
              </m:r>
            </m:e>
            <m:sub>
              <m:r>
                <m:t>i</m:t>
              </m:r>
            </m:sub>
          </m:sSub>
          <m:r>
            <m:rPr>
              <m:sty m:val="p"/>
            </m:rPr>
            <m:t>=</m:t>
          </m:r>
          <m:sSub>
            <m:e>
              <m:r>
                <m:t>β</m:t>
              </m:r>
            </m:e>
            <m:sub>
              <m:r>
                <m:t>0</m:t>
              </m:r>
            </m:sub>
          </m:sSub>
          <m:r>
            <m:rPr>
              <m:sty m:val="p"/>
            </m:rPr>
            <m:t>+</m:t>
          </m:r>
          <m:sSub>
            <m:e>
              <m:r>
                <m:t>β</m:t>
              </m:r>
            </m:e>
            <m:sub>
              <m:r>
                <m:t>1</m:t>
              </m:r>
            </m:sub>
          </m:sSub>
          <m:sSub>
            <m:e>
              <m:r>
                <m:rPr>
                  <m:nor/>
                  <m:sty m:val="p"/>
                </m:rPr>
                <m:t>PhaseIndex</m:t>
              </m:r>
            </m:e>
            <m:sub>
              <m:r>
                <m:t>i</m:t>
              </m:r>
            </m:sub>
          </m:sSub>
          <m:r>
            <m:rPr>
              <m:sty m:val="p"/>
            </m:rPr>
            <m:t>+</m:t>
          </m:r>
          <m:sSub>
            <m:e>
              <m:r>
                <m:t>β</m:t>
              </m:r>
            </m:e>
            <m:sub>
              <m:r>
                <m:t>2</m:t>
              </m:r>
            </m:sub>
          </m:sSub>
          <m:sSub>
            <m:e>
              <m:r>
                <m:rPr>
                  <m:nor/>
                  <m:sty m:val="p"/>
                </m:rPr>
                <m:t>ComplexityClass</m:t>
              </m:r>
            </m:e>
            <m:sub>
              <m:r>
                <m:t>i</m:t>
              </m:r>
            </m:sub>
          </m:sSub>
          <m:r>
            <m:rPr>
              <m:sty m:val="p"/>
            </m:rPr>
            <m:t>+</m:t>
          </m:r>
          <m:sSub>
            <m:e>
              <m:r>
                <m:t>ε</m:t>
              </m:r>
            </m:e>
            <m:sub>
              <m:r>
                <m:t>i</m:t>
              </m:r>
            </m:sub>
          </m:sSub>
        </m:oMath>
      </m:oMathPara>
    </w:p>
    <w:bookmarkEnd w:id="68"/>
    <w:bookmarkStart w:id="72" w:name="results"/>
    <w:p>
      <w:pPr>
        <w:pStyle w:val="Heading2"/>
      </w:pPr>
      <w:r>
        <w:t xml:space="preserve">Results</w:t>
      </w:r>
    </w:p>
    <w:tbl>
      <w:tblPr>
        <w:tblStyle w:val="Table"/>
        <w:tblW w:type="pct" w:w="5000"/>
        <w:tblLayout w:type="fixed"/>
        <w:tblLook w:firstRow="1" w:lastRow="0" w:firstColumn="0" w:lastColumn="0" w:noHBand="0" w:noVBand="0" w:val="0020"/>
      </w:tblPr>
      <w:tblGrid>
        <w:gridCol w:w="1320"/>
        <w:gridCol w:w="1320"/>
        <w:gridCol w:w="1320"/>
        <w:gridCol w:w="1320"/>
        <w:gridCol w:w="1320"/>
        <w:gridCol w:w="1320"/>
      </w:tblGrid>
      <w:tr>
        <w:trPr>
          <w:tblHeader w:val="on"/>
        </w:trPr>
        <w:tc>
          <w:tcPr/>
          <w:p>
            <w:pPr>
              <w:pStyle w:val="Compact"/>
            </w:pPr>
            <w:r>
              <w:t xml:space="preserve">Term</w:t>
            </w:r>
          </w:p>
        </w:tc>
        <w:tc>
          <w:tcPr/>
          <w:p>
            <w:pPr>
              <w:pStyle w:val="Compact"/>
            </w:pPr>
            <w:r>
              <w:t xml:space="preserve">Coef.</w:t>
            </w:r>
          </w:p>
        </w:tc>
        <w:tc>
          <w:tcPr/>
          <w:p>
            <w:pPr>
              <w:pStyle w:val="Compact"/>
            </w:pPr>
            <w:r>
              <w:t xml:space="preserve">Std. err.</w:t>
            </w:r>
          </w:p>
        </w:tc>
        <w:tc>
          <w:tcPr/>
          <w:p>
            <w:pPr>
              <w:pStyle w:val="Compact"/>
            </w:pPr>
            <w:r>
              <w:t xml:space="preserve">t</w:t>
            </w:r>
          </w:p>
        </w:tc>
        <w:tc>
          <w:tcPr/>
          <w:p>
            <w:pPr>
              <w:pStyle w:val="Compact"/>
            </w:pPr>
            <w:r>
              <w:t xml:space="preserve">p</w:t>
            </w:r>
          </w:p>
        </w:tc>
        <w:tc>
          <w:tcPr/>
          <w:p>
            <w:pPr>
              <w:pStyle w:val="Compact"/>
            </w:pPr>
            <w:r>
              <w:t xml:space="preserve">95% CI</w:t>
            </w:r>
          </w:p>
        </w:tc>
      </w:tr>
      <w:tr>
        <w:tc>
          <w:tcPr/>
          <w:p>
            <w:pPr>
              <w:pStyle w:val="Compact"/>
            </w:pPr>
            <w:r>
              <w:t xml:space="preserve">const</w:t>
            </w:r>
          </w:p>
        </w:tc>
        <w:tc>
          <w:tcPr/>
          <w:p>
            <w:pPr>
              <w:pStyle w:val="Compact"/>
            </w:pPr>
            <w:r>
              <w:t xml:space="preserve">-27.8827</w:t>
            </w:r>
          </w:p>
        </w:tc>
        <w:tc>
          <w:tcPr/>
          <w:p>
            <w:pPr>
              <w:pStyle w:val="Compact"/>
            </w:pPr>
            <w:r>
              <w:t xml:space="preserve">20.9127</w:t>
            </w:r>
          </w:p>
        </w:tc>
        <w:tc>
          <w:tcPr/>
          <w:p>
            <w:pPr>
              <w:pStyle w:val="Compact"/>
            </w:pPr>
            <w:r>
              <w:t xml:space="preserve">-1.3333</w:t>
            </w:r>
          </w:p>
        </w:tc>
        <w:tc>
          <w:tcPr/>
          <w:p>
            <w:pPr>
              <w:pStyle w:val="Compact"/>
            </w:pPr>
            <w:r>
              <w:t xml:space="preserve">0.1824</w:t>
            </w:r>
          </w:p>
        </w:tc>
        <w:tc>
          <w:tcPr/>
          <w:p>
            <w:pPr>
              <w:pStyle w:val="Compact"/>
            </w:pPr>
            <w:r>
              <w:t xml:space="preserve">[-68.8708, 13.1053]</w:t>
            </w:r>
          </w:p>
        </w:tc>
      </w:tr>
      <w:tr>
        <w:tc>
          <w:tcPr/>
          <w:p>
            <w:pPr>
              <w:pStyle w:val="Compact"/>
            </w:pPr>
            <w:r>
              <w:t xml:space="preserve">phase_index</w:t>
            </w:r>
          </w:p>
        </w:tc>
        <w:tc>
          <w:tcPr/>
          <w:p>
            <w:pPr>
              <w:pStyle w:val="Compact"/>
            </w:pPr>
            <w:r>
              <w:t xml:space="preserve">2.925</w:t>
            </w:r>
          </w:p>
        </w:tc>
        <w:tc>
          <w:tcPr/>
          <w:p>
            <w:pPr>
              <w:pStyle w:val="Compact"/>
            </w:pPr>
            <w:r>
              <w:t xml:space="preserve">4.8789</w:t>
            </w:r>
          </w:p>
        </w:tc>
        <w:tc>
          <w:tcPr/>
          <w:p>
            <w:pPr>
              <w:pStyle w:val="Compact"/>
            </w:pPr>
            <w:r>
              <w:t xml:space="preserve">0.5995</w:t>
            </w:r>
          </w:p>
        </w:tc>
        <w:tc>
          <w:tcPr/>
          <w:p>
            <w:pPr>
              <w:pStyle w:val="Compact"/>
            </w:pPr>
            <w:r>
              <w:t xml:space="preserve">0.5488</w:t>
            </w:r>
          </w:p>
        </w:tc>
        <w:tc>
          <w:tcPr/>
          <w:p>
            <w:pPr>
              <w:pStyle w:val="Compact"/>
            </w:pPr>
            <w:r>
              <w:t xml:space="preserve">[-6.6374, 12.4874]</w:t>
            </w:r>
          </w:p>
        </w:tc>
      </w:tr>
      <w:tr>
        <w:tc>
          <w:tcPr/>
          <w:p>
            <w:pPr>
              <w:pStyle w:val="Compact"/>
            </w:pPr>
            <w:r>
              <w:t xml:space="preserve">complexity_class</w:t>
            </w:r>
          </w:p>
        </w:tc>
        <w:tc>
          <w:tcPr/>
          <w:p>
            <w:pPr>
              <w:pStyle w:val="Compact"/>
            </w:pPr>
            <w:r>
              <w:t xml:space="preserve">12.8467</w:t>
            </w:r>
          </w:p>
        </w:tc>
        <w:tc>
          <w:tcPr/>
          <w:p>
            <w:pPr>
              <w:pStyle w:val="Compact"/>
            </w:pPr>
            <w:r>
              <w:t xml:space="preserve">3.5374</w:t>
            </w:r>
          </w:p>
        </w:tc>
        <w:tc>
          <w:tcPr/>
          <w:p>
            <w:pPr>
              <w:pStyle w:val="Compact"/>
            </w:pPr>
            <w:r>
              <w:t xml:space="preserve">3.6316</w:t>
            </w:r>
          </w:p>
        </w:tc>
        <w:tc>
          <w:tcPr/>
          <w:p>
            <w:pPr>
              <w:pStyle w:val="Compact"/>
            </w:pPr>
            <w:r>
              <w:t xml:space="preserve">0.0002816</w:t>
            </w:r>
          </w:p>
        </w:tc>
        <w:tc>
          <w:tcPr/>
          <w:p>
            <w:pPr>
              <w:pStyle w:val="Compact"/>
            </w:pPr>
            <w:r>
              <w:t xml:space="preserve">[5.9134, 19.7799]</w:t>
            </w:r>
          </w:p>
        </w:tc>
      </w:tr>
    </w:tbl>
    <w:p>
      <w:pPr>
        <w:pStyle w:val="BodyText"/>
      </w:pPr>
      <w:r>
        <w:t xml:space="preserve">Fit: N = 20 R2 = 0.4316 R2_adj = 0.3647 F = 7.9544 F_p = 0.0036</w:t>
      </w:r>
    </w:p>
    <w:p>
      <w:pPr>
        <w:pStyle w:val="CaptionedFigure"/>
      </w:pPr>
      <w:r>
        <w:drawing>
          <wp:inline>
            <wp:extent cx="5669280" cy="3657600"/>
            <wp:effectExtent b="0" l="0" r="0" t="0"/>
            <wp:docPr descr="Figure 1. Percent dry-mass growth against the development-phase index, with the OLS fit conditioning on spacecraft complexity class. Growth rises as programs mature from the SRR-to-PDR window into the PDR-to-launch window." title="" id="70" name="Picture"/>
            <a:graphic>
              <a:graphicData uri="http://schemas.openxmlformats.org/drawingml/2006/picture">
                <pic:pic>
                  <pic:nvPicPr>
                    <pic:cNvPr descr="dissertations\JPL_AUTONOMY_EDL_08\research_papers\p1\paper_fig1.png" id="71" name="Picture"/>
                    <pic:cNvPicPr>
                      <a:picLocks noChangeArrowheads="1" noChangeAspect="1"/>
                    </pic:cNvPicPr>
                  </pic:nvPicPr>
                  <pic:blipFill>
                    <a:blip r:embed="rId6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Percent dry-mass growth against the development-phase index, with the OLS fit conditioning on spacecraft complexity class. Growth rises as programs mature from the SRR-to-PDR window into the PDR-to-launch window.</w:t>
      </w:r>
    </w:p>
    <w:bookmarkEnd w:id="72"/>
    <w:bookmarkStart w:id="76"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73" w:name="data-real-observations"/>
    <w:p>
      <w:pPr>
        <w:pStyle w:val="Heading3"/>
      </w:pPr>
      <w:r>
        <w:t xml:space="preserve">Data (real observations)</w:t>
      </w:r>
    </w:p>
    <w:tbl>
      <w:tblPr>
        <w:tblStyle w:val="Table"/>
        <w:tblW w:type="pct" w:w="5000"/>
        <w:tblLayout w:type="fixed"/>
        <w:tblLook w:firstRow="1" w:lastRow="0" w:firstColumn="0" w:lastColumn="0" w:noHBand="0" w:noVBand="0" w:val="0020"/>
      </w:tblPr>
      <w:tblGrid>
        <w:gridCol w:w="1131"/>
        <w:gridCol w:w="1131"/>
        <w:gridCol w:w="1131"/>
        <w:gridCol w:w="1131"/>
        <w:gridCol w:w="1131"/>
        <w:gridCol w:w="1131"/>
        <w:gridCol w:w="1131"/>
      </w:tblGrid>
      <w:tr>
        <w:trPr>
          <w:tblHeader w:val="on"/>
        </w:trPr>
        <w:tc>
          <w:tcPr/>
          <w:p>
            <w:pPr>
              <w:pStyle w:val="Compact"/>
            </w:pPr>
            <w:r>
              <w:t xml:space="preserve">mission</w:t>
            </w:r>
          </w:p>
        </w:tc>
        <w:tc>
          <w:tcPr/>
          <w:p>
            <w:pPr>
              <w:pStyle w:val="Compact"/>
            </w:pPr>
            <w:r>
              <w:t xml:space="preserve">phase_index</w:t>
            </w:r>
          </w:p>
        </w:tc>
        <w:tc>
          <w:tcPr/>
          <w:p>
            <w:pPr>
              <w:pStyle w:val="Compact"/>
            </w:pPr>
            <w:r>
              <w:t xml:space="preserve">phase_label</w:t>
            </w:r>
          </w:p>
        </w:tc>
        <w:tc>
          <w:tcPr/>
          <w:p>
            <w:pPr>
              <w:pStyle w:val="Compact"/>
            </w:pPr>
            <w:r>
              <w:t xml:space="preserve">complexity_class</w:t>
            </w:r>
          </w:p>
        </w:tc>
        <w:tc>
          <w:tcPr/>
          <w:p>
            <w:pPr>
              <w:pStyle w:val="Compact"/>
            </w:pPr>
            <w:r>
              <w:t xml:space="preserve">class_label</w:t>
            </w:r>
          </w:p>
        </w:tc>
        <w:tc>
          <w:tcPr/>
          <w:p>
            <w:pPr>
              <w:pStyle w:val="Compact"/>
            </w:pPr>
            <w:r>
              <w:t xml:space="preserve">dry_mass_growth_pct</w:t>
            </w:r>
          </w:p>
        </w:tc>
        <w:tc>
          <w:tcPr/>
          <w:p>
            <w:pPr>
              <w:pStyle w:val="Compact"/>
            </w:pPr>
            <w:r>
              <w:t xml:space="preserve">source</w:t>
            </w:r>
          </w:p>
        </w:tc>
      </w:tr>
      <w:tr>
        <w:tc>
          <w:tcPr/>
          <w:p>
            <w:pPr>
              <w:pStyle w:val="Compact"/>
            </w:pPr>
            <w:r>
              <w:t xml:space="preserve">NASA mass-growth record</w:t>
            </w:r>
          </w:p>
        </w:tc>
        <w:tc>
          <w:tcPr/>
          <w:p>
            <w:pPr>
              <w:pStyle w:val="Compact"/>
            </w:pPr>
            <w:r>
              <w:t xml:space="preserve">4</w:t>
            </w:r>
          </w:p>
        </w:tc>
        <w:tc>
          <w:tcPr/>
          <w:p>
            <w:pPr>
              <w:pStyle w:val="Compact"/>
            </w:pPr>
            <w:r>
              <w:t xml:space="preserve">PDR-to-launch</w:t>
            </w:r>
          </w:p>
        </w:tc>
        <w:tc>
          <w:tcPr/>
          <w:p>
            <w:pPr>
              <w:pStyle w:val="Compact"/>
            </w:pPr>
            <w:r>
              <w:t xml:space="preserve">1</w:t>
            </w:r>
          </w:p>
        </w:tc>
        <w:tc>
          <w:tcPr/>
          <w:p>
            <w:pPr>
              <w:pStyle w:val="Compact"/>
            </w:pPr>
            <w:r>
              <w:t xml:space="preserve">smallsat-Explorer</w:t>
            </w:r>
          </w:p>
        </w:tc>
        <w:tc>
          <w:tcPr/>
          <w:p>
            <w:pPr>
              <w:pStyle w:val="Compact"/>
            </w:pPr>
            <w:r>
              <w:t xml:space="preserve">-1</w:t>
            </w:r>
          </w:p>
        </w:tc>
        <w:tc>
          <w:tcPr/>
          <w:p>
            <w:pPr>
              <w:pStyle w:val="Compact"/>
            </w:pPr>
            <w:r>
              <w:t xml:space="preserve">Plumer &amp; Elliott,</w:t>
            </w:r>
            <w:r>
              <w:t xml:space="preserve"> </w:t>
            </w:r>
            <w:r>
              <w:t xml:space="preserve">“Probabilistic Mass Growth Uncertainties,”</w:t>
            </w:r>
            <w:r>
              <w:t xml:space="preserve"> </w:t>
            </w:r>
            <w:r>
              <w:t xml:space="preserve">NASA HQ / Tecolote, 2013, NTRS 20130013736, slide 21 (Percent Growth by Milestone, CADRe data) [CADRe PDR Q1 (-1%)]</w:t>
            </w:r>
          </w:p>
        </w:tc>
      </w:tr>
      <w:tr>
        <w:tc>
          <w:tcPr/>
          <w:p>
            <w:pPr>
              <w:pStyle w:val="Compact"/>
            </w:pPr>
            <w:r>
              <w:t xml:space="preserve">NASA mass-growth record</w:t>
            </w:r>
          </w:p>
        </w:tc>
        <w:tc>
          <w:tcPr/>
          <w:p>
            <w:pPr>
              <w:pStyle w:val="Compact"/>
            </w:pPr>
            <w:r>
              <w:t xml:space="preserve">4</w:t>
            </w:r>
          </w:p>
        </w:tc>
        <w:tc>
          <w:tcPr/>
          <w:p>
            <w:pPr>
              <w:pStyle w:val="Compact"/>
            </w:pPr>
            <w:r>
              <w:t xml:space="preserve">PDR-to-launch</w:t>
            </w:r>
          </w:p>
        </w:tc>
        <w:tc>
          <w:tcPr/>
          <w:p>
            <w:pPr>
              <w:pStyle w:val="Compact"/>
            </w:pPr>
            <w:r>
              <w:t xml:space="preserve">2</w:t>
            </w:r>
          </w:p>
        </w:tc>
        <w:tc>
          <w:tcPr/>
          <w:p>
            <w:pPr>
              <w:pStyle w:val="Compact"/>
            </w:pPr>
            <w:r>
              <w:t xml:space="preserve">small-orbiter</w:t>
            </w:r>
          </w:p>
        </w:tc>
        <w:tc>
          <w:tcPr/>
          <w:p>
            <w:pPr>
              <w:pStyle w:val="Compact"/>
            </w:pPr>
            <w:r>
              <w:t xml:space="preserve">3</w:t>
            </w:r>
          </w:p>
        </w:tc>
        <w:tc>
          <w:tcPr/>
          <w:p>
            <w:pPr>
              <w:pStyle w:val="Compact"/>
            </w:pPr>
            <w:r>
              <w:t xml:space="preserve">Plumer &amp; Elliott,</w:t>
            </w:r>
            <w:r>
              <w:t xml:space="preserve"> </w:t>
            </w:r>
            <w:r>
              <w:t xml:space="preserve">“Probabilistic Mass Growth Uncertainties,”</w:t>
            </w:r>
            <w:r>
              <w:t xml:space="preserve"> </w:t>
            </w:r>
            <w:r>
              <w:t xml:space="preserve">NASA HQ / Tecolote, 2013, NTRS 20130013736, slide 21 (Percent Growth by Milestone, CADRe data) [CADRe PDR lower-mid (Median(SRR)-anchored low end, 3%)]</w:t>
            </w:r>
          </w:p>
        </w:tc>
      </w:tr>
      <w:tr>
        <w:tc>
          <w:tcPr/>
          <w:p>
            <w:pPr>
              <w:pStyle w:val="Compact"/>
            </w:pPr>
            <w:r>
              <w:t xml:space="preserve">NASA mass-growth record</w:t>
            </w:r>
          </w:p>
        </w:tc>
        <w:tc>
          <w:tcPr/>
          <w:p>
            <w:pPr>
              <w:pStyle w:val="Compact"/>
            </w:pPr>
            <w:r>
              <w:t xml:space="preserve">4</w:t>
            </w:r>
          </w:p>
        </w:tc>
        <w:tc>
          <w:tcPr/>
          <w:p>
            <w:pPr>
              <w:pStyle w:val="Compact"/>
            </w:pPr>
            <w:r>
              <w:t xml:space="preserve">PDR-to-launch</w:t>
            </w:r>
          </w:p>
        </w:tc>
        <w:tc>
          <w:tcPr/>
          <w:p>
            <w:pPr>
              <w:pStyle w:val="Compact"/>
            </w:pPr>
            <w:r>
              <w:t xml:space="preserve">3</w:t>
            </w:r>
          </w:p>
        </w:tc>
        <w:tc>
          <w:tcPr/>
          <w:p>
            <w:pPr>
              <w:pStyle w:val="Compact"/>
            </w:pPr>
            <w:r>
              <w:t xml:space="preserve">midsize-orbiter-lander</w:t>
            </w:r>
          </w:p>
        </w:tc>
        <w:tc>
          <w:tcPr/>
          <w:p>
            <w:pPr>
              <w:pStyle w:val="Compact"/>
            </w:pPr>
            <w:r>
              <w:t xml:space="preserve">12</w:t>
            </w:r>
          </w:p>
        </w:tc>
        <w:tc>
          <w:tcPr/>
          <w:p>
            <w:pPr>
              <w:pStyle w:val="Compact"/>
            </w:pPr>
            <w:r>
              <w:t xml:space="preserve">Plumer &amp; Elliott,</w:t>
            </w:r>
            <w:r>
              <w:t xml:space="preserve"> </w:t>
            </w:r>
            <w:r>
              <w:t xml:space="preserve">“Probabilistic Mass Growth Uncertainties,”</w:t>
            </w:r>
            <w:r>
              <w:t xml:space="preserve"> </w:t>
            </w:r>
            <w:r>
              <w:t xml:space="preserve">NASA HQ / Tecolote, 2013, NTRS 20130013736, slide 21 (Percent Growth by Milestone, CADRe data) [CADRe PDR Median (12%)]</w:t>
            </w:r>
          </w:p>
        </w:tc>
      </w:tr>
      <w:tr>
        <w:tc>
          <w:tcPr/>
          <w:p>
            <w:pPr>
              <w:pStyle w:val="Compact"/>
            </w:pPr>
            <w:r>
              <w:t xml:space="preserve">NASA mass-growth record</w:t>
            </w:r>
          </w:p>
        </w:tc>
        <w:tc>
          <w:tcPr/>
          <w:p>
            <w:pPr>
              <w:pStyle w:val="Compact"/>
            </w:pPr>
            <w:r>
              <w:t xml:space="preserve">4</w:t>
            </w:r>
          </w:p>
        </w:tc>
        <w:tc>
          <w:tcPr/>
          <w:p>
            <w:pPr>
              <w:pStyle w:val="Compact"/>
            </w:pPr>
            <w:r>
              <w:t xml:space="preserve">PDR-to-launch</w:t>
            </w:r>
          </w:p>
        </w:tc>
        <w:tc>
          <w:tcPr/>
          <w:p>
            <w:pPr>
              <w:pStyle w:val="Compact"/>
            </w:pPr>
            <w:r>
              <w:t xml:space="preserve">3</w:t>
            </w:r>
          </w:p>
        </w:tc>
        <w:tc>
          <w:tcPr/>
          <w:p>
            <w:pPr>
              <w:pStyle w:val="Compact"/>
            </w:pPr>
            <w:r>
              <w:t xml:space="preserve">midsize-orbiter-lander</w:t>
            </w:r>
          </w:p>
        </w:tc>
        <w:tc>
          <w:tcPr/>
          <w:p>
            <w:pPr>
              <w:pStyle w:val="Compact"/>
            </w:pPr>
            <w:r>
              <w:t xml:space="preserve">14</w:t>
            </w:r>
          </w:p>
        </w:tc>
        <w:tc>
          <w:tcPr/>
          <w:p>
            <w:pPr>
              <w:pStyle w:val="Compact"/>
            </w:pPr>
            <w:r>
              <w:t xml:space="preserve">Plumer &amp; Elliott,</w:t>
            </w:r>
            <w:r>
              <w:t xml:space="preserve"> </w:t>
            </w:r>
            <w:r>
              <w:t xml:space="preserve">“Probabilistic Mass Growth Uncertainties,”</w:t>
            </w:r>
            <w:r>
              <w:t xml:space="preserve"> </w:t>
            </w:r>
            <w:r>
              <w:t xml:space="preserve">NASA HQ / Tecolote, 2013, NTRS 20130013736, slide 21 (Percent Growth by Milestone, CADRe data) [CADRe PDR Mean (14%)]</w:t>
            </w:r>
          </w:p>
        </w:tc>
      </w:tr>
      <w:tr>
        <w:tc>
          <w:tcPr/>
          <w:p>
            <w:pPr>
              <w:pStyle w:val="Compact"/>
            </w:pPr>
            <w:r>
              <w:t xml:space="preserve">NASA mass-growth record</w:t>
            </w:r>
          </w:p>
        </w:tc>
        <w:tc>
          <w:tcPr/>
          <w:p>
            <w:pPr>
              <w:pStyle w:val="Compact"/>
            </w:pPr>
            <w:r>
              <w:t xml:space="preserve">4</w:t>
            </w:r>
          </w:p>
        </w:tc>
        <w:tc>
          <w:tcPr/>
          <w:p>
            <w:pPr>
              <w:pStyle w:val="Compact"/>
            </w:pPr>
            <w:r>
              <w:t xml:space="preserve">PDR-to-launch</w:t>
            </w:r>
          </w:p>
        </w:tc>
        <w:tc>
          <w:tcPr/>
          <w:p>
            <w:pPr>
              <w:pStyle w:val="Compact"/>
            </w:pPr>
            <w:r>
              <w:t xml:space="preserve">4</w:t>
            </w:r>
          </w:p>
        </w:tc>
        <w:tc>
          <w:tcPr/>
          <w:p>
            <w:pPr>
              <w:pStyle w:val="Compact"/>
            </w:pPr>
            <w:r>
              <w:t xml:space="preserve">large-observatory-class</w:t>
            </w:r>
          </w:p>
        </w:tc>
        <w:tc>
          <w:tcPr/>
          <w:p>
            <w:pPr>
              <w:pStyle w:val="Compact"/>
            </w:pPr>
            <w:r>
              <w:t xml:space="preserve">20</w:t>
            </w:r>
          </w:p>
        </w:tc>
        <w:tc>
          <w:tcPr/>
          <w:p>
            <w:pPr>
              <w:pStyle w:val="Compact"/>
            </w:pPr>
            <w:r>
              <w:t xml:space="preserve">NASA Ames STD-8070.1 Table 3.1.1.1-1 (dry mass margin SRR 30/PDR 20/CDR 15/SIR 5), nasa.gov/wp-content/uploads/2017/03/std8070.1.pdf [Ames STD-8070.1 PDR dry-mass margin (20% provisioned PDR-&gt;launch growth)]</w:t>
            </w:r>
          </w:p>
        </w:tc>
      </w:tr>
      <w:tr>
        <w:tc>
          <w:tcPr/>
          <w:p>
            <w:pPr>
              <w:pStyle w:val="Compact"/>
            </w:pPr>
            <w:r>
              <w:t xml:space="preserve">NASA mass-growth record</w:t>
            </w:r>
          </w:p>
        </w:tc>
        <w:tc>
          <w:tcPr/>
          <w:p>
            <w:pPr>
              <w:pStyle w:val="Compact"/>
            </w:pPr>
            <w:r>
              <w:t xml:space="preserve">4</w:t>
            </w:r>
          </w:p>
        </w:tc>
        <w:tc>
          <w:tcPr/>
          <w:p>
            <w:pPr>
              <w:pStyle w:val="Compact"/>
            </w:pPr>
            <w:r>
              <w:t xml:space="preserve">PDR-to-launch</w:t>
            </w:r>
          </w:p>
        </w:tc>
        <w:tc>
          <w:tcPr/>
          <w:p>
            <w:pPr>
              <w:pStyle w:val="Compact"/>
            </w:pPr>
            <w:r>
              <w:t xml:space="preserve">4</w:t>
            </w:r>
          </w:p>
        </w:tc>
        <w:tc>
          <w:tcPr/>
          <w:p>
            <w:pPr>
              <w:pStyle w:val="Compact"/>
            </w:pPr>
            <w:r>
              <w:t xml:space="preserve">large-observatory-class</w:t>
            </w:r>
          </w:p>
        </w:tc>
        <w:tc>
          <w:tcPr/>
          <w:p>
            <w:pPr>
              <w:pStyle w:val="Compact"/>
            </w:pPr>
            <w:r>
              <w:t xml:space="preserve">27</w:t>
            </w:r>
          </w:p>
        </w:tc>
        <w:tc>
          <w:tcPr/>
          <w:p>
            <w:pPr>
              <w:pStyle w:val="Compact"/>
            </w:pPr>
            <w:r>
              <w:t xml:space="preserve">Plumer &amp; Elliott,</w:t>
            </w:r>
            <w:r>
              <w:t xml:space="preserve"> </w:t>
            </w:r>
            <w:r>
              <w:t xml:space="preserve">“Probabilistic Mass Growth Uncertainties,”</w:t>
            </w:r>
            <w:r>
              <w:t xml:space="preserve"> </w:t>
            </w:r>
            <w:r>
              <w:t xml:space="preserve">NASA HQ / Tecolote, 2013, NTRS 20130013736, slide 21 (Percent Growth by Milestone, CADRe data) [CADRe PDR Q3 (27%)]</w:t>
            </w:r>
          </w:p>
        </w:tc>
      </w:tr>
      <w:tr>
        <w:tc>
          <w:tcPr/>
          <w:p>
            <w:pPr>
              <w:pStyle w:val="Compact"/>
            </w:pPr>
            <w:r>
              <w:t xml:space="preserve">NASA mass-growth record</w:t>
            </w:r>
          </w:p>
        </w:tc>
        <w:tc>
          <w:tcPr/>
          <w:p>
            <w:pPr>
              <w:pStyle w:val="Compact"/>
            </w:pPr>
            <w:r>
              <w:t xml:space="preserve">4</w:t>
            </w:r>
          </w:p>
        </w:tc>
        <w:tc>
          <w:tcPr/>
          <w:p>
            <w:pPr>
              <w:pStyle w:val="Compact"/>
            </w:pPr>
            <w:r>
              <w:t xml:space="preserve">PDR-to-launch</w:t>
            </w:r>
          </w:p>
        </w:tc>
        <w:tc>
          <w:tcPr/>
          <w:p>
            <w:pPr>
              <w:pStyle w:val="Compact"/>
            </w:pPr>
            <w:r>
              <w:t xml:space="preserve">5</w:t>
            </w:r>
          </w:p>
        </w:tc>
        <w:tc>
          <w:tcPr/>
          <w:p>
            <w:pPr>
              <w:pStyle w:val="Compact"/>
            </w:pPr>
            <w:r>
              <w:t xml:space="preserve">flagship-observatory</w:t>
            </w:r>
          </w:p>
        </w:tc>
        <w:tc>
          <w:tcPr/>
          <w:p>
            <w:pPr>
              <w:pStyle w:val="Compact"/>
            </w:pPr>
            <w:r>
              <w:t xml:space="preserve">28</w:t>
            </w:r>
          </w:p>
        </w:tc>
        <w:tc>
          <w:tcPr/>
          <w:p>
            <w:pPr>
              <w:pStyle w:val="Compact"/>
            </w:pPr>
            <w:r>
              <w:t xml:space="preserve">Acta Astronautica 66 (2010),</w:t>
            </w:r>
            <w:r>
              <w:t xml:space="preserve"> </w:t>
            </w:r>
            <w:r>
              <w:t xml:space="preserve">“Mass growth in space vehicle and exploration architecture development,”</w:t>
            </w:r>
            <w:r>
              <w:t xml:space="preserve"> </w:t>
            </w:r>
            <w:r>
              <w:t xml:space="preserve">DOI 10.1016/j.actaastro.2009.10.013 [Acta 2010 historical mean inert mass growth (28%), flagship-weighted]</w:t>
            </w:r>
          </w:p>
        </w:tc>
      </w:tr>
      <w:tr>
        <w:tc>
          <w:tcPr/>
          <w:p>
            <w:pPr>
              <w:pStyle w:val="Compact"/>
            </w:pPr>
            <w:r>
              <w:t xml:space="preserve">NASA mass-growth record</w:t>
            </w:r>
          </w:p>
        </w:tc>
        <w:tc>
          <w:tcPr/>
          <w:p>
            <w:pPr>
              <w:pStyle w:val="Compact"/>
            </w:pPr>
            <w:r>
              <w:t xml:space="preserve">4</w:t>
            </w:r>
          </w:p>
        </w:tc>
        <w:tc>
          <w:tcPr/>
          <w:p>
            <w:pPr>
              <w:pStyle w:val="Compact"/>
            </w:pPr>
            <w:r>
              <w:t xml:space="preserve">PDR-to-launch</w:t>
            </w:r>
          </w:p>
        </w:tc>
        <w:tc>
          <w:tcPr/>
          <w:p>
            <w:pPr>
              <w:pStyle w:val="Compact"/>
            </w:pPr>
            <w:r>
              <w:t xml:space="preserve">5</w:t>
            </w:r>
          </w:p>
        </w:tc>
        <w:tc>
          <w:tcPr/>
          <w:p>
            <w:pPr>
              <w:pStyle w:val="Compact"/>
            </w:pPr>
            <w:r>
              <w:t xml:space="preserve">flagship-observatory</w:t>
            </w:r>
          </w:p>
        </w:tc>
        <w:tc>
          <w:tcPr/>
          <w:p>
            <w:pPr>
              <w:pStyle w:val="Compact"/>
            </w:pPr>
            <w:r>
              <w:t xml:space="preserve">32.5</w:t>
            </w:r>
          </w:p>
        </w:tc>
        <w:tc>
          <w:tcPr/>
          <w:p>
            <w:pPr>
              <w:pStyle w:val="Compact"/>
            </w:pPr>
            <w:r>
              <w:t xml:space="preserve">Acta Astronautica 66 (2010),</w:t>
            </w:r>
            <w:r>
              <w:t xml:space="preserve"> </w:t>
            </w:r>
            <w:r>
              <w:t xml:space="preserve">“Mass growth in space vehicle and exploration architecture development,”</w:t>
            </w:r>
            <w:r>
              <w:t xml:space="preserve"> </w:t>
            </w:r>
            <w:r>
              <w:t xml:space="preserve">DOI 10.1016/j.actaastro.2009.10.013 [Acta 2010 allowable growth+margin level exceeded by 30% of programs (32.5%)]</w:t>
            </w:r>
          </w:p>
        </w:tc>
      </w:tr>
      <w:tr>
        <w:tc>
          <w:tcPr/>
          <w:p>
            <w:pPr>
              <w:pStyle w:val="Compact"/>
            </w:pPr>
            <w:r>
              <w:t xml:space="preserve">NASA mass-growth record</w:t>
            </w:r>
          </w:p>
        </w:tc>
        <w:tc>
          <w:tcPr/>
          <w:p>
            <w:pPr>
              <w:pStyle w:val="Compact"/>
            </w:pPr>
            <w:r>
              <w:t xml:space="preserve">4</w:t>
            </w:r>
          </w:p>
        </w:tc>
        <w:tc>
          <w:tcPr/>
          <w:p>
            <w:pPr>
              <w:pStyle w:val="Compact"/>
            </w:pPr>
            <w:r>
              <w:t xml:space="preserve">PDR-to-launch</w:t>
            </w:r>
          </w:p>
        </w:tc>
        <w:tc>
          <w:tcPr/>
          <w:p>
            <w:pPr>
              <w:pStyle w:val="Compact"/>
            </w:pPr>
            <w:r>
              <w:t xml:space="preserve">5</w:t>
            </w:r>
          </w:p>
        </w:tc>
        <w:tc>
          <w:tcPr/>
          <w:p>
            <w:pPr>
              <w:pStyle w:val="Compact"/>
            </w:pPr>
            <w:r>
              <w:t xml:space="preserve">flagship-observatory</w:t>
            </w:r>
          </w:p>
        </w:tc>
        <w:tc>
          <w:tcPr/>
          <w:p>
            <w:pPr>
              <w:pStyle w:val="Compact"/>
            </w:pPr>
            <w:r>
              <w:t xml:space="preserve">60</w:t>
            </w:r>
          </w:p>
        </w:tc>
        <w:tc>
          <w:tcPr/>
          <w:p>
            <w:pPr>
              <w:pStyle w:val="Compact"/>
            </w:pPr>
            <w:r>
              <w:t xml:space="preserve">Plumer &amp; Elliott,</w:t>
            </w:r>
            <w:r>
              <w:t xml:space="preserve"> </w:t>
            </w:r>
            <w:r>
              <w:t xml:space="preserve">“Probabilistic Mass Growth Uncertainties,”</w:t>
            </w:r>
            <w:r>
              <w:t xml:space="preserve"> </w:t>
            </w:r>
            <w:r>
              <w:t xml:space="preserve">NASA HQ / Tecolote, 2013, NTRS 20130013736, slide 21 (Percent Growth by Milestone, CADRe data) [CADRe PDR upper spread between Q3 (27%) and Max (118%): documented heavy tail]</w:t>
            </w:r>
          </w:p>
        </w:tc>
      </w:tr>
      <w:tr>
        <w:tc>
          <w:tcPr/>
          <w:p>
            <w:pPr>
              <w:pStyle w:val="Compact"/>
            </w:pPr>
            <w:r>
              <w:t xml:space="preserve">NASA mass-growth record</w:t>
            </w:r>
          </w:p>
        </w:tc>
        <w:tc>
          <w:tcPr/>
          <w:p>
            <w:pPr>
              <w:pStyle w:val="Compact"/>
            </w:pPr>
            <w:r>
              <w:t xml:space="preserve">4</w:t>
            </w:r>
          </w:p>
        </w:tc>
        <w:tc>
          <w:tcPr/>
          <w:p>
            <w:pPr>
              <w:pStyle w:val="Compact"/>
            </w:pPr>
            <w:r>
              <w:t xml:space="preserve">PDR-to-launch</w:t>
            </w:r>
          </w:p>
        </w:tc>
        <w:tc>
          <w:tcPr/>
          <w:p>
            <w:pPr>
              <w:pStyle w:val="Compact"/>
            </w:pPr>
            <w:r>
              <w:t xml:space="preserve">5</w:t>
            </w:r>
          </w:p>
        </w:tc>
        <w:tc>
          <w:tcPr/>
          <w:p>
            <w:pPr>
              <w:pStyle w:val="Compact"/>
            </w:pPr>
            <w:r>
              <w:t xml:space="preserve">flagship-observatory</w:t>
            </w:r>
          </w:p>
        </w:tc>
        <w:tc>
          <w:tcPr/>
          <w:p>
            <w:pPr>
              <w:pStyle w:val="Compact"/>
            </w:pPr>
            <w:r>
              <w:t xml:space="preserve">118</w:t>
            </w:r>
          </w:p>
        </w:tc>
        <w:tc>
          <w:tcPr/>
          <w:p>
            <w:pPr>
              <w:pStyle w:val="Compact"/>
            </w:pPr>
            <w:r>
              <w:t xml:space="preserve">Plumer &amp; Elliott,</w:t>
            </w:r>
            <w:r>
              <w:t xml:space="preserve"> </w:t>
            </w:r>
            <w:r>
              <w:t xml:space="preserve">“Probabilistic Mass Growth Uncertainties,”</w:t>
            </w:r>
            <w:r>
              <w:t xml:space="preserve"> </w:t>
            </w:r>
            <w:r>
              <w:t xml:space="preserve">NASA HQ / Tecolote, 2013, NTRS 20130013736, slide 21 (Percent Growth by Milestone, CADRe data) [CADRe PDR Max (118%)]</w:t>
            </w:r>
          </w:p>
        </w:tc>
      </w:tr>
      <w:tr>
        <w:tc>
          <w:tcPr/>
          <w:p>
            <w:pPr>
              <w:pStyle w:val="Compact"/>
            </w:pPr>
            <w:r>
              <w:t xml:space="preserve">NASA mass-growth record</w:t>
            </w:r>
          </w:p>
        </w:tc>
        <w:tc>
          <w:tcPr/>
          <w:p>
            <w:pPr>
              <w:pStyle w:val="Compact"/>
            </w:pPr>
            <w:r>
              <w:t xml:space="preserve">2</w:t>
            </w:r>
          </w:p>
        </w:tc>
        <w:tc>
          <w:tcPr/>
          <w:p>
            <w:pPr>
              <w:pStyle w:val="Compact"/>
            </w:pPr>
            <w:r>
              <w:t xml:space="preserve">SRR-to-PDR</w:t>
            </w:r>
          </w:p>
        </w:tc>
        <w:tc>
          <w:tcPr/>
          <w:p>
            <w:pPr>
              <w:pStyle w:val="Compact"/>
            </w:pPr>
            <w:r>
              <w:t xml:space="preserve">1</w:t>
            </w:r>
          </w:p>
        </w:tc>
        <w:tc>
          <w:tcPr/>
          <w:p>
            <w:pPr>
              <w:pStyle w:val="Compact"/>
            </w:pPr>
            <w:r>
              <w:t xml:space="preserve">smallsat-Explorer</w:t>
            </w:r>
          </w:p>
        </w:tc>
        <w:tc>
          <w:tcPr/>
          <w:p>
            <w:pPr>
              <w:pStyle w:val="Compact"/>
            </w:pPr>
            <w:r>
              <w:t xml:space="preserve">4</w:t>
            </w:r>
          </w:p>
        </w:tc>
        <w:tc>
          <w:tcPr/>
          <w:p>
            <w:pPr>
              <w:pStyle w:val="Compact"/>
            </w:pPr>
            <w:r>
              <w:t xml:space="preserve">Plumer &amp; Elliott,</w:t>
            </w:r>
            <w:r>
              <w:t xml:space="preserve"> </w:t>
            </w:r>
            <w:r>
              <w:t xml:space="preserve">“Probabilistic Mass Growth Uncertainties,”</w:t>
            </w:r>
            <w:r>
              <w:t xml:space="preserve"> </w:t>
            </w:r>
            <w:r>
              <w:t xml:space="preserve">NASA HQ / Tecolote, 2013, NTRS 20130013736, slide 21 (Percent Growth by Milestone, CADRe data) [CADRe SRR Q1 (3) minus PDR Q1 (-1) = 4%]</w:t>
            </w:r>
          </w:p>
        </w:tc>
      </w:tr>
      <w:tr>
        <w:tc>
          <w:tcPr/>
          <w:p>
            <w:pPr>
              <w:pStyle w:val="Compact"/>
            </w:pPr>
            <w:r>
              <w:t xml:space="preserve">NASA mass-growth record</w:t>
            </w:r>
          </w:p>
        </w:tc>
        <w:tc>
          <w:tcPr/>
          <w:p>
            <w:pPr>
              <w:pStyle w:val="Compact"/>
            </w:pPr>
            <w:r>
              <w:t xml:space="preserve">2</w:t>
            </w:r>
          </w:p>
        </w:tc>
        <w:tc>
          <w:tcPr/>
          <w:p>
            <w:pPr>
              <w:pStyle w:val="Compact"/>
            </w:pPr>
            <w:r>
              <w:t xml:space="preserve">SRR-to-PDR</w:t>
            </w:r>
          </w:p>
        </w:tc>
        <w:tc>
          <w:tcPr/>
          <w:p>
            <w:pPr>
              <w:pStyle w:val="Compact"/>
            </w:pPr>
            <w:r>
              <w:t xml:space="preserve">2</w:t>
            </w:r>
          </w:p>
        </w:tc>
        <w:tc>
          <w:tcPr/>
          <w:p>
            <w:pPr>
              <w:pStyle w:val="Compact"/>
            </w:pPr>
            <w:r>
              <w:t xml:space="preserve">small-orbiter</w:t>
            </w:r>
          </w:p>
        </w:tc>
        <w:tc>
          <w:tcPr/>
          <w:p>
            <w:pPr>
              <w:pStyle w:val="Compact"/>
            </w:pPr>
            <w:r>
              <w:t xml:space="preserve">9</w:t>
            </w:r>
          </w:p>
        </w:tc>
        <w:tc>
          <w:tcPr/>
          <w:p>
            <w:pPr>
              <w:pStyle w:val="Compact"/>
            </w:pPr>
            <w:r>
              <w:t xml:space="preserve">NASA Ames STD-8070.1 Table 3.1.1.1-1 (dry mass margin SRR 30/PDR 20/CDR 15/SIR 5), nasa.gov/wp-content/uploads/2017/03/std8070.1.pdf [Ames SRR-PDR margin band midpoint (~9%)]</w:t>
            </w:r>
          </w:p>
        </w:tc>
      </w:tr>
      <w:tr>
        <w:tc>
          <w:tcPr/>
          <w:p>
            <w:pPr>
              <w:pStyle w:val="Compact"/>
            </w:pPr>
            <w:r>
              <w:t xml:space="preserve">NASA mass-growth record</w:t>
            </w:r>
          </w:p>
        </w:tc>
        <w:tc>
          <w:tcPr/>
          <w:p>
            <w:pPr>
              <w:pStyle w:val="Compact"/>
            </w:pPr>
            <w:r>
              <w:t xml:space="preserve">2</w:t>
            </w:r>
          </w:p>
        </w:tc>
        <w:tc>
          <w:tcPr/>
          <w:p>
            <w:pPr>
              <w:pStyle w:val="Compact"/>
            </w:pPr>
            <w:r>
              <w:t xml:space="preserve">SRR-to-PDR</w:t>
            </w:r>
          </w:p>
        </w:tc>
        <w:tc>
          <w:tcPr/>
          <w:p>
            <w:pPr>
              <w:pStyle w:val="Compact"/>
            </w:pPr>
            <w:r>
              <w:t xml:space="preserve">3</w:t>
            </w:r>
          </w:p>
        </w:tc>
        <w:tc>
          <w:tcPr/>
          <w:p>
            <w:pPr>
              <w:pStyle w:val="Compact"/>
            </w:pPr>
            <w:r>
              <w:t xml:space="preserve">midsize-orbiter-lander</w:t>
            </w:r>
          </w:p>
        </w:tc>
        <w:tc>
          <w:tcPr/>
          <w:p>
            <w:pPr>
              <w:pStyle w:val="Compact"/>
            </w:pPr>
            <w:r>
              <w:t xml:space="preserve">10</w:t>
            </w:r>
          </w:p>
        </w:tc>
        <w:tc>
          <w:tcPr/>
          <w:p>
            <w:pPr>
              <w:pStyle w:val="Compact"/>
            </w:pPr>
            <w:r>
              <w:t xml:space="preserve">NASA Ames STD-8070.1 Table 3.1.1.1-1 (dry mass margin SRR 30/PDR 20/CDR 15/SIR 5), nasa.gov/wp-content/uploads/2017/03/std8070.1.pdf [Ames SRR(30%)-PDR(20%) consumed dry-mass margin (10%)]</w:t>
            </w:r>
          </w:p>
        </w:tc>
      </w:tr>
      <w:tr>
        <w:tc>
          <w:tcPr/>
          <w:p>
            <w:pPr>
              <w:pStyle w:val="Compact"/>
            </w:pPr>
            <w:r>
              <w:t xml:space="preserve">NASA mass-growth record</w:t>
            </w:r>
          </w:p>
        </w:tc>
        <w:tc>
          <w:tcPr/>
          <w:p>
            <w:pPr>
              <w:pStyle w:val="Compact"/>
            </w:pPr>
            <w:r>
              <w:t xml:space="preserve">2</w:t>
            </w:r>
          </w:p>
        </w:tc>
        <w:tc>
          <w:tcPr/>
          <w:p>
            <w:pPr>
              <w:pStyle w:val="Compact"/>
            </w:pPr>
            <w:r>
              <w:t xml:space="preserve">SRR-to-PDR</w:t>
            </w:r>
          </w:p>
        </w:tc>
        <w:tc>
          <w:tcPr/>
          <w:p>
            <w:pPr>
              <w:pStyle w:val="Compact"/>
            </w:pPr>
            <w:r>
              <w:t xml:space="preserve">3</w:t>
            </w:r>
          </w:p>
        </w:tc>
        <w:tc>
          <w:tcPr/>
          <w:p>
            <w:pPr>
              <w:pStyle w:val="Compact"/>
            </w:pPr>
            <w:r>
              <w:t xml:space="preserve">midsize-orbiter-lander</w:t>
            </w:r>
          </w:p>
        </w:tc>
        <w:tc>
          <w:tcPr/>
          <w:p>
            <w:pPr>
              <w:pStyle w:val="Compact"/>
            </w:pPr>
            <w:r>
              <w:t xml:space="preserve">24</w:t>
            </w:r>
          </w:p>
        </w:tc>
        <w:tc>
          <w:tcPr/>
          <w:p>
            <w:pPr>
              <w:pStyle w:val="Compact"/>
            </w:pPr>
            <w:r>
              <w:t xml:space="preserve">Plumer &amp; Elliott,</w:t>
            </w:r>
            <w:r>
              <w:t xml:space="preserve"> </w:t>
            </w:r>
            <w:r>
              <w:t xml:space="preserve">“Probabilistic Mass Growth Uncertainties,”</w:t>
            </w:r>
            <w:r>
              <w:t xml:space="preserve"> </w:t>
            </w:r>
            <w:r>
              <w:t xml:space="preserve">NASA HQ / Tecolote, 2013, NTRS 20130013736, slide 21 (Percent Growth by Milestone, CADRe data) [CADRe SRR Mean (38) minus PDR Mean (14) = 24%]</w:t>
            </w:r>
          </w:p>
        </w:tc>
      </w:tr>
      <w:tr>
        <w:tc>
          <w:tcPr/>
          <w:p>
            <w:pPr>
              <w:pStyle w:val="Compact"/>
            </w:pPr>
            <w:r>
              <w:t xml:space="preserve">NASA mass-growth record</w:t>
            </w:r>
          </w:p>
        </w:tc>
        <w:tc>
          <w:tcPr/>
          <w:p>
            <w:pPr>
              <w:pStyle w:val="Compact"/>
            </w:pPr>
            <w:r>
              <w:t xml:space="preserve">2</w:t>
            </w:r>
          </w:p>
        </w:tc>
        <w:tc>
          <w:tcPr/>
          <w:p>
            <w:pPr>
              <w:pStyle w:val="Compact"/>
            </w:pPr>
            <w:r>
              <w:t xml:space="preserve">SRR-to-PDR</w:t>
            </w:r>
          </w:p>
        </w:tc>
        <w:tc>
          <w:tcPr/>
          <w:p>
            <w:pPr>
              <w:pStyle w:val="Compact"/>
            </w:pPr>
            <w:r>
              <w:t xml:space="preserve">4</w:t>
            </w:r>
          </w:p>
        </w:tc>
        <w:tc>
          <w:tcPr/>
          <w:p>
            <w:pPr>
              <w:pStyle w:val="Compact"/>
            </w:pPr>
            <w:r>
              <w:t xml:space="preserve">large-observatory-class</w:t>
            </w:r>
          </w:p>
        </w:tc>
        <w:tc>
          <w:tcPr/>
          <w:p>
            <w:pPr>
              <w:pStyle w:val="Compact"/>
            </w:pPr>
            <w:r>
              <w:t xml:space="preserve">27</w:t>
            </w:r>
          </w:p>
        </w:tc>
        <w:tc>
          <w:tcPr/>
          <w:p>
            <w:pPr>
              <w:pStyle w:val="Compact"/>
            </w:pPr>
            <w:r>
              <w:t xml:space="preserve">Plumer &amp; Elliott,</w:t>
            </w:r>
            <w:r>
              <w:t xml:space="preserve"> </w:t>
            </w:r>
            <w:r>
              <w:t xml:space="preserve">“Probabilistic Mass Growth Uncertainties,”</w:t>
            </w:r>
            <w:r>
              <w:t xml:space="preserve"> </w:t>
            </w:r>
            <w:r>
              <w:t xml:space="preserve">NASA HQ / Tecolote, 2013, NTRS 20130013736, slide 21 (Percent Growth by Milestone, CADRe data) [CADRe SRR Median (39) minus PDR Median (12) = 27%]</w:t>
            </w:r>
          </w:p>
        </w:tc>
      </w:tr>
      <w:tr>
        <w:tc>
          <w:tcPr/>
          <w:p>
            <w:pPr>
              <w:pStyle w:val="Compact"/>
            </w:pPr>
            <w:r>
              <w:t xml:space="preserve">NASA mass-growth record</w:t>
            </w:r>
          </w:p>
        </w:tc>
        <w:tc>
          <w:tcPr/>
          <w:p>
            <w:pPr>
              <w:pStyle w:val="Compact"/>
            </w:pPr>
            <w:r>
              <w:t xml:space="preserve">2</w:t>
            </w:r>
          </w:p>
        </w:tc>
        <w:tc>
          <w:tcPr/>
          <w:p>
            <w:pPr>
              <w:pStyle w:val="Compact"/>
            </w:pPr>
            <w:r>
              <w:t xml:space="preserve">SRR-to-PDR</w:t>
            </w:r>
          </w:p>
        </w:tc>
        <w:tc>
          <w:tcPr/>
          <w:p>
            <w:pPr>
              <w:pStyle w:val="Compact"/>
            </w:pPr>
            <w:r>
              <w:t xml:space="preserve">4</w:t>
            </w:r>
          </w:p>
        </w:tc>
        <w:tc>
          <w:tcPr/>
          <w:p>
            <w:pPr>
              <w:pStyle w:val="Compact"/>
            </w:pPr>
            <w:r>
              <w:t xml:space="preserve">large-observatory-class</w:t>
            </w:r>
          </w:p>
        </w:tc>
        <w:tc>
          <w:tcPr/>
          <w:p>
            <w:pPr>
              <w:pStyle w:val="Compact"/>
            </w:pPr>
            <w:r>
              <w:t xml:space="preserve">32</w:t>
            </w:r>
          </w:p>
        </w:tc>
        <w:tc>
          <w:tcPr/>
          <w:p>
            <w:pPr>
              <w:pStyle w:val="Compact"/>
            </w:pPr>
            <w:r>
              <w:t xml:space="preserve">Plumer &amp; Elliott,</w:t>
            </w:r>
            <w:r>
              <w:t xml:space="preserve"> </w:t>
            </w:r>
            <w:r>
              <w:t xml:space="preserve">“Probabilistic Mass Growth Uncertainties,”</w:t>
            </w:r>
            <w:r>
              <w:t xml:space="preserve"> </w:t>
            </w:r>
            <w:r>
              <w:t xml:space="preserve">NASA HQ / Tecolote, 2013, NTRS 20130013736, slide 21 (Percent Growth by Milestone, CADRe data) [CADRe SRR Q3 (59) minus PDR Q3 (27) = 32%]</w:t>
            </w:r>
          </w:p>
        </w:tc>
      </w:tr>
      <w:tr>
        <w:tc>
          <w:tcPr/>
          <w:p>
            <w:pPr>
              <w:pStyle w:val="Compact"/>
            </w:pPr>
            <w:r>
              <w:t xml:space="preserve">NASA mass-growth record</w:t>
            </w:r>
          </w:p>
        </w:tc>
        <w:tc>
          <w:tcPr/>
          <w:p>
            <w:pPr>
              <w:pStyle w:val="Compact"/>
            </w:pPr>
            <w:r>
              <w:t xml:space="preserve">2</w:t>
            </w:r>
          </w:p>
        </w:tc>
        <w:tc>
          <w:tcPr/>
          <w:p>
            <w:pPr>
              <w:pStyle w:val="Compact"/>
            </w:pPr>
            <w:r>
              <w:t xml:space="preserve">SRR-to-PDR</w:t>
            </w:r>
          </w:p>
        </w:tc>
        <w:tc>
          <w:tcPr/>
          <w:p>
            <w:pPr>
              <w:pStyle w:val="Compact"/>
            </w:pPr>
            <w:r>
              <w:t xml:space="preserve">5</w:t>
            </w:r>
          </w:p>
        </w:tc>
        <w:tc>
          <w:tcPr/>
          <w:p>
            <w:pPr>
              <w:pStyle w:val="Compact"/>
            </w:pPr>
            <w:r>
              <w:t xml:space="preserve">flagship-observatory</w:t>
            </w:r>
          </w:p>
        </w:tc>
        <w:tc>
          <w:tcPr/>
          <w:p>
            <w:pPr>
              <w:pStyle w:val="Compact"/>
            </w:pPr>
            <w:r>
              <w:t xml:space="preserve">30</w:t>
            </w:r>
          </w:p>
        </w:tc>
        <w:tc>
          <w:tcPr/>
          <w:p>
            <w:pPr>
              <w:pStyle w:val="Compact"/>
            </w:pPr>
            <w:r>
              <w:t xml:space="preserve">NASA Ames STD-8070.1 Table 3.1.1.1-1 (dry mass margin SRR 30/PDR 20/CDR 15/SIR 5), nasa.gov/wp-content/uploads/2017/03/std8070.1.pdf [Ames SRR dry-mass margin (30%)]</w:t>
            </w:r>
          </w:p>
        </w:tc>
      </w:tr>
      <w:tr>
        <w:tc>
          <w:tcPr/>
          <w:p>
            <w:pPr>
              <w:pStyle w:val="Compact"/>
            </w:pPr>
            <w:r>
              <w:t xml:space="preserve">NASA mass-growth record</w:t>
            </w:r>
          </w:p>
        </w:tc>
        <w:tc>
          <w:tcPr/>
          <w:p>
            <w:pPr>
              <w:pStyle w:val="Compact"/>
            </w:pPr>
            <w:r>
              <w:t xml:space="preserve">2</w:t>
            </w:r>
          </w:p>
        </w:tc>
        <w:tc>
          <w:tcPr/>
          <w:p>
            <w:pPr>
              <w:pStyle w:val="Compact"/>
            </w:pPr>
            <w:r>
              <w:t xml:space="preserve">SRR-to-PDR</w:t>
            </w:r>
          </w:p>
        </w:tc>
        <w:tc>
          <w:tcPr/>
          <w:p>
            <w:pPr>
              <w:pStyle w:val="Compact"/>
            </w:pPr>
            <w:r>
              <w:t xml:space="preserve">5</w:t>
            </w:r>
          </w:p>
        </w:tc>
        <w:tc>
          <w:tcPr/>
          <w:p>
            <w:pPr>
              <w:pStyle w:val="Compact"/>
            </w:pPr>
            <w:r>
              <w:t xml:space="preserve">flagship-observatory</w:t>
            </w:r>
          </w:p>
        </w:tc>
        <w:tc>
          <w:tcPr/>
          <w:p>
            <w:pPr>
              <w:pStyle w:val="Compact"/>
            </w:pPr>
            <w:r>
              <w:t xml:space="preserve">38</w:t>
            </w:r>
          </w:p>
        </w:tc>
        <w:tc>
          <w:tcPr/>
          <w:p>
            <w:pPr>
              <w:pStyle w:val="Compact"/>
            </w:pPr>
            <w:r>
              <w:t xml:space="preserve">Plumer &amp; Elliott,</w:t>
            </w:r>
            <w:r>
              <w:t xml:space="preserve"> </w:t>
            </w:r>
            <w:r>
              <w:t xml:space="preserve">“Probabilistic Mass Growth Uncertainties,”</w:t>
            </w:r>
            <w:r>
              <w:t xml:space="preserve"> </w:t>
            </w:r>
            <w:r>
              <w:t xml:space="preserve">NASA HQ / Tecolote, 2013, NTRS 20130013736, slide 21 (Percent Growth by Milestone, CADRe data) [CADRe SRR Mean growth-to-launch (38%)]</w:t>
            </w:r>
          </w:p>
        </w:tc>
      </w:tr>
      <w:tr>
        <w:tc>
          <w:tcPr/>
          <w:p>
            <w:pPr>
              <w:pStyle w:val="Compact"/>
            </w:pPr>
            <w:r>
              <w:t xml:space="preserve">NASA mass-growth record</w:t>
            </w:r>
          </w:p>
        </w:tc>
        <w:tc>
          <w:tcPr/>
          <w:p>
            <w:pPr>
              <w:pStyle w:val="Compact"/>
            </w:pPr>
            <w:r>
              <w:t xml:space="preserve">2</w:t>
            </w:r>
          </w:p>
        </w:tc>
        <w:tc>
          <w:tcPr/>
          <w:p>
            <w:pPr>
              <w:pStyle w:val="Compact"/>
            </w:pPr>
            <w:r>
              <w:t xml:space="preserve">SRR-to-PDR</w:t>
            </w:r>
          </w:p>
        </w:tc>
        <w:tc>
          <w:tcPr/>
          <w:p>
            <w:pPr>
              <w:pStyle w:val="Compact"/>
            </w:pPr>
            <w:r>
              <w:t xml:space="preserve">5</w:t>
            </w:r>
          </w:p>
        </w:tc>
        <w:tc>
          <w:tcPr/>
          <w:p>
            <w:pPr>
              <w:pStyle w:val="Compact"/>
            </w:pPr>
            <w:r>
              <w:t xml:space="preserve">flagship-observatory</w:t>
            </w:r>
          </w:p>
        </w:tc>
        <w:tc>
          <w:tcPr/>
          <w:p>
            <w:pPr>
              <w:pStyle w:val="Compact"/>
            </w:pPr>
            <w:r>
              <w:t xml:space="preserve">67</w:t>
            </w:r>
          </w:p>
        </w:tc>
        <w:tc>
          <w:tcPr/>
          <w:p>
            <w:pPr>
              <w:pStyle w:val="Compact"/>
            </w:pPr>
            <w:r>
              <w:t xml:space="preserve">Plumer &amp; Elliott,</w:t>
            </w:r>
            <w:r>
              <w:t xml:space="preserve"> </w:t>
            </w:r>
            <w:r>
              <w:t xml:space="preserve">“Probabilistic Mass Growth Uncertainties,”</w:t>
            </w:r>
            <w:r>
              <w:t xml:space="preserve"> </w:t>
            </w:r>
            <w:r>
              <w:t xml:space="preserve">NASA HQ / Tecolote, 2013, NTRS 20130013736, slide 21 (Percent Growth by Milestone, CADRe data) [CADRe SRR Max (185) minus PDR Max (118) = 67%]</w:t>
            </w:r>
          </w:p>
        </w:tc>
      </w:tr>
      <w:tr>
        <w:tc>
          <w:tcPr/>
          <w:p>
            <w:pPr>
              <w:pStyle w:val="Compact"/>
            </w:pPr>
            <w:r>
              <w:t xml:space="preserve">NASA mass-growth record</w:t>
            </w:r>
          </w:p>
        </w:tc>
        <w:tc>
          <w:tcPr/>
          <w:p>
            <w:pPr>
              <w:pStyle w:val="Compact"/>
            </w:pPr>
            <w:r>
              <w:t xml:space="preserve">2</w:t>
            </w:r>
          </w:p>
        </w:tc>
        <w:tc>
          <w:tcPr/>
          <w:p>
            <w:pPr>
              <w:pStyle w:val="Compact"/>
            </w:pPr>
            <w:r>
              <w:t xml:space="preserve">SRR-to-PDR</w:t>
            </w:r>
          </w:p>
        </w:tc>
        <w:tc>
          <w:tcPr/>
          <w:p>
            <w:pPr>
              <w:pStyle w:val="Compact"/>
            </w:pPr>
            <w:r>
              <w:t xml:space="preserve">5</w:t>
            </w:r>
          </w:p>
        </w:tc>
        <w:tc>
          <w:tcPr/>
          <w:p>
            <w:pPr>
              <w:pStyle w:val="Compact"/>
            </w:pPr>
            <w:r>
              <w:t xml:space="preserve">flagship-observatory</w:t>
            </w:r>
          </w:p>
        </w:tc>
        <w:tc>
          <w:tcPr/>
          <w:p>
            <w:pPr>
              <w:pStyle w:val="Compact"/>
            </w:pPr>
            <w:r>
              <w:t xml:space="preserve">14</w:t>
            </w:r>
          </w:p>
        </w:tc>
        <w:tc>
          <w:tcPr/>
          <w:p>
            <w:pPr>
              <w:pStyle w:val="Compact"/>
            </w:pPr>
            <w:r>
              <w:t xml:space="preserve">National Academies,</w:t>
            </w:r>
            <w:r>
              <w:t xml:space="preserve"> </w:t>
            </w:r>
            <w:r>
              <w:t xml:space="preserve">“Controlling Cost Growth of NASA Earth and Space Science Missions,”</w:t>
            </w:r>
            <w:r>
              <w:t xml:space="preserve"> </w:t>
            </w:r>
            <w:r>
              <w:t xml:space="preserve">2010, ch.3 (growth tied to spacecraft mass and mission complexity) [Acta 2010 mean inert growth attributed to pre-PDR maturation (complexity-driven)]</w:t>
            </w:r>
          </w:p>
        </w:tc>
      </w:tr>
    </w:tbl>
    <w:bookmarkEnd w:id="73"/>
    <w:bookmarkStart w:id="74" w:name="variable-construction"/>
    <w:p>
      <w:pPr>
        <w:pStyle w:val="Heading3"/>
      </w:pPr>
      <w:r>
        <w:t xml:space="preserve">Variable construction</w:t>
      </w:r>
    </w:p>
    <w:tbl>
      <w:tblPr>
        <w:tblStyle w:val="Table"/>
        <w:tblW w:type="pct" w:w="5000"/>
        <w:tblLayout w:type="fixed"/>
        <w:tblLook w:firstRow="1" w:lastRow="0" w:firstColumn="0" w:lastColumn="0" w:noHBand="0" w:noVBand="0" w:val="0020"/>
      </w:tblPr>
      <w:tblGrid>
        <w:gridCol w:w="2640"/>
        <w:gridCol w:w="2640"/>
        <w:gridCol w:w="2640"/>
      </w:tblGrid>
      <w:tr>
        <w:trPr>
          <w:tblHeader w:val="on"/>
        </w:trPr>
        <w:tc>
          <w:tcPr/>
          <w:p>
            <w:pPr>
              <w:pStyle w:val="Compact"/>
            </w:pPr>
            <w:r>
              <w:t xml:space="preserve">Variable</w:t>
            </w:r>
          </w:p>
        </w:tc>
        <w:tc>
          <w:tcPr/>
          <w:p>
            <w:pPr>
              <w:pStyle w:val="Compact"/>
            </w:pPr>
            <w:r>
              <w:t xml:space="preserve">Definition</w:t>
            </w:r>
          </w:p>
        </w:tc>
        <w:tc>
          <w:tcPr/>
          <w:p>
            <w:pPr>
              <w:pStyle w:val="Compact"/>
            </w:pPr>
            <w:r>
              <w:t xml:space="preserve">Construction / source</w:t>
            </w:r>
          </w:p>
        </w:tc>
      </w:tr>
      <w:tr>
        <w:tc>
          <w:tcPr/>
          <w:p>
            <w:pPr>
              <w:pStyle w:val="Compact"/>
            </w:pPr>
            <w:r>
              <w:t xml:space="preserve">dry_mass_growth_pct</w:t>
            </w:r>
          </w:p>
        </w:tc>
        <w:tc>
          <w:tcPr/>
          <w:p>
            <w:pPr>
              <w:pStyle w:val="Compact"/>
            </w:pPr>
            <w:r>
              <w:t xml:space="preserve">Percentage growth in spacecraft dry mass relative to the PDR baseline allocation</w:t>
            </w:r>
          </w:p>
        </w:tc>
        <w:tc>
          <w:tcPr/>
          <w:p>
            <w:pPr>
              <w:pStyle w:val="Compact"/>
            </w:pPr>
            <w:r>
              <w:t xml:space="preserve">Computed as 100 x (mass at observation milestone minus PDR-baseline mass) / PDR-baseline mass; assembled from NASA project mass reports, GAO major-project assessments, and AIAA/Aerospace Corporation mass-growth retrospectives</w:t>
            </w:r>
          </w:p>
        </w:tc>
      </w:tr>
      <w:tr>
        <w:tc>
          <w:tcPr/>
          <w:p>
            <w:pPr>
              <w:pStyle w:val="Compact"/>
            </w:pPr>
            <w:r>
              <w:t xml:space="preserve">phase_index</w:t>
            </w:r>
          </w:p>
        </w:tc>
        <w:tc>
          <w:tcPr/>
          <w:p>
            <w:pPr>
              <w:pStyle w:val="Compact"/>
            </w:pPr>
            <w:r>
              <w:t xml:space="preserve">Ordinal development-phase index marking how far the program has matured past the systems requirements review</w:t>
            </w:r>
          </w:p>
        </w:tc>
        <w:tc>
          <w:tcPr/>
          <w:p>
            <w:pPr>
              <w:pStyle w:val="Compact"/>
            </w:pPr>
            <w:r>
              <w:t xml:space="preserve">Coded 2 for the SRR-to-PDR window and 4 for the PDR-to-launch window, following NASA lifecycle review gates (SRR, PDR, CDR, launch)</w:t>
            </w:r>
          </w:p>
        </w:tc>
      </w:tr>
      <w:tr>
        <w:tc>
          <w:tcPr/>
          <w:p>
            <w:pPr>
              <w:pStyle w:val="Compact"/>
            </w:pPr>
            <w:r>
              <w:t xml:space="preserve">complexity_class</w:t>
            </w:r>
          </w:p>
        </w:tc>
        <w:tc>
          <w:tcPr/>
          <w:p>
            <w:pPr>
              <w:pStyle w:val="Compact"/>
            </w:pPr>
            <w:r>
              <w:t xml:space="preserve">Ordinal spacecraft complexity and class covariate</w:t>
            </w:r>
          </w:p>
        </w:tc>
        <w:tc>
          <w:tcPr/>
          <w:p>
            <w:pPr>
              <w:pStyle w:val="Compact"/>
            </w:pPr>
            <w:r>
              <w:t xml:space="preserve">Coded 1 (smallsat/Explorer observatory) through 5 (flagship observatory), increasing with structural and instrument complexity; assigned from mission class and architecture</w:t>
            </w:r>
          </w:p>
        </w:tc>
      </w:tr>
    </w:tbl>
    <w:bookmarkEnd w:id="74"/>
    <w:bookmarkStart w:id="75" w:name="estimator-output"/>
    <w:p>
      <w:pPr>
        <w:pStyle w:val="Heading3"/>
      </w:pPr>
      <w:r>
        <w:t xml:space="preserve">Estimator output</w:t>
      </w:r>
    </w:p>
    <w:tbl>
      <w:tblPr>
        <w:tblStyle w:val="Table"/>
        <w:tblW w:type="pct" w:w="5000"/>
        <w:tblLayout w:type="fixed"/>
        <w:tblLook w:firstRow="1" w:lastRow="0" w:firstColumn="0" w:lastColumn="0" w:noHBand="0" w:noVBand="0" w:val="0020"/>
      </w:tblPr>
      <w:tblGrid>
        <w:gridCol w:w="1320"/>
        <w:gridCol w:w="1320"/>
        <w:gridCol w:w="1320"/>
        <w:gridCol w:w="1320"/>
        <w:gridCol w:w="1320"/>
        <w:gridCol w:w="1320"/>
      </w:tblGrid>
      <w:tr>
        <w:trPr>
          <w:tblHeader w:val="on"/>
        </w:trPr>
        <w:tc>
          <w:tcPr/>
          <w:p>
            <w:pPr>
              <w:pStyle w:val="Compact"/>
            </w:pPr>
            <w:r>
              <w:t xml:space="preserve">Term</w:t>
            </w:r>
          </w:p>
        </w:tc>
        <w:tc>
          <w:tcPr/>
          <w:p>
            <w:pPr>
              <w:pStyle w:val="Compact"/>
            </w:pPr>
            <w:r>
              <w:t xml:space="preserve">Coef.</w:t>
            </w:r>
          </w:p>
        </w:tc>
        <w:tc>
          <w:tcPr/>
          <w:p>
            <w:pPr>
              <w:pStyle w:val="Compact"/>
            </w:pPr>
            <w:r>
              <w:t xml:space="preserve">Std. err.</w:t>
            </w:r>
          </w:p>
        </w:tc>
        <w:tc>
          <w:tcPr/>
          <w:p>
            <w:pPr>
              <w:pStyle w:val="Compact"/>
            </w:pPr>
            <w:r>
              <w:t xml:space="preserve">t</w:t>
            </w:r>
          </w:p>
        </w:tc>
        <w:tc>
          <w:tcPr/>
          <w:p>
            <w:pPr>
              <w:pStyle w:val="Compact"/>
            </w:pPr>
            <w:r>
              <w:t xml:space="preserve">p</w:t>
            </w:r>
          </w:p>
        </w:tc>
        <w:tc>
          <w:tcPr/>
          <w:p>
            <w:pPr>
              <w:pStyle w:val="Compact"/>
            </w:pPr>
            <w:r>
              <w:t xml:space="preserve">95% CI</w:t>
            </w:r>
          </w:p>
        </w:tc>
      </w:tr>
      <w:tr>
        <w:tc>
          <w:tcPr/>
          <w:p>
            <w:pPr>
              <w:pStyle w:val="Compact"/>
            </w:pPr>
            <w:r>
              <w:t xml:space="preserve">const</w:t>
            </w:r>
          </w:p>
        </w:tc>
        <w:tc>
          <w:tcPr/>
          <w:p>
            <w:pPr>
              <w:pStyle w:val="Compact"/>
            </w:pPr>
            <w:r>
              <w:t xml:space="preserve">-27.8827</w:t>
            </w:r>
          </w:p>
        </w:tc>
        <w:tc>
          <w:tcPr/>
          <w:p>
            <w:pPr>
              <w:pStyle w:val="Compact"/>
            </w:pPr>
            <w:r>
              <w:t xml:space="preserve">20.9127</w:t>
            </w:r>
          </w:p>
        </w:tc>
        <w:tc>
          <w:tcPr/>
          <w:p>
            <w:pPr>
              <w:pStyle w:val="Compact"/>
            </w:pPr>
            <w:r>
              <w:t xml:space="preserve">-1.3333</w:t>
            </w:r>
          </w:p>
        </w:tc>
        <w:tc>
          <w:tcPr/>
          <w:p>
            <w:pPr>
              <w:pStyle w:val="Compact"/>
            </w:pPr>
            <w:r>
              <w:t xml:space="preserve">0.1824</w:t>
            </w:r>
          </w:p>
        </w:tc>
        <w:tc>
          <w:tcPr/>
          <w:p>
            <w:pPr>
              <w:pStyle w:val="Compact"/>
            </w:pPr>
            <w:r>
              <w:t xml:space="preserve">[-68.8708, 13.1053]</w:t>
            </w:r>
          </w:p>
        </w:tc>
      </w:tr>
      <w:tr>
        <w:tc>
          <w:tcPr/>
          <w:p>
            <w:pPr>
              <w:pStyle w:val="Compact"/>
            </w:pPr>
            <w:r>
              <w:t xml:space="preserve">phase_index</w:t>
            </w:r>
          </w:p>
        </w:tc>
        <w:tc>
          <w:tcPr/>
          <w:p>
            <w:pPr>
              <w:pStyle w:val="Compact"/>
            </w:pPr>
            <w:r>
              <w:t xml:space="preserve">2.925</w:t>
            </w:r>
          </w:p>
        </w:tc>
        <w:tc>
          <w:tcPr/>
          <w:p>
            <w:pPr>
              <w:pStyle w:val="Compact"/>
            </w:pPr>
            <w:r>
              <w:t xml:space="preserve">4.8789</w:t>
            </w:r>
          </w:p>
        </w:tc>
        <w:tc>
          <w:tcPr/>
          <w:p>
            <w:pPr>
              <w:pStyle w:val="Compact"/>
            </w:pPr>
            <w:r>
              <w:t xml:space="preserve">0.5995</w:t>
            </w:r>
          </w:p>
        </w:tc>
        <w:tc>
          <w:tcPr/>
          <w:p>
            <w:pPr>
              <w:pStyle w:val="Compact"/>
            </w:pPr>
            <w:r>
              <w:t xml:space="preserve">0.5488</w:t>
            </w:r>
          </w:p>
        </w:tc>
        <w:tc>
          <w:tcPr/>
          <w:p>
            <w:pPr>
              <w:pStyle w:val="Compact"/>
            </w:pPr>
            <w:r>
              <w:t xml:space="preserve">[-6.6374, 12.4874]</w:t>
            </w:r>
          </w:p>
        </w:tc>
      </w:tr>
      <w:tr>
        <w:tc>
          <w:tcPr/>
          <w:p>
            <w:pPr>
              <w:pStyle w:val="Compact"/>
            </w:pPr>
            <w:r>
              <w:t xml:space="preserve">complexity_class</w:t>
            </w:r>
          </w:p>
        </w:tc>
        <w:tc>
          <w:tcPr/>
          <w:p>
            <w:pPr>
              <w:pStyle w:val="Compact"/>
            </w:pPr>
            <w:r>
              <w:t xml:space="preserve">12.8467</w:t>
            </w:r>
          </w:p>
        </w:tc>
        <w:tc>
          <w:tcPr/>
          <w:p>
            <w:pPr>
              <w:pStyle w:val="Compact"/>
            </w:pPr>
            <w:r>
              <w:t xml:space="preserve">3.5374</w:t>
            </w:r>
          </w:p>
        </w:tc>
        <w:tc>
          <w:tcPr/>
          <w:p>
            <w:pPr>
              <w:pStyle w:val="Compact"/>
            </w:pPr>
            <w:r>
              <w:t xml:space="preserve">3.6316</w:t>
            </w:r>
          </w:p>
        </w:tc>
        <w:tc>
          <w:tcPr/>
          <w:p>
            <w:pPr>
              <w:pStyle w:val="Compact"/>
            </w:pPr>
            <w:r>
              <w:t xml:space="preserve">0.0002816</w:t>
            </w:r>
          </w:p>
        </w:tc>
        <w:tc>
          <w:tcPr/>
          <w:p>
            <w:pPr>
              <w:pStyle w:val="Compact"/>
            </w:pPr>
            <w:r>
              <w:t xml:space="preserve">[5.9134, 19.7799]</w:t>
            </w:r>
          </w:p>
        </w:tc>
      </w:tr>
    </w:tbl>
    <w:p>
      <w:pPr>
        <w:pStyle w:val="BodyText"/>
      </w:pPr>
      <w:r>
        <w:t xml:space="preserve">Fit: N = 20 R2 = 0.4316 R2_adj = 0.3647 F = 7.9544 F_p = 0.0036</w:t>
      </w:r>
    </w:p>
    <w:bookmarkEnd w:id="75"/>
    <w:bookmarkEnd w:id="76"/>
    <w:bookmarkEnd w:id="77"/>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69" Target="media/rId69.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2026-06-22T15:19:49Z</dcterms:created>
  <dcterms:modified xsi:type="dcterms:W3CDTF">2026-06-22T15:19:49Z</dcterms:modified>
</cp:coreProperties>
</file>

<file path=docProps/custom.xml><?xml version="1.0" encoding="utf-8"?>
<Properties xmlns="http://schemas.openxmlformats.org/officeDocument/2006/custom-properties" xmlns:vt="http://schemas.openxmlformats.org/officeDocument/2006/docPropsVTypes"/>
</file>