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MASS-GROWTH CLIOMETRICS IN SPACECRAFT SYSTEMS ENGINEERING: ESTIMATING THE DRY-MASS GROWTH CURVE</w:t>
      </w:r>
    </w:p>
    <w:p>
      <w:pPr>
        <w:jc w:val="center"/>
      </w:pPr>
    </w:p>
    <w:p>
      <w:pPr>
        <w:jc w:val="center"/>
      </w:pPr>
      <w:r>
        <w:rPr>
          <w:rFonts w:ascii="Times New Roman" w:hAnsi="Times New Roman"/>
          <w:sz w:val="24"/>
        </w:rPr>
        <w:t>by</w:t>
      </w:r>
    </w:p>
    <w:p>
      <w:pPr>
        <w:jc w:val="center"/>
      </w:pPr>
      <w:r>
        <w:rPr>
          <w:rFonts w:ascii="Times New Roman" w:hAnsi="Times New Roman"/>
          <w:b/>
          <w:sz w:val="28"/>
        </w:rPr>
        <w:t>Hana Eze</w:t>
      </w:r>
    </w:p>
    <w:p>
      <w:pPr>
        <w:jc w:val="center"/>
      </w:pPr>
      <w:r>
        <w:rPr>
          <w:rFonts w:ascii="Times New Roman" w:hAnsi="Times New Roman"/>
          <w:sz w:val="24"/>
        </w:rPr>
        <w:t>1B-SSE-014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its-stakes"/>
    <w:p>
      <w:pPr>
        <w:pStyle w:val="Heading2"/>
        <w:spacing w:line="480" w:lineRule="auto"/>
      </w:pPr>
      <w:r>
        <w:t xml:space="preserve">1.1 The problem and its stakes</w:t>
      </w:r>
    </w:p>
    <w:p>
      <w:pPr>
        <w:pStyle w:val="FirstParagraph"/>
        <w:spacing w:line="480" w:lineRule="auto"/>
      </w:pPr>
      <w:r>
        <w:t xml:space="preserve">Spacecraft dry mass is the property around which a flight program organizes itself. It is the number against which propulsion is sized, against which a launch vehicle is selected, and from which cost is projected, and it is the number that program management watches most closely as a design advances from concept toward the launch pad. Dry mass is also the master input to parametric cost estimation: blind validation of an industry cost tool against NASA missions establishes that mass-estimate error propagates directly into cost-estimate error, so that the discipline’s central forecasting machinery is acutely sensitive to how well the mass figure holds</w:t>
      </w:r>
      <w:r>
        <w:t xml:space="preserve"> </w:t>
      </w:r>
      <w:hyperlink w:anchor="ref-1">
        <w:r>
          <w:rPr>
            <w:rStyle w:val="Hyperlink"/>
          </w:rPr>
          <w:t xml:space="preserve">[1]</w:t>
        </w:r>
      </w:hyperlink>
      <w:r>
        <w:t xml:space="preserve">. A property this consequential would ideally be stable once committed. It is not.</w:t>
      </w:r>
    </w:p>
    <w:p>
      <w:pPr>
        <w:pStyle w:val="BodyText"/>
        <w:spacing w:line="480" w:lineRule="auto"/>
        <w:ind w:firstLine="720"/>
      </w:pPr>
      <w:r>
        <w:t xml:space="preserve">The persistent regularity at the center of this dissertation is dry-mass growth: the dry mass booked at the preliminary design review (PDR), the milestone at which the architecture is supposed to be settled enough to commit, is routinely smaller than the mass that eventually flies. Subsystems mature, abstractions held at the system level are consumed by real hardware, requirements that were notional become binding, and integration surprises accrete metal. The gap between the PDR estimate and the as-flown mass is dry-mass growth, and it is consequential precisely because the PDR figure is the number around which downstream commitments are made. Growth consumes propellant margin, displaces payload, forces late redesign of entry, descent, and landing systems on planetary missions, and on documented occasions has pushed a project past the mass its selected launch vehicle can deliver.</w:t>
      </w:r>
    </w:p>
    <w:p>
      <w:pPr>
        <w:pStyle w:val="BodyText"/>
        <w:spacing w:line="480" w:lineRule="auto"/>
        <w:ind w:firstLine="720"/>
      </w:pPr>
      <w:r>
        <w:t xml:space="preserve">For NASA, and for the Jet Propulsion Laboratory in particular, the stakes of this regularity are neither abstract nor new. The Aerospace Corporation historical record finds that mean inert-mass growth across a large set of programs is on the order of twenty-eight percent, with roughly thirty percent of programs exceeding a thirty-two-and-a-half-percent allowable level</w:t>
      </w:r>
      <w:r>
        <w:t xml:space="preserve"> </w:t>
      </w:r>
      <w:hyperlink w:anchor="ref-14">
        <w:r>
          <w:rPr>
            <w:rStyle w:val="Hyperlink"/>
          </w:rPr>
          <w:t xml:space="preserve">[14]</w:t>
        </w:r>
      </w:hyperlink>
      <w:r>
        <w:t xml:space="preserve">. The CADRe milestone-stratified growth distribution, measured to launch from the PDR baseline, records a median of twelve percent, a mean of fourteen percent, a third quartile of twenty-seven percent, and a maximum above one hundred percent</w:t>
      </w:r>
      <w:r>
        <w:t xml:space="preserve"> </w:t>
      </w:r>
      <w:hyperlink w:anchor="ref-12">
        <w:r>
          <w:rPr>
            <w:rStyle w:val="Hyperlink"/>
          </w:rPr>
          <w:t xml:space="preserve">[12]</w:t>
        </w:r>
      </w:hyperlink>
      <w:r>
        <w:t xml:space="preserve">. A flagship interplanetary mission carries that growth burden through a launch window that cannot slip without years of orbital-mechanics penalty, against a launch-vehicle performance curve that is fixed, and into a cost account that the National Research Council has tied directly to spacecraft mass and mission complexity rather than to mission type</w:t>
      </w:r>
      <w:r>
        <w:t xml:space="preserve"> </w:t>
      </w:r>
      <w:hyperlink w:anchor="ref-15">
        <w:r>
          <w:rPr>
            <w:rStyle w:val="Hyperlink"/>
          </w:rPr>
          <w:t xml:space="preserve">[15]</w:t>
        </w:r>
      </w:hyperlink>
      <w:r>
        <w:t xml:space="preserve">. When growth is realized late, the options for absorbing it narrow to the most expensive ones: descope of science, late redesign, or a more capable and more costly launch vehicle. JPL’s robotic planetary and astrophysics portfolio, dominated by first-of-class instruments and bespoke architectures, sits squarely in the regime where these penalties bite hardest.</w:t>
      </w:r>
    </w:p>
    <w:p>
      <w:pPr>
        <w:pStyle w:val="BodyText"/>
        <w:spacing w:line="480" w:lineRule="auto"/>
        <w:ind w:firstLine="720"/>
      </w:pPr>
      <w:r>
        <w:t xml:space="preserve">Against this regularity the discipline holds one standing response: the contingency margin, a fractional reserve added to the current best estimate and drawn down on a prescribed schedule as milestones pass. The governing mass-properties guidance prescribes a declining staircase. The NASA Ames standard, for example, provisions on the order of thirty percent of reserve at the systems requirements review and twenty percent at PDR, so that a fixed increment of reserve is intended to be consumed across each development window before being retired entirely at delivery</w:t>
      </w:r>
      <w:r>
        <w:t xml:space="preserve"> </w:t>
      </w:r>
      <w:hyperlink w:anchor="ref-13">
        <w:r>
          <w:rPr>
            <w:rStyle w:val="Hyperlink"/>
          </w:rPr>
          <w:t xml:space="preserve">[13]</w:t>
        </w:r>
      </w:hyperlink>
      <w:r>
        <w:t xml:space="preserve">. The schedule is treated as settled practice: large reserves early, smaller reserves late. Yet the staircase is a convention rather than an estimated quantity. It is universally cited and, in the maturity dimension that this dissertation isolates, almost never confronted with the very histories it claims to summarize.</w:t>
      </w:r>
    </w:p>
    <w:p>
      <w:pPr>
        <w:pStyle w:val="BodyText"/>
        <w:spacing w:line="480" w:lineRule="auto"/>
        <w:ind w:firstLine="720"/>
      </w:pPr>
      <w:r>
        <w:t xml:space="preserve">What does it cost to leave the staircase unestimated? The cost is symmetric and real. If the prescribed schedule over-reserves, programs carry mass and cost they will not need, sacrificing payload or accepting a heavier launch vehicle against growth that never arrives. If it under-reserves, programs budget margins they will overrun, and the overrun surfaces late, when it is most expensive to absorb. A margin policy calibrated to data rather than to doctrine is therefore not a refinement of accounting. It is a direct lever on the science return and the affordability of every mass-constrained mission in the portfolio.</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problem has been touched repeatedly without being addressed as a statistical object, and the reason is a clean division of labor between two literatures that do not meet.</w:t>
      </w:r>
    </w:p>
    <w:p>
      <w:pPr>
        <w:pStyle w:val="BodyText"/>
        <w:spacing w:line="480" w:lineRule="auto"/>
        <w:ind w:firstLine="720"/>
      </w:pPr>
      <w:r>
        <w:t xml:space="preserve">On one side is the domain literature of spacecraft systems engineering and mission design. This literature is rich, quantitative, and program-specific. Mission-description papers construct detailed mass budgets for individual designs across a heterogeneous population: an interior probe of the Jovian moon Europa</w:t>
      </w:r>
      <w:r>
        <w:t xml:space="preserve"> </w:t>
      </w:r>
      <w:hyperlink w:anchor="ref-3">
        <w:r>
          <w:rPr>
            <w:rStyle w:val="Hyperlink"/>
          </w:rPr>
          <w:t xml:space="preserve">[3]</w:t>
        </w:r>
      </w:hyperlink>
      <w:r>
        <w:t xml:space="preserve">, on-orbit-assembled large telescopes</w:t>
      </w:r>
      <w:r>
        <w:t xml:space="preserve"> </w:t>
      </w:r>
      <w:hyperlink w:anchor="ref-4">
        <w:r>
          <w:rPr>
            <w:rStyle w:val="Hyperlink"/>
          </w:rPr>
          <w:t xml:space="preserve">[4]</w:t>
        </w:r>
      </w:hyperlink>
      <w:r>
        <w:t xml:space="preserve">, a staged-electric-propulsion interplanetary CubeSat</w:t>
      </w:r>
      <w:r>
        <w:t xml:space="preserve"> </w:t>
      </w:r>
      <w:hyperlink w:anchor="ref-6">
        <w:r>
          <w:rPr>
            <w:rStyle w:val="Hyperlink"/>
          </w:rPr>
          <w:t xml:space="preserve">[6]</w:t>
        </w:r>
      </w:hyperlink>
      <w:r>
        <w:t xml:space="preserve">, a two-stage-to-orbit semi-reusable small-satellite launcher</w:t>
      </w:r>
      <w:r>
        <w:t xml:space="preserve"> </w:t>
      </w:r>
      <w:hyperlink w:anchor="ref-7">
        <w:r>
          <w:rPr>
            <w:rStyle w:val="Hyperlink"/>
          </w:rPr>
          <w:t xml:space="preserve">[7]</w:t>
        </w:r>
      </w:hyperlink>
      <w:r>
        <w:t xml:space="preserve">, and solar-thermal microsatellite propulsion systems</w:t>
      </w:r>
      <w:r>
        <w:t xml:space="preserve"> </w:t>
      </w:r>
      <w:hyperlink w:anchor="ref-8">
        <w:r>
          <w:rPr>
            <w:rStyle w:val="Hyperlink"/>
          </w:rPr>
          <w:t xml:space="preserve">[8]</w:t>
        </w:r>
      </w:hyperlink>
      <w:r>
        <w:t xml:space="preserve">. Each is a careful single-program engineering exercise that reports a mass budget at one or two design stages. Alongside these, the re-entry and fragmentation literature characterizes the mass and area-to-mass properties of flown hardware in aggregate, asking whether the observed growth in the flown population should be considered worrying</w:t>
      </w:r>
      <w:r>
        <w:t xml:space="preserve"> </w:t>
      </w:r>
      <w:hyperlink w:anchor="ref-2">
        <w:r>
          <w:rPr>
            <w:rStyle w:val="Hyperlink"/>
          </w:rPr>
          <w:t xml:space="preserve">[2]</w:t>
        </w:r>
      </w:hyperlink>
      <w:r>
        <w:t xml:space="preserve">[5], and the cost-estimation literature treats mass as the dominant cost driver and studies cost as the output</w:t>
      </w:r>
      <w:r>
        <w:t xml:space="preserve"> </w:t>
      </w:r>
      <w:hyperlink w:anchor="ref-1">
        <w:r>
          <w:rPr>
            <w:rStyle w:val="Hyperlink"/>
          </w:rPr>
          <w:t xml:space="preserve">[1]</w:t>
        </w:r>
      </w:hyperlink>
      <w:r>
        <w:t xml:space="preserve">. What this literature does not do is pool across programs. It reports masses; it does not estimate a growth law. The declining contingency staircase it relies upon</w:t>
      </w:r>
      <w:r>
        <w:t xml:space="preserve"> </w:t>
      </w:r>
      <w:hyperlink w:anchor="ref-13">
        <w:r>
          <w:rPr>
            <w:rStyle w:val="Hyperlink"/>
          </w:rPr>
          <w:t xml:space="preserve">[13]</w:t>
        </w:r>
      </w:hyperlink>
      <w:r>
        <w:t xml:space="preserve">[14] is invoked as doctrine rather than recovered from the records the doctrine claims to summarize.</w:t>
      </w:r>
    </w:p>
    <w:p>
      <w:pPr>
        <w:pStyle w:val="BodyText"/>
        <w:spacing w:line="480" w:lineRule="auto"/>
        <w:ind w:firstLine="720"/>
      </w:pPr>
      <w:r>
        <w:t xml:space="preserve">On the other side is the econometric method literature, with a mature apparatus for exactly the kind of object the domain leaves unestimated. Longitudinal mixed-effects regression separates within-program maturation from between-program heterogeneity. The experience curve, validated across industrial production for unit cost, labor hours, and defect rates, gives a constant-elasticity form for how error falls with accumulated repetition, and the space-economy literature has already imported its logic to the sector, treating cost-per-kilogram reduction as a function of accumulated input experience rather than a one-time shock</w:t>
      </w:r>
      <w:r>
        <w:t xml:space="preserve"> </w:t>
      </w:r>
      <w:hyperlink w:anchor="ref-9">
        <w:r>
          <w:rPr>
            <w:rStyle w:val="Hyperlink"/>
          </w:rPr>
          <w:t xml:space="preserve">[9]</w:t>
        </w:r>
      </w:hyperlink>
      <w:r>
        <w:t xml:space="preserve">[16][17]. Probabilistic mass-growth treatments exist and have been applied to NASA’s own record</w:t>
      </w:r>
      <w:r>
        <w:t xml:space="preserve"> </w:t>
      </w:r>
      <w:hyperlink w:anchor="ref-12">
        <w:r>
          <w:rPr>
            <w:rStyle w:val="Hyperlink"/>
          </w:rPr>
          <w:t xml:space="preserve">[12]</w:t>
        </w:r>
      </w:hyperlink>
      <w:r>
        <w:t xml:space="preserve">. The methods to estimate a growth curve, to recover an empirical contingency schedule, and to test whether maturity buys lower growth are all available and well understood. They have simply not been brought to bear on the longitudinal dry-mass record at population scale.</w:t>
      </w:r>
    </w:p>
    <w:p>
      <w:pPr>
        <w:pStyle w:val="BodyText"/>
        <w:spacing w:line="480" w:lineRule="auto"/>
        <w:ind w:firstLine="720"/>
      </w:pPr>
      <w:r>
        <w:t xml:space="preserve">The gap is therefore specific and falsifiable in its own right. There is no published longitudinal estimate of the dry-mass growth curve indexed by design maturity, no pooled panel of mass histories that an econometric model could be fit to, and no empirically recovered contingency schedule to set against the prescribed one. The two prior studies that anchor this dissertation begin to close that gap and, in doing so, sharpen the central question. A phase-and-complexity analysis of the documented NASA record finds that PDR-relative dry-mass growth is governed decisively by spacecraft complexity, on the order of thirteen percentage points per complexity step, while a separate effect of phase maturity beyond PDR cannot be distinguished from zero, because much of a program’s growth is already realized before the PDR baseline is fixed</w:t>
      </w:r>
      <w:r>
        <w:t xml:space="preserve"> </w:t>
      </w:r>
      <w:hyperlink w:anchor="ref-12">
        <w:r>
          <w:rPr>
            <w:rStyle w:val="Hyperlink"/>
          </w:rPr>
          <w:t xml:space="preserve">[12]</w:t>
        </w:r>
      </w:hyperlink>
      <w:r>
        <w:t xml:space="preserve">[13][14][15]. A learning-curve analysis finds, on the documented mass-growth record, a negative experience elasticity, with accuracy improving by roughly two thirds per doubling of accumulated estimating experience, so that mass-estimate accuracy behaves as an institutional learning curve rather than a fixed hazard</w:t>
      </w:r>
      <w:r>
        <w:t xml:space="preserve"> </w:t>
      </w:r>
      <w:hyperlink w:anchor="ref-9">
        <w:r>
          <w:rPr>
            <w:rStyle w:val="Hyperlink"/>
          </w:rPr>
          <w:t xml:space="preserve">[9]</w:t>
        </w:r>
      </w:hyperlink>
      <w:r>
        <w:t xml:space="preserve">[16][17][18]. These results motivate the dissertation precisely because they leave the maturity question open: complexity drives growth and experience improves accuracy, but whether maturity attained at a fixed milestone buys lower subsequent growth, the assumption the prescribed staircase encodes, has not been tested directly on a pooled longitudinal panel.</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makes one estimated contribution and stakes its claim on a single falsifiable test.</w:t>
      </w:r>
    </w:p>
    <w:p>
      <w:pPr>
        <w:pStyle w:val="BodyText"/>
        <w:spacing w:line="480" w:lineRule="auto"/>
        <w:ind w:firstLine="720"/>
      </w:pPr>
      <w:r>
        <w:t xml:space="preserve">The estimated object is the dry-mass growth curve, defined as the expected fractional change in dry mass from PDR to delivery, conditional on the design maturity attained at PDR. Let the realized growth rate of program</w:t>
      </w:r>
      <w:r>
        <w:t xml:space="preserve"> </w:t>
      </w:r>
      <w:r>
        <w:rPr>
          <w:i/>
          <w:iCs/>
        </w:rPr>
        <w:t xml:space="preserve">i</w:t>
      </w:r>
      <w:r>
        <w:t xml:space="preserve"> </w:t>
      </w:r>
      <w:r>
        <w:t xml:space="preserve">be the natural logarithm of the ratio of its launch dry mass to its PDR dry mass, and let</w:t>
      </w:r>
      <w:r>
        <w:t xml:space="preserve"> </w:t>
      </w:r>
      <w:r>
        <w:rPr>
          <w:i/>
          <w:iCs/>
        </w:rPr>
        <w:t xml:space="preserve">T_i</w:t>
      </w:r>
      <w:r>
        <w:t xml:space="preserve"> </w:t>
      </w:r>
      <w:r>
        <w:t xml:space="preserve">be a measure of design maturity at PDR. The maturity coefficient</w:t>
      </w:r>
      <w:r>
        <w:t xml:space="preserve"> </w:t>
      </w:r>
      <w:r>
        <w:rPr>
          <w:i/>
          <w:iCs/>
        </w:rPr>
        <w:t xml:space="preserve">beta_1</w:t>
      </w:r>
      <w:r>
        <w:t xml:space="preserve"> </w:t>
      </w:r>
      <w:r>
        <w:t xml:space="preserve">in a longitudinal model of log dry mass, recovered as the contrast between the PDR and launch milestone slopes interacted with maturity, carries the entire weight of the hypothesis.</w:t>
      </w:r>
    </w:p>
    <w:p>
      <w:pPr>
        <w:pStyle w:val="Compact"/>
        <w:spacing w:line="480" w:lineRule="auto"/>
        <w:numPr>
          <w:ilvl w:val="0"/>
          <w:numId w:val="1001"/>
        </w:numPr>
      </w:pPr>
      <w:r>
        <w:rPr>
          <w:b/>
          <w:bCs/>
        </w:rPr>
        <w:t xml:space="preserve">H0 (null).</w:t>
      </w:r>
      <w:r>
        <w:t xml:space="preserve"> </w:t>
      </w:r>
      <w:r>
        <w:rPr>
          <w:i/>
          <w:iCs/>
        </w:rPr>
        <w:t xml:space="preserve">beta_1</w:t>
      </w:r>
      <w:r>
        <w:t xml:space="preserve"> </w:t>
      </w:r>
      <w:r>
        <w:t xml:space="preserve">= 0. The realized PDR-to-launch dry-mass growth rate is invariant to design maturity at PDR. Under this null, the prescribed declining staircase has no empirical warrant in the maturity dimension: programs that arrive at PDR more mature grow no less than those that arrive less mature.</w:t>
      </w:r>
    </w:p>
    <w:p>
      <w:pPr>
        <w:pStyle w:val="Compact"/>
        <w:spacing w:line="480" w:lineRule="auto"/>
        <w:numPr>
          <w:ilvl w:val="0"/>
          <w:numId w:val="1001"/>
        </w:numPr>
      </w:pPr>
      <w:r>
        <w:rPr>
          <w:b/>
          <w:bCs/>
        </w:rPr>
        <w:t xml:space="preserve">H1 (alternative).</w:t>
      </w:r>
      <w:r>
        <w:t xml:space="preserve"> </w:t>
      </w:r>
      <w:r>
        <w:rPr>
          <w:i/>
          <w:iCs/>
        </w:rPr>
        <w:t xml:space="preserve">beta_1</w:t>
      </w:r>
      <w:r>
        <w:t xml:space="preserve"> </w:t>
      </w:r>
      <w:r>
        <w:t xml:space="preserve">&lt; 0. The realized growth rate declines monotonically with maturity at PDR. Under this alternative, greater maturity at PDR buys lower subsequent growth, and the declining-staircase convention is qualitatively vindicated, though its calibration remains an open quantitative question.</w:t>
      </w:r>
    </w:p>
    <w:p>
      <w:pPr>
        <w:pStyle w:val="FirstParagraph"/>
        <w:spacing w:line="480" w:lineRule="auto"/>
      </w:pPr>
      <w:r>
        <w:t xml:space="preserve">The contribution is falsifiable in the strict sense. A confidence interval on</w:t>
      </w:r>
      <w:r>
        <w:t xml:space="preserve"> </w:t>
      </w:r>
      <w:r>
        <w:rPr>
          <w:i/>
          <w:iCs/>
        </w:rPr>
        <w:t xml:space="preserve">beta_1</w:t>
      </w:r>
      <w:r>
        <w:t xml:space="preserve"> </w:t>
      </w:r>
      <w:r>
        <w:t xml:space="preserve">that contains zero refutes H1 and sustains H0; an interval bounded strictly below zero refutes H0. The estimate is reported with its interval, with its sensitivity to panel composition, and with its out-of-sample predictive error against held-out programs. The prior phase-and-complexity result, that growth beyond PDR is not distinguishable from zero in a phase-stratified framing of the documented record</w:t>
      </w:r>
      <w:r>
        <w:t xml:space="preserve"> </w:t>
      </w:r>
      <w:hyperlink w:anchor="ref-12">
        <w:r>
          <w:rPr>
            <w:rStyle w:val="Hyperlink"/>
          </w:rPr>
          <w:t xml:space="preserve">[12]</w:t>
        </w:r>
      </w:hyperlink>
      <w:r>
        <w:t xml:space="preserve">[14], gives H0 a substantive prior rather than a merely statistical one, and makes the test a genuine confrontation rather than a foregone conclusion.</w:t>
      </w:r>
    </w:p>
    <w:p>
      <w:pPr>
        <w:pStyle w:val="BodyText"/>
        <w:spacing w:line="480" w:lineRule="auto"/>
        <w:ind w:firstLine="720"/>
      </w:pPr>
      <w:r>
        <w:t xml:space="preserve">Here the estimand is the conditional growth rate, and the identifying variation is cross-program difference in maturity at a fixed milestone, holding program class fixed. The threat to identification is that maturity at PDR is not assigned at random: heritage platforms, conservative primes, and simpler missions may arrive mature for reasons that also bear on growth. The design confronts this through covariate adjustment and program-class fixed effects rather than through any claim of a natural experiment, and Chapter 4 develops the identification argument and its limits in full.</w:t>
      </w:r>
    </w:p>
    <w:p>
      <w:pPr>
        <w:pStyle w:val="BodyText"/>
        <w:spacing w:line="480" w:lineRule="auto"/>
        <w:ind w:firstLine="720"/>
      </w:pPr>
      <w:r>
        <w:t xml:space="preserve">The practical payoff is direct. If the prescribed staircase systematically misfits the data in the maturity dimension, the dissertation can say so quantitatively and propose an empirically recovered schedule in its place. Because mass is the master input to cost</w:t>
      </w:r>
      <w:r>
        <w:t xml:space="preserve"> </w:t>
      </w:r>
      <w:hyperlink w:anchor="ref-1">
        <w:r>
          <w:rPr>
            <w:rStyle w:val="Hyperlink"/>
          </w:rPr>
          <w:t xml:space="preserve">[1]</w:t>
        </w:r>
      </w:hyperlink>
      <w:r>
        <w:t xml:space="preserve">, and because the documented record ties growth to complexity and to accumulated experience rather than to residual phase</w:t>
      </w:r>
      <w:r>
        <w:t xml:space="preserve"> </w:t>
      </w:r>
      <w:hyperlink w:anchor="ref-14">
        <w:r>
          <w:rPr>
            <w:rStyle w:val="Hyperlink"/>
          </w:rPr>
          <w:t xml:space="preserve">[14]</w:t>
        </w:r>
      </w:hyperlink>
      <w:r>
        <w:t xml:space="preserve">[15][18], a maturity-aware and complexity-aware margin policy allocates reserve where estimation risk actually lives. That is a result an architecture office at JPL or NASA Headquarters can carry directly into the reserve it books at PDR.</w:t>
      </w:r>
    </w:p>
    <w:bookmarkEnd w:id="63"/>
    <w:bookmarkStart w:id="64" w:name="roadmap-of-the-dissertation"/>
    <w:p>
      <w:pPr>
        <w:pStyle w:val="Heading2"/>
        <w:spacing w:line="480" w:lineRule="auto"/>
      </w:pPr>
      <w:r>
        <w:t xml:space="preserve">1.4 Roadmap of the dissertation</w:t>
      </w:r>
    </w:p>
    <w:p>
      <w:pPr>
        <w:pStyle w:val="FirstParagraph"/>
        <w:spacing w:line="480" w:lineRule="auto"/>
      </w:pPr>
      <w:r>
        <w:t xml:space="preserve">The remainder of the dissertation proceeds as follows.</w:t>
      </w:r>
    </w:p>
    <w:p>
      <w:pPr>
        <w:pStyle w:val="BodyText"/>
        <w:spacing w:line="480" w:lineRule="auto"/>
        <w:ind w:firstLine="720"/>
      </w:pPr>
      <w:r>
        <w:rPr>
          <w:b/>
          <w:bCs/>
        </w:rPr>
        <w:t xml:space="preserve">Chapter 2</w:t>
      </w:r>
      <w:r>
        <w:t xml:space="preserve"> </w:t>
      </w:r>
      <w:r>
        <w:t xml:space="preserve">reviews the three adjacent literatures that touch the problem and shows precisely where each stops short. It treats the parametric cost-estimation literature that takes mass as input and studies cost as output</w:t>
      </w:r>
      <w:r>
        <w:t xml:space="preserve"> </w:t>
      </w:r>
      <w:hyperlink w:anchor="ref-1">
        <w:r>
          <w:rPr>
            <w:rStyle w:val="Hyperlink"/>
          </w:rPr>
          <w:t xml:space="preserve">[1]</w:t>
        </w:r>
      </w:hyperlink>
      <w:r>
        <w:t xml:space="preserve">; the conceptual-design and system-sizing literature that builds mass budgets one program at a time</w:t>
      </w:r>
      <w:r>
        <w:t xml:space="preserve"> </w:t>
      </w:r>
      <w:hyperlink w:anchor="ref-3">
        <w:r>
          <w:rPr>
            <w:rStyle w:val="Hyperlink"/>
          </w:rPr>
          <w:t xml:space="preserve">[3]</w:t>
        </w:r>
      </w:hyperlink>
      <w:r>
        <w:t xml:space="preserve">[4][6][7][8]; and the re-entry and debris literature that characterizes flown-population mass in aggregate</w:t>
      </w:r>
      <w:r>
        <w:t xml:space="preserve"> </w:t>
      </w:r>
      <w:hyperlink w:anchor="ref-2">
        <w:r>
          <w:rPr>
            <w:rStyle w:val="Hyperlink"/>
          </w:rPr>
          <w:t xml:space="preserve">[2]</w:t>
        </w:r>
      </w:hyperlink>
      <w:r>
        <w:t xml:space="preserve">[5]. It then surveys the governing margin doctrine and the probabilistic and historical treatments of growth that this dissertation tests against the staircase it prescribes</w:t>
      </w:r>
      <w:r>
        <w:t xml:space="preserve"> </w:t>
      </w:r>
      <w:hyperlink w:anchor="ref-12">
        <w:r>
          <w:rPr>
            <w:rStyle w:val="Hyperlink"/>
          </w:rPr>
          <w:t xml:space="preserve">[12]</w:t>
        </w:r>
      </w:hyperlink>
      <w:r>
        <w:t xml:space="preserve">[13][14][15], and positions the econometric apparatus, mixed-effects longitudinal regression and the experience curve</w:t>
      </w:r>
      <w:r>
        <w:t xml:space="preserve"> </w:t>
      </w:r>
      <w:hyperlink w:anchor="ref-9">
        <w:r>
          <w:rPr>
            <w:rStyle w:val="Hyperlink"/>
          </w:rPr>
          <w:t xml:space="preserve">[9]</w:t>
        </w:r>
      </w:hyperlink>
      <w:r>
        <w:t xml:space="preserve">[16][17], as the method the domain has not yet applied.</w:t>
      </w:r>
    </w:p>
    <w:p>
      <w:pPr>
        <w:pStyle w:val="BodyText"/>
        <w:spacing w:line="480" w:lineRule="auto"/>
        <w:ind w:firstLine="720"/>
      </w:pPr>
      <w:r>
        <w:rPr>
          <w:b/>
          <w:bCs/>
        </w:rPr>
        <w:t xml:space="preserve">Chapter 3</w:t>
      </w:r>
      <w:r>
        <w:t xml:space="preserve"> </w:t>
      </w:r>
      <w:r>
        <w:t xml:space="preserve">specifies the data and provenance. The primary frame is the Acta Astronautica mission-description corpus already indexed in the COLLEGIUM Brain Trust, from which a longitudinal panel of programs with at least two milestone mass observations is assembled. It documents how dry mass, milestone, design maturity at PDR, program class, destination, propulsion, and launch epoch are constructed, how derived masses are flagged where dry mass is reconstructed by subtraction, and how external re-entry and cost sources discipline the as-flown endpoint and the cost band</w:t>
      </w:r>
      <w:r>
        <w:t xml:space="preserve"> </w:t>
      </w:r>
      <w:hyperlink w:anchor="ref-1">
        <w:r>
          <w:rPr>
            <w:rStyle w:val="Hyperlink"/>
          </w:rPr>
          <w:t xml:space="preserve">[1]</w:t>
        </w:r>
      </w:hyperlink>
      <w:r>
        <w:t xml:space="preserve">[2][5]. Every panel record is traceable to a resolved DOI, and the construction script and coding rubric are versioned so the panel is reproducible from the indexed source.</w:t>
      </w:r>
    </w:p>
    <w:p>
      <w:pPr>
        <w:pStyle w:val="BodyText"/>
        <w:spacing w:line="480" w:lineRule="auto"/>
        <w:ind w:firstLine="720"/>
      </w:pPr>
      <w:r>
        <w:rPr>
          <w:b/>
          <w:bCs/>
        </w:rPr>
        <w:t xml:space="preserve">Chapter 4</w:t>
      </w:r>
      <w:r>
        <w:t xml:space="preserve"> </w:t>
      </w:r>
      <w:r>
        <w:t xml:space="preserve">develops the identification strategy and the estimating model: the linear mixed-effects regression of log dry mass on milestone indicators with random intercepts and random milestone slopes by program, fixed effects for program class and mission attributes, and the recovery of the maturity test of Section 1.3 as a milestone-by-maturity contrast. It states the estimator, the inference procedure, and the robustness program in advance of estimation.</w:t>
      </w:r>
    </w:p>
    <w:p>
      <w:pPr>
        <w:pStyle w:val="BodyText"/>
        <w:spacing w:line="480" w:lineRule="auto"/>
        <w:ind w:firstLine="720"/>
      </w:pPr>
      <w:r>
        <w:rPr>
          <w:b/>
          <w:bCs/>
        </w:rPr>
        <w:t xml:space="preserve">Chapter 5</w:t>
      </w:r>
      <w:r>
        <w:t xml:space="preserve"> </w:t>
      </w:r>
      <w:r>
        <w:t xml:space="preserve">reports the two foundational studies that establish the empirical terrain: the phase-and-complexity ordinary-least-squares analysis, which isolates complexity as the governing driver of PDR-relative growth</w:t>
      </w:r>
      <w:r>
        <w:t xml:space="preserve"> </w:t>
      </w:r>
      <w:hyperlink w:anchor="ref-12">
        <w:r>
          <w:rPr>
            <w:rStyle w:val="Hyperlink"/>
          </w:rPr>
          <w:t xml:space="preserve">[12]</w:t>
        </w:r>
      </w:hyperlink>
      <w:r>
        <w:t xml:space="preserve">[13][14][15], and the learning-curve analysis, which estimates the experience elasticity of mass-estimate accuracy</w:t>
      </w:r>
      <w:r>
        <w:t xml:space="preserve"> </w:t>
      </w:r>
      <w:hyperlink w:anchor="ref-9">
        <w:r>
          <w:rPr>
            <w:rStyle w:val="Hyperlink"/>
          </w:rPr>
          <w:t xml:space="preserve">[9]</w:t>
        </w:r>
      </w:hyperlink>
      <w:r>
        <w:t xml:space="preserve">[16][17][18]. These studies frame the central test and supply the priors against which it is read.</w:t>
      </w:r>
    </w:p>
    <w:p>
      <w:pPr>
        <w:pStyle w:val="BodyText"/>
        <w:spacing w:line="480" w:lineRule="auto"/>
        <w:ind w:firstLine="720"/>
      </w:pPr>
      <w:r>
        <w:rPr>
          <w:b/>
          <w:bCs/>
        </w:rPr>
        <w:t xml:space="preserve">Chapter 6</w:t>
      </w:r>
      <w:r>
        <w:t xml:space="preserve"> </w:t>
      </w:r>
      <w:r>
        <w:t xml:space="preserve">presents the estimated dry-mass growth curve and the test on</w:t>
      </w:r>
      <w:r>
        <w:t xml:space="preserve"> </w:t>
      </w:r>
      <w:r>
        <w:rPr>
          <w:i/>
          <w:iCs/>
        </w:rPr>
        <w:t xml:space="preserve">beta_1</w:t>
      </w:r>
      <w:r>
        <w:t xml:space="preserve">, with the confidence interval, the sensitivity analyses across subpopulations and alternative maturity proxies, and the leave-one-program-out predictive validation. It confronts the four material threats to validity, selection into publication, milestone heterogeneity, derived dry mass, and survivorship and censoring, and reports whether the central test is robust to each in turn.</w:t>
      </w:r>
    </w:p>
    <w:p>
      <w:pPr>
        <w:pStyle w:val="BodyText"/>
        <w:spacing w:line="480" w:lineRule="auto"/>
        <w:ind w:firstLine="720"/>
      </w:pPr>
      <w:r>
        <w:rPr>
          <w:b/>
          <w:bCs/>
        </w:rPr>
        <w:t xml:space="preserve">Chapter 7</w:t>
      </w:r>
      <w:r>
        <w:t xml:space="preserve"> </w:t>
      </w:r>
      <w:r>
        <w:t xml:space="preserve">draws out the implications for margin policy. It sets the empirically recovered contingency schedule against the prescribed staircase</w:t>
      </w:r>
      <w:r>
        <w:t xml:space="preserve"> </w:t>
      </w:r>
      <w:hyperlink w:anchor="ref-13">
        <w:r>
          <w:rPr>
            <w:rStyle w:val="Hyperlink"/>
          </w:rPr>
          <w:t xml:space="preserve">[13]</w:t>
        </w:r>
      </w:hyperlink>
      <w:r>
        <w:t xml:space="preserve">[14], translates the maturity and complexity findings into a reserve rule that scales with where estimation risk actually lives, and traces the consequence for cost through the mass-to-cost sensitivity established in the validation literature</w:t>
      </w:r>
      <w:r>
        <w:t xml:space="preserve"> </w:t>
      </w:r>
      <w:hyperlink w:anchor="ref-1">
        <w:r>
          <w:rPr>
            <w:rStyle w:val="Hyperlink"/>
          </w:rPr>
          <w:t xml:space="preserve">[1]</w:t>
        </w:r>
      </w:hyperlink>
      <w:r>
        <w:t xml:space="preserve">[15]. It closes with the limitations of the panel, the extensions to crewed and commercial programs that the present frame cannot support, and the place of a data-recovered margin policy in the broader account of how ambitious space systems are developed and paid for</w:t>
      </w:r>
      <w:r>
        <w:t xml:space="preserve"> </w:t>
      </w:r>
      <w:hyperlink w:anchor="ref-9">
        <w:r>
          <w:rPr>
            <w:rStyle w:val="Hyperlink"/>
          </w:rPr>
          <w:t xml:space="preserve">[9]</w:t>
        </w:r>
      </w:hyperlink>
      <w:r>
        <w:t xml:space="preserve">[10][11].</w:t>
      </w:r>
    </w:p>
    <w:bookmarkEnd w:id="64"/>
    <w:bookmarkEnd w:id="65"/>
    <w:bookmarkStart w:id="81" w:name="chapter-2.-literature-review"/>
    <w:p>
      <w:pPr>
        <w:pStyle w:val="Heading1"/>
        <w:spacing w:line="480" w:lineRule="auto"/>
      </w:pPr>
      <w:r>
        <w:t xml:space="preserve">Chapter 2. Literature Review</w:t>
      </w:r>
    </w:p>
    <w:bookmarkStart w:id="66" w:name="Xe868a4bc5a6a6af4dee44bf9eaee634e51b088a"/>
    <w:p>
      <w:pPr>
        <w:pStyle w:val="Heading2"/>
        <w:spacing w:line="480" w:lineRule="auto"/>
      </w:pPr>
      <w:r>
        <w:t xml:space="preserve">2.1 Orientation: two literatures that do not yet speak to each other</w:t>
      </w:r>
    </w:p>
    <w:p>
      <w:pPr>
        <w:pStyle w:val="FirstParagraph"/>
        <w:spacing w:line="480" w:lineRule="auto"/>
      </w:pPr>
      <w:r>
        <w:t xml:space="preserve">The problem this dissertation takes up sits in the seam between two mature</w:t>
      </w:r>
      <w:r>
        <w:t xml:space="preserve"> </w:t>
      </w:r>
      <w:r>
        <w:t xml:space="preserve">bodies of scholarship that have grown up largely in isolation from one another.</w:t>
      </w:r>
      <w:r>
        <w:t xml:space="preserve"> </w:t>
      </w:r>
      <w:r>
        <w:t xml:space="preserve">The first is the technical literature of spacecraft systems engineering, which</w:t>
      </w:r>
      <w:r>
        <w:t xml:space="preserve"> </w:t>
      </w:r>
      <w:r>
        <w:t xml:space="preserve">treats dry-mass growth as an engineering hazard to be provisioned against</w:t>
      </w:r>
      <w:r>
        <w:t xml:space="preserve"> </w:t>
      </w:r>
      <w:r>
        <w:t xml:space="preserve">through contingency margins, mass-properties standards, and milestone-stratified</w:t>
      </w:r>
      <w:r>
        <w:t xml:space="preserve"> </w:t>
      </w:r>
      <w:r>
        <w:t xml:space="preserve">growth allowances. The second is the cliometric and econometric methodology</w:t>
      </w:r>
      <w:r>
        <w:t xml:space="preserve"> </w:t>
      </w:r>
      <w:r>
        <w:t xml:space="preserve">literature, which supplies the apparatus, longitudinal panels, fixed and random</w:t>
      </w:r>
      <w:r>
        <w:t xml:space="preserve"> </w:t>
      </w:r>
      <w:r>
        <w:t xml:space="preserve">effects, learning curves, and the discipline of identification, for turning a</w:t>
      </w:r>
      <w:r>
        <w:t xml:space="preserve"> </w:t>
      </w:r>
      <w:r>
        <w:t xml:space="preserve">historical regularity into an estimated quantity with a confidence interval and</w:t>
      </w:r>
      <w:r>
        <w:t xml:space="preserve"> </w:t>
      </w:r>
      <w:r>
        <w:t xml:space="preserve">a falsification test. The technical literature owns the phenomenon; the</w:t>
      </w:r>
      <w:r>
        <w:t xml:space="preserve"> </w:t>
      </w:r>
      <w:r>
        <w:t xml:space="preserve">methodological literature owns the tools that would let the phenomenon be</w:t>
      </w:r>
      <w:r>
        <w:t xml:space="preserve"> </w:t>
      </w:r>
      <w:r>
        <w:t xml:space="preserve">estimated rather than merely tabulated. The two have not been joined. The</w:t>
      </w:r>
      <w:r>
        <w:t xml:space="preserve"> </w:t>
      </w:r>
      <w:r>
        <w:t xml:space="preserve">ambition of this chapter is to read each literature on its own terms, to show</w:t>
      </w:r>
      <w:r>
        <w:t xml:space="preserve"> </w:t>
      </w:r>
      <w:r>
        <w:t xml:space="preserve">where each stops short of the question posed in the prospectus, and to locate</w:t>
      </w:r>
      <w:r>
        <w:t xml:space="preserve"> </w:t>
      </w:r>
      <w:r>
        <w:t xml:space="preserve">with precision the gap that the dissertation occupies: there exists no pooled,</w:t>
      </w:r>
      <w:r>
        <w:t xml:space="preserve"> </w:t>
      </w:r>
      <w:r>
        <w:t xml:space="preserve">longitudinal, identification-aware estimate of the dry-mass growth curve as a</w:t>
      </w:r>
      <w:r>
        <w:t xml:space="preserve"> </w:t>
      </w:r>
      <w:r>
        <w:t xml:space="preserve">function of design maturity, and the prescribed contingency staircase that the</w:t>
      </w:r>
      <w:r>
        <w:t xml:space="preserve"> </w:t>
      </w:r>
      <w:r>
        <w:t xml:space="preserve">discipline uses every day has never been confronted with the population of</w:t>
      </w:r>
      <w:r>
        <w:t xml:space="preserve"> </w:t>
      </w:r>
      <w:r>
        <w:t xml:space="preserve">histories it claims to summarize.</w:t>
      </w:r>
    </w:p>
    <w:p>
      <w:pPr>
        <w:pStyle w:val="BodyText"/>
        <w:spacing w:line="480" w:lineRule="auto"/>
        <w:ind w:firstLine="720"/>
      </w:pPr>
      <w:r>
        <w:t xml:space="preserve">The review proceeds in five movements. Section 2.2 surveys the technical</w:t>
      </w:r>
      <w:r>
        <w:t xml:space="preserve"> </w:t>
      </w:r>
      <w:r>
        <w:t xml:space="preserve">literature on dry-mass growth, its documented magnitude, its milestone</w:t>
      </w:r>
      <w:r>
        <w:t xml:space="preserve"> </w:t>
      </w:r>
      <w:r>
        <w:t xml:space="preserve">structure, and the margin doctrine erected to manage it. Section 2.3 surveys the</w:t>
      </w:r>
      <w:r>
        <w:t xml:space="preserve"> </w:t>
      </w:r>
      <w:r>
        <w:t xml:space="preserve">adjacent engineering literatures that touch mass without modeling its growth:</w:t>
      </w:r>
      <w:r>
        <w:t xml:space="preserve"> </w:t>
      </w:r>
      <w:r>
        <w:t xml:space="preserve">parametric cost estimation, single-program conceptual design, and the re-entry</w:t>
      </w:r>
      <w:r>
        <w:t xml:space="preserve"> </w:t>
      </w:r>
      <w:r>
        <w:t xml:space="preserve">and debris characterization of the flown population. Section 2.4 turns to the</w:t>
      </w:r>
      <w:r>
        <w:t xml:space="preserve"> </w:t>
      </w:r>
      <w:r>
        <w:t xml:space="preserve">cliometric and econometric methodology literature, the experience curve, the</w:t>
      </w:r>
      <w:r>
        <w:t xml:space="preserve"> </w:t>
      </w:r>
      <w:r>
        <w:t xml:space="preserve">longitudinal regression, and the economics of the space sector that frames mass</w:t>
      </w:r>
      <w:r>
        <w:t xml:space="preserve"> </w:t>
      </w:r>
      <w:r>
        <w:t xml:space="preserve">growth as a structural property rather than a sequence of managerial accidents.</w:t>
      </w:r>
      <w:r>
        <w:t xml:space="preserve"> </w:t>
      </w:r>
      <w:r>
        <w:t xml:space="preserve">Section 2.5 synthesizes the two and states the unjoined-literatures gap in its</w:t>
      </w:r>
      <w:r>
        <w:t xml:space="preserve"> </w:t>
      </w:r>
      <w:r>
        <w:t xml:space="preserve">sharpest form. Section 2.6 positions the dissertation’s contribution against that</w:t>
      </w:r>
      <w:r>
        <w:t xml:space="preserve"> </w:t>
      </w:r>
      <w:r>
        <w:t xml:space="preserve">gap.</w:t>
      </w:r>
    </w:p>
    <w:bookmarkEnd w:id="66"/>
    <w:bookmarkStart w:id="70" w:name="X5053979b396fc0e5b7dd73c07d7f18bc64669ed"/>
    <w:p>
      <w:pPr>
        <w:pStyle w:val="Heading2"/>
        <w:spacing w:line="480" w:lineRule="auto"/>
      </w:pPr>
      <w:r>
        <w:t xml:space="preserve">2.2 The technical literature on dry-mass growth</w:t>
      </w:r>
    </w:p>
    <w:bookmarkStart w:id="67" w:name="Xa6afbc0f85f45c9ae6be306a54ec6e1cfdbd791"/>
    <w:p>
      <w:pPr>
        <w:pStyle w:val="Heading3"/>
        <w:spacing w:line="480" w:lineRule="auto"/>
      </w:pPr>
      <w:r>
        <w:t xml:space="preserve">2.2.1 The phenomenon and its documented magnitude</w:t>
      </w:r>
    </w:p>
    <w:p>
      <w:pPr>
        <w:pStyle w:val="FirstParagraph"/>
        <w:spacing w:line="480" w:lineRule="auto"/>
      </w:pPr>
      <w:r>
        <w:t xml:space="preserve">Dry-mass growth is one of the oldest documented regularities in flight-project</w:t>
      </w:r>
      <w:r>
        <w:t xml:space="preserve"> </w:t>
      </w:r>
      <w:r>
        <w:t xml:space="preserve">management, and the engineering literature has measured it repeatedly across</w:t>
      </w:r>
      <w:r>
        <w:t xml:space="preserve"> </w:t>
      </w:r>
      <w:r>
        <w:t xml:space="preserve">half a century of programs. The most authoritative single statement of its</w:t>
      </w:r>
      <w:r>
        <w:t xml:space="preserve"> </w:t>
      </w:r>
      <w:r>
        <w:t xml:space="preserve">magnitude comes from the NASA Cost Analysis Data Requirement (CADRe)</w:t>
      </w:r>
      <w:r>
        <w:t xml:space="preserve"> </w:t>
      </w:r>
      <w:r>
        <w:t xml:space="preserve">milestone-stratified growth distribution, which reports, for dry-mass growth</w:t>
      </w:r>
      <w:r>
        <w:t xml:space="preserve"> </w:t>
      </w:r>
      <w:r>
        <w:t xml:space="preserve">measured from the preliminary design review (PDR) to launch, a first-quartile</w:t>
      </w:r>
      <w:r>
        <w:t xml:space="preserve"> </w:t>
      </w:r>
      <w:r>
        <w:t xml:space="preserve">value at the low end, a median near the low teens, a mean somewhat above the</w:t>
      </w:r>
      <w:r>
        <w:t xml:space="preserve"> </w:t>
      </w:r>
      <w:r>
        <w:t xml:space="preserve">median, a third quartile near a quarter of baseline mass, and a maximum tail that</w:t>
      </w:r>
      <w:r>
        <w:t xml:space="preserve"> </w:t>
      </w:r>
      <w:r>
        <w:t xml:space="preserve">exceeds the baseline outright</w:t>
      </w:r>
      <w:r>
        <w:t xml:space="preserve"> </w:t>
      </w:r>
      <w:hyperlink w:anchor="ref-12">
        <w:r>
          <w:rPr>
            <w:rStyle w:val="Hyperlink"/>
          </w:rPr>
          <w:t xml:space="preserve">[12]</w:t>
        </w:r>
      </w:hyperlink>
      <w:r>
        <w:t xml:space="preserve">. The shape of that distribution, a modest</w:t>
      </w:r>
      <w:r>
        <w:t xml:space="preserve"> </w:t>
      </w:r>
      <w:r>
        <w:t xml:space="preserve">median pulled rightward by a heavy upper tail, is the empirical signature that</w:t>
      </w:r>
      <w:r>
        <w:t xml:space="preserve"> </w:t>
      </w:r>
      <w:r>
        <w:t xml:space="preserve">any model of mass growth must reproduce, and it is also the reason a single</w:t>
      </w:r>
      <w:r>
        <w:t xml:space="preserve"> </w:t>
      </w:r>
      <w:r>
        <w:t xml:space="preserve">average is an inadequate summary: the programs that fail catastrophically on mass</w:t>
      </w:r>
      <w:r>
        <w:t xml:space="preserve"> </w:t>
      </w:r>
      <w:r>
        <w:t xml:space="preserve">are not the typical programs, and the policy question is as much about the tail</w:t>
      </w:r>
      <w:r>
        <w:t xml:space="preserve"> </w:t>
      </w:r>
      <w:r>
        <w:t xml:space="preserve">as about the center.</w:t>
      </w:r>
    </w:p>
    <w:p>
      <w:pPr>
        <w:pStyle w:val="BodyText"/>
        <w:spacing w:line="480" w:lineRule="auto"/>
        <w:ind w:firstLine="720"/>
      </w:pPr>
      <w:r>
        <w:t xml:space="preserve">Corroboration comes from the Acta Astronautica record, which extends the NASA figures. The</w:t>
      </w:r>
      <w:r>
        <w:t xml:space="preserve"> </w:t>
      </w:r>
      <w:r>
        <w:t xml:space="preserve">canonical study of mass growth in space-vehicle and exploration-architecture</w:t>
      </w:r>
      <w:r>
        <w:t xml:space="preserve"> </w:t>
      </w:r>
      <w:r>
        <w:t xml:space="preserve">development reports a mean inert-mass growth on the order of a quarter to a third</w:t>
      </w:r>
      <w:r>
        <w:t xml:space="preserve"> </w:t>
      </w:r>
      <w:r>
        <w:t xml:space="preserve">of baseline and documents that a non-trivial share of programs breach their</w:t>
      </w:r>
      <w:r>
        <w:t xml:space="preserve"> </w:t>
      </w:r>
      <w:r>
        <w:t xml:space="preserve">allowable growth level, a finding that establishes mass growth not as an</w:t>
      </w:r>
      <w:r>
        <w:t xml:space="preserve"> </w:t>
      </w:r>
      <w:r>
        <w:t xml:space="preserve">occasional surprise but as the modal experience of ambitious development</w:t>
      </w:r>
      <w:r>
        <w:t xml:space="preserve"> </w:t>
      </w:r>
      <w:hyperlink w:anchor="ref-14">
        <w:r>
          <w:rPr>
            <w:rStyle w:val="Hyperlink"/>
          </w:rPr>
          <w:t xml:space="preserve">[14]</w:t>
        </w:r>
      </w:hyperlink>
      <w:r>
        <w:t xml:space="preserve">.</w:t>
      </w:r>
      <w:r>
        <w:t xml:space="preserve"> </w:t>
      </w:r>
      <w:r>
        <w:t xml:space="preserve">That same literature establishes the covariate structure that this dissertation</w:t>
      </w:r>
      <w:r>
        <w:t xml:space="preserve"> </w:t>
      </w:r>
      <w:r>
        <w:t xml:space="preserve">inherits: growth is more closely associated with spacecraft mass and mission</w:t>
      </w:r>
      <w:r>
        <w:t xml:space="preserve"> </w:t>
      </w:r>
      <w:r>
        <w:t xml:space="preserve">complexity than with mission type, a result that recurs across independent</w:t>
      </w:r>
      <w:r>
        <w:t xml:space="preserve"> </w:t>
      </w:r>
      <w:r>
        <w:t xml:space="preserve">samples and that motivates the complexity covariate carried through the</w:t>
      </w:r>
      <w:r>
        <w:t xml:space="preserve"> </w:t>
      </w:r>
      <w:r>
        <w:t xml:space="preserve">companion analyses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The National Research Council’s study of cost</w:t>
      </w:r>
      <w:r>
        <w:t xml:space="preserve"> </w:t>
      </w:r>
      <w:r>
        <w:t xml:space="preserve">growth in NASA Earth and space science missions reaches the parallel conclusion</w:t>
      </w:r>
      <w:r>
        <w:t xml:space="preserve"> </w:t>
      </w:r>
      <w:r>
        <w:t xml:space="preserve">on the cost side, that growth tracks mass and complexity more than mission</w:t>
      </w:r>
      <w:r>
        <w:t xml:space="preserve"> </w:t>
      </w:r>
      <w:r>
        <w:t xml:space="preserve">category, and in doing so connects mass growth to its downstream financial</w:t>
      </w:r>
      <w:r>
        <w:t xml:space="preserve"> </w:t>
      </w:r>
      <w:r>
        <w:t xml:space="preserve">consequence</w:t>
      </w:r>
      <w:r>
        <w:t xml:space="preserve"> </w:t>
      </w:r>
      <w:hyperlink w:anchor="ref-15">
        <w:r>
          <w:rPr>
            <w:rStyle w:val="Hyperlink"/>
          </w:rPr>
          <w:t xml:space="preserve">[15]</w:t>
        </w:r>
      </w:hyperlink>
      <w:r>
        <w:t xml:space="preserve">.</w:t>
      </w:r>
    </w:p>
    <w:bookmarkEnd w:id="67"/>
    <w:bookmarkStart w:id="68" w:name="the-milestone-structure-of-growth"/>
    <w:p>
      <w:pPr>
        <w:pStyle w:val="Heading3"/>
        <w:spacing w:line="480" w:lineRule="auto"/>
      </w:pPr>
      <w:r>
        <w:t xml:space="preserve">2.2.2 The milestone structure of growth</w:t>
      </w:r>
    </w:p>
    <w:p>
      <w:pPr>
        <w:pStyle w:val="FirstParagraph"/>
        <w:spacing w:line="480" w:lineRule="auto"/>
      </w:pPr>
      <w:r>
        <w:t xml:space="preserve">What distinguishes the engineering literature from a simple statement of average</w:t>
      </w:r>
      <w:r>
        <w:t xml:space="preserve"> </w:t>
      </w:r>
      <w:r>
        <w:t xml:space="preserve">overrun is its insistence that growth is milestone-structured: the amount of</w:t>
      </w:r>
      <w:r>
        <w:t xml:space="preserve"> </w:t>
      </w:r>
      <w:r>
        <w:t xml:space="preserve">growth that remains to be realized depends on how far a design has matured along</w:t>
      </w:r>
      <w:r>
        <w:t xml:space="preserve"> </w:t>
      </w:r>
      <w:r>
        <w:t xml:space="preserve">the lifecycle review sequence. The CADRe distribution is explicitly stratified by</w:t>
      </w:r>
      <w:r>
        <w:t xml:space="preserve"> </w:t>
      </w:r>
      <w:r>
        <w:t xml:space="preserve">the milestone from which growth is measured, reporting separate distributions</w:t>
      </w:r>
      <w:r>
        <w:t xml:space="preserve"> </w:t>
      </w:r>
      <w:r>
        <w:t xml:space="preserve">for growth from the systems requirements review, from PDR, and from later gates</w:t>
      </w:r>
      <w:r>
        <w:t xml:space="preserve"> </w:t>
      </w:r>
      <w:hyperlink w:anchor="ref-12">
        <w:r>
          <w:rPr>
            <w:rStyle w:val="Hyperlink"/>
          </w:rPr>
          <w:t xml:space="preserve">[12]</w:t>
        </w:r>
      </w:hyperlink>
      <w:r>
        <w:t xml:space="preserve">. The structure matters because it implies that the contingency a program</w:t>
      </w:r>
      <w:r>
        <w:t xml:space="preserve"> </w:t>
      </w:r>
      <w:r>
        <w:t xml:space="preserve">should carry is not a fixed number but a function of design maturity, and the</w:t>
      </w:r>
      <w:r>
        <w:t xml:space="preserve"> </w:t>
      </w:r>
      <w:r>
        <w:t xml:space="preserve">discipline has encoded exactly that intuition in its margin standards.</w:t>
      </w:r>
    </w:p>
    <w:p>
      <w:pPr>
        <w:pStyle w:val="BodyText"/>
        <w:spacing w:line="480" w:lineRule="auto"/>
        <w:ind w:firstLine="720"/>
      </w:pPr>
      <w:r>
        <w:t xml:space="preserve">The NASA Ames mass-properties standard is the clearest doctrinal expression. It</w:t>
      </w:r>
      <w:r>
        <w:t xml:space="preserve"> </w:t>
      </w:r>
      <w:r>
        <w:t xml:space="preserve">prescribes a declining staircase of minimum dry-mass margins, provisioning a</w:t>
      </w:r>
      <w:r>
        <w:t xml:space="preserve"> </w:t>
      </w:r>
      <w:r>
        <w:t xml:space="preserve">larger reserve at the systems requirements review and a smaller reserve at PDR,</w:t>
      </w:r>
      <w:r>
        <w:t xml:space="preserve"> </w:t>
      </w:r>
      <w:r>
        <w:t xml:space="preserve">with the implied consumption of reserve across the intervening window</w:t>
      </w:r>
      <w:r>
        <w:t xml:space="preserve"> </w:t>
      </w:r>
      <w:hyperlink w:anchor="ref-13">
        <w:r>
          <w:rPr>
            <w:rStyle w:val="Hyperlink"/>
          </w:rPr>
          <w:t xml:space="preserve">[13]</w:t>
        </w:r>
      </w:hyperlink>
      <w:r>
        <w:t xml:space="preserve">. The</w:t>
      </w:r>
      <w:r>
        <w:t xml:space="preserve"> </w:t>
      </w:r>
      <w:r>
        <w:t xml:space="preserve">staircase is the operational embodiment of a maturity hypothesis: the further a</w:t>
      </w:r>
      <w:r>
        <w:t xml:space="preserve"> </w:t>
      </w:r>
      <w:r>
        <w:t xml:space="preserve">design has progressed, the less growth remains, so the less margin is required.</w:t>
      </w:r>
      <w:r>
        <w:t xml:space="preserve"> </w:t>
      </w:r>
      <w:r>
        <w:t xml:space="preserve">Yet the standard states the schedule as a convention. It does not derive the</w:t>
      </w:r>
      <w:r>
        <w:t xml:space="preserve"> </w:t>
      </w:r>
      <w:r>
        <w:t xml:space="preserve">decline rate from an estimated growth curve, and it does not report the</w:t>
      </w:r>
      <w:r>
        <w:t xml:space="preserve"> </w:t>
      </w:r>
      <w:r>
        <w:t xml:space="preserve">uncertainty around the prescribed numbers. This is the precise point at which</w:t>
      </w:r>
      <w:r>
        <w:t xml:space="preserve"> </w:t>
      </w:r>
      <w:r>
        <w:t xml:space="preserve">the technical literature stops short of estimation: it specifies a maturity-</w:t>
      </w:r>
      <w:r>
        <w:t xml:space="preserve"> </w:t>
      </w:r>
      <w:r>
        <w:t xml:space="preserve">dependent margin schedule and treats that schedule as settled practice rather</w:t>
      </w:r>
      <w:r>
        <w:t xml:space="preserve"> </w:t>
      </w:r>
      <w:r>
        <w:t xml:space="preserve">than as a quantity to be recovered from data.</w:t>
      </w:r>
    </w:p>
    <w:bookmarkEnd w:id="68"/>
    <w:bookmarkStart w:id="69" w:name="Xed11f3896a5036fdd5c5d0264aecb9c9b541f8f"/>
    <w:p>
      <w:pPr>
        <w:pStyle w:val="Heading3"/>
        <w:spacing w:line="480" w:lineRule="auto"/>
      </w:pPr>
      <w:r>
        <w:t xml:space="preserve">2.2.3 Margin doctrine and its uncertainty treatment</w:t>
      </w:r>
    </w:p>
    <w:p>
      <w:pPr>
        <w:pStyle w:val="FirstParagraph"/>
        <w:spacing w:line="480" w:lineRule="auto"/>
      </w:pPr>
      <w:r>
        <w:t xml:space="preserve">The most methodologically ambitious work inside the technical tradition is the</w:t>
      </w:r>
      <w:r>
        <w:t xml:space="preserve"> </w:t>
      </w:r>
      <w:r>
        <w:t xml:space="preserve">probabilistic treatment of mass-growth uncertainty, which moves beyond the</w:t>
      </w:r>
      <w:r>
        <w:t xml:space="preserve"> </w:t>
      </w:r>
      <w:r>
        <w:t xml:space="preserve">deterministic staircase to characterize the full distribution of growth</w:t>
      </w:r>
      <w:r>
        <w:t xml:space="preserve"> </w:t>
      </w:r>
      <w:r>
        <w:t xml:space="preserve">conditional on milestone</w:t>
      </w:r>
      <w:r>
        <w:t xml:space="preserve"> </w:t>
      </w:r>
      <w:hyperlink w:anchor="ref-12">
        <w:r>
          <w:rPr>
            <w:rStyle w:val="Hyperlink"/>
          </w:rPr>
          <w:t xml:space="preserve">[12]</w:t>
        </w:r>
      </w:hyperlink>
      <w:r>
        <w:t xml:space="preserve">. This work is important to the dissertation for two</w:t>
      </w:r>
      <w:r>
        <w:t xml:space="preserve"> </w:t>
      </w:r>
      <w:r>
        <w:t xml:space="preserve">reasons. First, it confirms that the field already possesses the raw</w:t>
      </w:r>
      <w:r>
        <w:t xml:space="preserve"> </w:t>
      </w:r>
      <w:r>
        <w:t xml:space="preserve">milestone-stratified empirical material that a longitudinal model requires;</w:t>
      </w:r>
      <w:r>
        <w:t xml:space="preserve"> </w:t>
      </w:r>
      <w:r>
        <w:t xml:space="preserve">the distributions exist, indexed by gate. Second, it reveals the analytical</w:t>
      </w:r>
      <w:r>
        <w:t xml:space="preserve"> </w:t>
      </w:r>
      <w:r>
        <w:t xml:space="preserve">ceiling of the deterministic tradition: even the probabilistic treatment</w:t>
      </w:r>
      <w:r>
        <w:t xml:space="preserve"> </w:t>
      </w:r>
      <w:r>
        <w:t xml:space="preserve">characterizes a marginal distribution of growth at each milestone rather than a</w:t>
      </w:r>
      <w:r>
        <w:t xml:space="preserve"> </w:t>
      </w:r>
      <w:r>
        <w:t xml:space="preserve">conditional growth law that links a program’s maturity at one gate to its growth</w:t>
      </w:r>
      <w:r>
        <w:t xml:space="preserve"> </w:t>
      </w:r>
      <w:r>
        <w:t xml:space="preserve">to the next. The probabilistic margin literature answers the question</w:t>
      </w:r>
      <w:r>
        <w:t xml:space="preserve"> </w:t>
      </w:r>
      <w:r>
        <w:t xml:space="preserve">“how much</w:t>
      </w:r>
      <w:r>
        <w:t xml:space="preserve"> </w:t>
      </w:r>
      <w:r>
        <w:t xml:space="preserve">might a program at PDR grow,”</w:t>
      </w:r>
      <w:r>
        <w:t xml:space="preserve"> </w:t>
      </w:r>
      <w:r>
        <w:t xml:space="preserve">with a distribution. It does not answer the</w:t>
      </w:r>
      <w:r>
        <w:t xml:space="preserve"> </w:t>
      </w:r>
      <w:r>
        <w:t xml:space="preserve">question this dissertation poses,</w:t>
      </w:r>
      <w:r>
        <w:t xml:space="preserve"> </w:t>
      </w:r>
      <w:r>
        <w:t xml:space="preserve">“does the amount a program grows from PDR to</w:t>
      </w:r>
      <w:r>
        <w:t xml:space="preserve"> </w:t>
      </w:r>
      <w:r>
        <w:t xml:space="preserve">launch depend on how mature that program was at PDR,”</w:t>
      </w:r>
      <w:r>
        <w:t xml:space="preserve">, because answering it</w:t>
      </w:r>
      <w:r>
        <w:t xml:space="preserve"> </w:t>
      </w:r>
      <w:r>
        <w:t xml:space="preserve">requires a panel of programs observed at multiple milestones and a model that</w:t>
      </w:r>
      <w:r>
        <w:t xml:space="preserve"> </w:t>
      </w:r>
      <w:r>
        <w:t xml:space="preserve">estimates a maturity coefficient, not a milestone-indexed marginal distribution.</w:t>
      </w:r>
    </w:p>
    <w:p>
      <w:pPr>
        <w:pStyle w:val="BodyText"/>
        <w:spacing w:line="480" w:lineRule="auto"/>
        <w:ind w:firstLine="720"/>
      </w:pPr>
      <w:r>
        <w:t xml:space="preserve">At the other end of the maturity argument sits the small-satellite literature.</w:t>
      </w:r>
      <w:r>
        <w:t xml:space="preserve"> </w:t>
      </w:r>
      <w:r>
        <w:t xml:space="preserve">Assessments of small-satellite programs attribute their distinctive</w:t>
      </w:r>
      <w:r>
        <w:t xml:space="preserve"> </w:t>
      </w:r>
      <w:r>
        <w:t xml:space="preserve">attractiveness, speed of development, low cost, tolerance of risk, to the</w:t>
      </w:r>
      <w:r>
        <w:t xml:space="preserve"> </w:t>
      </w:r>
      <w:r>
        <w:t xml:space="preserve">accumulation of recurring designs and flight heritage within a class</w:t>
      </w:r>
      <w:r>
        <w:t xml:space="preserve"> </w:t>
      </w:r>
      <w:hyperlink w:anchor="ref-18">
        <w:r>
          <w:rPr>
            <w:rStyle w:val="Hyperlink"/>
          </w:rPr>
          <w:t xml:space="preserve">[18]</w:t>
        </w:r>
      </w:hyperlink>
      <w:r>
        <w:t xml:space="preserve">. The</w:t>
      </w:r>
      <w:r>
        <w:t xml:space="preserve"> </w:t>
      </w:r>
      <w:r>
        <w:t xml:space="preserve">same assessment carries the converse implication that the dissertation</w:t>
      </w:r>
      <w:r>
        <w:t xml:space="preserve"> </w:t>
      </w:r>
      <w:r>
        <w:t xml:space="preserve">exploits: early entrants in any class operate without the calibrated growth</w:t>
      </w:r>
      <w:r>
        <w:t xml:space="preserve"> </w:t>
      </w:r>
      <w:r>
        <w:t xml:space="preserve">factors that later entrants inherit, so heritage, a maturity construct, should</w:t>
      </w:r>
      <w:r>
        <w:t xml:space="preserve"> </w:t>
      </w:r>
      <w:r>
        <w:t xml:space="preserve">predict the gap between forecast and realized mass. The small-satellite</w:t>
      </w:r>
      <w:r>
        <w:t xml:space="preserve"> </w:t>
      </w:r>
      <w:r>
        <w:t xml:space="preserve">literature thereby supplies a second, class-level maturity mechanism alongside</w:t>
      </w:r>
      <w:r>
        <w:t xml:space="preserve"> </w:t>
      </w:r>
      <w:r>
        <w:t xml:space="preserve">the program-level milestone mechanism of the CADRe and Ames work, and the</w:t>
      </w:r>
      <w:r>
        <w:t xml:space="preserve"> </w:t>
      </w:r>
      <w:r>
        <w:t xml:space="preserve">prospectus operationalizes both: subsystem definition count as milestone</w:t>
      </w:r>
      <w:r>
        <w:t xml:space="preserve"> </w:t>
      </w:r>
      <w:r>
        <w:t xml:space="preserve">maturity and heritage fraction as class maturity</w:t>
      </w:r>
      <w:r>
        <w:t xml:space="preserve"> </w:t>
      </w:r>
      <w:hyperlink w:anchor="ref-13">
        <w:r>
          <w:rPr>
            <w:rStyle w:val="Hyperlink"/>
          </w:rPr>
          <w:t xml:space="preserve">[13]</w:t>
        </w:r>
      </w:hyperlink>
      <w:r>
        <w:t xml:space="preserve">,</w:t>
      </w:r>
      <w:r>
        <w:t xml:space="preserve"> </w:t>
      </w:r>
      <w:hyperlink w:anchor="ref-18">
        <w:r>
          <w:rPr>
            <w:rStyle w:val="Hyperlink"/>
          </w:rPr>
          <w:t xml:space="preserve">[18]</w:t>
        </w:r>
      </w:hyperlink>
      <w:r>
        <w:t xml:space="preserve">.</w:t>
      </w:r>
    </w:p>
    <w:p>
      <w:pPr>
        <w:pStyle w:val="BodyText"/>
        <w:spacing w:line="480" w:lineRule="auto"/>
        <w:ind w:firstLine="720"/>
      </w:pPr>
      <w:r>
        <w:t xml:space="preserve">It is worth drawing out why the staircase, as the discipline states it, is a</w:t>
      </w:r>
      <w:r>
        <w:t xml:space="preserve"> </w:t>
      </w:r>
      <w:r>
        <w:t xml:space="preserve">maturity hypothesis dressed as a procedure. The Ames schedule presupposes a</w:t>
      </w:r>
      <w:r>
        <w:t xml:space="preserve"> </w:t>
      </w:r>
      <w:r>
        <w:t xml:space="preserve">monotone relationship between design maturity and remaining growth: more mature</w:t>
      </w:r>
      <w:r>
        <w:t xml:space="preserve"> </w:t>
      </w:r>
      <w:r>
        <w:t xml:space="preserve">designs carry less margin because they are presumed to have less growth ahead of</w:t>
      </w:r>
      <w:r>
        <w:t xml:space="preserve"> </w:t>
      </w:r>
      <w:r>
        <w:t xml:space="preserve">them</w:t>
      </w:r>
      <w:r>
        <w:t xml:space="preserve"> </w:t>
      </w:r>
      <w:hyperlink w:anchor="ref-13">
        <w:r>
          <w:rPr>
            <w:rStyle w:val="Hyperlink"/>
          </w:rPr>
          <w:t xml:space="preserve">[13]</w:t>
        </w:r>
      </w:hyperlink>
      <w:r>
        <w:t xml:space="preserve">. That presumption is the very proposition the prospectus elevates to a</w:t>
      </w:r>
      <w:r>
        <w:t xml:space="preserve"> </w:t>
      </w:r>
      <w:r>
        <w:t xml:space="preserve">falsifiable test, namely whether the realized PDR-to-launch growth rate declines</w:t>
      </w:r>
      <w:r>
        <w:t xml:space="preserve"> </w:t>
      </w:r>
      <w:r>
        <w:t xml:space="preserve">with maturity at PDR or is invariant to it. The technical literature, in other</w:t>
      </w:r>
      <w:r>
        <w:t xml:space="preserve"> </w:t>
      </w:r>
      <w:r>
        <w:t xml:space="preserve">words, has already committed itself to an alternative hypothesis, growth declines</w:t>
      </w:r>
      <w:r>
        <w:t xml:space="preserve"> </w:t>
      </w:r>
      <w:r>
        <w:t xml:space="preserve">with maturity, by writing a declining staircase, yet it has never estimated the</w:t>
      </w:r>
      <w:r>
        <w:t xml:space="preserve"> </w:t>
      </w:r>
      <w:r>
        <w:t xml:space="preserve">maturity coefficient that would confirm or refute the commitment. The CADRe</w:t>
      </w:r>
      <w:r>
        <w:t xml:space="preserve"> </w:t>
      </w:r>
      <w:r>
        <w:t xml:space="preserve">distributions are consistent with the commitment in their gross shape, since the</w:t>
      </w:r>
      <w:r>
        <w:t xml:space="preserve"> </w:t>
      </w:r>
      <w:r>
        <w:t xml:space="preserve">distribution of growth measured from a later milestone is tighter than the</w:t>
      </w:r>
      <w:r>
        <w:t xml:space="preserve"> </w:t>
      </w:r>
      <w:r>
        <w:t xml:space="preserve">distribution measured from an earlier one</w:t>
      </w:r>
      <w:r>
        <w:t xml:space="preserve"> </w:t>
      </w:r>
      <w:hyperlink w:anchor="ref-12">
        <w:r>
          <w:rPr>
            <w:rStyle w:val="Hyperlink"/>
          </w:rPr>
          <w:t xml:space="preserve">[12]</w:t>
        </w:r>
      </w:hyperlink>
      <w:r>
        <w:t xml:space="preserve">, but a tightening of a marginal</w:t>
      </w:r>
      <w:r>
        <w:t xml:space="preserve"> </w:t>
      </w:r>
      <w:r>
        <w:t xml:space="preserve">distribution as the measurement baseline advances is not the same statement as a</w:t>
      </w:r>
      <w:r>
        <w:t xml:space="preserve"> </w:t>
      </w:r>
      <w:r>
        <w:t xml:space="preserve">within-program decline of growth with maturity, because the two distributions are</w:t>
      </w:r>
      <w:r>
        <w:t xml:space="preserve"> </w:t>
      </w:r>
      <w:r>
        <w:t xml:space="preserve">measured over different remaining windows and over partly different populations.</w:t>
      </w:r>
      <w:r>
        <w:t xml:space="preserve"> </w:t>
      </w:r>
      <w:r>
        <w:t xml:space="preserve">Disentangling the milestone-window effect from the maturity effect requires the</w:t>
      </w:r>
      <w:r>
        <w:t xml:space="preserve"> </w:t>
      </w:r>
      <w:r>
        <w:t xml:space="preserve">program to be the unit of analysis and maturity to be measured as design content</w:t>
      </w:r>
      <w:r>
        <w:t xml:space="preserve"> </w:t>
      </w:r>
      <w:r>
        <w:t xml:space="preserve">rather than as elapsed lifecycle, which is the methodological demand that the</w:t>
      </w:r>
      <w:r>
        <w:t xml:space="preserve"> </w:t>
      </w:r>
      <w:r>
        <w:t xml:space="preserve">deterministic and probabilistic margin literatures do not meet</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bookmarkEnd w:id="69"/>
    <w:bookmarkEnd w:id="70"/>
    <w:bookmarkStart w:id="74" w:name="X1a0a2a662be59457e6f148434cb00b36d6c0446"/>
    <w:p>
      <w:pPr>
        <w:pStyle w:val="Heading2"/>
        <w:spacing w:line="480" w:lineRule="auto"/>
      </w:pPr>
      <w:r>
        <w:t xml:space="preserve">2.3 Adjacent engineering literatures that touch mass but do not model its growth</w:t>
      </w:r>
    </w:p>
    <w:p>
      <w:pPr>
        <w:pStyle w:val="FirstParagraph"/>
        <w:spacing w:line="480" w:lineRule="auto"/>
      </w:pPr>
      <w:r>
        <w:t xml:space="preserve">Three further literatures border the problem. Each takes mass as an object of</w:t>
      </w:r>
      <w:r>
        <w:t xml:space="preserve"> </w:t>
      </w:r>
      <w:r>
        <w:t xml:space="preserve">study, and each, for a structural reason, declines to estimate the growth curve.</w:t>
      </w:r>
    </w:p>
    <w:bookmarkStart w:id="71" w:name="Xc84d8075758535ebb978c73da80aa24270efbd8"/>
    <w:p>
      <w:pPr>
        <w:pStyle w:val="Heading3"/>
        <w:spacing w:line="480" w:lineRule="auto"/>
      </w:pPr>
      <w:r>
        <w:t xml:space="preserve">2.3.1 Parametric cost estimation: mass as input, not as object of growth</w:t>
      </w:r>
    </w:p>
    <w:p>
      <w:pPr>
        <w:pStyle w:val="FirstParagraph"/>
        <w:spacing w:line="480" w:lineRule="auto"/>
      </w:pPr>
      <w:r>
        <w:t xml:space="preserve">Where mass matters most to dollars is the parametric cost-estimation literature,</w:t>
      </w:r>
      <w:r>
        <w:t xml:space="preserve"> </w:t>
      </w:r>
      <w:r>
        <w:t xml:space="preserve">which is therefore acutely sensitive to mass-estimate error. The blind</w:t>
      </w:r>
      <w:r>
        <w:t xml:space="preserve"> </w:t>
      </w:r>
      <w:r>
        <w:t xml:space="preserve">validation of the SEER-H tool against NASA missions establishes the central fact</w:t>
      </w:r>
      <w:r>
        <w:t xml:space="preserve"> </w:t>
      </w:r>
      <w:r>
        <w:t xml:space="preserve">on which the entire policy motivation rests: mass is the dominant cost driver,</w:t>
      </w:r>
      <w:r>
        <w:t xml:space="preserve"> </w:t>
      </w:r>
      <w:r>
        <w:t xml:space="preserve">and error in the mass estimate propagates directly into error in the cost</w:t>
      </w:r>
      <w:r>
        <w:t xml:space="preserve"> </w:t>
      </w:r>
      <w:r>
        <w:t xml:space="preserve">estimate</w:t>
      </w:r>
      <w:r>
        <w:t xml:space="preserve"> </w:t>
      </w:r>
      <w:hyperlink w:anchor="ref-1">
        <w:r>
          <w:rPr>
            <w:rStyle w:val="Hyperlink"/>
          </w:rPr>
          <w:t xml:space="preserve">[1]</w:t>
        </w:r>
      </w:hyperlink>
      <w:r>
        <w:t xml:space="preserve">. The companion hypersonic-vehicle cost-prediction literature</w:t>
      </w:r>
      <w:r>
        <w:t xml:space="preserve"> </w:t>
      </w:r>
      <w:r>
        <w:t xml:space="preserve">develops the same parametric machinery for future civil hypersonic aircraft and</w:t>
      </w:r>
      <w:r>
        <w:t xml:space="preserve"> </w:t>
      </w:r>
      <w:r>
        <w:t xml:space="preserve">likewise takes vehicle mass as a master input to research, development, and</w:t>
      </w:r>
      <w:r>
        <w:t xml:space="preserve"> </w:t>
      </w:r>
      <w:r>
        <w:t xml:space="preserve">production cost</w:t>
      </w:r>
      <w:r>
        <w:t xml:space="preserve"> </w:t>
      </w:r>
      <w:hyperlink w:anchor="ref-31">
        <w:r>
          <w:rPr>
            <w:rStyle w:val="Hyperlink"/>
          </w:rPr>
          <w:t xml:space="preserve">[31]</w:t>
        </w:r>
      </w:hyperlink>
      <w:r>
        <w:t xml:space="preserve">. This literature is indispensable to the dissertation’s</w:t>
      </w:r>
      <w:r>
        <w:t xml:space="preserve"> </w:t>
      </w:r>
      <w:r>
        <w:t xml:space="preserve">policy chapter, because it supplies the mass-to-cost sensitivity that converts a</w:t>
      </w:r>
      <w:r>
        <w:t xml:space="preserve"> </w:t>
      </w:r>
      <w:r>
        <w:t xml:space="preserve">mass-growth misfit into a budgetary consequence. But it is structurally silent</w:t>
      </w:r>
      <w:r>
        <w:t xml:space="preserve"> </w:t>
      </w:r>
      <w:r>
        <w:t xml:space="preserve">on the question of interest. Parametric cost models take mass as a given</w:t>
      </w:r>
      <w:r>
        <w:t xml:space="preserve"> </w:t>
      </w:r>
      <w:r>
        <w:t xml:space="preserve">regressor and study cost as the response; they do not model the growth of the</w:t>
      </w:r>
      <w:r>
        <w:t xml:space="preserve"> </w:t>
      </w:r>
      <w:r>
        <w:t xml:space="preserve">regressor itself. The mass that enters a SEER-H run is whatever mass the program</w:t>
      </w:r>
      <w:r>
        <w:t xml:space="preserve"> </w:t>
      </w:r>
      <w:r>
        <w:t xml:space="preserve">currently books, and the tool has no internal account of how that figure will</w:t>
      </w:r>
      <w:r>
        <w:t xml:space="preserve"> </w:t>
      </w:r>
      <w:r>
        <w:t xml:space="preserve">migrate from PDR to launch</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The growth of the input is exogenous to the</w:t>
      </w:r>
      <w:r>
        <w:t xml:space="preserve"> </w:t>
      </w:r>
      <w:r>
        <w:t xml:space="preserve">cost model, which is exactly the quantity this dissertation endogenizes.</w:t>
      </w:r>
    </w:p>
    <w:bookmarkEnd w:id="71"/>
    <w:bookmarkStart w:id="72" w:name="Xacd9c65b5276b473054ee3a40f122c6a3540510"/>
    <w:p>
      <w:pPr>
        <w:pStyle w:val="Heading3"/>
        <w:spacing w:line="480" w:lineRule="auto"/>
      </w:pPr>
      <w:r>
        <w:t xml:space="preserve">2.3.2 Single-program conceptual design: mass budgets without a growth law</w:t>
      </w:r>
    </w:p>
    <w:p>
      <w:pPr>
        <w:pStyle w:val="FirstParagraph"/>
        <w:spacing w:line="480" w:lineRule="auto"/>
      </w:pPr>
      <w:r>
        <w:t xml:space="preserve">The conceptual-design literature constructs detailed mass budgets for individual</w:t>
      </w:r>
      <w:r>
        <w:t xml:space="preserve"> </w:t>
      </w:r>
      <w:r>
        <w:t xml:space="preserve">missions and is the richest source of the milestone-stamped mass observations</w:t>
      </w:r>
      <w:r>
        <w:t xml:space="preserve"> </w:t>
      </w:r>
      <w:r>
        <w:t xml:space="preserve">that the prospectus’s panel is assembled from. The Europa Tomography Probe system</w:t>
      </w:r>
      <w:r>
        <w:t xml:space="preserve"> </w:t>
      </w:r>
      <w:r>
        <w:t xml:space="preserve">design reports a full dry-mass and wet-mass breakdown for a small interplanetary</w:t>
      </w:r>
      <w:r>
        <w:t xml:space="preserve"> </w:t>
      </w:r>
      <w:r>
        <w:t xml:space="preserve">spacecraft at an identifiable design stage</w:t>
      </w:r>
      <w:r>
        <w:t xml:space="preserve"> </w:t>
      </w:r>
      <w:hyperlink w:anchor="ref-3">
        <w:r>
          <w:rPr>
            <w:rStyle w:val="Hyperlink"/>
          </w:rPr>
          <w:t xml:space="preserve">[3]</w:t>
        </w:r>
      </w:hyperlink>
      <w:r>
        <w:t xml:space="preserve">. The robotic on-orbit assembly</w:t>
      </w:r>
      <w:r>
        <w:t xml:space="preserve"> </w:t>
      </w:r>
      <w:r>
        <w:t xml:space="preserve">study for large space telescopes develops mission architectures and the</w:t>
      </w:r>
      <w:r>
        <w:t xml:space="preserve"> </w:t>
      </w:r>
      <w:r>
        <w:t xml:space="preserve">attendant mass accounting for observatory-class systems assembled in orbit</w:t>
      </w:r>
      <w:r>
        <w:t xml:space="preserve"> </w:t>
      </w:r>
      <w:hyperlink w:anchor="ref-4">
        <w:r>
          <w:rPr>
            <w:rStyle w:val="Hyperlink"/>
          </w:rPr>
          <w:t xml:space="preserve">[4]</w:t>
        </w:r>
      </w:hyperlink>
      <w:r>
        <w:t xml:space="preserve">.</w:t>
      </w:r>
      <w:r>
        <w:t xml:space="preserve"> </w:t>
      </w:r>
      <w:r>
        <w:t xml:space="preserve">The interplanetary CubeSat electric-propulsion staging analysis reports the mass</w:t>
      </w:r>
      <w:r>
        <w:t xml:space="preserve"> </w:t>
      </w:r>
      <w:r>
        <w:t xml:space="preserve">budget that makes a deep-space CubeSat feasible, with explicit subsystem</w:t>
      </w:r>
      <w:r>
        <w:t xml:space="preserve"> </w:t>
      </w:r>
      <w:r>
        <w:t xml:space="preserve">allocations</w:t>
      </w:r>
      <w:r>
        <w:t xml:space="preserve"> </w:t>
      </w:r>
      <w:hyperlink w:anchor="ref-6">
        <w:r>
          <w:rPr>
            <w:rStyle w:val="Hyperlink"/>
          </w:rPr>
          <w:t xml:space="preserve">[6]</w:t>
        </w:r>
      </w:hyperlink>
      <w:r>
        <w:t xml:space="preserve">. The two-stage-to-orbit semi-reusable small-launcher study and</w:t>
      </w:r>
      <w:r>
        <w:t xml:space="preserve"> </w:t>
      </w:r>
      <w:r>
        <w:t xml:space="preserve">the solar-thermal-propulsion microsatellite cost analysis each report</w:t>
      </w:r>
      <w:r>
        <w:t xml:space="preserve"> </w:t>
      </w:r>
      <w:r>
        <w:t xml:space="preserve">stage-resolved or subsystem-resolved mass figures tied to a conceptual design</w:t>
      </w:r>
      <w:r>
        <w:t xml:space="preserve"> </w:t>
      </w:r>
      <w:r>
        <w:t xml:space="preserve">point</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More recent entries extend the population further: the analysis</w:t>
      </w:r>
      <w:r>
        <w:t xml:space="preserve"> </w:t>
      </w:r>
      <w:r>
        <w:t xml:space="preserve">of launcher options for Europe in a Starship-shaped market reports vehicle mass</w:t>
      </w:r>
      <w:r>
        <w:t xml:space="preserve"> </w:t>
      </w:r>
      <w:r>
        <w:t xml:space="preserve">accounting across competing architectures</w:t>
      </w:r>
      <w:r>
        <w:t xml:space="preserve"> </w:t>
      </w:r>
      <w:hyperlink w:anchor="ref-34">
        <w:r>
          <w:rPr>
            <w:rStyle w:val="Hyperlink"/>
          </w:rPr>
          <w:t xml:space="preserve">[34]</w:t>
        </w:r>
      </w:hyperlink>
      <w:r>
        <w:t xml:space="preserve">, and propulsion-technology studies</w:t>
      </w:r>
      <w:r>
        <w:t xml:space="preserve"> </w:t>
      </w:r>
      <w:r>
        <w:t xml:space="preserve">such as triple-point dry-ice electric propulsion and americium-fuelled</w:t>
      </w:r>
      <w:r>
        <w:t xml:space="preserve"> </w:t>
      </w:r>
      <w:r>
        <w:t xml:space="preserve">radioisotope Stirling generators for lunar mobility report subsystem masses for</w:t>
      </w:r>
      <w:r>
        <w:t xml:space="preserve"> </w:t>
      </w:r>
      <w:r>
        <w:t xml:space="preserve">novel hardware classes</w:t>
      </w:r>
      <w:r>
        <w:t xml:space="preserve"> </w:t>
      </w:r>
      <w:hyperlink w:anchor="ref-30">
        <w:r>
          <w:rPr>
            <w:rStyle w:val="Hyperlink"/>
          </w:rPr>
          <w:t xml:space="preserve">[30]</w:t>
        </w:r>
      </w:hyperlink>
      <w:r>
        <w:t xml:space="preserve">,</w:t>
      </w:r>
      <w:r>
        <w:t xml:space="preserve"> </w:t>
      </w:r>
      <w:hyperlink w:anchor="ref-32">
        <w:r>
          <w:rPr>
            <w:rStyle w:val="Hyperlink"/>
          </w:rPr>
          <w:t xml:space="preserve">[32]</w:t>
        </w:r>
      </w:hyperlink>
      <w:r>
        <w:t xml:space="preserve">. In-situ resource and surface-infrastructure</w:t>
      </w:r>
      <w:r>
        <w:t xml:space="preserve"> </w:t>
      </w:r>
      <w:r>
        <w:t xml:space="preserve">studies, photobioreactor manufacturing on the Moon and hybrid lunar ISRU plants,</w:t>
      </w:r>
      <w:r>
        <w:t xml:space="preserve"> </w:t>
      </w:r>
      <w:r>
        <w:t xml:space="preserve">likewise carry mass budgets for systems that have no flight heritage at all</w:t>
      </w:r>
      <w:r>
        <w:t xml:space="preserve"> </w:t>
      </w:r>
      <w:hyperlink w:anchor="ref-29">
        <w:r>
          <w:rPr>
            <w:rStyle w:val="Hyperlink"/>
          </w:rPr>
          <w:t xml:space="preserve">[29]</w:t>
        </w:r>
      </w:hyperlink>
      <w:r>
        <w:t xml:space="preserve">,</w:t>
      </w:r>
      <w:r>
        <w:t xml:space="preserve"> </w:t>
      </w:r>
      <w:hyperlink w:anchor="ref-33">
        <w:r>
          <w:rPr>
            <w:rStyle w:val="Hyperlink"/>
          </w:rPr>
          <w:t xml:space="preserve">[33]</w:t>
        </w:r>
      </w:hyperlink>
      <w:r>
        <w:t xml:space="preserve">.</w:t>
      </w:r>
    </w:p>
    <w:p>
      <w:pPr>
        <w:pStyle w:val="BodyText"/>
        <w:spacing w:line="480" w:lineRule="auto"/>
        <w:ind w:firstLine="720"/>
      </w:pPr>
      <w:r>
        <w:t xml:space="preserve">These are, without exception, single-program engineering exercises. Each reports</w:t>
      </w:r>
      <w:r>
        <w:t xml:space="preserve"> </w:t>
      </w:r>
      <w:r>
        <w:t xml:space="preserve">a mass budget at one or two stages for one mission or architecture. None pools</w:t>
      </w:r>
      <w:r>
        <w:t xml:space="preserve"> </w:t>
      </w:r>
      <w:r>
        <w:t xml:space="preserve">across programs, and none estimates a growth law; the design closure of any one</w:t>
      </w:r>
      <w:r>
        <w:t xml:space="preserve"> </w:t>
      </w:r>
      <w:r>
        <w:t xml:space="preserve">of them is a point, not a curve. Their collective value to the dissertation is</w:t>
      </w:r>
      <w:r>
        <w:t xml:space="preserve"> </w:t>
      </w:r>
      <w:r>
        <w:t xml:space="preserve">precisely that they are points: a sufficient number of them, indexed by maturity</w:t>
      </w:r>
      <w:r>
        <w:t xml:space="preserve"> </w:t>
      </w:r>
      <w:r>
        <w:t xml:space="preserve">and program class and drawn from a common corpus with resolvable provenance,</w:t>
      </w:r>
      <w:r>
        <w:t xml:space="preserve"> </w:t>
      </w:r>
      <w:r>
        <w:t xml:space="preserve">constitute the panel from which a growth curve can be estimated. The literature</w:t>
      </w:r>
      <w:r>
        <w:t xml:space="preserve"> </w:t>
      </w:r>
      <w:r>
        <w:t xml:space="preserve">supplies the dots; it has never connected them. The prospectus identifies the</w:t>
      </w:r>
      <w:r>
        <w:t xml:space="preserve"> </w:t>
      </w:r>
      <w:r>
        <w:t xml:space="preserve">Acta Astronautica mission-description corpus as the frame from which these</w:t>
      </w:r>
      <w:r>
        <w:t xml:space="preserve"> </w:t>
      </w:r>
      <w:r>
        <w:t xml:space="preserve">observations are systematically harvested, and the conceptual-design papers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are the documented source class for that harvest.</w:t>
      </w:r>
    </w:p>
    <w:bookmarkEnd w:id="72"/>
    <w:bookmarkStart w:id="73" w:name="X14ba261defe36f3a50bd03c16b095b8bd52fc26"/>
    <w:p>
      <w:pPr>
        <w:pStyle w:val="Heading3"/>
        <w:spacing w:line="480" w:lineRule="auto"/>
      </w:pPr>
      <w:r>
        <w:t xml:space="preserve">2.3.3 Re-entry, fragmentation, and the flown population</w:t>
      </w:r>
    </w:p>
    <w:p>
      <w:pPr>
        <w:pStyle w:val="FirstParagraph"/>
        <w:spacing w:line="480" w:lineRule="auto"/>
      </w:pPr>
      <w:r>
        <w:t xml:space="preserve">A third adjacent literature studies the population of objects in orbit and on</w:t>
      </w:r>
      <w:r>
        <w:t xml:space="preserve"> </w:t>
      </w:r>
      <w:r>
        <w:t xml:space="preserve">re-entry rather than the maturation of any single design. Fragmentation studies</w:t>
      </w:r>
      <w:r>
        <w:t xml:space="preserve"> </w:t>
      </w:r>
      <w:r>
        <w:t xml:space="preserve">report size, mass, and area-to-mass distributions for flown hardware, including</w:t>
      </w:r>
      <w:r>
        <w:t xml:space="preserve"> </w:t>
      </w:r>
      <w:r>
        <w:t xml:space="preserve">recent hypervelocity-impact characterization of carbon-fiber-reinforced</w:t>
      </w:r>
      <w:r>
        <w:t xml:space="preserve"> </w:t>
      </w:r>
      <w:r>
        <w:t xml:space="preserve">composite panel fragments</w:t>
      </w:r>
      <w:r>
        <w:t xml:space="preserve"> </w:t>
      </w:r>
      <w:hyperlink w:anchor="ref-2">
        <w:r>
          <w:rPr>
            <w:rStyle w:val="Hyperlink"/>
          </w:rPr>
          <w:t xml:space="preserve">[2]</w:t>
        </w:r>
      </w:hyperlink>
      <w:r>
        <w:t xml:space="preserve">. The re-entry risk literature characterizes the</w:t>
      </w:r>
      <w:r>
        <w:t xml:space="preserve"> </w:t>
      </w:r>
      <w:r>
        <w:t xml:space="preserve">mass and area-to-mass properties of objects returning from orbit and has begun to</w:t>
      </w:r>
      <w:r>
        <w:t xml:space="preserve"> </w:t>
      </w:r>
      <w:r>
        <w:t xml:space="preserve">ask, pointedly, whether the growth observed in recent years in the re-entering</w:t>
      </w:r>
      <w:r>
        <w:t xml:space="preserve"> </w:t>
      </w:r>
      <w:r>
        <w:t xml:space="preserve">population should be considered worrying</w:t>
      </w:r>
      <w:r>
        <w:t xml:space="preserve"> </w:t>
      </w:r>
      <w:hyperlink w:anchor="ref-5">
        <w:r>
          <w:rPr>
            <w:rStyle w:val="Hyperlink"/>
          </w:rPr>
          <w:t xml:space="preserve">[5]</w:t>
        </w:r>
      </w:hyperlink>
      <w:r>
        <w:t xml:space="preserve">,</w:t>
      </w:r>
      <w:r>
        <w:t xml:space="preserve"> </w:t>
      </w:r>
      <w:hyperlink w:anchor="ref-27">
        <w:r>
          <w:rPr>
            <w:rStyle w:val="Hyperlink"/>
          </w:rPr>
          <w:t xml:space="preserve">[27]</w:t>
        </w:r>
      </w:hyperlink>
      <w:r>
        <w:t xml:space="preserve">. On-orbit collision and</w:t>
      </w:r>
      <w:r>
        <w:t xml:space="preserve"> </w:t>
      </w:r>
      <w:r>
        <w:t xml:space="preserve">conjunction studies extend the same population-level accounting, comparing</w:t>
      </w:r>
      <w:r>
        <w:t xml:space="preserve"> </w:t>
      </w:r>
      <w:r>
        <w:t xml:space="preserve">catastrophic collision scenarios and trending payload-versus-debris conjunction</w:t>
      </w:r>
      <w:r>
        <w:t xml:space="preserve"> </w:t>
      </w:r>
      <w:r>
        <w:t xml:space="preserve">data in low Earth orbit</w:t>
      </w:r>
      <w:r>
        <w:t xml:space="preserve"> </w:t>
      </w:r>
      <w:hyperlink w:anchor="ref-19">
        <w:r>
          <w:rPr>
            <w:rStyle w:val="Hyperlink"/>
          </w:rPr>
          <w:t xml:space="preserve">[19]</w:t>
        </w:r>
      </w:hyperlink>
      <w:r>
        <w:t xml:space="preserve">,</w:t>
      </w:r>
      <w:r>
        <w:t xml:space="preserve"> </w:t>
      </w:r>
      <w:hyperlink w:anchor="ref-20">
        <w:r>
          <w:rPr>
            <w:rStyle w:val="Hyperlink"/>
          </w:rPr>
          <w:t xml:space="preserve">[20]</w:t>
        </w:r>
      </w:hyperlink>
      <w:r>
        <w:t xml:space="preserve">, and the space-situational-awareness</w:t>
      </w:r>
      <w:r>
        <w:t xml:space="preserve"> </w:t>
      </w:r>
      <w:r>
        <w:t xml:space="preserve">literature develops the observational means by which the flown population is</w:t>
      </w:r>
      <w:r>
        <w:t xml:space="preserve"> </w:t>
      </w:r>
      <w:r>
        <w:t xml:space="preserve">catalogued and its dynamics inferred</w:t>
      </w:r>
      <w:r>
        <w:t xml:space="preserve"> </w:t>
      </w:r>
      <w:hyperlink w:anchor="ref-21">
        <w:r>
          <w:rPr>
            <w:rStyle w:val="Hyperlink"/>
          </w:rPr>
          <w:t xml:space="preserve">[21]</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 A</w:t>
      </w:r>
      <w:r>
        <w:t xml:space="preserve"> </w:t>
      </w:r>
      <w:r>
        <w:t xml:space="preserve">contact-binary asteroid-impact study even reports the delivered mass properties of</w:t>
      </w:r>
      <w:r>
        <w:t xml:space="preserve"> </w:t>
      </w:r>
      <w:r>
        <w:t xml:space="preserve">an impactor as flown</w:t>
      </w:r>
      <w:r>
        <w:t xml:space="preserve"> </w:t>
      </w:r>
      <w:hyperlink w:anchor="ref-28">
        <w:r>
          <w:rPr>
            <w:rStyle w:val="Hyperlink"/>
          </w:rPr>
          <w:t xml:space="preserve">[28]</w:t>
        </w:r>
      </w:hyperlink>
      <w:r>
        <w:t xml:space="preserve">.</w:t>
      </w:r>
    </w:p>
    <w:p>
      <w:pPr>
        <w:pStyle w:val="BodyText"/>
        <w:spacing w:line="480" w:lineRule="auto"/>
        <w:ind w:firstLine="720"/>
      </w:pPr>
      <w:r>
        <w:t xml:space="preserve">The relevance of this literature to the dissertation is specific and bounded. It</w:t>
      </w:r>
      <w:r>
        <w:t xml:space="preserve"> </w:t>
      </w:r>
      <w:r>
        <w:t xml:space="preserve">provides an external, independent check on the as-flown endpoint of the growth</w:t>
      </w:r>
      <w:r>
        <w:t xml:space="preserve"> </w:t>
      </w:r>
      <w:r>
        <w:t xml:space="preserve">curve: where a program’s delivered mass is reported, the re-entry and</w:t>
      </w:r>
      <w:r>
        <w:t xml:space="preserve"> </w:t>
      </w:r>
      <w:r>
        <w:t xml:space="preserve">fragmentation distributions bound its plausibility, and the prospectus uses</w:t>
      </w:r>
      <w:r>
        <w:t xml:space="preserve"> </w:t>
      </w:r>
      <w:r>
        <w:t xml:space="preserve">exactly this discipline on the launch-mass endpoint</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But the re-entry</w:t>
      </w:r>
      <w:r>
        <w:t xml:space="preserve"> </w:t>
      </w:r>
      <w:r>
        <w:t xml:space="preserve">literature studies aggregate properties of a population of objects, not the</w:t>
      </w:r>
      <w:r>
        <w:t xml:space="preserve"> </w:t>
      </w:r>
      <w:r>
        <w:t xml:space="preserve">PDR-to-launch maturation of any individual design. It observes the right-hand end</w:t>
      </w:r>
      <w:r>
        <w:t xml:space="preserve"> </w:t>
      </w:r>
      <w:r>
        <w:t xml:space="preserve">of the growth process, the flown mass, without observing the left-hand end, the</w:t>
      </w:r>
      <w:r>
        <w:t xml:space="preserve"> </w:t>
      </w:r>
      <w:r>
        <w:t xml:space="preserve">PDR estimate, and without linking the two within a program. Its question,</w:t>
      </w:r>
      <w:r>
        <w:t xml:space="preserve"> </w:t>
      </w:r>
      <w:r>
        <w:t xml:space="preserve">“is the</w:t>
      </w:r>
      <w:r>
        <w:t xml:space="preserve"> </w:t>
      </w:r>
      <w:r>
        <w:t xml:space="preserve">flown population growing worryingly,”</w:t>
      </w:r>
      <w:r>
        <w:t xml:space="preserve">, is a question about the stock of objects,</w:t>
      </w:r>
      <w:r>
        <w:t xml:space="preserve"> </w:t>
      </w:r>
      <w:r>
        <w:t xml:space="preserve">not about the growth curve of a design</w:t>
      </w:r>
      <w:r>
        <w:t xml:space="preserve"> </w:t>
      </w:r>
      <w:hyperlink w:anchor="ref-5">
        <w:r>
          <w:rPr>
            <w:rStyle w:val="Hyperlink"/>
          </w:rPr>
          <w:t xml:space="preserve">[5]</w:t>
        </w:r>
      </w:hyperlink>
      <w:r>
        <w:t xml:space="preserve">,</w:t>
      </w:r>
      <w:r>
        <w:t xml:space="preserve"> </w:t>
      </w:r>
      <w:hyperlink w:anchor="ref-27">
        <w:r>
          <w:rPr>
            <w:rStyle w:val="Hyperlink"/>
          </w:rPr>
          <w:t xml:space="preserve">[27]</w:t>
        </w:r>
      </w:hyperlink>
      <w:r>
        <w:t xml:space="preserve">. The two senses of</w:t>
      </w:r>
      <w:r>
        <w:t xml:space="preserve"> </w:t>
      </w:r>
      <w:r>
        <w:t xml:space="preserve">“growth”</w:t>
      </w:r>
      <w:r>
        <w:t xml:space="preserve"> </w:t>
      </w:r>
      <w:r>
        <w:t xml:space="preserve">are</w:t>
      </w:r>
      <w:r>
        <w:t xml:space="preserve"> </w:t>
      </w:r>
      <w:r>
        <w:t xml:space="preserve">distinct, and conflating them is a category error the dissertation is careful to</w:t>
      </w:r>
      <w:r>
        <w:t xml:space="preserve"> </w:t>
      </w:r>
      <w:r>
        <w:t xml:space="preserve">avoid.</w:t>
      </w:r>
    </w:p>
    <w:bookmarkEnd w:id="73"/>
    <w:bookmarkEnd w:id="74"/>
    <w:bookmarkStart w:id="78"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Methodological in character, the second unjoined literature does not concern spacecraft</w:t>
      </w:r>
      <w:r>
        <w:t xml:space="preserve"> </w:t>
      </w:r>
      <w:r>
        <w:t xml:space="preserve">at all in its origins; it concerns the estimation of historical regularities as</w:t>
      </w:r>
      <w:r>
        <w:t xml:space="preserve"> </w:t>
      </w:r>
      <w:r>
        <w:t xml:space="preserve">quantities, and it supplies three instruments that the dissertation imports.</w:t>
      </w:r>
    </w:p>
    <w:bookmarkStart w:id="75" w:name="X1441b07e75c168f5ea02fccc0cc8bff0f4abfe8"/>
    <w:p>
      <w:pPr>
        <w:pStyle w:val="Heading3"/>
        <w:spacing w:line="480" w:lineRule="auto"/>
      </w:pPr>
      <w:r>
        <w:t xml:space="preserve">2.4.1 The experience curve and the economics of learning</w:t>
      </w:r>
    </w:p>
    <w:p>
      <w:pPr>
        <w:pStyle w:val="FirstParagraph"/>
        <w:spacing w:line="480" w:lineRule="auto"/>
      </w:pPr>
      <w:r>
        <w:t xml:space="preserve">The experience or learning curve is among the most durable empirical</w:t>
      </w:r>
      <w:r>
        <w:t xml:space="preserve"> </w:t>
      </w:r>
      <w:r>
        <w:t xml:space="preserve">regularities in industrial economics: unit cost, labor hours, and defect rates</w:t>
      </w:r>
      <w:r>
        <w:t xml:space="preserve"> </w:t>
      </w:r>
      <w:r>
        <w:t xml:space="preserve">fall by a roughly constant fraction with each doubling of cumulative output, a</w:t>
      </w:r>
      <w:r>
        <w:t xml:space="preserve"> </w:t>
      </w:r>
      <w:r>
        <w:t xml:space="preserve">relationship that is linear in logarithms and whose slope is the learning</w:t>
      </w:r>
      <w:r>
        <w:t xml:space="preserve"> </w:t>
      </w:r>
      <w:r>
        <w:t xml:space="preserve">elasticity. The space-economy corpus documents that the sector inherits this</w:t>
      </w:r>
      <w:r>
        <w:t xml:space="preserve"> </w:t>
      </w:r>
      <w:r>
        <w:t xml:space="preserve">pattern. Sampled space cost curves show unit cost per kilogram to low Earth orbit</w:t>
      </w:r>
      <w:r>
        <w:t xml:space="preserve"> </w:t>
      </w:r>
      <w:r>
        <w:t xml:space="preserve">declining as production accumulates across heavy-launch and communications-</w:t>
      </w:r>
      <w:r>
        <w:t xml:space="preserve"> </w:t>
      </w:r>
      <w:r>
        <w:t xml:space="preserve">satellite classes</w:t>
      </w:r>
      <w:r>
        <w:t xml:space="preserve"> </w:t>
      </w:r>
      <w:hyperlink w:anchor="ref-16">
        <w:r>
          <w:rPr>
            <w:rStyle w:val="Hyperlink"/>
          </w:rPr>
          <w:t xml:space="preserve">[16]</w:t>
        </w:r>
      </w:hyperlink>
      <w:r>
        <w:t xml:space="preserve">, and longer-run forecasts of the space economy treat</w:t>
      </w:r>
      <w:r>
        <w:t xml:space="preserve"> </w:t>
      </w:r>
      <w:r>
        <w:t xml:space="preserve">continued cost-per-kilogram reduction as a function of accumulated input</w:t>
      </w:r>
      <w:r>
        <w:t xml:space="preserve"> </w:t>
      </w:r>
      <w:r>
        <w:t xml:space="preserve">experience and refurbishment learning rather than as a one-time technological</w:t>
      </w:r>
      <w:r>
        <w:t xml:space="preserve"> </w:t>
      </w:r>
      <w:r>
        <w:t xml:space="preserve">shock</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 The Office of the Chief Economist Analysis forecasting work and</w:t>
      </w:r>
      <w:r>
        <w:t xml:space="preserve"> </w:t>
      </w:r>
      <w:r>
        <w:t xml:space="preserve">the broader space-economy syntheses frame this learning as a structural driver of</w:t>
      </w:r>
      <w:r>
        <w:t xml:space="preserve"> </w:t>
      </w:r>
      <w:r>
        <w:t xml:space="preserve">the sector’s trajectory</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p>
    <w:p>
      <w:pPr>
        <w:pStyle w:val="BodyText"/>
        <w:spacing w:line="480" w:lineRule="auto"/>
        <w:ind w:firstLine="720"/>
      </w:pPr>
      <w:r>
        <w:t xml:space="preserve">The methodological move that the dissertation’s companion analysis makes, and</w:t>
      </w:r>
      <w:r>
        <w:t xml:space="preserve"> </w:t>
      </w:r>
      <w:r>
        <w:t xml:space="preserve">that this chapter must situate, is to apply the experience-curve apparatus not to</w:t>
      </w:r>
      <w:r>
        <w:t xml:space="preserve"> </w:t>
      </w:r>
      <w:r>
        <w:t xml:space="preserve">unit cost but to estimation accuracy itself. If repetition converts a novel</w:t>
      </w:r>
      <w:r>
        <w:t xml:space="preserve"> </w:t>
      </w:r>
      <w:r>
        <w:t xml:space="preserve">manufacturing task into a routine one, it should equally convert a novel</w:t>
      </w:r>
      <w:r>
        <w:t xml:space="preserve"> </w:t>
      </w:r>
      <w:r>
        <w:t xml:space="preserve">estimation task, forecasting the mass of a first-of-class design, into a</w:t>
      </w:r>
      <w:r>
        <w:t xml:space="preserve"> </w:t>
      </w:r>
      <w:r>
        <w:t xml:space="preserve">calibrated one. The small-satellite assessment supplies the heritage mechanism</w:t>
      </w:r>
      <w:r>
        <w:t xml:space="preserve"> </w:t>
      </w:r>
      <w:r>
        <w:t xml:space="preserve">that makes class experience the natural experience variable: classes that</w:t>
      </w:r>
      <w:r>
        <w:t xml:space="preserve"> </w:t>
      </w:r>
      <w:r>
        <w:t xml:space="preserve">accumulate flight record acquire the calibrated growth factors that pathfinders</w:t>
      </w:r>
      <w:r>
        <w:t xml:space="preserve"> </w:t>
      </w:r>
      <w:r>
        <w:t xml:space="preserve">lack</w:t>
      </w:r>
      <w:r>
        <w:t xml:space="preserve"> </w:t>
      </w:r>
      <w:hyperlink w:anchor="ref-18">
        <w:r>
          <w:rPr>
            <w:rStyle w:val="Hyperlink"/>
          </w:rPr>
          <w:t xml:space="preserve">[18]</w:t>
        </w:r>
      </w:hyperlink>
      <w:r>
        <w:t xml:space="preserve">. The constant-elasticity log-log specification is the appropriate</w:t>
      </w:r>
      <w:r>
        <w:t xml:space="preserve"> </w:t>
      </w:r>
      <w:r>
        <w:t xml:space="preserve">functional form because it encodes the doubling-of-experience structure that the</w:t>
      </w:r>
      <w:r>
        <w:t xml:space="preserve"> </w:t>
      </w:r>
      <w:r>
        <w:t xml:space="preserve">experience-curve tradition has validated, accommodates the strong right-skew of</w:t>
      </w:r>
      <w:r>
        <w:t xml:space="preserve"> </w:t>
      </w:r>
      <w:r>
        <w:t xml:space="preserve">both an experience count and a growth percentage, and reduces the central</w:t>
      </w:r>
      <w:r>
        <w:t xml:space="preserve"> </w:t>
      </w:r>
      <w:r>
        <w:t xml:space="preserve">hypothesis to a single, sharply estimable slope whose sign settles the question</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This is the cliometric method in its purest form: a historical</w:t>
      </w:r>
      <w:r>
        <w:t xml:space="preserve"> </w:t>
      </w:r>
      <w:r>
        <w:t xml:space="preserve">regularity, learning, rendered as an elasticity with a confidence interval.</w:t>
      </w:r>
    </w:p>
    <w:p>
      <w:pPr>
        <w:pStyle w:val="BodyText"/>
        <w:spacing w:line="480" w:lineRule="auto"/>
        <w:ind w:firstLine="720"/>
      </w:pPr>
      <w:r>
        <w:t xml:space="preserve">The application of the experience curve to estimation accuracy is not a trivial</w:t>
      </w:r>
      <w:r>
        <w:t xml:space="preserve"> </w:t>
      </w:r>
      <w:r>
        <w:t xml:space="preserve">transposition, and its plausibility rests on a mechanism that the space-economy</w:t>
      </w:r>
      <w:r>
        <w:t xml:space="preserve"> </w:t>
      </w:r>
      <w:r>
        <w:t xml:space="preserve">corpus makes explicit. The corpus treats cost-per-kilogram reduction as driven by</w:t>
      </w:r>
      <w:r>
        <w:t xml:space="preserve"> </w:t>
      </w:r>
      <w:r>
        <w:t xml:space="preserve">accumulated input experience and refurbishment learning rather than by a single</w:t>
      </w:r>
      <w:r>
        <w:t xml:space="preserve"> </w:t>
      </w:r>
      <w:r>
        <w:t xml:space="preserve">technological discontinuity</w:t>
      </w:r>
      <w:r>
        <w:t xml:space="preserve"> </w:t>
      </w:r>
      <w:hyperlink w:anchor="ref-9">
        <w:r>
          <w:rPr>
            <w:rStyle w:val="Hyperlink"/>
          </w:rPr>
          <w:t xml:space="preserve">[9]</w:t>
        </w:r>
      </w:hyperlink>
      <w:r>
        <w:t xml:space="preserve">,</w:t>
      </w:r>
      <w:r>
        <w:t xml:space="preserve"> </w:t>
      </w:r>
      <w:hyperlink w:anchor="ref-17">
        <w:r>
          <w:rPr>
            <w:rStyle w:val="Hyperlink"/>
          </w:rPr>
          <w:t xml:space="preserve">[17]</w:t>
        </w:r>
      </w:hyperlink>
      <w:r>
        <w:t xml:space="preserve">, which is to say that the sector’s cost</w:t>
      </w:r>
      <w:r>
        <w:t xml:space="preserve"> </w:t>
      </w:r>
      <w:r>
        <w:t xml:space="preserve">decline is modeled as a learning process with a recoverable slope rather than as a</w:t>
      </w:r>
      <w:r>
        <w:t xml:space="preserve"> </w:t>
      </w:r>
      <w:r>
        <w:t xml:space="preserve">step change. If the underlying mechanism is the conversion of novel tasks into</w:t>
      </w:r>
      <w:r>
        <w:t xml:space="preserve"> </w:t>
      </w:r>
      <w:r>
        <w:t xml:space="preserve">routine ones through repetition, then estimation, the task of forecasting a</w:t>
      </w:r>
      <w:r>
        <w:t xml:space="preserve"> </w:t>
      </w:r>
      <w:r>
        <w:t xml:space="preserve">design’s eventual mass, is as much a candidate for that conversion as fabrication</w:t>
      </w:r>
      <w:r>
        <w:t xml:space="preserve"> </w:t>
      </w:r>
      <w:r>
        <w:t xml:space="preserve">is. The crucial methodological observation is that the experience curve makes a</w:t>
      </w:r>
      <w:r>
        <w:t xml:space="preserve"> </w:t>
      </w:r>
      <w:r>
        <w:t xml:space="preserve">sharp, falsifiable prediction: error should decline log-linearly in cumulative</w:t>
      </w:r>
      <w:r>
        <w:t xml:space="preserve"> </w:t>
      </w:r>
      <w:r>
        <w:t xml:space="preserve">class experience, and that prediction can fail. A finding that accumulated class</w:t>
      </w:r>
      <w:r>
        <w:t xml:space="preserve"> </w:t>
      </w:r>
      <w:r>
        <w:t xml:space="preserve">experience does not predict mass-estimate error would refute the learning account</w:t>
      </w:r>
      <w:r>
        <w:t xml:space="preserve"> </w:t>
      </w:r>
      <w:r>
        <w:t xml:space="preserve">and would instead vindicate the rival view that each ambitious mission pushes an</w:t>
      </w:r>
      <w:r>
        <w:t xml:space="preserve"> </w:t>
      </w:r>
      <w:r>
        <w:t xml:space="preserve">irreducible frontier whose novelty resets the estimation problem. The</w:t>
      </w:r>
      <w:r>
        <w:t xml:space="preserve"> </w:t>
      </w:r>
      <w:r>
        <w:t xml:space="preserve">methodological literature thereby contributes not merely a regression form but a</w:t>
      </w:r>
      <w:r>
        <w:t xml:space="preserve"> </w:t>
      </w:r>
      <w:r>
        <w:t xml:space="preserve">genuine falsification structure, which is precisely the property that the</w:t>
      </w:r>
      <w:r>
        <w:t xml:space="preserve"> </w:t>
      </w:r>
      <w:r>
        <w:t xml:space="preserve">prospectus demands of the dissertation’s central contribution and which the</w:t>
      </w:r>
      <w:r>
        <w:t xml:space="preserve"> </w:t>
      </w:r>
      <w:r>
        <w:t xml:space="preserve">deterministic margin doctrine, with its un-estimated staircase, conspicuously</w:t>
      </w:r>
      <w:r>
        <w:t xml:space="preserve"> </w:t>
      </w:r>
      <w:r>
        <w:t xml:space="preserve">lacks</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bookmarkEnd w:id="75"/>
    <w:bookmarkStart w:id="76" w:name="X125801da3823b16ae8cf987ac62de4554bcdcf5"/>
    <w:p>
      <w:pPr>
        <w:pStyle w:val="Heading3"/>
        <w:spacing w:line="480" w:lineRule="auto"/>
      </w:pPr>
      <w:r>
        <w:t xml:space="preserve">2.4.2 Longitudinal regression and the discipline of identification</w:t>
      </w:r>
    </w:p>
    <w:p>
      <w:pPr>
        <w:pStyle w:val="FirstParagraph"/>
        <w:spacing w:line="480" w:lineRule="auto"/>
      </w:pPr>
      <w:r>
        <w:t xml:space="preserve">The second instrument is the longitudinal regression itself, with its associated</w:t>
      </w:r>
      <w:r>
        <w:t xml:space="preserve"> </w:t>
      </w:r>
      <w:r>
        <w:t xml:space="preserve">discipline of identification. The space-economy literature frames mass growth as</w:t>
      </w:r>
      <w:r>
        <w:t xml:space="preserve"> </w:t>
      </w:r>
      <w:r>
        <w:t xml:space="preserve">the early, legible expression of the same maturation dynamics that later surface</w:t>
      </w:r>
      <w:r>
        <w:t xml:space="preserve"> </w:t>
      </w:r>
      <w:r>
        <w:t xml:space="preserve">as cost and schedule growth, and treats those dynamics as structural properties</w:t>
      </w:r>
      <w:r>
        <w:t xml:space="preserve"> </w:t>
      </w:r>
      <w:r>
        <w:t xml:space="preserve">of how ambitious space systems are developed rather than as isolated managerial</w:t>
      </w:r>
      <w:r>
        <w:t xml:space="preserve"> </w:t>
      </w:r>
      <w:r>
        <w:t xml:space="preserve">failures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The architectural socio-technological account in</w:t>
      </w:r>
      <w:r>
        <w:t xml:space="preserve"> </w:t>
      </w:r>
      <w:r>
        <w:t xml:space="preserve">particular reads the unfolding cost of ambition as a process that becomes visible</w:t>
      </w:r>
      <w:r>
        <w:t xml:space="preserve"> </w:t>
      </w:r>
      <w:r>
        <w:t xml:space="preserve">only as a system is realized, which is precisely the longitudinal claim that a</w:t>
      </w:r>
      <w:r>
        <w:t xml:space="preserve"> </w:t>
      </w:r>
      <w:r>
        <w:t xml:space="preserve">panel of milestone-indexed mass observations is built to test</w:t>
      </w:r>
      <w:r>
        <w:t xml:space="preserve"> </w:t>
      </w:r>
      <w:hyperlink w:anchor="ref-11">
        <w:r>
          <w:rPr>
            <w:rStyle w:val="Hyperlink"/>
          </w:rPr>
          <w:t xml:space="preserve">[11]</w:t>
        </w:r>
      </w:hyperlink>
      <w:r>
        <w:t xml:space="preserve">.</w:t>
      </w:r>
    </w:p>
    <w:p>
      <w:pPr>
        <w:pStyle w:val="BodyText"/>
        <w:spacing w:line="480" w:lineRule="auto"/>
        <w:ind w:firstLine="720"/>
      </w:pPr>
      <w:r>
        <w:t xml:space="preserve">To estimate such a process requires more than a regression line. It requires a</w:t>
      </w:r>
      <w:r>
        <w:t xml:space="preserve"> </w:t>
      </w:r>
      <w:r>
        <w:t xml:space="preserve">specification that separates a within-program maturation effect from</w:t>
      </w:r>
      <w:r>
        <w:t xml:space="preserve"> </w:t>
      </w:r>
      <w:r>
        <w:t xml:space="preserve">between-program composition, which is the role of random intercepts and random</w:t>
      </w:r>
      <w:r>
        <w:t xml:space="preserve"> </w:t>
      </w:r>
      <w:r>
        <w:t xml:space="preserve">milestone slopes; fixed effects for program class, destination, propulsion, and</w:t>
      </w:r>
      <w:r>
        <w:t xml:space="preserve"> </w:t>
      </w:r>
      <w:r>
        <w:t xml:space="preserve">launch epoch to absorb the heterogeneity that the re-entry and conceptual-design</w:t>
      </w:r>
      <w:r>
        <w:t xml:space="preserve"> </w:t>
      </w:r>
      <w:r>
        <w:t xml:space="preserve">literatures document so abundantly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4">
        <w:r>
          <w:rPr>
            <w:rStyle w:val="Hyperlink"/>
          </w:rPr>
          <w:t xml:space="preserve">[14]</w:t>
        </w:r>
      </w:hyperlink>
      <w:r>
        <w:t xml:space="preserve">,</w:t>
      </w:r>
      <w:r>
        <w:t xml:space="preserve"> </w:t>
      </w:r>
      <w:hyperlink w:anchor="ref-34">
        <w:r>
          <w:rPr>
            <w:rStyle w:val="Hyperlink"/>
          </w:rPr>
          <w:t xml:space="preserve">[34]</w:t>
        </w:r>
      </w:hyperlink>
      <w:r>
        <w:t xml:space="preserve">; and an explicit account</w:t>
      </w:r>
      <w:r>
        <w:t xml:space="preserve"> </w:t>
      </w:r>
      <w:r>
        <w:t xml:space="preserve">of the threat that maturity at PDR is not assigned at random. The</w:t>
      </w:r>
      <w:r>
        <w:t xml:space="preserve"> </w:t>
      </w:r>
      <w:r>
        <w:t xml:space="preserve">methodological literature on the space economy supplies the conceptual warrant</w:t>
      </w:r>
      <w:r>
        <w:t xml:space="preserve"> </w:t>
      </w:r>
      <w:r>
        <w:t xml:space="preserve">for treating maturity as the structural variable of interest</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but</w:t>
      </w:r>
      <w:r>
        <w:t xml:space="preserve"> </w:t>
      </w:r>
      <w:r>
        <w:t xml:space="preserve">it does not itself estimate a growth curve; it argues that one should exist. The</w:t>
      </w:r>
      <w:r>
        <w:t xml:space="preserve"> </w:t>
      </w:r>
      <w:r>
        <w:t xml:space="preserve">dissertation’s task is to supply the estimator that the conceptual argument</w:t>
      </w:r>
      <w:r>
        <w:t xml:space="preserve"> </w:t>
      </w:r>
      <w:r>
        <w:t xml:space="preserve">implies.</w:t>
      </w:r>
    </w:p>
    <w:bookmarkEnd w:id="76"/>
    <w:bookmarkStart w:id="77" w:name="X828df8d41930115613fca2eacd7ec2e54cfe1e9"/>
    <w:p>
      <w:pPr>
        <w:pStyle w:val="Heading3"/>
        <w:spacing w:line="480" w:lineRule="auto"/>
      </w:pPr>
      <w:r>
        <w:t xml:space="preserve">2.4.3 The probabilistic and decomposition tradition</w:t>
      </w:r>
    </w:p>
    <w:p>
      <w:pPr>
        <w:pStyle w:val="FirstParagraph"/>
        <w:spacing w:line="480" w:lineRule="auto"/>
      </w:pPr>
      <w:r>
        <w:t xml:space="preserve">A third strand, intermediate between the engineering and methodological</w:t>
      </w:r>
      <w:r>
        <w:t xml:space="preserve"> </w:t>
      </w:r>
      <w:r>
        <w:t xml:space="preserve">literatures, deserves separate notice because it is the closest existing approach</w:t>
      </w:r>
      <w:r>
        <w:t xml:space="preserve"> </w:t>
      </w:r>
      <w:r>
        <w:t xml:space="preserve">to the dissertation’s method. The probabilistic mass-growth-uncertainty work</w:t>
      </w:r>
      <w:r>
        <w:t xml:space="preserve"> </w:t>
      </w:r>
      <w:r>
        <w:t xml:space="preserve">treats growth as a random variable with a milestone-conditioned distribution and</w:t>
      </w:r>
      <w:r>
        <w:t xml:space="preserve"> </w:t>
      </w:r>
      <w:r>
        <w:t xml:space="preserve">is, in spirit, a statistical treatment of the phenomenon</w:t>
      </w:r>
      <w:r>
        <w:t xml:space="preserve"> </w:t>
      </w:r>
      <w:hyperlink w:anchor="ref-12">
        <w:r>
          <w:rPr>
            <w:rStyle w:val="Hyperlink"/>
          </w:rPr>
          <w:t xml:space="preserve">[12]</w:t>
        </w:r>
      </w:hyperlink>
      <w:r>
        <w:t xml:space="preserve">. The NRC cost-growth</w:t>
      </w:r>
      <w:r>
        <w:t xml:space="preserve"> </w:t>
      </w:r>
      <w:r>
        <w:t xml:space="preserve">study decomposes realized growth into contributing factors and relates it to mass</w:t>
      </w:r>
      <w:r>
        <w:t xml:space="preserve"> </w:t>
      </w:r>
      <w:r>
        <w:t xml:space="preserve">and complexity covariates</w:t>
      </w:r>
      <w:r>
        <w:t xml:space="preserve"> </w:t>
      </w:r>
      <w:hyperlink w:anchor="ref-15">
        <w:r>
          <w:rPr>
            <w:rStyle w:val="Hyperlink"/>
          </w:rPr>
          <w:t xml:space="preserve">[15]</w:t>
        </w:r>
      </w:hyperlink>
      <w:r>
        <w:t xml:space="preserve">. These works are statistical, and they are</w:t>
      </w:r>
      <w:r>
        <w:t xml:space="preserve"> </w:t>
      </w:r>
      <w:r>
        <w:t xml:space="preserve">milestone-aware. What separates them from the dissertation is the unit of</w:t>
      </w:r>
      <w:r>
        <w:t xml:space="preserve"> </w:t>
      </w:r>
      <w:r>
        <w:t xml:space="preserve">analysis and the estimand. They model a marginal distribution of growth at a</w:t>
      </w:r>
      <w:r>
        <w:t xml:space="preserve"> </w:t>
      </w:r>
      <w:r>
        <w:t xml:space="preserve">milestone, or a cross-sectional regression of growth on covariates measured at a</w:t>
      </w:r>
      <w:r>
        <w:t xml:space="preserve"> </w:t>
      </w:r>
      <w:r>
        <w:t xml:space="preserve">point; they do not model a program’s trajectory across milestones as a panel, and</w:t>
      </w:r>
      <w:r>
        <w:t xml:space="preserve"> </w:t>
      </w:r>
      <w:r>
        <w:t xml:space="preserve">so they cannot estimate the maturity coefficient, the conditional dependence of</w:t>
      </w:r>
      <w:r>
        <w:t xml:space="preserve"> </w:t>
      </w:r>
      <w:r>
        <w:t xml:space="preserve">PDR-to-launch growth on PDR maturity, that constitutes the dissertation’s</w:t>
      </w:r>
      <w:r>
        <w:t xml:space="preserve"> </w:t>
      </w:r>
      <w:r>
        <w:t xml:space="preserve">falsifiable object</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 They bring statistics to the phenomenon without</w:t>
      </w:r>
      <w:r>
        <w:t xml:space="preserve"> </w:t>
      </w:r>
      <w:r>
        <w:t xml:space="preserve">bringing the longitudinal panel that the maturity question demands.</w:t>
      </w:r>
    </w:p>
    <w:bookmarkEnd w:id="77"/>
    <w:bookmarkEnd w:id="78"/>
    <w:bookmarkStart w:id="79" w:name="synthesis-the-unjoined-literatures-gap"/>
    <w:p>
      <w:pPr>
        <w:pStyle w:val="Heading2"/>
        <w:spacing w:line="480" w:lineRule="auto"/>
      </w:pPr>
      <w:r>
        <w:t xml:space="preserve">2.5 Synthesis: the unjoined-literatures gap</w:t>
      </w:r>
    </w:p>
    <w:p>
      <w:pPr>
        <w:pStyle w:val="FirstParagraph"/>
        <w:spacing w:line="480" w:lineRule="auto"/>
      </w:pPr>
      <w:r>
        <w:t xml:space="preserve">Read together, the two literatures define a gap with unusual precision, and the</w:t>
      </w:r>
      <w:r>
        <w:t xml:space="preserve"> </w:t>
      </w:r>
      <w:r>
        <w:t xml:space="preserve">precision comes from the fact that each literature supplies exactly what the</w:t>
      </w:r>
      <w:r>
        <w:t xml:space="preserve"> </w:t>
      </w:r>
      <w:r>
        <w:t xml:space="preserve">other lacks.</w:t>
      </w:r>
    </w:p>
    <w:p>
      <w:pPr>
        <w:pStyle w:val="BodyText"/>
        <w:spacing w:line="480" w:lineRule="auto"/>
        <w:ind w:firstLine="720"/>
      </w:pPr>
      <w:r>
        <w:t xml:space="preserve">The technical literature owns the phenomenon and the policy instrument. It has</w:t>
      </w:r>
      <w:r>
        <w:t xml:space="preserve"> </w:t>
      </w:r>
      <w:r>
        <w:t xml:space="preserve">measured mass growth across half a century, established its milestone structure,</w:t>
      </w:r>
      <w:r>
        <w:t xml:space="preserve"> </w:t>
      </w:r>
      <w:r>
        <w:t xml:space="preserve">documented its association with mass and complexity, and erected a declining</w:t>
      </w:r>
      <w:r>
        <w:t xml:space="preserve"> </w:t>
      </w:r>
      <w:r>
        <w:t xml:space="preserve">contingency staircase to manage it</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But it states the</w:t>
      </w:r>
      <w:r>
        <w:t xml:space="preserve"> </w:t>
      </w:r>
      <w:r>
        <w:t xml:space="preserve">staircase as doctrine. The Ames standard prescribes margins without deriving</w:t>
      </w:r>
      <w:r>
        <w:t xml:space="preserve"> </w:t>
      </w:r>
      <w:r>
        <w:t xml:space="preserve">them; the CADRe distributions are reported as milestone-indexed marginals without</w:t>
      </w:r>
      <w:r>
        <w:t xml:space="preserve"> </w:t>
      </w:r>
      <w:r>
        <w:t xml:space="preserve">a conditional growth law; the small-satellite literature asserts a heritage</w:t>
      </w:r>
      <w:r>
        <w:t xml:space="preserve"> </w:t>
      </w:r>
      <w:r>
        <w:t xml:space="preserve">mechanism without estimating its slope</w:t>
      </w:r>
      <w:r>
        <w:t xml:space="preserve"> </w:t>
      </w:r>
      <w:hyperlink w:anchor="ref-13">
        <w:r>
          <w:rPr>
            <w:rStyle w:val="Hyperlink"/>
          </w:rPr>
          <w:t xml:space="preserve">[13]</w:t>
        </w:r>
      </w:hyperlink>
      <w:r>
        <w:t xml:space="preserve">,</w:t>
      </w:r>
      <w:r>
        <w:t xml:space="preserve"> </w:t>
      </w:r>
      <w:hyperlink w:anchor="ref-12">
        <w:r>
          <w:rPr>
            <w:rStyle w:val="Hyperlink"/>
          </w:rPr>
          <w:t xml:space="preserve">[12]</w:t>
        </w:r>
      </w:hyperlink>
      <w:r>
        <w:t xml:space="preserve">,</w:t>
      </w:r>
      <w:r>
        <w:t xml:space="preserve"> </w:t>
      </w:r>
      <w:hyperlink w:anchor="ref-18">
        <w:r>
          <w:rPr>
            <w:rStyle w:val="Hyperlink"/>
          </w:rPr>
          <w:t xml:space="preserve">[18]</w:t>
        </w:r>
      </w:hyperlink>
      <w:r>
        <w:t xml:space="preserve">. The technical literature</w:t>
      </w:r>
      <w:r>
        <w:t xml:space="preserve"> </w:t>
      </w:r>
      <w:r>
        <w:t xml:space="preserve">has the data, the milestone structure, and the policy question, and it stops one</w:t>
      </w:r>
      <w:r>
        <w:t xml:space="preserve"> </w:t>
      </w:r>
      <w:r>
        <w:t xml:space="preserve">step short of estimating the curve that would tell it whether its own staircase is</w:t>
      </w:r>
      <w:r>
        <w:t xml:space="preserve"> </w:t>
      </w:r>
      <w:r>
        <w:t xml:space="preserve">right.</w:t>
      </w:r>
    </w:p>
    <w:p>
      <w:pPr>
        <w:pStyle w:val="BodyText"/>
        <w:spacing w:line="480" w:lineRule="auto"/>
        <w:ind w:firstLine="720"/>
      </w:pPr>
      <w:r>
        <w:t xml:space="preserve">The methodological literature owns the estimation apparatus and the structural</w:t>
      </w:r>
      <w:r>
        <w:t xml:space="preserve"> </w:t>
      </w:r>
      <w:r>
        <w:t xml:space="preserve">framing. The experience curve renders learning as an elasticity; the longitudinal</w:t>
      </w:r>
      <w:r>
        <w:t xml:space="preserve"> </w:t>
      </w:r>
      <w:r>
        <w:t xml:space="preserve">regression renders a maturation process as an estimated trajectory; the</w:t>
      </w:r>
      <w:r>
        <w:t xml:space="preserve"> </w:t>
      </w:r>
      <w:r>
        <w:t xml:space="preserve">space-economy corpus frames mass growth as a structural property amenable to</w:t>
      </w:r>
      <w:r>
        <w:t xml:space="preserve"> </w:t>
      </w:r>
      <w:r>
        <w:t xml:space="preserve">exactly such estimation</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But this literature has not</w:t>
      </w:r>
      <w:r>
        <w:t xml:space="preserve"> </w:t>
      </w:r>
      <w:r>
        <w:t xml:space="preserve">been pointed at the dry-mass growth curve. It supplies the tools and the</w:t>
      </w:r>
      <w:r>
        <w:t xml:space="preserve"> </w:t>
      </w:r>
      <w:r>
        <w:t xml:space="preserve">conceptual warrant; it has not assembled the panel or estimated the maturity</w:t>
      </w:r>
      <w:r>
        <w:t xml:space="preserve"> </w:t>
      </w:r>
      <w:r>
        <w:t xml:space="preserve">coefficient.</w:t>
      </w:r>
    </w:p>
    <w:p>
      <w:pPr>
        <w:pStyle w:val="BodyText"/>
        <w:spacing w:line="480" w:lineRule="auto"/>
        <w:ind w:firstLine="720"/>
      </w:pPr>
      <w:r>
        <w:t xml:space="preserve">The adjacent engineering literatures confirm the gap from a third side. The</w:t>
      </w:r>
      <w:r>
        <w:t xml:space="preserve"> </w:t>
      </w:r>
      <w:r>
        <w:t xml:space="preserve">parametric cost models take mass as exogenous input and never model its growth</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 The conceptual-design studies report the mass points but never pool</w:t>
      </w:r>
      <w:r>
        <w:t xml:space="preserve"> </w:t>
      </w:r>
      <w:r>
        <w:t xml:space="preserve">them into a curve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The re-entry and population studies</w:t>
      </w:r>
      <w:r>
        <w:t xml:space="preserve"> </w:t>
      </w:r>
      <w:r>
        <w:t xml:space="preserve">observe the flown endpoint but never link it to the PDR estimate within a program</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w:t>
      </w:r>
      <w:r>
        <w:t xml:space="preserve"> </w:t>
      </w:r>
      <w:hyperlink w:anchor="ref-27">
        <w:r>
          <w:rPr>
            <w:rStyle w:val="Hyperlink"/>
          </w:rPr>
          <w:t xml:space="preserve">[27]</w:t>
        </w:r>
      </w:hyperlink>
      <w:r>
        <w:t xml:space="preserve">. Every neighbor of the problem touches mass and declines, for a</w:t>
      </w:r>
      <w:r>
        <w:t xml:space="preserve"> </w:t>
      </w:r>
      <w:r>
        <w:t xml:space="preserve">structural reason, to estimate its growth as a function of maturity.</w:t>
      </w:r>
    </w:p>
    <w:p>
      <w:pPr>
        <w:pStyle w:val="BodyText"/>
        <w:spacing w:line="480" w:lineRule="auto"/>
        <w:ind w:firstLine="720"/>
      </w:pPr>
      <w:r>
        <w:t xml:space="preserve">The gap is therefore not a missing data point or an unreplicated finding. It is a</w:t>
      </w:r>
      <w:r>
        <w:t xml:space="preserve"> </w:t>
      </w:r>
      <w:r>
        <w:t xml:space="preserve">missing object. There is no published longitudinal estimate of the dry-mass</w:t>
      </w:r>
      <w:r>
        <w:t xml:space="preserve"> </w:t>
      </w:r>
      <w:r>
        <w:t xml:space="preserve">growth curve; no pooled panel of mass histories indexed by design maturity; and</w:t>
      </w:r>
      <w:r>
        <w:t xml:space="preserve"> </w:t>
      </w:r>
      <w:r>
        <w:t xml:space="preserve">no empirical contingency schedule recovered from data to set against the</w:t>
      </w:r>
      <w:r>
        <w:t xml:space="preserve"> </w:t>
      </w:r>
      <w:r>
        <w:t xml:space="preserve">prescribed staircase that the discipline cites universally and has never</w:t>
      </w:r>
      <w:r>
        <w:t xml:space="preserve"> </w:t>
      </w:r>
      <w:r>
        <w:t xml:space="preserve">estimated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two unjoined literatures are unjoined precisely at</w:t>
      </w:r>
      <w:r>
        <w:t xml:space="preserve"> </w:t>
      </w:r>
      <w:r>
        <w:t xml:space="preserve">the point where joining them would answer the question: the technical literature’s</w:t>
      </w:r>
      <w:r>
        <w:t xml:space="preserve"> </w:t>
      </w:r>
      <w:r>
        <w:t xml:space="preserve">milestone-stamped mass observations, harvested at population scale from a</w:t>
      </w:r>
      <w:r>
        <w:t xml:space="preserve"> </w:t>
      </w:r>
      <w:r>
        <w:t xml:space="preserve">resolvable corpus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are the panel; the methodological</w:t>
      </w:r>
      <w:r>
        <w:t xml:space="preserve"> </w:t>
      </w:r>
      <w:r>
        <w:t xml:space="preserve">literature’s longitudinal and experience-curve apparatus is the estimator</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and the space-economy framing supplies the structural</w:t>
      </w:r>
      <w:r>
        <w:t xml:space="preserve"> </w:t>
      </w:r>
      <w:r>
        <w:t xml:space="preserve">hypothesis that maturity should govern growth</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 No prior work has</w:t>
      </w:r>
      <w:r>
        <w:t xml:space="preserve"> </w:t>
      </w:r>
      <w:r>
        <w:t xml:space="preserve">brought the panel and the estimator together to estimate the maturity coefficient.</w:t>
      </w:r>
    </w:p>
    <w:bookmarkEnd w:id="79"/>
    <w:bookmarkStart w:id="80" w:name="position-of-the-present-work"/>
    <w:p>
      <w:pPr>
        <w:pStyle w:val="Heading2"/>
        <w:spacing w:line="480" w:lineRule="auto"/>
      </w:pPr>
      <w:r>
        <w:t xml:space="preserve">2.6 Position of the present work</w:t>
      </w:r>
    </w:p>
    <w:p>
      <w:pPr>
        <w:pStyle w:val="FirstParagraph"/>
        <w:spacing w:line="480" w:lineRule="auto"/>
      </w:pPr>
      <w:r>
        <w:t xml:space="preserve">The dissertation occupies this gap directly. It assembles the longitudinal panel</w:t>
      </w:r>
      <w:r>
        <w:t xml:space="preserve"> </w:t>
      </w:r>
      <w:r>
        <w:t xml:space="preserve">that the conceptual-design literature has scattered across single-program studies,</w:t>
      </w:r>
      <w:r>
        <w:t xml:space="preserve"> </w:t>
      </w:r>
      <w:r>
        <w:t xml:space="preserve">drawing the milestone-stamped mass observations from the Acta Astronautica</w:t>
      </w:r>
      <w:r>
        <w:t xml:space="preserve"> </w:t>
      </w:r>
      <w:r>
        <w:t xml:space="preserve">mission-description corpus that the prospectus names as its frame and that papers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w:t>
      </w:r>
      <w:r>
        <w:t xml:space="preserve">exemplify. It imports the estimation apparatus that the</w:t>
      </w:r>
      <w:r>
        <w:t xml:space="preserve"> </w:t>
      </w:r>
      <w:r>
        <w:t xml:space="preserve">methodological literature has validated in other settings: the longitudinal</w:t>
      </w:r>
      <w:r>
        <w:t xml:space="preserve"> </w:t>
      </w:r>
      <w:r>
        <w:t xml:space="preserve">mixed-effects regression of log dry mass on milestone and program covariates for</w:t>
      </w:r>
      <w:r>
        <w:t xml:space="preserve"> </w:t>
      </w:r>
      <w:r>
        <w:t xml:space="preserve">the central maturity test, and the constant-elasticity learning curve for the</w:t>
      </w:r>
      <w:r>
        <w:t xml:space="preserve"> </w:t>
      </w:r>
      <w:r>
        <w:t xml:space="preserve">companion experience-elasticity question</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It disciplines the</w:t>
      </w:r>
      <w:r>
        <w:t xml:space="preserve"> </w:t>
      </w:r>
      <w:r>
        <w:t xml:space="preserve">as-flown endpoint with the independent mass distributions of the re-entry and</w:t>
      </w:r>
      <w:r>
        <w:t xml:space="preserve"> </w:t>
      </w:r>
      <w:r>
        <w:t xml:space="preserve">fragmentation literature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and it grounds the policy consequence in the</w:t>
      </w:r>
      <w:r>
        <w:t xml:space="preserve"> </w:t>
      </w:r>
      <w:r>
        <w:t xml:space="preserve">mass-to-cost sensitivity of the parametric cost-estimation literature</w:t>
      </w:r>
      <w:r>
        <w:t xml:space="preserve"> </w:t>
      </w:r>
      <w:hyperlink w:anchor="ref-1">
        <w:r>
          <w:rPr>
            <w:rStyle w:val="Hyperlink"/>
          </w:rPr>
          <w:t xml:space="preserve">[1]</w:t>
        </w:r>
      </w:hyperlink>
      <w:r>
        <w:t xml:space="preserve">,</w:t>
      </w:r>
      <w:r>
        <w:t xml:space="preserve"> </w:t>
      </w:r>
      <w:hyperlink w:anchor="ref-31">
        <w:r>
          <w:rPr>
            <w:rStyle w:val="Hyperlink"/>
          </w:rPr>
          <w:t xml:space="preserve">[31]</w:t>
        </w:r>
      </w:hyperlink>
      <w:r>
        <w:t xml:space="preserve">.</w:t>
      </w:r>
      <w:r>
        <w:t xml:space="preserve"> </w:t>
      </w:r>
      <w:r>
        <w:t xml:space="preserve">And it inherits from the technical literature the single covariate that every</w:t>
      </w:r>
      <w:r>
        <w:t xml:space="preserve"> </w:t>
      </w:r>
      <w:r>
        <w:t xml:space="preserve">sample agrees upon, complexity, while adding the maturity construct that the</w:t>
      </w:r>
      <w:r>
        <w:t xml:space="preserve"> </w:t>
      </w:r>
      <w:r>
        <w:t xml:space="preserve">technical literature provisions against but never estimates</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companion analyses already executed within this program sharpen the gap into</w:t>
      </w:r>
      <w:r>
        <w:t xml:space="preserve"> </w:t>
      </w:r>
      <w:r>
        <w:t xml:space="preserve">testable form and demonstrate that the join is productive. A cross-sectional</w:t>
      </w:r>
      <w:r>
        <w:t xml:space="preserve"> </w:t>
      </w:r>
      <w:r>
        <w:t xml:space="preserve">decomposition of phase maturity and complexity finds that complexity, not</w:t>
      </w:r>
      <w:r>
        <w:t xml:space="preserve"> </w:t>
      </w:r>
      <w:r>
        <w:t xml:space="preserve">residual phase beyond PDR, governs PDR-relative growth, a result that aligns with</w:t>
      </w:r>
      <w:r>
        <w:t xml:space="preserve"> </w:t>
      </w:r>
      <w:r>
        <w:t xml:space="preserve">the documented association of growth with mass and complexity</w:t>
      </w:r>
      <w:r>
        <w:t xml:space="preserve"> </w:t>
      </w:r>
      <w:hyperlink w:anchor="ref-14">
        <w:r>
          <w:rPr>
            <w:rStyle w:val="Hyperlink"/>
          </w:rPr>
          <w:t xml:space="preserve">[14]</w:t>
        </w:r>
      </w:hyperlink>
      <w:r>
        <w:t xml:space="preserve">,</w:t>
      </w:r>
      <w:r>
        <w:t xml:space="preserve"> </w:t>
      </w:r>
      <w:hyperlink w:anchor="ref-15">
        <w:r>
          <w:rPr>
            <w:rStyle w:val="Hyperlink"/>
          </w:rPr>
          <w:t xml:space="preserve">[15]</w:t>
        </w:r>
      </w:hyperlink>
      <w:r>
        <w:t xml:space="preserve"> </w:t>
      </w:r>
      <w:r>
        <w:t xml:space="preserve">and that</w:t>
      </w:r>
      <w:r>
        <w:t xml:space="preserve"> </w:t>
      </w:r>
      <w:r>
        <w:t xml:space="preserve">motivates the dissertation’s more demanding longitudinal specification, in which</w:t>
      </w:r>
      <w:r>
        <w:t xml:space="preserve"> </w:t>
      </w:r>
      <w:r>
        <w:t xml:space="preserve">maturity is measured by subsystem definition rather than by phase label. A</w:t>
      </w:r>
      <w:r>
        <w:t xml:space="preserve"> </w:t>
      </w:r>
      <w:r>
        <w:t xml:space="preserve">learning-curve analysis recovers a negative experience elasticity for</w:t>
      </w:r>
      <w:r>
        <w:t xml:space="preserve"> </w:t>
      </w:r>
      <w:r>
        <w:t xml:space="preserve">mass-estimate error, demonstrating that the experience-curve apparatus imported</w:t>
      </w:r>
      <w:r>
        <w:t xml:space="preserve"> </w:t>
      </w:r>
      <w:r>
        <w:t xml:space="preserve">from the methodological literature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w:t>
      </w:r>
      <w:r>
        <w:t xml:space="preserve">does in fact fit the spacecraft</w:t>
      </w:r>
      <w:r>
        <w:t xml:space="preserve"> </w:t>
      </w:r>
      <w:r>
        <w:t xml:space="preserve">mass record and that heritage</w:t>
      </w:r>
      <w:r>
        <w:t xml:space="preserve"> </w:t>
      </w:r>
      <w:hyperlink w:anchor="ref-18">
        <w:r>
          <w:rPr>
            <w:rStyle w:val="Hyperlink"/>
          </w:rPr>
          <w:t xml:space="preserve">[18]</w:t>
        </w:r>
      </w:hyperlink>
      <w:r>
        <w:t xml:space="preserve"> </w:t>
      </w:r>
      <w:r>
        <w:t xml:space="preserve">operates as the small-satellite literature</w:t>
      </w:r>
      <w:r>
        <w:t xml:space="preserve"> </w:t>
      </w:r>
      <w:r>
        <w:t xml:space="preserve">predicts. These results establish that the two literatures, once joined, yield</w:t>
      </w:r>
      <w:r>
        <w:t xml:space="preserve"> </w:t>
      </w:r>
      <w:r>
        <w:t xml:space="preserve">estimable and falsifiable quantities. What remains, and what the dissertation</w:t>
      </w:r>
      <w:r>
        <w:t xml:space="preserve"> </w:t>
      </w:r>
      <w:r>
        <w:t xml:space="preserve">delivers, is the pooled longitudinal estimate of the dry-mass growth curve itself,</w:t>
      </w:r>
      <w:r>
        <w:t xml:space="preserve"> </w:t>
      </w:r>
      <w:r>
        <w:t xml:space="preserve">indexed by design maturity, reported with its interval and its sensitivity, and</w:t>
      </w:r>
      <w:r>
        <w:t xml:space="preserve"> </w:t>
      </w:r>
      <w:r>
        <w:t xml:space="preserve">set against the prescribed staircase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w:t>
      </w:r>
      <w:r>
        <w:t xml:space="preserve">so that margin policy can at last</w:t>
      </w:r>
      <w:r>
        <w:t xml:space="preserve"> </w:t>
      </w:r>
      <w:r>
        <w:t xml:space="preserve">be confronted with the population of histories it was built to summarize.</w:t>
      </w:r>
    </w:p>
    <w:p>
      <w:pPr>
        <w:pStyle w:val="BodyText"/>
        <w:spacing w:line="480" w:lineRule="auto"/>
        <w:ind w:firstLine="720"/>
      </w:pPr>
      <w:r>
        <w:t xml:space="preserve">The remainder of the dissertation builds on this positioning. Chapter 3 develops</w:t>
      </w:r>
      <w:r>
        <w:t xml:space="preserve"> </w:t>
      </w:r>
      <w:r>
        <w:t xml:space="preserve">the identification strategy and the mixed-effects specification that operationalize</w:t>
      </w:r>
      <w:r>
        <w:t xml:space="preserve"> </w:t>
      </w:r>
      <w:r>
        <w:t xml:space="preserve">the maturity test; Chapter 4 documents the construction of the panel from the</w:t>
      </w:r>
      <w:r>
        <w:t xml:space="preserve"> </w:t>
      </w:r>
      <w:r>
        <w:t xml:space="preserve">named corpus and the provenance of every variable; and the empirical chapters</w:t>
      </w:r>
      <w:r>
        <w:t xml:space="preserve"> </w:t>
      </w:r>
      <w:r>
        <w:t xml:space="preserve">report the estimated growth curve, its robustness across subpopulations, and its</w:t>
      </w:r>
      <w:r>
        <w:t xml:space="preserve"> </w:t>
      </w:r>
      <w:r>
        <w:t xml:space="preserve">out-of-sample predictive performance against held-out programs. The literature</w:t>
      </w:r>
      <w:r>
        <w:t xml:space="preserve"> </w:t>
      </w:r>
      <w:r>
        <w:t xml:space="preserve">reviewed here is not merely background to that work. It is the raw material:</w:t>
      </w:r>
      <w:r>
        <w:t xml:space="preserve"> </w:t>
      </w:r>
      <w:r>
        <w:t xml:space="preserve">the technical tradition supplies the phenomenon and the panel, the methodological</w:t>
      </w:r>
      <w:r>
        <w:t xml:space="preserve"> </w:t>
      </w:r>
      <w:r>
        <w:t xml:space="preserve">tradition supplies the estimator and the structural hypothesis, and the</w:t>
      </w:r>
      <w:r>
        <w:t xml:space="preserve"> </w:t>
      </w:r>
      <w:r>
        <w:t xml:space="preserve">contribution of the dissertation is to join them.</w:t>
      </w:r>
    </w:p>
    <w:bookmarkEnd w:id="80"/>
    <w:bookmarkEnd w:id="81"/>
    <w:bookmarkStart w:id="92" w:name="Xcfcc00a3ded59aed0c781c16bfc121f2a509603"/>
    <w:p>
      <w:pPr>
        <w:pStyle w:val="Heading1"/>
        <w:spacing w:line="480" w:lineRule="auto"/>
      </w:pPr>
      <w:r>
        <w:t xml:space="preserve">Chapter 3. Theoretical Framework and Hypotheses</w:t>
      </w:r>
    </w:p>
    <w:bookmarkStart w:id="82" w:name="purpose-of-the-chapter"/>
    <w:p>
      <w:pPr>
        <w:pStyle w:val="Heading2"/>
        <w:spacing w:line="480" w:lineRule="auto"/>
      </w:pPr>
      <w:r>
        <w:t xml:space="preserve">3.1 Purpose of the Chapter</w:t>
      </w:r>
    </w:p>
    <w:p>
      <w:pPr>
        <w:pStyle w:val="FirstParagraph"/>
        <w:spacing w:line="480" w:lineRule="auto"/>
      </w:pPr>
      <w:r>
        <w:t xml:space="preserve">The preceding chapters established the empirical regularity that motivates this dissertation: spacecraft dry mass at delivery routinely exceeds the dry mass booked at the preliminary design review (PDR), and the discipline manages this tendency through contingency margins drawn down on a prescribed staircase that declines as a design matures</w:t>
      </w:r>
      <w:r>
        <w:t xml:space="preserve"> </w:t>
      </w:r>
      <w:hyperlink w:anchor="ref-12">
        <w:r>
          <w:rPr>
            <w:rStyle w:val="Hyperlink"/>
          </w:rPr>
          <w:t xml:space="preserve">[12]</w:t>
        </w:r>
      </w:hyperlink>
      <w:r>
        <w:t xml:space="preserve">[13]. The staircase is treated as settled practice rather than as an estimated quantity, and the schedules that govern it are conventions inherited from handbooks rather than coefficients recovered from the histories the handbooks claim to summarize</w:t>
      </w:r>
      <w:r>
        <w:t xml:space="preserve"> </w:t>
      </w:r>
      <w:hyperlink w:anchor="ref-13">
        <w:r>
          <w:rPr>
            <w:rStyle w:val="Hyperlink"/>
          </w:rPr>
          <w:t xml:space="preserve">[13]</w:t>
        </w:r>
      </w:hyperlink>
      <w:r>
        <w:t xml:space="preserve">[14]. This chapter constructs the theoretical apparatus that converts that observation into a falsifiable claim. It specifies the causal mechanism that the prescribed staircase implicitly assumes, derives the observable implication of that mechanism for a population of flight programs, and states the formal hypotheses, the null H0 and the alternative H1, against which the dissertation’s single contribution is tested.</w:t>
      </w:r>
    </w:p>
    <w:p>
      <w:pPr>
        <w:pStyle w:val="BodyText"/>
        <w:spacing w:line="480" w:lineRule="auto"/>
        <w:ind w:firstLine="720"/>
      </w:pPr>
      <w:r>
        <w:t xml:space="preserve">The chapter proceeds from mechanism to measurement. Section 3.2 frames the object of study, the dry-mass growth curve, and locates it relative to the parametric, conceptual-design, and re-entry literatures that touch the problem without estimating it. Section 3.3 sets out the two candidate mechanisms, maturation and learning, and explains why they are not rival explanations but complementary descriptions of the same process operating on different timescales. Section 3.4 reconciles an apparent tension in the supporting record: a phase-indexed analysis finds no residual growth effect of maturity once complexity is held fixed at the PDR baseline, while a learning-curve analysis finds a strong and regular reduction in estimation error with accumulated experience. Section 3.5 translates the reconciled mechanism into the estimand and the formal hypotheses. Section 3.6 states the auxiliary expectations that the model carries alongside the central test. Section 3.7 lays out the logic of falsification.</w:t>
      </w:r>
    </w:p>
    <w:bookmarkEnd w:id="82"/>
    <w:bookmarkStart w:id="83" w:name="Xfccaa5dcf2ef7e0b0acfaade2ff6dc07f80b71c"/>
    <w:p>
      <w:pPr>
        <w:pStyle w:val="Heading2"/>
        <w:spacing w:line="480" w:lineRule="auto"/>
      </w:pPr>
      <w:r>
        <w:t xml:space="preserve">3.2 The Object of Study: The Dry-Mass Growth Curve</w:t>
      </w:r>
    </w:p>
    <w:p>
      <w:pPr>
        <w:pStyle w:val="FirstParagraph"/>
        <w:spacing w:line="480" w:lineRule="auto"/>
      </w:pPr>
      <w:r>
        <w:t xml:space="preserve">The quantity this dissertation estimates is the dry-mass growth curve, defined as the expected fractional change in dry mass from the PDR baseline to delivery, conditional on the design maturity attained at PDR. For program</w:t>
      </w:r>
      <w:r>
        <w:t xml:space="preserve"> </w:t>
      </w:r>
      <w:r>
        <w:rPr>
          <w:i/>
          <w:iCs/>
        </w:rPr>
        <w:t xml:space="preserve">i</w:t>
      </w:r>
      <w:r>
        <w:t xml:space="preserve">, let the realized growth rate be</w:t>
      </w:r>
      <w:r>
        <w:t xml:space="preserve"> </w:t>
      </w:r>
      <w:r>
        <w:rPr>
          <w:i/>
          <w:iCs/>
        </w:rPr>
        <w:t xml:space="preserve">g_i</w:t>
      </w:r>
      <w:r>
        <w:t xml:space="preserve"> </w:t>
      </w:r>
      <w:r>
        <w:t xml:space="preserve">= ln(</w:t>
      </w:r>
      <w:r>
        <w:rPr>
          <w:i/>
          <w:iCs/>
        </w:rPr>
        <w:t xml:space="preserve">M_i,launch</w:t>
      </w:r>
      <w:r>
        <w:t xml:space="preserve"> </w:t>
      </w:r>
      <w:r>
        <w:t xml:space="preserve">/</w:t>
      </w:r>
      <w:r>
        <w:t xml:space="preserve"> </w:t>
      </w:r>
      <w:r>
        <w:rPr>
          <w:i/>
          <w:iCs/>
        </w:rPr>
        <w:t xml:space="preserve">M_i,PDR</w:t>
      </w:r>
      <w:r>
        <w:t xml:space="preserve">), the logarithmic difference between the as-flown dry mass and the dry mass recorded at the PDR-equivalent milestone, and let</w:t>
      </w:r>
      <w:r>
        <w:t xml:space="preserve"> </w:t>
      </w:r>
      <w:r>
        <w:rPr>
          <w:i/>
          <w:iCs/>
        </w:rPr>
        <w:t xml:space="preserve">T_i</w:t>
      </w:r>
      <w:r>
        <w:t xml:space="preserve"> </w:t>
      </w:r>
      <w:r>
        <w:t xml:space="preserve">be a scalar measure of design maturity at PDR. The growth curve is the conditional expectation</w:t>
      </w:r>
      <w:r>
        <w:t xml:space="preserve"> </w:t>
      </w:r>
      <w:r>
        <w:rPr>
          <w:i/>
          <w:iCs/>
        </w:rPr>
        <w:t xml:space="preserve">E[g_i | T_i]</w:t>
      </w:r>
      <w:r>
        <w:t xml:space="preserve">, and its shape in the maturity dimension is the theoretical object on which the entire inquiry turns.</w:t>
      </w:r>
    </w:p>
    <w:p>
      <w:pPr>
        <w:pStyle w:val="BodyText"/>
        <w:spacing w:line="480" w:lineRule="auto"/>
        <w:ind w:firstLine="720"/>
      </w:pPr>
      <w:r>
        <w:t xml:space="preserve">Dry mass is the right property to study because it is the master input around which downstream commitments are organized. Propulsion is sized against it, launch-vehicle selection is made against it, and cost is projected from it, so that mass-estimate error propagates directly into cost-estimate error in the parametric tools the field already relies upon</w:t>
      </w:r>
      <w:r>
        <w:t xml:space="preserve"> </w:t>
      </w:r>
      <w:hyperlink w:anchor="ref-1">
        <w:r>
          <w:rPr>
            <w:rStyle w:val="Hyperlink"/>
          </w:rPr>
          <w:t xml:space="preserve">[1]</w:t>
        </w:r>
      </w:hyperlink>
      <w:r>
        <w:t xml:space="preserve">. The blind validation of the SEER-H parametric cost tool against NASA missions establishes that mass is the dominant cost driver and that an error in the mass estimate is an error in the cost estimate of comparable severity</w:t>
      </w:r>
      <w:r>
        <w:t xml:space="preserve"> </w:t>
      </w:r>
      <w:hyperlink w:anchor="ref-1">
        <w:r>
          <w:rPr>
            <w:rStyle w:val="Hyperlink"/>
          </w:rPr>
          <w:t xml:space="preserve">[1]</w:t>
        </w:r>
      </w:hyperlink>
      <w:r>
        <w:t xml:space="preserve">. That literature, however, takes mass as a fixed input and studies cost as the output; it does not model the growth of the input itself, which is the gap this dissertation fills.</w:t>
      </w:r>
    </w:p>
    <w:p>
      <w:pPr>
        <w:pStyle w:val="BodyText"/>
        <w:spacing w:line="480" w:lineRule="auto"/>
        <w:ind w:firstLine="720"/>
      </w:pPr>
      <w:r>
        <w:t xml:space="preserve">In the existing literature, the growth curve is not an estimated object. The conceptual-design literature constructs mass budgets for individual missions, from interior probes of the Jovian moon Europa</w:t>
      </w:r>
      <w:r>
        <w:t xml:space="preserve"> </w:t>
      </w:r>
      <w:hyperlink w:anchor="ref-3">
        <w:r>
          <w:rPr>
            <w:rStyle w:val="Hyperlink"/>
          </w:rPr>
          <w:t xml:space="preserve">[3]</w:t>
        </w:r>
      </w:hyperlink>
      <w:r>
        <w:t xml:space="preserve"> </w:t>
      </w:r>
      <w:r>
        <w:t xml:space="preserve">to robotically assembled large telescopes</w:t>
      </w:r>
      <w:r>
        <w:t xml:space="preserve"> </w:t>
      </w:r>
      <w:hyperlink w:anchor="ref-4">
        <w:r>
          <w:rPr>
            <w:rStyle w:val="Hyperlink"/>
          </w:rPr>
          <w:t xml:space="preserve">[4]</w:t>
        </w:r>
      </w:hyperlink>
      <w:r>
        <w:t xml:space="preserve"> </w:t>
      </w:r>
      <w:r>
        <w:t xml:space="preserve">to interplanetary CubeSats enabled by staged electric propulsion</w:t>
      </w:r>
      <w:r>
        <w:t xml:space="preserve"> </w:t>
      </w:r>
      <w:hyperlink w:anchor="ref-6">
        <w:r>
          <w:rPr>
            <w:rStyle w:val="Hyperlink"/>
          </w:rPr>
          <w:t xml:space="preserve">[6]</w:t>
        </w:r>
      </w:hyperlink>
      <w:r>
        <w:t xml:space="preserve">, and to small-satellite launch and propulsion concepts sized at a single design stage</w:t>
      </w:r>
      <w:r>
        <w:t xml:space="preserve"> </w:t>
      </w:r>
      <w:hyperlink w:anchor="ref-7">
        <w:r>
          <w:rPr>
            <w:rStyle w:val="Hyperlink"/>
          </w:rPr>
          <w:t xml:space="preserve">[7]</w:t>
        </w:r>
      </w:hyperlink>
      <w:r>
        <w:t xml:space="preserve">[8]. These are single-program engineering exercises that report a mass budget at one or two milestones; none pools across programs, and none estimates a growth law indexed by maturity. The re-entry and fragmentation literature characterizes the mass and area-to-mass properties of flown hardware in aggregate, and has begun to ask whether the growth observed in the flown population should be considered worrying</w:t>
      </w:r>
      <w:r>
        <w:t xml:space="preserve"> </w:t>
      </w:r>
      <w:hyperlink w:anchor="ref-2">
        <w:r>
          <w:rPr>
            <w:rStyle w:val="Hyperlink"/>
          </w:rPr>
          <w:t xml:space="preserve">[2]</w:t>
        </w:r>
      </w:hyperlink>
      <w:r>
        <w:t xml:space="preserve">[5], but it studies the standing population of objects rather than the maturation of any single design from PDR to launch. The pieces of a longitudinal mass panel are scattered across these literatures; the contribution here is to assemble them and estimate the curve as a statistical object.</w:t>
      </w:r>
    </w:p>
    <w:bookmarkEnd w:id="83"/>
    <w:bookmarkStart w:id="87" w:name="two-mechanisms-maturation-and-learning"/>
    <w:p>
      <w:pPr>
        <w:pStyle w:val="Heading2"/>
        <w:spacing w:line="480" w:lineRule="auto"/>
      </w:pPr>
      <w:r>
        <w:t xml:space="preserve">3.3 Two Mechanisms: Maturation and Learning</w:t>
      </w:r>
    </w:p>
    <w:p>
      <w:pPr>
        <w:pStyle w:val="FirstParagraph"/>
        <w:spacing w:line="480" w:lineRule="auto"/>
      </w:pPr>
      <w:r>
        <w:t xml:space="preserve">The prescribed declining staircase encodes a causal proposition, and the proposition is worth stating explicitly because it is rarely defended on its own terms. The proposition is that residual growth, the growth that remains to be booked after a milestone is passed, falls as the design matures, so that a program holding a larger margin early and a smaller margin late is correctly provisioned. Two distinct mechanisms can produce a declining residual-growth profile, and the theoretical framework treats them as complementary rather than competing.</w:t>
      </w:r>
    </w:p>
    <w:bookmarkStart w:id="84" w:name="within-program-maturation"/>
    <w:p>
      <w:pPr>
        <w:pStyle w:val="Heading3"/>
        <w:spacing w:line="480" w:lineRule="auto"/>
      </w:pPr>
      <w:r>
        <w:t xml:space="preserve">3.3.1 Within-Program Maturation</w:t>
      </w:r>
    </w:p>
    <w:p>
      <w:pPr>
        <w:pStyle w:val="FirstParagraph"/>
        <w:spacing w:line="480" w:lineRule="auto"/>
      </w:pPr>
      <w:r>
        <w:t xml:space="preserve">The first mechanism is design maturation within a single program. Early-phase mass estimates are built on incomplete designs. As a program advances from the systems requirements review toward PDR and then toward launch, abstractions are replaced by hardware, margins held at the system level are consumed by real components, and requirements that were notional become binding. Each review gate therefore tends to convert latent underestimation into booked mass, so that the mass figure migrates upward as the design resolves. The standard mass-properties guidance provisions growth allowances precisely because estimates made before the design is resolved are known to be optimistic, and the staircase that draws those allowances down, thirty percent of reserve provisioned at the systems requirements review and twenty percent at PDR in the documented standard, is the institutional expression of the maturation premise</w:t>
      </w:r>
      <w:r>
        <w:t xml:space="preserve"> </w:t>
      </w:r>
      <w:hyperlink w:anchor="ref-13">
        <w:r>
          <w:rPr>
            <w:rStyle w:val="Hyperlink"/>
          </w:rPr>
          <w:t xml:space="preserve">[13]</w:t>
        </w:r>
      </w:hyperlink>
      <w:r>
        <w:t xml:space="preserve">. The probabilistic treatment of mass-growth uncertainty in the NASA cost-analysis record formalizes the same idea by stratifying growth distributions by the milestone from which growth is measured, so that the expected residual growth is a function of the milestone reached</w:t>
      </w:r>
      <w:r>
        <w:t xml:space="preserve"> </w:t>
      </w:r>
      <w:hyperlink w:anchor="ref-12">
        <w:r>
          <w:rPr>
            <w:rStyle w:val="Hyperlink"/>
          </w:rPr>
          <w:t xml:space="preserve">[12]</w:t>
        </w:r>
      </w:hyperlink>
      <w:r>
        <w:t xml:space="preserve">. Under the maturation mechanism, a program observed further past its early reviews has converted more of its latent underestimation into booked mass and therefore carries a smaller residual to launch.</w:t>
      </w:r>
    </w:p>
    <w:bookmarkEnd w:id="84"/>
    <w:bookmarkStart w:id="85" w:name="cross-program-learning"/>
    <w:p>
      <w:pPr>
        <w:pStyle w:val="Heading3"/>
        <w:spacing w:line="480" w:lineRule="auto"/>
      </w:pPr>
      <w:r>
        <w:t xml:space="preserve">3.3.2 Cross-Program Learning</w:t>
      </w:r>
    </w:p>
    <w:p>
      <w:pPr>
        <w:pStyle w:val="FirstParagraph"/>
        <w:spacing w:line="480" w:lineRule="auto"/>
      </w:pPr>
      <w:r>
        <w:t xml:space="preserve">Institutional learning across programs is the second mechanism. The experience curve is among the most durable empirical regularities of industrial production: cost, labor hours, and defect rates fall by a roughly constant fraction with each doubling of cumulative output, and the space sector inherits the pattern, with sampled space cost curves showing unit cost per kilogram declining as production accumulates</w:t>
      </w:r>
      <w:r>
        <w:t xml:space="preserve"> </w:t>
      </w:r>
      <w:hyperlink w:anchor="ref-16">
        <w:r>
          <w:rPr>
            <w:rStyle w:val="Hyperlink"/>
          </w:rPr>
          <w:t xml:space="preserve">[16]</w:t>
        </w:r>
      </w:hyperlink>
      <w:r>
        <w:t xml:space="preserve"> </w:t>
      </w:r>
      <w:r>
        <w:t xml:space="preserve">and longer-run forecasts treating continued cost reduction as a function of accumulated input experience and refurbishment learning rather than as a one-time shock</w:t>
      </w:r>
      <w:r>
        <w:t xml:space="preserve"> </w:t>
      </w:r>
      <w:hyperlink w:anchor="ref-17">
        <w:r>
          <w:rPr>
            <w:rStyle w:val="Hyperlink"/>
          </w:rPr>
          <w:t xml:space="preserve">[17]</w:t>
        </w:r>
      </w:hyperlink>
      <w:r>
        <w:t xml:space="preserve">. The mechanism that drives a falling unit cost, repetition that converts novel tasks into routine ones, applies with equal force to the cognitive task of mass estimation. An organization that has resolved the same mass-uncertain subsystems on previous builds carries forward calibrated growth factors, vendor-specific allowances, and integration lessons that a first-of-class team must discover during development. The small-satellite literature sharpens the argument by locating where heritage is thin: the attractiveness of the small-satellite class rests on speed, low cost, and risk tolerance that emerge only as a class matures and recurring designs accumulate flight record</w:t>
      </w:r>
      <w:r>
        <w:t xml:space="preserve"> </w:t>
      </w:r>
      <w:hyperlink w:anchor="ref-18">
        <w:r>
          <w:rPr>
            <w:rStyle w:val="Hyperlink"/>
          </w:rPr>
          <w:t xml:space="preserve">[18]</w:t>
        </w:r>
      </w:hyperlink>
      <w:r>
        <w:t xml:space="preserve">, which implies that early entrants in any class operate without the calibrated estimates that later entrants enjoy and should therefore display the largest gaps between forecast and realized mass. Under the learning mechanism, a more mature estimating baseline, one positioned further along the cumulative-experience ladder, produces a smaller forecast error and therefore a smaller realized growth.</w:t>
      </w:r>
    </w:p>
    <w:bookmarkEnd w:id="85"/>
    <w:bookmarkStart w:id="86" w:name="X63282e603768b5060dc20c71ed62008439d621f"/>
    <w:p>
      <w:pPr>
        <w:pStyle w:val="Heading3"/>
        <w:spacing w:line="480" w:lineRule="auto"/>
      </w:pPr>
      <w:r>
        <w:t xml:space="preserve">3.3.3 Why Both Mechanisms Predict the Same Sign</w:t>
      </w:r>
    </w:p>
    <w:p>
      <w:pPr>
        <w:pStyle w:val="FirstParagraph"/>
        <w:spacing w:line="480" w:lineRule="auto"/>
      </w:pPr>
      <w:r>
        <w:t xml:space="preserve">The two mechanisms differ in their unit of analysis. Maturation operates within a program over its lifecycle; learning operates across programs over the accumulated experience of an estimating organization. Yet both predict that greater maturity, whether of the design or of the estimating baseline, is associated with lower residual growth. This convergence is the theoretical foundation of the dissertation’s directional hypothesis. The maturity measure</w:t>
      </w:r>
      <w:r>
        <w:t xml:space="preserve"> </w:t>
      </w:r>
      <w:r>
        <w:rPr>
          <w:i/>
          <w:iCs/>
        </w:rPr>
        <w:t xml:space="preserve">T_i</w:t>
      </w:r>
      <w:r>
        <w:t xml:space="preserve"> </w:t>
      </w:r>
      <w:r>
        <w:t xml:space="preserve">defined in the prospectus, the share of subsystems reported at component or higher definition at the PDR-equivalent stage, with a secondary proxy in the heritage fraction, is constructed to capture both mechanisms at once: a program whose subsystems are well defined at PDR is both intrinsically more resolved (maturation) and more likely to rest on flight-proven heritage (learning). The growth curve’s slope in</w:t>
      </w:r>
      <w:r>
        <w:t xml:space="preserve"> </w:t>
      </w:r>
      <w:r>
        <w:rPr>
          <w:i/>
          <w:iCs/>
        </w:rPr>
        <w:t xml:space="preserve">T_i</w:t>
      </w:r>
      <w:r>
        <w:t xml:space="preserve"> </w:t>
      </w:r>
      <w:r>
        <w:t xml:space="preserve">is therefore the empirical summary of whether either mechanism leaves a signature in the realized data after the PDR baseline is fixed.</w:t>
      </w:r>
    </w:p>
    <w:bookmarkEnd w:id="86"/>
    <w:bookmarkEnd w:id="87"/>
    <w:bookmarkStart w:id="88" w:name="reconciling-the-supporting-evidence"/>
    <w:p>
      <w:pPr>
        <w:pStyle w:val="Heading2"/>
        <w:spacing w:line="480" w:lineRule="auto"/>
      </w:pPr>
      <w:r>
        <w:t xml:space="preserve">3.4 Reconciling the Supporting Evidence</w:t>
      </w:r>
    </w:p>
    <w:p>
      <w:pPr>
        <w:pStyle w:val="FirstParagraph"/>
        <w:spacing w:line="480" w:lineRule="auto"/>
      </w:pPr>
      <w:r>
        <w:t xml:space="preserve">The two supporting analyses that precede this chapter appear, on first reading, to disagree, and the theoretical framework must reconcile them before it can state a hypothesis the data can adjudicate.</w:t>
      </w:r>
    </w:p>
    <w:p>
      <w:pPr>
        <w:pStyle w:val="BodyText"/>
        <w:spacing w:line="480" w:lineRule="auto"/>
        <w:ind w:firstLine="720"/>
      </w:pPr>
      <w:r>
        <w:t xml:space="preserve">Consider the phase-and-complexity analysis first. It regresses percent dry-mass growth, measured relative to the PDR baseline, on a development-phase index and a spacecraft-complexity covariate. It finds that complexity is the dominant and decisively estimated driver, adding on the order of thirteen percentage points of growth per complexity step, while the development-phase index is not statistically distinguishable from zero once complexity is held fixed. The interpretation offered there is not that growth is benign but that most of it is realized before the PDR baseline is set: at matched complexity, the growth booked across the earlier systems-requirements-review-to-PDR window is comparable to, and at lower complexity larger than, the growth booked across the later PDR-to-launch window, drawing on the documented finding that growth tracks spacecraft mass and mission complexity more than mission type</w:t>
      </w:r>
      <w:r>
        <w:t xml:space="preserve"> </w:t>
      </w:r>
      <w:hyperlink w:anchor="ref-12">
        <w:r>
          <w:rPr>
            <w:rStyle w:val="Hyperlink"/>
          </w:rPr>
          <w:t xml:space="preserve">[12]</w:t>
        </w:r>
      </w:hyperlink>
      <w:r>
        <w:t xml:space="preserve">[14][15]. The phase index, measured from the PDR baseline forward, therefore averages over a process whose larger share has already occurred.</w:t>
      </w:r>
    </w:p>
    <w:p>
      <w:pPr>
        <w:pStyle w:val="BodyText"/>
        <w:spacing w:line="480" w:lineRule="auto"/>
        <w:ind w:firstLine="720"/>
      </w:pPr>
      <w:r>
        <w:t xml:space="preserve">The learning-curve analysis fits a log-log relationship between realized mass-estimation error and an index of accumulated estimating maturity. It finds a strongly negative learning elasticity, with error falling by roughly two thirds at each doubling of accumulated experience, a result regular enough to fit a single elasticity across independently assembled sources and consistent with the documented decay of mass growth from concept-stage estimates of well over one hundred percent down to the single digits of mature production hardware</w:t>
      </w:r>
      <w:r>
        <w:t xml:space="preserve"> </w:t>
      </w:r>
      <w:hyperlink w:anchor="ref-12">
        <w:r>
          <w:rPr>
            <w:rStyle w:val="Hyperlink"/>
          </w:rPr>
          <w:t xml:space="preserve">[12]</w:t>
        </w:r>
      </w:hyperlink>
      <w:r>
        <w:t xml:space="preserve">[16][17][18].</w:t>
      </w:r>
    </w:p>
    <w:p>
      <w:pPr>
        <w:pStyle w:val="BodyText"/>
        <w:spacing w:line="480" w:lineRule="auto"/>
        <w:ind w:firstLine="720"/>
      </w:pPr>
      <w:r>
        <w:t xml:space="preserve">The reconciliation is that the two analyses measure maturity along different axes and from different baselines. The phase analysis measures residual maturity after PDR and finds little explanatory power there, because the PDR gate has already absorbed most of the convertible underestimation. The learning analysis measures cumulative maturity of the estimating baseline across the full pre-launch span, including the pre-PDR span where the bulk of growth lives, and finds a powerful effect. Both are consistent with a single underlying growth curve that is steep early and flat late: most of the action is in the maturity attained by PDR, not in the lifecycle remaining after it. This is precisely why the dissertation indexes the growth curve on maturity at PDR (</w:t>
      </w:r>
      <w:r>
        <w:rPr>
          <w:i/>
          <w:iCs/>
        </w:rPr>
        <w:t xml:space="preserve">T_i</w:t>
      </w:r>
      <w:r>
        <w:t xml:space="preserve">) rather than on phase past PDR. The theoretically informative variation is in how mature a program is when it arrives at the PDR gate, and the central hypothesis is a statement about the slope of realized growth in that maturity, not about the calendar distance remaining to launch.</w:t>
      </w:r>
    </w:p>
    <w:bookmarkEnd w:id="88"/>
    <w:bookmarkStart w:id="89" w:name="the-estimand-and-the-formal-hypotheses"/>
    <w:p>
      <w:pPr>
        <w:pStyle w:val="Heading2"/>
        <w:spacing w:line="480" w:lineRule="auto"/>
      </w:pPr>
      <w:r>
        <w:t xml:space="preserve">3.5 The Estimand and the Formal Hypotheses</w:t>
      </w:r>
    </w:p>
    <w:p>
      <w:pPr>
        <w:pStyle w:val="FirstParagraph"/>
        <w:spacing w:line="480" w:lineRule="auto"/>
      </w:pPr>
      <w:r>
        <w:t xml:space="preserve">The estimand is the conditional growth rate</w:t>
      </w:r>
      <w:r>
        <w:t xml:space="preserve"> </w:t>
      </w:r>
      <w:r>
        <w:rPr>
          <w:i/>
          <w:iCs/>
        </w:rPr>
        <w:t xml:space="preserve">E[g_i | T_i, x_i]</w:t>
      </w:r>
      <w:r>
        <w:t xml:space="preserve">, where</w:t>
      </w:r>
      <w:r>
        <w:t xml:space="preserve"> </w:t>
      </w:r>
      <w:r>
        <w:rPr>
          <w:i/>
          <w:iCs/>
        </w:rPr>
        <w:t xml:space="preserve">x_i</w:t>
      </w:r>
      <w:r>
        <w:t xml:space="preserve"> </w:t>
      </w:r>
      <w:r>
        <w:t xml:space="preserve">collects program covariates that the design holds fixed in order to isolate the maturity channel. The identifying variation is cross-program difference in maturity at a fixed milestone (PDR), holding program class fixed. The threat to identification is that maturity at PDR is not randomly assigned: programs that arrive mature may differ systematically, through heritage platforms, conservative primes, or intrinsically simpler missions, and the framework addresses this through covariate adjustment and program-class fixed effects rather than through any claim of natural experiment.</w:t>
      </w:r>
    </w:p>
    <w:p>
      <w:pPr>
        <w:pStyle w:val="BodyText"/>
        <w:spacing w:line="480" w:lineRule="auto"/>
        <w:ind w:firstLine="720"/>
      </w:pPr>
      <w:r>
        <w:t xml:space="preserve">The central test is stated on the maturity coefficient in the regression</w:t>
      </w:r>
    </w:p>
    <w:p>
      <w:pPr>
        <w:pStyle w:val="BodyText"/>
        <w:spacing w:line="480" w:lineRule="auto"/>
        <w:ind w:firstLine="720"/>
      </w:pPr>
      <w:r>
        <w:rPr>
          <w:i/>
          <w:iCs/>
        </w:rPr>
        <w:t xml:space="preserve">g_i</w:t>
      </w:r>
      <w:r>
        <w:t xml:space="preserve"> </w:t>
      </w:r>
      <w:r>
        <w:t xml:space="preserve">=</w:t>
      </w:r>
      <w:r>
        <w:t xml:space="preserve"> </w:t>
      </w:r>
      <w:r>
        <w:rPr>
          <w:i/>
          <w:iCs/>
        </w:rPr>
        <w:t xml:space="preserve">β_0</w:t>
      </w:r>
      <w:r>
        <w:t xml:space="preserve"> </w:t>
      </w:r>
      <w:r>
        <w:t xml:space="preserve">+</w:t>
      </w:r>
      <w:r>
        <w:t xml:space="preserve"> </w:t>
      </w:r>
      <w:r>
        <w:rPr>
          <w:i/>
          <w:iCs/>
        </w:rPr>
        <w:t xml:space="preserve">β_1</w:t>
      </w:r>
      <w:r>
        <w:t xml:space="preserve"> </w:t>
      </w:r>
      <w:r>
        <w:rPr>
          <w:i/>
          <w:iCs/>
        </w:rPr>
        <w:t xml:space="preserve">T_i</w:t>
      </w:r>
      <w:r>
        <w:t xml:space="preserve"> </w:t>
      </w:r>
      <w:r>
        <w:t xml:space="preserve">+</w:t>
      </w:r>
      <w:r>
        <w:t xml:space="preserve"> </w:t>
      </w:r>
      <w:r>
        <w:rPr>
          <w:i/>
          <w:iCs/>
        </w:rPr>
        <w:t xml:space="preserve">x_i’</w:t>
      </w:r>
      <w:r>
        <w:t xml:space="preserve"> </w:t>
      </w:r>
      <w:r>
        <w:rPr>
          <w:i/>
          <w:iCs/>
        </w:rPr>
        <w:t xml:space="preserve">γ</w:t>
      </w:r>
      <w:r>
        <w:t xml:space="preserve"> </w:t>
      </w:r>
      <w:r>
        <w:t xml:space="preserve">+</w:t>
      </w:r>
      <w:r>
        <w:t xml:space="preserve"> </w:t>
      </w:r>
      <w:r>
        <w:rPr>
          <w:i/>
          <w:iCs/>
        </w:rPr>
        <w:t xml:space="preserve">ε_i</w:t>
      </w:r>
      <w:r>
        <w:t xml:space="preserve">,</w:t>
      </w:r>
    </w:p>
    <w:p>
      <w:pPr>
        <w:pStyle w:val="BodyText"/>
        <w:spacing w:line="480" w:lineRule="auto"/>
        <w:ind w:firstLine="720"/>
      </w:pPr>
      <w:r>
        <w:t xml:space="preserve">where</w:t>
      </w:r>
      <w:r>
        <w:t xml:space="preserve"> </w:t>
      </w:r>
      <w:r>
        <w:rPr>
          <w:i/>
          <w:iCs/>
        </w:rPr>
        <w:t xml:space="preserve">β_1</w:t>
      </w:r>
      <w:r>
        <w:t xml:space="preserve"> </w:t>
      </w:r>
      <w:r>
        <w:t xml:space="preserve">is the slope of realized PDR-to-launch growth in maturity at PDR and the contribution is the estimate of this single parameter, reported with its interval, its sensitivity to panel composition, and its out-of-sample predictive error.</w:t>
      </w:r>
    </w:p>
    <w:p>
      <w:pPr>
        <w:pStyle w:val="BodyText"/>
        <w:spacing w:line="480" w:lineRule="auto"/>
        <w:ind w:firstLine="720"/>
      </w:pPr>
      <w:r>
        <w:rPr>
          <w:b/>
          <w:bCs/>
        </w:rPr>
        <w:t xml:space="preserve">H0 (null).</w:t>
      </w:r>
      <w:r>
        <w:t xml:space="preserve"> </w:t>
      </w:r>
      <w:r>
        <w:rPr>
          <w:i/>
          <w:iCs/>
        </w:rPr>
        <w:t xml:space="preserve">β_1</w:t>
      </w:r>
      <w:r>
        <w:t xml:space="preserve"> </w:t>
      </w:r>
      <w:r>
        <w:t xml:space="preserve">= 0. The realized PDR-to-launch dry-mass growth rate is invariant to design maturity at PDR. Under this null, neither the within-program maturation mechanism nor the cross-program learning mechanism leaves a residual signature once the PDR baseline is fixed: programs that arrive at PDR more mature grow no less than those that arrive less mature, and the prescribed declining contingency staircase has no empirical warrant in the maturity dimension. The null is the substantive proposition that the action is exhausted by the time the PDR baseline is booked, so that residual growth is governed by what a program is, its complexity and class, rather than by how mature it managed to become before the gate.</w:t>
      </w:r>
    </w:p>
    <w:p>
      <w:pPr>
        <w:pStyle w:val="BodyText"/>
        <w:spacing w:line="480" w:lineRule="auto"/>
        <w:ind w:firstLine="720"/>
      </w:pPr>
      <w:r>
        <w:rPr>
          <w:b/>
          <w:bCs/>
        </w:rPr>
        <w:t xml:space="preserve">H1 (alternative).</w:t>
      </w:r>
      <w:r>
        <w:t xml:space="preserve"> </w:t>
      </w:r>
      <w:r>
        <w:rPr>
          <w:i/>
          <w:iCs/>
        </w:rPr>
        <w:t xml:space="preserve">β_1</w:t>
      </w:r>
      <w:r>
        <w:t xml:space="preserve"> </w:t>
      </w:r>
      <w:r>
        <w:t xml:space="preserve">&lt; 0. The realized growth rate declines monotonically with maturity at PDR. Under this alternative, greater maturity at PDR buys lower subsequent growth, consistent with maturation having converted more latent underestimation before the gate and with learning having delivered a better-calibrated estimating baseline. The declining-staircase convention is qualitatively vindicated in the maturity dimension, although its calibration, the magnitude of</w:t>
      </w:r>
      <w:r>
        <w:t xml:space="preserve"> </w:t>
      </w:r>
      <w:r>
        <w:rPr>
          <w:i/>
          <w:iCs/>
        </w:rPr>
        <w:t xml:space="preserve">β_1</w:t>
      </w:r>
      <w:r>
        <w:t xml:space="preserve"> </w:t>
      </w:r>
      <w:r>
        <w:t xml:space="preserve">and its variation across class, remains an open quantitative question that the estimated curve is designed to answer.</w:t>
      </w:r>
    </w:p>
    <w:p>
      <w:pPr>
        <w:pStyle w:val="BodyText"/>
        <w:spacing w:line="480" w:lineRule="auto"/>
        <w:ind w:firstLine="720"/>
      </w:pPr>
      <w:r>
        <w:t xml:space="preserve">The hypotheses are directional, so the sign of</w:t>
      </w:r>
      <w:r>
        <w:t xml:space="preserve"> </w:t>
      </w:r>
      <w:r>
        <w:rPr>
          <w:i/>
          <w:iCs/>
        </w:rPr>
        <w:t xml:space="preserve">β_1</w:t>
      </w:r>
      <w:r>
        <w:t xml:space="preserve"> </w:t>
      </w:r>
      <w:r>
        <w:t xml:space="preserve">is the primary object of inference. H1 predicts a strictly negative slope; the framework does not entertain</w:t>
      </w:r>
      <w:r>
        <w:t xml:space="preserve"> </w:t>
      </w:r>
      <w:r>
        <w:rPr>
          <w:i/>
          <w:iCs/>
        </w:rPr>
        <w:t xml:space="preserve">β_1</w:t>
      </w:r>
      <w:r>
        <w:t xml:space="preserve"> </w:t>
      </w:r>
      <w:r>
        <w:t xml:space="preserve">&gt; 0, since no mechanism in the theory predicts that greater maturity at PDR raises subsequent growth, and an estimated positive slope would be treated as evidence of misspecification or of selection on unmeasured ambition rather than as a substantive finding.</w:t>
      </w:r>
    </w:p>
    <w:bookmarkEnd w:id="89"/>
    <w:bookmarkStart w:id="90" w:name="auxiliary-expectations"/>
    <w:p>
      <w:pPr>
        <w:pStyle w:val="Heading2"/>
        <w:spacing w:line="480" w:lineRule="auto"/>
      </w:pPr>
      <w:r>
        <w:t xml:space="preserve">3.6 Auxiliary Expectations</w:t>
      </w:r>
    </w:p>
    <w:p>
      <w:pPr>
        <w:pStyle w:val="FirstParagraph"/>
        <w:spacing w:line="480" w:lineRule="auto"/>
      </w:pPr>
      <w:r>
        <w:t xml:space="preserve">Although</w:t>
      </w:r>
      <w:r>
        <w:t xml:space="preserve"> </w:t>
      </w:r>
      <w:r>
        <w:rPr>
          <w:i/>
          <w:iCs/>
        </w:rPr>
        <w:t xml:space="preserve">β_1</w:t>
      </w:r>
      <w:r>
        <w:t xml:space="preserve"> </w:t>
      </w:r>
      <w:r>
        <w:t xml:space="preserve">is the sole falsifiable contribution, the model carries auxiliary expectations that discipline its interpretation and that the supporting analyses license. These are not independent hypotheses to be tested for their own sake; they are predictions whose violation would signal that the central estimate is contaminated.</w:t>
      </w:r>
    </w:p>
    <w:p>
      <w:pPr>
        <w:pStyle w:val="BodyText"/>
        <w:spacing w:line="480" w:lineRule="auto"/>
        <w:ind w:firstLine="720"/>
      </w:pPr>
      <w:r>
        <w:t xml:space="preserve">First, the framework expects complexity to enter the covariate vector</w:t>
      </w:r>
      <w:r>
        <w:t xml:space="preserve"> </w:t>
      </w:r>
      <w:r>
        <w:rPr>
          <w:i/>
          <w:iCs/>
        </w:rPr>
        <w:t xml:space="preserve">x_i</w:t>
      </w:r>
      <w:r>
        <w:t xml:space="preserve"> </w:t>
      </w:r>
      <w:r>
        <w:t xml:space="preserve">with a positive and substantial coefficient, because the phase-and-complexity analysis identifies complexity as the dominant driver of PDR-relative growth, adding on the order of thirteen percentage points per complexity step, and because the cost-growth record attributes growth to spacecraft mass and mission complexity more than to mission type</w:t>
      </w:r>
      <w:r>
        <w:t xml:space="preserve"> </w:t>
      </w:r>
      <w:hyperlink w:anchor="ref-12">
        <w:r>
          <w:rPr>
            <w:rStyle w:val="Hyperlink"/>
          </w:rPr>
          <w:t xml:space="preserve">[12]</w:t>
        </w:r>
      </w:hyperlink>
      <w:r>
        <w:t xml:space="preserve">[14][15]. If complexity did not enter positively, the maturity coefficient</w:t>
      </w:r>
      <w:r>
        <w:t xml:space="preserve"> </w:t>
      </w:r>
      <w:r>
        <w:rPr>
          <w:i/>
          <w:iCs/>
        </w:rPr>
        <w:t xml:space="preserve">β_1</w:t>
      </w:r>
      <w:r>
        <w:t xml:space="preserve"> </w:t>
      </w:r>
      <w:r>
        <w:t xml:space="preserve">would be at risk of absorbing a complexity effect that the design intends to partial out.</w:t>
      </w:r>
    </w:p>
    <w:p>
      <w:pPr>
        <w:pStyle w:val="BodyText"/>
        <w:spacing w:line="480" w:lineRule="auto"/>
        <w:ind w:firstLine="720"/>
      </w:pPr>
      <w:r>
        <w:t xml:space="preserve">Second, the framework expects the heritage-fraction proxy, the secondary operationalization of</w:t>
      </w:r>
      <w:r>
        <w:t xml:space="preserve"> </w:t>
      </w:r>
      <w:r>
        <w:rPr>
          <w:i/>
          <w:iCs/>
        </w:rPr>
        <w:t xml:space="preserve">T_i</w:t>
      </w:r>
      <w:r>
        <w:t xml:space="preserve">, to carry a negative association with growth consistent with the learning mechanism, since heritage is the channel through which accumulated class experience enters a given program, and the learning elasticity is large and regular in the supporting analysis</w:t>
      </w:r>
      <w:r>
        <w:t xml:space="preserve"> </w:t>
      </w:r>
      <w:hyperlink w:anchor="ref-16">
        <w:r>
          <w:rPr>
            <w:rStyle w:val="Hyperlink"/>
          </w:rPr>
          <w:t xml:space="preserve">[16]</w:t>
        </w:r>
      </w:hyperlink>
      <w:r>
        <w:t xml:space="preserve">[17][18]. Agreement between the two maturity proxies on the sign of the slope strengthens the inference; disagreement would localize the result to one operationalization and bound the claim accordingly.</w:t>
      </w:r>
    </w:p>
    <w:p>
      <w:pPr>
        <w:pStyle w:val="BodyText"/>
        <w:spacing w:line="480" w:lineRule="auto"/>
        <w:ind w:firstLine="720"/>
      </w:pPr>
      <w:r>
        <w:t xml:space="preserve">Third, the framework expects the maturity effect, if present, to be steeper early and flatter late, mirroring the reconciliation of Section 3.4, in which most of the convertible growth is realized by PDR. A constant-slope linear specification is the leading test, but the framework anticipates that a specification permitting curvature would locate the bulk of the maturity payoff in the transition from low to moderate PDR maturity rather than in the upper tail, consistent with the order-of-magnitude spread in estimation error documented across the maturity ladder</w:t>
      </w:r>
      <w:r>
        <w:t xml:space="preserve"> </w:t>
      </w:r>
      <w:hyperlink w:anchor="ref-12">
        <w:r>
          <w:rPr>
            <w:rStyle w:val="Hyperlink"/>
          </w:rPr>
          <w:t xml:space="preserve">[12]</w:t>
        </w:r>
      </w:hyperlink>
      <w:r>
        <w:t xml:space="preserve">.</w:t>
      </w:r>
    </w:p>
    <w:bookmarkEnd w:id="90"/>
    <w:bookmarkStart w:id="91" w:name="the-logic-of-falsification"/>
    <w:p>
      <w:pPr>
        <w:pStyle w:val="Heading2"/>
        <w:spacing w:line="480" w:lineRule="auto"/>
      </w:pPr>
      <w:r>
        <w:t xml:space="preserve">3.7 The Logic of Falsification</w:t>
      </w:r>
    </w:p>
    <w:p>
      <w:pPr>
        <w:pStyle w:val="FirstParagraph"/>
        <w:spacing w:line="480" w:lineRule="auto"/>
      </w:pPr>
      <w:r>
        <w:t xml:space="preserve">The contribution is falsifiable in the strict sense, and the framework specifies in advance what each outcome means. A confidence interval on</w:t>
      </w:r>
      <w:r>
        <w:t xml:space="preserve"> </w:t>
      </w:r>
      <w:r>
        <w:rPr>
          <w:i/>
          <w:iCs/>
        </w:rPr>
        <w:t xml:space="preserve">β_1</w:t>
      </w:r>
      <w:r>
        <w:t xml:space="preserve"> </w:t>
      </w:r>
      <w:r>
        <w:t xml:space="preserve">that contains zero refutes H1 and sustains H0: the data would then say that maturity at PDR carries no information about subsequent growth, and the prescribed declining staircase would stand convicted of misfitting the very histories it claims to summarize, since it allocates margin as if maturity mattered when the maturity dimension is empirically inert. An interval bounded strictly below zero refutes H0 and sustains H1: the staircase’s qualitative shape would be vindicated, and the estimated</w:t>
      </w:r>
      <w:r>
        <w:t xml:space="preserve"> </w:t>
      </w:r>
      <w:r>
        <w:rPr>
          <w:i/>
          <w:iCs/>
        </w:rPr>
        <w:t xml:space="preserve">β_1</w:t>
      </w:r>
      <w:r>
        <w:t xml:space="preserve"> </w:t>
      </w:r>
      <w:r>
        <w:t xml:space="preserve">would supply the empirical slope against which the conventional schedule’s calibration could be judged.</w:t>
      </w:r>
    </w:p>
    <w:p>
      <w:pPr>
        <w:pStyle w:val="BodyText"/>
        <w:spacing w:line="480" w:lineRule="auto"/>
        <w:ind w:firstLine="720"/>
      </w:pPr>
      <w:r>
        <w:t xml:space="preserve">Either outcome bears directly on margin policy, and the policy stakes are symmetric. If the prescribed staircase systematically misfits the data, programs are either carrying mass they will not need, over-reserving the mature and heritage-rich builds, or budgeting margins they will overrun, under-reserving the pathfinders and first-of-class designs</w:t>
      </w:r>
      <w:r>
        <w:t xml:space="preserve"> </w:t>
      </w:r>
      <w:hyperlink w:anchor="ref-12">
        <w:r>
          <w:rPr>
            <w:rStyle w:val="Hyperlink"/>
          </w:rPr>
          <w:t xml:space="preserve">[12]</w:t>
        </w:r>
      </w:hyperlink>
      <w:r>
        <w:t xml:space="preserve">[18]. A uniform allowance applied across a portfolio is wrong in both directions at once: it over-reserves where estimation risk is low and under-reserves where it is high. The estimated growth curve, by recovering an empirical contingency schedule from data rather than doctrine, allocates reserve where the estimation risk actually lives. The policy value of the result is therefore independent of which hypothesis survives: a sustained H0 tells margin policy to abandon the maturity dimension and scale reserves on complexity and class alone, while a sustained H1 tells it to scale reserves on maturity at PDR with the slope the data provide.</w:t>
      </w:r>
    </w:p>
    <w:p>
      <w:pPr>
        <w:pStyle w:val="BodyText"/>
        <w:spacing w:line="480" w:lineRule="auto"/>
        <w:ind w:firstLine="720"/>
      </w:pPr>
      <w:r>
        <w:t xml:space="preserve">The robustness of the central test is built into the design. The estimate is re-derived on subpopulations (small-satellite only, deep-space only), under the alternative maturity proxy, under a specification that down-weights programs with sparse milestone coverage, and against held-out programs by leave-one-program-out cross-validation. The framework commits in advance to reporting whether the sign and significance of</w:t>
      </w:r>
      <w:r>
        <w:t xml:space="preserve"> </w:t>
      </w:r>
      <w:r>
        <w:rPr>
          <w:i/>
          <w:iCs/>
        </w:rPr>
        <w:t xml:space="preserve">β_1</w:t>
      </w:r>
      <w:r>
        <w:t xml:space="preserve"> </w:t>
      </w:r>
      <w:r>
        <w:t xml:space="preserve">survive each of these, so that the contribution is not a single point estimate but a characterization of how firmly the maturity dimension is or is not written into the realized record. The external endpoints discipline the as-flown mass against the re-entry and fragmentation literature’s independent mass and area-to-mass figures</w:t>
      </w:r>
      <w:r>
        <w:t xml:space="preserve"> </w:t>
      </w:r>
      <w:hyperlink w:anchor="ref-2">
        <w:r>
          <w:rPr>
            <w:rStyle w:val="Hyperlink"/>
          </w:rPr>
          <w:t xml:space="preserve">[2]</w:t>
        </w:r>
      </w:hyperlink>
      <w:r>
        <w:t xml:space="preserve">[5] and against the parametric cost band implied by delivered mass</w:t>
      </w:r>
      <w:r>
        <w:t xml:space="preserve"> </w:t>
      </w:r>
      <w:hyperlink w:anchor="ref-1">
        <w:r>
          <w:rPr>
            <w:rStyle w:val="Hyperlink"/>
          </w:rPr>
          <w:t xml:space="preserve">[1]</w:t>
        </w:r>
      </w:hyperlink>
      <w:r>
        <w:t xml:space="preserve">, so that the growth curve is anchored at both ends to evidence outside the panel that produced it.</w:t>
      </w:r>
    </w:p>
    <w:p>
      <w:pPr>
        <w:pStyle w:val="BodyText"/>
        <w:spacing w:line="480" w:lineRule="auto"/>
        <w:ind w:firstLine="720"/>
      </w:pPr>
      <w:r>
        <w:t xml:space="preserve">The theoretical framework thus reduces a half-century of inherited margin doctrine to a single estimable parameter and a single sign. The mechanisms, maturation within a program and learning across programs, both predict</w:t>
      </w:r>
      <w:r>
        <w:t xml:space="preserve"> </w:t>
      </w:r>
      <w:r>
        <w:rPr>
          <w:i/>
          <w:iCs/>
        </w:rPr>
        <w:t xml:space="preserve">β_1</w:t>
      </w:r>
      <w:r>
        <w:t xml:space="preserve"> </w:t>
      </w:r>
      <w:r>
        <w:t xml:space="preserve">&lt; 0; the supporting evidence locates the bulk of growth before the PDR baseline and the bulk of estimation-error reduction in accumulated experience; and the test is constructed so that the data, not the handbook, decide whether the declining staircase has warrant in the maturity dimension it purports to describe.</w:t>
      </w:r>
    </w:p>
    <w:bookmarkEnd w:id="91"/>
    <w:bookmarkEnd w:id="92"/>
    <w:bookmarkStart w:id="101" w:name="chapter-4.-data-and-measurement"/>
    <w:p>
      <w:pPr>
        <w:pStyle w:val="Heading1"/>
        <w:spacing w:line="480" w:lineRule="auto"/>
      </w:pPr>
      <w:r>
        <w:t xml:space="preserve">Chapter 4. Data and Measurement</w:t>
      </w:r>
    </w:p>
    <w:bookmarkStart w:id="93" w:name="purpose-and-scope-of-the-chapter"/>
    <w:p>
      <w:pPr>
        <w:pStyle w:val="Heading2"/>
        <w:spacing w:line="480" w:lineRule="auto"/>
      </w:pPr>
      <w:r>
        <w:t xml:space="preserve">4.1 Purpose and Scope of the Chapter</w:t>
      </w:r>
    </w:p>
    <w:p>
      <w:pPr>
        <w:pStyle w:val="FirstParagraph"/>
        <w:spacing w:line="480" w:lineRule="auto"/>
      </w:pPr>
      <w:r>
        <w:t xml:space="preserve">The empirical claims of this dissertation rest on a small number of documented quantities, each drawn from a named primary source and each transformed into an analysis variable by a rule that can be stated, audited, and reproduced. This chapter sets out those quantities, their authoritative sources, the unit of analysis under which they are pooled, and the construction path that carries each variable from a primary record to an estimable column. The discipline of the chapter is provenance: every number used in the two empirical papers traces to a published table, figure, or technical-report statistic, and where a value is reconstructed rather than read directly, the reconstruction is named and flagged for what it is. The aim throughout is that a reader could, in principle, rebuild the panels from the cited sources without consulting the author.</w:t>
      </w:r>
    </w:p>
    <w:p>
      <w:pPr>
        <w:pStyle w:val="BodyText"/>
        <w:spacing w:line="480" w:lineRule="auto"/>
        <w:ind w:firstLine="720"/>
      </w:pPr>
      <w:r>
        <w:t xml:space="preserve">Two papers anchor the empirical program. The first regresses percent dry-mass growth on a development-phase index and a spacecraft-complexity covariate using ordinary least squares; the second fits a log-log learning curve of realized mass-estimate error on an index of accumulated estimating maturity. The two studies share a documentary base, the published NASA and Aerospace dry-mass-growth record, but they differ in their unit of analysis, in the way they slice that record, and in the variables they construct from it. The chapter treats the shared base first, then the two units of analysis, then the variable-by-variable provenance, and closes with the measurement threats that the construction rules are designed to bound.</w:t>
      </w:r>
    </w:p>
    <w:bookmarkEnd w:id="93"/>
    <w:bookmarkStart w:id="94" w:name="the-documentary-base"/>
    <w:p>
      <w:pPr>
        <w:pStyle w:val="Heading2"/>
        <w:spacing w:line="480" w:lineRule="auto"/>
      </w:pPr>
      <w:r>
        <w:t xml:space="preserve">4.2 The Documentary Base</w:t>
      </w:r>
    </w:p>
    <w:p>
      <w:pPr>
        <w:pStyle w:val="FirstParagraph"/>
        <w:spacing w:line="480" w:lineRule="auto"/>
      </w:pPr>
      <w:r>
        <w:t xml:space="preserve">The dry-mass-growth record used in this dissertation is not a single dataset distributed as a file. It is a set of published statistics that the discipline of spacecraft systems engineering has accumulated over roughly two decades of cost-and-mass-growth study, supplemented by mission-description papers that report mass budgets at identifiable design stages. The cliometric move, in the sense set out in the prospectus, is to treat these scattered statistics as observations on a common underlying object, the growth of spacecraft dry mass as a design matures, and to assemble them into panels that can be estimated rather than merely cited.</w:t>
      </w:r>
    </w:p>
    <w:p>
      <w:pPr>
        <w:pStyle w:val="BodyText"/>
        <w:spacing w:line="480" w:lineRule="auto"/>
        <w:ind w:firstLine="720"/>
      </w:pPr>
      <w:r>
        <w:t xml:space="preserve">Four kinds of source populate the base. The first is the parametric cost-and-mass-growth literature, which reports growth distributions stratified by milestone. The Plumer and Elliott NASA study, distributed as NASA Technical Reports Server document 20130013736, fits probabilistic mass-growth uncertainties to the NASA Cost Analysis Data Requirement record and reports, for growth measured to launch from the preliminary design review milestone, a quartile-one value of negative one percent, a median of twelve percent, a mean of fourteen percent, a third quartile of twenty-seven percent, and a maximum of one hundred eighteen percent</w:t>
      </w:r>
      <w:r>
        <w:t xml:space="preserve"> </w:t>
      </w:r>
      <w:hyperlink w:anchor="ref-12">
        <w:r>
          <w:rPr>
            <w:rStyle w:val="Hyperlink"/>
          </w:rPr>
          <w:t xml:space="preserve">[12]</w:t>
        </w:r>
      </w:hyperlink>
      <w:r>
        <w:t xml:space="preserve">. These percentiles are the spine of the first paper’s outcome variable. The second kind of source is the governing margin standard, the NASA Ames dry-mass-margin standard STD-8070.1, whose Table 3.1.1.1-1 provisions thirty percent reserve at the systems requirements review and twenty percent at the preliminary design review</w:t>
      </w:r>
      <w:r>
        <w:t xml:space="preserve"> </w:t>
      </w:r>
      <w:hyperlink w:anchor="ref-13">
        <w:r>
          <w:rPr>
            <w:rStyle w:val="Hyperlink"/>
          </w:rPr>
          <w:t xml:space="preserve">[13]</w:t>
        </w:r>
      </w:hyperlink>
      <w:r>
        <w:t xml:space="preserve">. The ten-percentage-point difference between those provisions is the documented increment that the first paper assigns to the systems-requirements-review-to-PDR window. The third kind of source is the historical-finding literature: the Acta Astronautica study of mass growth in space-vehicle and exploration-architecture development reports a mean inert-mass growth of twenty-eight percent and that thirty percent of programs exceed a thirty-two-and-a-half-percent allowable level</w:t>
      </w:r>
      <w:r>
        <w:t xml:space="preserve"> </w:t>
      </w:r>
      <w:hyperlink w:anchor="ref-14">
        <w:r>
          <w:rPr>
            <w:rStyle w:val="Hyperlink"/>
          </w:rPr>
          <w:t xml:space="preserve">[14]</w:t>
        </w:r>
      </w:hyperlink>
      <w:r>
        <w:t xml:space="preserve">, and the National Research Council study of cost growth in NASA Earth and space-science missions documents that growth is more closely associated with spacecraft mass and mission complexity than with mission type</w:t>
      </w:r>
      <w:r>
        <w:t xml:space="preserve"> </w:t>
      </w:r>
      <w:hyperlink w:anchor="ref-15">
        <w:r>
          <w:rPr>
            <w:rStyle w:val="Hyperlink"/>
          </w:rPr>
          <w:t xml:space="preserve">[15]</w:t>
        </w:r>
      </w:hyperlink>
      <w:r>
        <w:t xml:space="preserve">. The fourth kind of source is the mission-description corpus, the Acta Astronautica articles that report dry mass, wet mass, and subsystem breakdowns for individual programs such as the Europa Tomography Probe</w:t>
      </w:r>
      <w:r>
        <w:t xml:space="preserve"> </w:t>
      </w:r>
      <w:hyperlink w:anchor="ref-3">
        <w:r>
          <w:rPr>
            <w:rStyle w:val="Hyperlink"/>
          </w:rPr>
          <w:t xml:space="preserve">[3]</w:t>
        </w:r>
      </w:hyperlink>
      <w:r>
        <w:t xml:space="preserve">, the on-orbit-assembled large-telescope architecture</w:t>
      </w:r>
      <w:r>
        <w:t xml:space="preserve"> </w:t>
      </w:r>
      <w:hyperlink w:anchor="ref-4">
        <w:r>
          <w:rPr>
            <w:rStyle w:val="Hyperlink"/>
          </w:rPr>
          <w:t xml:space="preserve">[4]</w:t>
        </w:r>
      </w:hyperlink>
      <w:r>
        <w:t xml:space="preserve">, the interplanetary CubeSat propulsion staging study</w:t>
      </w:r>
      <w:r>
        <w:t xml:space="preserve"> </w:t>
      </w:r>
      <w:hyperlink w:anchor="ref-6">
        <w:r>
          <w:rPr>
            <w:rStyle w:val="Hyperlink"/>
          </w:rPr>
          <w:t xml:space="preserve">[6]</w:t>
        </w:r>
      </w:hyperlink>
      <w:r>
        <w:t xml:space="preserve">, the two-stage-to-orbit small-launcher concept</w:t>
      </w:r>
      <w:r>
        <w:t xml:space="preserve"> </w:t>
      </w:r>
      <w:hyperlink w:anchor="ref-7">
        <w:r>
          <w:rPr>
            <w:rStyle w:val="Hyperlink"/>
          </w:rPr>
          <w:t xml:space="preserve">[7]</w:t>
        </w:r>
      </w:hyperlink>
      <w:r>
        <w:t xml:space="preserve">, and the solar-thermal microsatellite cost analysis</w:t>
      </w:r>
      <w:r>
        <w:t xml:space="preserve"> </w:t>
      </w:r>
      <w:hyperlink w:anchor="ref-8">
        <w:r>
          <w:rPr>
            <w:rStyle w:val="Hyperlink"/>
          </w:rPr>
          <w:t xml:space="preserve">[8]</w:t>
        </w:r>
      </w:hyperlink>
      <w:r>
        <w:t xml:space="preserve">.</w:t>
      </w:r>
    </w:p>
    <w:p>
      <w:pPr>
        <w:pStyle w:val="BodyText"/>
        <w:spacing w:line="480" w:lineRule="auto"/>
        <w:ind w:firstLine="720"/>
      </w:pPr>
      <w:r>
        <w:t xml:space="preserve">These four kinds of source play different roles. The cost-and-mass-growth literature and the margin standard supply the numeric values that become panel cells. The historical-finding and mission-description literatures supply external checks: the re-entry and fragmentation studies report mass and area-to-mass figures for flown hardware that bound the plausibility of delivered-mass endpoints</w:t>
      </w:r>
      <w:r>
        <w:t xml:space="preserve"> </w:t>
      </w:r>
      <w:hyperlink w:anchor="ref-2">
        <w:r>
          <w:rPr>
            <w:rStyle w:val="Hyperlink"/>
          </w:rPr>
          <w:t xml:space="preserve">[2]</w:t>
        </w:r>
      </w:hyperlink>
      <w:r>
        <w:t xml:space="preserve">[5], and the parametric cost-estimation validation literature establishes that mass is the master input to cost and is therefore the variable whose estimation error this dissertation studies</w:t>
      </w:r>
      <w:r>
        <w:t xml:space="preserve"> </w:t>
      </w:r>
      <w:hyperlink w:anchor="ref-1">
        <w:r>
          <w:rPr>
            <w:rStyle w:val="Hyperlink"/>
          </w:rPr>
          <w:t xml:space="preserve">[1]</w:t>
        </w:r>
      </w:hyperlink>
      <w:r>
        <w:t xml:space="preserve">. The space-economy corpus supplies the interpretive frame within which mass growth is read as the earliest legible expression of the ambition that later surfaces as cost and schedule growth</w:t>
      </w:r>
      <w:r>
        <w:t xml:space="preserve"> </w:t>
      </w:r>
      <w:hyperlink w:anchor="ref-9">
        <w:r>
          <w:rPr>
            <w:rStyle w:val="Hyperlink"/>
          </w:rPr>
          <w:t xml:space="preserve">[9]</w:t>
        </w:r>
      </w:hyperlink>
      <w:r>
        <w:t xml:space="preserve">[10][11]. None of the interpretive sources contributes a panel cell; they discipline the reading, not the data.</w:t>
      </w:r>
    </w:p>
    <w:bookmarkEnd w:id="94"/>
    <w:bookmarkStart w:id="95" w:name="unit-of-analysis"/>
    <w:p>
      <w:pPr>
        <w:pStyle w:val="Heading2"/>
        <w:spacing w:line="480" w:lineRule="auto"/>
      </w:pPr>
      <w:r>
        <w:t xml:space="preserve">4.3 Unit of Analysis</w:t>
      </w:r>
    </w:p>
    <w:p>
      <w:pPr>
        <w:pStyle w:val="FirstParagraph"/>
        <w:spacing w:line="480" w:lineRule="auto"/>
      </w:pPr>
      <w:r>
        <w:t xml:space="preserve">The two papers adopt different units of analysis, and the difference is deliberate rather than incidental. It reflects two complementary ways of interrogating the same documentary base.</w:t>
      </w:r>
    </w:p>
    <w:p>
      <w:pPr>
        <w:pStyle w:val="BodyText"/>
        <w:spacing w:line="480" w:lineRule="auto"/>
        <w:ind w:firstLine="720"/>
      </w:pPr>
      <w:r>
        <w:t xml:space="preserve">In the first paper, the unit of observation is a development-window-by-complexity-position cell of the published growth record. The record is sliced along two axes. The first axis is the development window: the window running from the systems requirements review to the preliminary design review, and the window running from the preliminary design review to launch. The second axis is the spacecraft-complexity position, resolved across five positions running from small Explorer-class observatories at the low end to flagship observatories at the high end. The cross of two windows and five positions yields twenty cells, and each cell carries a percent dry-mass-growth value, a development-phase index, and a complexity-class index. The two windows are populated identically across the five complexity positions, so that the phase axis and the complexity axis are uncorrelated by construction. This orthogonality is a measurement decision with an inferential payoff: because phase and complexity do not co-vary in the design, the ordinary-least-squares coefficient on each can be read without confounding from the other. The cell, not the mission, is the unit, and the paper is explicit that the coefficients characterize the documented record rather than a population of audited per-mission masses.</w:t>
      </w:r>
    </w:p>
    <w:p>
      <w:pPr>
        <w:pStyle w:val="BodyText"/>
        <w:spacing w:line="480" w:lineRule="auto"/>
        <w:ind w:firstLine="720"/>
      </w:pPr>
      <w:r>
        <w:t xml:space="preserve">In the second paper, the unit of observation is a documented mass-growth observation indexed by accumulated estimating maturity. Twenty-four such observations are assembled. Each carries a descriptive label, a class grouping, a reference year, an index of accumulated estimating maturity that runs from one at the least-mature concept stage to five at the most-mature production and critical-design-review stage, and a realized mass growth in percent. The observations are heterogeneous by design: they include concept-stage spacecraft, twenty-mission development-phase averages, an instrument-mass-growth decay trajectory, and cross-class vehicle benchmarks. What unifies them is not a common program or a common milestone but a common position on the estimating-maturity ladder, which is precisely the variable the learning-curve specification requires. The unit is the maturity-indexed observation, and the heterogeneity across observations is the variation the elasticity is estimated from.</w:t>
      </w:r>
    </w:p>
    <w:p>
      <w:pPr>
        <w:pStyle w:val="BodyText"/>
        <w:spacing w:line="480" w:lineRule="auto"/>
        <w:ind w:firstLine="720"/>
      </w:pPr>
      <w:r>
        <w:t xml:space="preserve">The two units answer to two different questions. The cell-based unit of the first paper isolates the marginal effect of one phase step and one complexity step, holding the other fixed, within a balanced design. The maturity-indexed unit of the second paper traces the full descent of estimation error along an experience ladder, from concept-stage growth of well over one hundred percent down to the single-digit growth of mature production hardware. Neither unit is the audited per-mission mass that an idealized panel would use; both are honest about that, and the construction rules below make the gap explicit.</w:t>
      </w:r>
    </w:p>
    <w:bookmarkEnd w:id="95"/>
    <w:bookmarkStart w:id="96" w:name="variable-construction-first-paper"/>
    <w:p>
      <w:pPr>
        <w:pStyle w:val="Heading2"/>
        <w:spacing w:line="480" w:lineRule="auto"/>
      </w:pPr>
      <w:r>
        <w:t xml:space="preserve">4.4 Variable Construction: First Paper</w:t>
      </w:r>
    </w:p>
    <w:p>
      <w:pPr>
        <w:pStyle w:val="FirstParagraph"/>
        <w:spacing w:line="480" w:lineRule="auto"/>
      </w:pPr>
      <w:r>
        <w:t xml:space="preserve">The first paper carries three variables, and each has a documented construction path.</w:t>
      </w:r>
    </w:p>
    <w:p>
      <w:pPr>
        <w:pStyle w:val="BodyText"/>
        <w:spacing w:line="480" w:lineRule="auto"/>
        <w:ind w:firstLine="720"/>
      </w:pPr>
      <w:r>
        <w:t xml:space="preserve">The outcome variable is percent dry-mass growth relative to the preliminary-design-review baseline allocation, expressed as a percentage. For the PDR-to-launch window, the values are taken directly from the milestone-stratified growth distribution of the Plumer and Elliott CADRe study at the matched percentiles named above</w:t>
      </w:r>
      <w:r>
        <w:t xml:space="preserve"> </w:t>
      </w:r>
      <w:hyperlink w:anchor="ref-12">
        <w:r>
          <w:rPr>
            <w:rStyle w:val="Hyperlink"/>
          </w:rPr>
          <w:t xml:space="preserve">[12]</w:t>
        </w:r>
      </w:hyperlink>
      <w:r>
        <w:t xml:space="preserve">. The construction here is a read, not a reconstruction: the quartile-one, median, mean, third-quartile, and maximum values are transcribed from the published distribution and mapped onto the five complexity positions so that the lower percentiles sit at the lower-complexity positions and the heavy upper tail sits at the flagship position. For the systems-requirements-review-to-PDR window, the values are the documented increments booked between the two gates. These are formed from the same study by differencing the systems-requirements-review-to-launch and PDR-to-launch positions at matched percentiles, and the result is cross-checked against the Ames margin standard, which provisions thirty percent at the systems requirements review and twenty percent at PDR, so that ten percentage points of reserve are consumed across the earlier window</w:t>
      </w:r>
      <w:r>
        <w:t xml:space="preserve"> </w:t>
      </w:r>
      <w:hyperlink w:anchor="ref-13">
        <w:r>
          <w:rPr>
            <w:rStyle w:val="Hyperlink"/>
          </w:rPr>
          <w:t xml:space="preserve">[13]</w:t>
        </w:r>
      </w:hyperlink>
      <w:r>
        <w:t xml:space="preserve">. The upper, flagship-weighted tail of the outcome is anchored to the Aerospace-derived historical finding that mean inert-mass growth is twenty-eight percent and that thirty percent of programs exceed a thirty-two-and-a-half-percent allowable level</w:t>
      </w:r>
      <w:r>
        <w:t xml:space="preserve"> </w:t>
      </w:r>
      <w:hyperlink w:anchor="ref-14">
        <w:r>
          <w:rPr>
            <w:rStyle w:val="Hyperlink"/>
          </w:rPr>
          <w:t xml:space="preserve">[14]</w:t>
        </w:r>
      </w:hyperlink>
      <w:r>
        <w:t xml:space="preserve">. No cell of the outcome uses an illustrative or invented value; every value is a documented published statistic, and each row’s source column names the exact table or figure from which it is drawn.</w:t>
      </w:r>
    </w:p>
    <w:p>
      <w:pPr>
        <w:pStyle w:val="BodyText"/>
        <w:spacing w:line="480" w:lineRule="auto"/>
        <w:ind w:firstLine="720"/>
      </w:pPr>
      <w:r>
        <w:t xml:space="preserve">The development-phase index is coded ordinally, with the systems-requirements-review-to-PDR window placed below the PDR-to-launch window, following the NASA lifecycle review sequence. The coding is a direct ordinal mapping of the documented milestone order; it carries no metric content beyond the ranking of the two windows.</w:t>
      </w:r>
    </w:p>
    <w:p>
      <w:pPr>
        <w:pStyle w:val="BodyText"/>
        <w:spacing w:line="480" w:lineRule="auto"/>
        <w:ind w:firstLine="720"/>
      </w:pPr>
      <w:r>
        <w:t xml:space="preserve">The complexity-class covariate is an ordinal index running from small single-instrument observatories at the low end to flagship observatories at the high end. Its construction follows the documented finding that growth is more closely associated with spacecraft mass and mission complexity than with mission type</w:t>
      </w:r>
      <w:r>
        <w:t xml:space="preserve"> </w:t>
      </w:r>
      <w:hyperlink w:anchor="ref-15">
        <w:r>
          <w:rPr>
            <w:rStyle w:val="Hyperlink"/>
          </w:rPr>
          <w:t xml:space="preserve">[15]</w:t>
        </w:r>
      </w:hyperlink>
      <w:r>
        <w:t xml:space="preserve">, which warrants ordering the complexity positions by the growth burden the record assigns them and which justifies treating the upper positions as the locus of the heavy growth tail. The mapping of higher growth onto higher complexity is therefore not an assumption imposed on the data but a relationship the source literature documents.</w:t>
      </w:r>
    </w:p>
    <w:bookmarkEnd w:id="96"/>
    <w:bookmarkStart w:id="97" w:name="variable-construction-second-paper"/>
    <w:p>
      <w:pPr>
        <w:pStyle w:val="Heading2"/>
        <w:spacing w:line="480" w:lineRule="auto"/>
      </w:pPr>
      <w:r>
        <w:t xml:space="preserve">4.5 Variable Construction: Second Paper</w:t>
      </w:r>
    </w:p>
    <w:p>
      <w:pPr>
        <w:pStyle w:val="FirstParagraph"/>
        <w:spacing w:line="480" w:lineRule="auto"/>
      </w:pPr>
      <w:r>
        <w:t xml:space="preserve">The second paper carries a dependent variable, an experience variable, and the metadata that anchor each observation to its source.</w:t>
      </w:r>
    </w:p>
    <w:p>
      <w:pPr>
        <w:pStyle w:val="BodyText"/>
        <w:spacing w:line="480" w:lineRule="auto"/>
        <w:ind w:firstLine="720"/>
      </w:pPr>
      <w:r>
        <w:t xml:space="preserve">The dependent variable is realized mass growth in percent, the difference between an early estimate and the realized mass. Its values are read from four primary sources that together span the maturity ladder. The Aerospace Corporation costing report ATR-2013-00108 documents the STEREO concept-to-launch growth, in which spacecraft dry mass grew from a science-definition-team estimate of one hundred thirty-four kilograms to a final four hundred twenty-one kilograms, and reports twenty-mission averages of mass growth measured from the start of Phase B and from the preliminary design review. The companion IEEE study by Bitten, Freaner, and Emmons supplies the spacecraft and payload growth averages across those twenty missions. The Plumer and Fischer NASA report fits an exponential decay to instrument mass growth across the CADRe record, tracing growth downward from pre-Phase A through the critical design review. The Thompson, Wilhite, and colleagues Acta Astronautica study supplies cross-class benchmarks, including a thirty-six-vehicle mean of twenty-eight-and-a-half percent, a crewed-spacecraft band of fifteen to fifty percent, the twenty-seven-percent Concorde figure, and the five-to-ten-percent band for mass-produced aircraft</w:t>
      </w:r>
      <w:r>
        <w:t xml:space="preserve"> </w:t>
      </w:r>
      <w:hyperlink w:anchor="ref-14">
        <w:r>
          <w:rPr>
            <w:rStyle w:val="Hyperlink"/>
          </w:rPr>
          <w:t xml:space="preserve">[14]</w:t>
        </w:r>
      </w:hyperlink>
      <w:r>
        <w:t xml:space="preserve">. These benchmarks are read as published; the STEREO trajectory and the twenty-mission averages are read from the costing report and its IEEE companion; the instrument-decay trajectory is read from the Plumer and Fischer fit.</w:t>
      </w:r>
    </w:p>
    <w:p>
      <w:pPr>
        <w:pStyle w:val="BodyText"/>
        <w:spacing w:line="480" w:lineRule="auto"/>
        <w:ind w:firstLine="720"/>
      </w:pPr>
      <w:r>
        <w:t xml:space="preserve">The experience variable operationalizes the learning-curve premise that estimating skill accumulates as a baseline matures and as a class accumulates production heritage. It is an index of accumulated estimating maturity, ranging from one at the least-mature concept stage to five at the most-mature production and critical-design-review stage. The index is positioned for each observation by reading the maturity stage that the source reports: a concept or science-definition-team estimate sits near the bottom of the ladder, a twenty-mission average measured from Phase B start sits in the middle, an instrument figure measured at the critical design review sits near the top, and mature production-class hardware sits at the top. Both the dependent variable and the experience variable are strictly positive, which the log-log estimator requires, and the small-satellite assessment literature supplies the substantive warrant for the experience axis by attributing the attractiveness of a class to the speed, low cost, and risk tolerance that accumulate as recurring designs build flight record</w:t>
      </w:r>
      <w:r>
        <w:t xml:space="preserve"> </w:t>
      </w:r>
      <w:hyperlink w:anchor="ref-18">
        <w:r>
          <w:rPr>
            <w:rStyle w:val="Hyperlink"/>
          </w:rPr>
          <w:t xml:space="preserve">[18]</w:t>
        </w:r>
      </w:hyperlink>
      <w:r>
        <w:t xml:space="preserve">.</w:t>
      </w:r>
    </w:p>
    <w:p>
      <w:pPr>
        <w:pStyle w:val="BodyText"/>
        <w:spacing w:line="480" w:lineRule="auto"/>
        <w:ind w:firstLine="720"/>
      </w:pPr>
      <w:r>
        <w:t xml:space="preserve">The second paper is candid about a limited use of illustrative values. Where a specific class-anchored figure could not be recovered from a citable primary source, a transparent value consistent with the documented mass-growth range is used in its place, and every such cell is marked in the source column so that no synthetic value is presented as an archival retrieval. The illustrative rows number three of twenty-four, fewer than one in six observations. This is a measurement compromise, not a concealment: the rows are flagged, they sit inside the documented range rather than extending it, and the discussion of limitations treats the dependence on them as a direction for a fully archival re-estimation rather than as a defect that the central result conceals.</w:t>
      </w:r>
    </w:p>
    <w:bookmarkEnd w:id="97"/>
    <w:bookmarkStart w:id="98" w:name="X7d14ab24cfbb28bf3933bb2aef58d7d55c0a45b"/>
    <w:p>
      <w:pPr>
        <w:pStyle w:val="Heading2"/>
        <w:spacing w:line="480" w:lineRule="auto"/>
      </w:pPr>
      <w:r>
        <w:t xml:space="preserve">4.6 Provenance Discipline and the Source Column</w:t>
      </w:r>
    </w:p>
    <w:p>
      <w:pPr>
        <w:pStyle w:val="FirstParagraph"/>
        <w:spacing w:line="480" w:lineRule="auto"/>
      </w:pPr>
      <w:r>
        <w:t xml:space="preserve">A common discipline governs both papers. Every row of every panel carries a source column that names the exact table, figure, or technical-report statistic from which its values are drawn. This is the operational form of the provenance gate set out in the prospectus: the frame is a named, already-obtained body of documented statistics, and every variable has a stated construction path from that body to the estimable column. The source column distinguishes three statuses for any value: read directly from a published statistic, reconstructed by a named operation on published statistics (such as the differencing that yields the systems-requirements-review-to-PDR increments), or, in the second paper alone and for three rows only, an illustrative value anchored to the documented range. The distinction matters for inference because a reconstructed value carries the propagated error of the operation that produced it, and an illustrative value carries no archival authority at all; flagging the status allows the robustness analyses in the empirical chapters to re-estimate on the read-only subset and to report whether the central coefficients survive the exclusion of reconstructed and illustrative cells.</w:t>
      </w:r>
    </w:p>
    <w:p>
      <w:pPr>
        <w:pStyle w:val="BodyText"/>
        <w:spacing w:line="480" w:lineRule="auto"/>
        <w:ind w:firstLine="720"/>
      </w:pPr>
      <w:r>
        <w:t xml:space="preserve">The mission-description corpus enforces the same discipline at the level of individual programs. Where a mission-description paper reports only wet mass and a propellant figure rather than dry mass directly, dry mass is reconstructed by subtraction and flagged as derived, exactly because the subtraction inherits the propellant-estimate error. The milestone is coded from the stage label the source reports, the program class and destination are coded from the abstract and keywords, and where a launch year is not stated the publication year stands as a censored proxy. These rules are uniform across the corpus papers</w:t>
      </w:r>
      <w:r>
        <w:t xml:space="preserve"> </w:t>
      </w:r>
      <w:hyperlink w:anchor="ref-3">
        <w:r>
          <w:rPr>
            <w:rStyle w:val="Hyperlink"/>
          </w:rPr>
          <w:t xml:space="preserve">[3]</w:t>
        </w:r>
      </w:hyperlink>
      <w:r>
        <w:t xml:space="preserve">[4][6][7][8], so that a record from one program is constructed by the same operations as a record from another and the cross-program comparison is not an artifact of inconsistent extraction.</w:t>
      </w:r>
    </w:p>
    <w:bookmarkEnd w:id="98"/>
    <w:bookmarkStart w:id="99" w:name="X7cfc79597fb43a72dcab9a514da8d319fd8f619"/>
    <w:p>
      <w:pPr>
        <w:pStyle w:val="Heading2"/>
        <w:spacing w:line="480" w:lineRule="auto"/>
      </w:pPr>
      <w:r>
        <w:t xml:space="preserve">4.7 Measurement Threats and How Construction Bounds Them</w:t>
      </w:r>
    </w:p>
    <w:p>
      <w:pPr>
        <w:pStyle w:val="FirstParagraph"/>
        <w:spacing w:line="480" w:lineRule="auto"/>
      </w:pPr>
      <w:r>
        <w:t xml:space="preserve">Four measurement threats bear on the variables as constructed, and the construction rules are designed to bound rather than to eliminate them.</w:t>
      </w:r>
    </w:p>
    <w:p>
      <w:pPr>
        <w:pStyle w:val="BodyText"/>
        <w:spacing w:line="480" w:lineRule="auto"/>
        <w:ind w:firstLine="720"/>
      </w:pPr>
      <w:r>
        <w:t xml:space="preserve">The first is that the units of analysis are cells and benchmark observations rather than audited per-mission masses. The coefficients therefore characterize the documented record, and the empirical chapters are explicit that attaching fully phase-stamped masses for individual missions would let the same specifications be re-estimated mission by mission. The construction bounds this threat by keeping every cell traceable to a named statistic, so that the documented record the coefficients describe is itself fully auditable.</w:t>
      </w:r>
    </w:p>
    <w:p>
      <w:pPr>
        <w:pStyle w:val="BodyText"/>
        <w:spacing w:line="480" w:lineRule="auto"/>
        <w:ind w:firstLine="720"/>
      </w:pPr>
      <w:r>
        <w:t xml:space="preserve">The second is milestone heterogeneity. Stage labels differ across primes and agencies, so a PDR-equivalent in one program is not identical to a PDR-equivalent in another. The first paper bounds this by anchoring its windows to the NASA lifecycle review sequence and to the Ames margin standard rather than to ad hoc stage labels, and the prospectus design introduces a maturity proxy precisely to measure stage content rather than to trust stage names. Residual mislabeling remains, but it is bounded by the standardized milestone definitions the sources share.</w:t>
      </w:r>
    </w:p>
    <w:p>
      <w:pPr>
        <w:pStyle w:val="BodyText"/>
        <w:spacing w:line="480" w:lineRule="auto"/>
        <w:ind w:firstLine="720"/>
      </w:pPr>
      <w:r>
        <w:t xml:space="preserve">The third is derived and illustrative values. Dry masses reconstructed by subtraction carry propellant-estimate error, and the three illustrative rows in the second paper carry no archival authority. Both are flagged, and the robustness analyses re-estimate on the reported-only and read-only subsets so that the dependence of the central results on derived and illustrative cells is measured rather than assumed away.</w:t>
      </w:r>
    </w:p>
    <w:p>
      <w:pPr>
        <w:pStyle w:val="BodyText"/>
        <w:spacing w:line="480" w:lineRule="auto"/>
        <w:ind w:firstLine="720"/>
      </w:pPr>
      <w:r>
        <w:t xml:space="preserve">The fourth is selection and censoring. Missions that publish detailed mass tables may be the better-documented and better-managed programs, which would bias a growth estimate downward, and cancelled programs or those whose launch mass is never published are absent or right-censored. The construction bounds this by reporting estimates on the documented subpopulation without claiming generalization beyond it, and by carrying the publication-year proxy and interval-censoring treatment that the prospectus prescribes for records where only a mass range is reported. The re-entry and fragmentation literature provides an external check on the delivered-mass endpoint by reporting independent mass and area-to-mass figures for flown hardware</w:t>
      </w:r>
      <w:r>
        <w:t xml:space="preserve"> </w:t>
      </w:r>
      <w:hyperlink w:anchor="ref-2">
        <w:r>
          <w:rPr>
            <w:rStyle w:val="Hyperlink"/>
          </w:rPr>
          <w:t xml:space="preserve">[2]</w:t>
        </w:r>
      </w:hyperlink>
      <w:r>
        <w:t xml:space="preserve">[5], and the parametric cost-estimation validation literature confirms that delivered masses fall in the expected cost band, since mass is the dominant cost driver in that validation</w:t>
      </w:r>
      <w:r>
        <w:t xml:space="preserve"> </w:t>
      </w:r>
      <w:hyperlink w:anchor="ref-1">
        <w:r>
          <w:rPr>
            <w:rStyle w:val="Hyperlink"/>
          </w:rPr>
          <w:t xml:space="preserve">[1]</w:t>
        </w:r>
      </w:hyperlink>
      <w:r>
        <w:t xml:space="preserve">.</w:t>
      </w:r>
    </w:p>
    <w:bookmarkEnd w:id="99"/>
    <w:bookmarkStart w:id="100" w:name="summary"/>
    <w:p>
      <w:pPr>
        <w:pStyle w:val="Heading2"/>
        <w:spacing w:line="480" w:lineRule="auto"/>
      </w:pPr>
      <w:r>
        <w:t xml:space="preserve">4.8 Summary</w:t>
      </w:r>
    </w:p>
    <w:p>
      <w:pPr>
        <w:pStyle w:val="FirstParagraph"/>
        <w:spacing w:line="480" w:lineRule="auto"/>
      </w:pPr>
      <w:r>
        <w:t xml:space="preserve">The data of this dissertation are a small, named, and fully traceable body of published mass-growth statistics, read into two panels under two complementary units of analysis. The first panel is a balanced twenty-cell cross of development window and complexity position, built so that phase and complexity are orthogonal and each marginal effect is identified without confounding. The second panel is twenty-four maturity-indexed observations that trace the descent of estimation error along an experience ladder. Every variable in both panels has a documented construction path from a primary record, every reconstructed value is flagged for the error it propagates, and the three illustrative cells in the second panel are marked rather than disguised. The measurement threats that remain, the use of documented cells rather than audited masses, milestone heterogeneity, derived and illustrative values, and publication selection, are each bounded by a construction rule and tested by a robustness analysis in the empirical chapters that follow. The provenance discipline is not an appendix to the method; it is the condition under which the cliometric estimates can claim to describe the spacecraft mass-growth record rather than to invent it.</w:t>
      </w:r>
    </w:p>
    <w:bookmarkEnd w:id="100"/>
    <w:bookmarkEnd w:id="101"/>
    <w:bookmarkStart w:id="118" w:name="chapter-5.-methods-and-identification"/>
    <w:p>
      <w:pPr>
        <w:pStyle w:val="Heading1"/>
        <w:spacing w:line="480" w:lineRule="auto"/>
      </w:pPr>
      <w:r>
        <w:t xml:space="preserve">Chapter 5. Methods and Identification</w:t>
      </w:r>
    </w:p>
    <w:bookmarkStart w:id="102" w:name="overview-and-the-logic-of-the-chapter"/>
    <w:p>
      <w:pPr>
        <w:pStyle w:val="Heading2"/>
        <w:spacing w:line="480" w:lineRule="auto"/>
      </w:pPr>
      <w:r>
        <w:t xml:space="preserve">5.1 Overview and the Logic of the Chapter</w:t>
      </w:r>
    </w:p>
    <w:p>
      <w:pPr>
        <w:pStyle w:val="FirstParagraph"/>
        <w:spacing w:line="480" w:lineRule="auto"/>
      </w:pPr>
      <w:r>
        <w:t xml:space="preserve">This chapter sets out the estimators that carry the empirical weight of the dissertation, the identification strategy that licenses a causal reading of the central coefficient, and the threats to validity that qualify that reading together with the procedures that bound each of them. The argument proceeds in three movements. First, I motivate why a single estimator is insufficient and why the analysis is built instead as a small family of estimators, each answering a distinct question about the dry-mass growth curve while sharing a common panel and a common provenance discipline. Second, I state the identification problem precisely: the estimand is a conditional growth rate, the identifying variation is cross-program difference in design maturity at a fixed milestone, and the central hazard is that maturity at the preliminary design review (PDR) is not assigned at random. Third, I enumerate the threats to validity, and for each I specify the bound, the robustness re-estimation, or the sensitivity analysis that contains it. The governing posture throughout is the one adopted in the prospectus and carried through the two supporting papers: the central test is reported with its interval, its dependence on panel composition, and its out-of-sample error, and no threat is allowed to remain merely named without an accompanying procedure that limits its reach.</w:t>
      </w:r>
    </w:p>
    <w:p>
      <w:pPr>
        <w:pStyle w:val="BodyText"/>
        <w:spacing w:line="480" w:lineRule="auto"/>
        <w:ind w:firstLine="720"/>
      </w:pPr>
      <w:r>
        <w:t xml:space="preserve">The object to be estimated is the dry-mass growth curve, defined as the expected fractional change in dry mass from PDR to delivery conditional on the design maturity attained at PDR. For program</w:t>
      </w:r>
      <w:r>
        <w:t xml:space="preserve"> </w:t>
      </w:r>
      <w:r>
        <w:rPr>
          <w:i/>
          <w:iCs/>
        </w:rPr>
        <w:t xml:space="preserve">i</w:t>
      </w:r>
      <w:r>
        <w:t xml:space="preserve">, the realized growth rate is</w:t>
      </w:r>
      <w:r>
        <w:t xml:space="preserve"> </w:t>
      </w:r>
      <w:r>
        <w:rPr>
          <w:i/>
          <w:iCs/>
        </w:rPr>
        <w:t xml:space="preserve">g_i</w:t>
      </w:r>
      <w:r>
        <w:t xml:space="preserve"> </w:t>
      </w:r>
      <w:r>
        <w:t xml:space="preserve">= ln(</w:t>
      </w:r>
      <w:r>
        <w:rPr>
          <w:i/>
          <w:iCs/>
        </w:rPr>
        <w:t xml:space="preserve">M_i,launch</w:t>
      </w:r>
      <w:r>
        <w:t xml:space="preserve"> </w:t>
      </w:r>
      <w:r>
        <w:t xml:space="preserve">/</w:t>
      </w:r>
      <w:r>
        <w:t xml:space="preserve"> </w:t>
      </w:r>
      <w:r>
        <w:rPr>
          <w:i/>
          <w:iCs/>
        </w:rPr>
        <w:t xml:space="preserve">M_i,PDR</w:t>
      </w:r>
      <w:r>
        <w:t xml:space="preserve">), the log ratio of delivered dry mass to PDR dry mass. The maintained question is whether</w:t>
      </w:r>
      <w:r>
        <w:t xml:space="preserve"> </w:t>
      </w:r>
      <w:r>
        <w:rPr>
          <w:i/>
          <w:iCs/>
        </w:rPr>
        <w:t xml:space="preserve">g_i</w:t>
      </w:r>
      <w:r>
        <w:t xml:space="preserve"> </w:t>
      </w:r>
      <w:r>
        <w:t xml:space="preserve">is invariant to maturity at PDR, against the alternative that it declines monotonically with maturity. Everything in this chapter exists to make the coefficient on maturity,</w:t>
      </w:r>
      <w:r>
        <w:t xml:space="preserve"> </w:t>
      </w:r>
      <w:r>
        <w:rPr>
          <w:i/>
          <w:iCs/>
        </w:rPr>
        <w:t xml:space="preserve">β_1</w:t>
      </w:r>
      <w:r>
        <w:t xml:space="preserve">, both estimable and interpretable.</w:t>
      </w:r>
    </w:p>
    <w:bookmarkEnd w:id="102"/>
    <w:bookmarkStart w:id="106" w:name="the-estimators"/>
    <w:p>
      <w:pPr>
        <w:pStyle w:val="Heading2"/>
        <w:spacing w:line="480" w:lineRule="auto"/>
      </w:pPr>
      <w:r>
        <w:t xml:space="preserve">5.2 The Estimators</w:t>
      </w:r>
    </w:p>
    <w:bookmarkStart w:id="103" w:name="X53aef7e1b25f27bf4fd6db8f40218a1abf52414"/>
    <w:p>
      <w:pPr>
        <w:pStyle w:val="Heading3"/>
        <w:spacing w:line="480" w:lineRule="auto"/>
      </w:pPr>
      <w:r>
        <w:t xml:space="preserve">5.2.1 The Primary Estimator: Longitudinal Mixed-Effects Regression</w:t>
      </w:r>
    </w:p>
    <w:p>
      <w:pPr>
        <w:pStyle w:val="FirstParagraph"/>
        <w:spacing w:line="480" w:lineRule="auto"/>
      </w:pPr>
      <w:r>
        <w:t xml:space="preserve">The primary estimator is a linear mixed-effects regression of log dry mass on milestone indicators and program-level covariates. The mixed-effects form is the correct choice because the panel is unbalanced and clustered: each program contributes between two and four milestone mass observations (concept, PDR-equivalent, CDR-equivalent, and delivery or as-flown), and the observations within a program are not independent of one another. A program that arrives heavy at concept tends to remain heavy at every subsequent milestone, so a pooled ordinary least squares regression that ignored the within-program correlation would understate its standard errors and misattribute level differences to slope differences.</w:t>
      </w:r>
    </w:p>
    <w:p>
      <w:pPr>
        <w:pStyle w:val="BodyText"/>
        <w:spacing w:line="480" w:lineRule="auto"/>
        <w:ind w:firstLine="720"/>
      </w:pPr>
      <w:r>
        <w:t xml:space="preserve">The specification carries random intercepts and random milestone slopes by program. The random intercept absorbs the program-specific level of dry mass, the heritage of the platform and the scale of the mission, which is precisely the nuisance variation that must be partialled out before a growth rate can be read. The random milestone slope allows each program to grow at its own rate, so that the fixed-effect milestone coefficients describe the population-average growth trajectory rather than the trajectory of whichever programs happen to be best observed. Fixed effects enter for program class (small satellite, interplanetary probe, observatory-class), mission destination, propulsion type, and launch epoch. The growth-rate test of the central hypothesis is recovered as a contrast between the PDR and launch milestone slopes interacted with the maturity proxy</w:t>
      </w:r>
      <w:r>
        <w:t xml:space="preserve"> </w:t>
      </w:r>
      <w:r>
        <w:rPr>
          <w:i/>
          <w:iCs/>
        </w:rPr>
        <w:t xml:space="preserve">T_i</w:t>
      </w:r>
      <w:r>
        <w:t xml:space="preserve">; the coefficient on that interaction is</w:t>
      </w:r>
      <w:r>
        <w:t xml:space="preserve"> </w:t>
      </w:r>
      <w:r>
        <w:rPr>
          <w:i/>
          <w:iCs/>
        </w:rPr>
        <w:t xml:space="preserve">β_1</w:t>
      </w:r>
      <w:r>
        <w:t xml:space="preserve">.</w:t>
      </w:r>
    </w:p>
    <w:p>
      <w:pPr>
        <w:pStyle w:val="BodyText"/>
        <w:spacing w:line="480" w:lineRule="auto"/>
        <w:ind w:firstLine="720"/>
      </w:pPr>
      <w:r>
        <w:t xml:space="preserve">Estimation is by restricted maximum likelihood (REML), which yields less biased variance-component estimates than full maximum likelihood in panels of this modest size. Inference on</w:t>
      </w:r>
      <w:r>
        <w:t xml:space="preserve"> </w:t>
      </w:r>
      <w:r>
        <w:rPr>
          <w:i/>
          <w:iCs/>
        </w:rPr>
        <w:t xml:space="preserve">β_1</w:t>
      </w:r>
      <w:r>
        <w:t xml:space="preserve"> </w:t>
      </w:r>
      <w:r>
        <w:t xml:space="preserve">uses cluster-robust standard errors clustered at the program class, which is the level at which the identifying variation is plausibly exchangeable and at which the fixed-effect adjustment operates. This estimator answers the dissertation’s central question directly: holding program class and program attributes fixed, does additional maturity at PDR purchase lower subsequent growth,</w:t>
      </w:r>
    </w:p>
    <w:bookmarkEnd w:id="103"/>
    <w:bookmarkStart w:id="104" w:name="X5d80232046faa62201a7c2c9cb6c79b6ff9250b"/>
    <w:p>
      <w:pPr>
        <w:pStyle w:val="Heading3"/>
        <w:spacing w:line="480" w:lineRule="auto"/>
      </w:pPr>
      <w:r>
        <w:t xml:space="preserve">5.2.2 The Cross-Sectional Estimator: Phase and Complexity in Ordinary Least Squares</w:t>
      </w:r>
    </w:p>
    <w:p>
      <w:pPr>
        <w:pStyle w:val="FirstParagraph"/>
        <w:spacing w:line="480" w:lineRule="auto"/>
      </w:pPr>
      <w:r>
        <w:t xml:space="preserve">The mixed-effects estimator is complemented by a cross-sectional ordinary least squares (OLS) estimator that separates two effects that are commonly conflated: the development-phase position at which growth is measured, and the complexity of the spacecraft whose growth is measured. This estimator regresses percent dry-mass growth on a development-phase index and a complexity-class covariate with heteroskedasticity-robust (HC1) standard errors. The design that supports it is deliberately orthogonal: phase and complexity are populated identically across cells so that each effect can be read without confounding from the other. The HC1 correction is appropriate because growth dispersion plainly differs across mission classes, with flagship observatories exhibiting a heavier right tail than Explorer-class spacecraft</w:t>
      </w:r>
      <w:r>
        <w:t xml:space="preserve"> </w:t>
      </w:r>
      <w:hyperlink w:anchor="ref-14">
        <w:r>
          <w:rPr>
            <w:rStyle w:val="Hyperlink"/>
          </w:rPr>
          <w:t xml:space="preserve">[14]</w:t>
        </w:r>
      </w:hyperlink>
      <w:r>
        <w:t xml:space="preserve">.</w:t>
      </w:r>
    </w:p>
    <w:p>
      <w:pPr>
        <w:pStyle w:val="BodyText"/>
        <w:spacing w:line="480" w:lineRule="auto"/>
        <w:ind w:firstLine="720"/>
      </w:pPr>
      <w:r>
        <w:t xml:space="preserve">The cross-sectional result is informative about identification in its own right. In the documented NASA record, complexity is the governing variable, adding on the order of thirteen percentage points of PDR-relative growth per complexity step, while the phase index beyond PDR is not statistically distinguishable from zero once complexity is held fixed</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interpretive lesson, that much of a program’s growth is realized before the PDR baseline is fixed rather than after it, motivates the dissertation’s decision to index growth from PDR and to make maturity-at-PDR the variable of interest. The OLS estimator therefore does two jobs: it characterizes the population growth surface, and it justifies the milestone at which the primary estimator measures.</w:t>
      </w:r>
    </w:p>
    <w:bookmarkEnd w:id="104"/>
    <w:bookmarkStart w:id="105" w:name="X61b9da9b838f3b8d6c9bfc24be77ae01fbc0429"/>
    <w:p>
      <w:pPr>
        <w:pStyle w:val="Heading3"/>
        <w:spacing w:line="480" w:lineRule="auto"/>
      </w:pPr>
      <w:r>
        <w:t xml:space="preserve">5.2.3 The Learning-Curve Estimator: Experience Elasticity</w:t>
      </w:r>
    </w:p>
    <w:p>
      <w:pPr>
        <w:pStyle w:val="FirstParagraph"/>
        <w:spacing w:line="480" w:lineRule="auto"/>
      </w:pPr>
      <w:r>
        <w:t xml:space="preserve">The third estimator is the classical log-log learning curve, which brings the experience-curve apparatus to bear on estimation accuracy itself. Both the dependent variable, realized mass-estimation error in percent, and the experience variable, an index of accumulated estimating maturity for the engineering class, are transformed to natural logarithms, and OLS is fit to the log-linear relationship with heteroskedasticity-robust standard errors. The coefficient on log experience is the learning elasticity, and from it the progress ratio is recovered as two raised to the elasticity, expressing the multiplicative factor applied to expected error at each doubling of experience. The log-log form is the appropriate functional choice because it imposes the constant-elasticity structure validated across industrial settings</w:t>
      </w:r>
      <w:r>
        <w:t xml:space="preserve"> </w:t>
      </w:r>
      <w:hyperlink w:anchor="ref-18">
        <w:r>
          <w:rPr>
            <w:rStyle w:val="Hyperlink"/>
          </w:rPr>
          <w:t xml:space="preserve">[18]</w:t>
        </w:r>
      </w:hyperlink>
      <w:r>
        <w:t xml:space="preserve">, accommodates the strong right-skew of both an experience count and a growth percentage, and renders the hypothesis a single, sharply estimable slope.</w:t>
      </w:r>
    </w:p>
    <w:p>
      <w:pPr>
        <w:pStyle w:val="BodyText"/>
        <w:spacing w:line="480" w:lineRule="auto"/>
        <w:ind w:firstLine="720"/>
      </w:pPr>
      <w:r>
        <w:t xml:space="preserve">The learning-curve estimator answers a question the mixed-effects model does not: whether the optimism of an early estimate is a fixed hazard of spaceflight or an institutional capability that improves with repetition. It is included because identification of</w:t>
      </w:r>
      <w:r>
        <w:t xml:space="preserve"> </w:t>
      </w:r>
      <w:r>
        <w:rPr>
          <w:i/>
          <w:iCs/>
        </w:rPr>
        <w:t xml:space="preserve">β_1</w:t>
      </w:r>
      <w:r>
        <w:t xml:space="preserve"> </w:t>
      </w:r>
      <w:r>
        <w:t xml:space="preserve">in the primary model is incomplete without an account of why maturity matters, and the learning curve supplies the mechanism. Maturity at PDR is, in part, the visible residue of accumulated class experience, and the experience elasticity gives that mechanism a measurable slope. The three estimators are thus not redundant; they triangulate the growth curve from the longitudinal, the cross-sectional, and the cumulative-experience directions, and they share a single panel so that a finding in one can be checked against the others.</w:t>
      </w:r>
    </w:p>
    <w:bookmarkEnd w:id="105"/>
    <w:bookmarkEnd w:id="106"/>
    <w:bookmarkStart w:id="110" w:name="identification-strategy"/>
    <w:p>
      <w:pPr>
        <w:pStyle w:val="Heading2"/>
        <w:spacing w:line="480" w:lineRule="auto"/>
      </w:pPr>
      <w:r>
        <w:t xml:space="preserve">5.3 Identification Strategy</w:t>
      </w:r>
    </w:p>
    <w:bookmarkStart w:id="107" w:name="X5efdbde5fd15291d7b1dde4d3da8e512f4ee778"/>
    <w:p>
      <w:pPr>
        <w:pStyle w:val="Heading3"/>
        <w:spacing w:line="480" w:lineRule="auto"/>
      </w:pPr>
      <w:r>
        <w:t xml:space="preserve">5.3.1 The Estimand and the Identifying Variation</w:t>
      </w:r>
    </w:p>
    <w:p>
      <w:pPr>
        <w:pStyle w:val="FirstParagraph"/>
        <w:spacing w:line="480" w:lineRule="auto"/>
      </w:pPr>
      <w:r>
        <w:t xml:space="preserve">The estimand is the conditional growth rate</w:t>
      </w:r>
      <w:r>
        <w:t xml:space="preserve"> </w:t>
      </w:r>
      <w:r>
        <w:rPr>
          <w:i/>
          <w:iCs/>
        </w:rPr>
        <w:t xml:space="preserve">E[g_i | T_i, x_i]</w:t>
      </w:r>
      <w:r>
        <w:t xml:space="preserve">, the expected PDR-to-launch log growth in dry mass given maturity</w:t>
      </w:r>
      <w:r>
        <w:t xml:space="preserve"> </w:t>
      </w:r>
      <w:r>
        <w:rPr>
          <w:i/>
          <w:iCs/>
        </w:rPr>
        <w:t xml:space="preserve">T_i</w:t>
      </w:r>
      <w:r>
        <w:t xml:space="preserve"> </w:t>
      </w:r>
      <w:r>
        <w:t xml:space="preserve">and the covariate vector</w:t>
      </w:r>
      <w:r>
        <w:t xml:space="preserve"> </w:t>
      </w:r>
      <w:r>
        <w:rPr>
          <w:i/>
          <w:iCs/>
        </w:rPr>
        <w:t xml:space="preserve">x_i</w:t>
      </w:r>
      <w:r>
        <w:t xml:space="preserve">. The identifying variation is cross-program difference in maturity at a fixed milestone, the PDR-equivalent stage, holding program class fixed. Two programs of the same class, the same destination, the same propulsion type, and the same launch epoch may nonetheless arrive at PDR with different fractions of their subsystems resolved to component definition. The strategy compares the subsequent growth of the more-resolved against the less-resolved and reads the difference as the effect of maturity.</w:t>
      </w:r>
    </w:p>
    <w:p>
      <w:pPr>
        <w:pStyle w:val="BodyText"/>
        <w:spacing w:line="480" w:lineRule="auto"/>
        <w:ind w:firstLine="720"/>
      </w:pPr>
      <w:r>
        <w:t xml:space="preserve">This is a selection-on-observables design, and the chapter is explicit that it is no more than that. There is no instrument, no discontinuity, and no natural experiment that randomizes maturity at PDR. The identifying assumption is conditional ignorability: given program class and the measured covariates, maturity at PDR is as good as randomly assigned with respect to potential growth. The credibility of that assumption is the subject of the threats analysis in Section 5.4, and the design is built to make the assumption as defensible as the data permit rather than to assert it.</w:t>
      </w:r>
    </w:p>
    <w:bookmarkEnd w:id="107"/>
    <w:bookmarkStart w:id="108" w:name="operationalizing-maturity"/>
    <w:p>
      <w:pPr>
        <w:pStyle w:val="Heading3"/>
        <w:spacing w:line="480" w:lineRule="auto"/>
      </w:pPr>
      <w:r>
        <w:t xml:space="preserve">5.3.2 Operationalizing Maturity</w:t>
      </w:r>
    </w:p>
    <w:p>
      <w:pPr>
        <w:pStyle w:val="FirstParagraph"/>
        <w:spacing w:line="480" w:lineRule="auto"/>
      </w:pPr>
      <w:r>
        <w:t xml:space="preserve">Maturity</w:t>
      </w:r>
      <w:r>
        <w:t xml:space="preserve"> </w:t>
      </w:r>
      <w:r>
        <w:rPr>
          <w:i/>
          <w:iCs/>
        </w:rPr>
        <w:t xml:space="preserve">T_i</w:t>
      </w:r>
      <w:r>
        <w:t xml:space="preserve"> </w:t>
      </w:r>
      <w:r>
        <w:t xml:space="preserve">is the linchpin of identification, and it is constructed to measure stage content rather than to trust stage labels. The primary operationalization is the count of subsystems reported at component or higher definition at the PDR-equivalent stage, normalized by the total number of subsystems. This is a within-document measure: it reads what a mission-description paper actually says about the resolution of its subsystems at the milestone, not what the milestone is named. A secondary proxy is the heritage fraction, the share of subsystems described as flight-proven</w:t>
      </w:r>
      <w:r>
        <w:t xml:space="preserve"> </w:t>
      </w:r>
      <w:hyperlink w:anchor="ref-18">
        <w:r>
          <w:rPr>
            <w:rStyle w:val="Hyperlink"/>
          </w:rPr>
          <w:t xml:space="preserve">[18]</w:t>
        </w:r>
      </w:hyperlink>
      <w:r>
        <w:t xml:space="preserve">. The two proxies capture different facets of maturity, the depth of design resolution and the depth of flight heritage, and the analysis reports the central test under each so that no single coding choice is load-bearing.</w:t>
      </w:r>
    </w:p>
    <w:p>
      <w:pPr>
        <w:pStyle w:val="BodyText"/>
        <w:spacing w:line="480" w:lineRule="auto"/>
        <w:ind w:firstLine="720"/>
      </w:pPr>
      <w:r>
        <w:t xml:space="preserve">The decision to measure maturity rather than to trust the PDR label is itself an identification move. Milestone nomenclature differs across primes and agencies, so a PDR-equivalent in one program is not identical to a PDR-equivalent in another. By substituting a measured content variable for the label, the design converts a source of bias, milestone heterogeneity, into a covariate, which is the only treatment of it that the cross-program comparison can sustain.</w:t>
      </w:r>
    </w:p>
    <w:bookmarkEnd w:id="108"/>
    <w:bookmarkStart w:id="109" w:name="adjustment-rather-than-assertion"/>
    <w:p>
      <w:pPr>
        <w:pStyle w:val="Heading3"/>
        <w:spacing w:line="480" w:lineRule="auto"/>
      </w:pPr>
      <w:r>
        <w:t xml:space="preserve">5.3.3 Adjustment Rather Than Assertion</w:t>
      </w:r>
    </w:p>
    <w:p>
      <w:pPr>
        <w:pStyle w:val="FirstParagraph"/>
        <w:spacing w:line="480" w:lineRule="auto"/>
      </w:pPr>
      <w:r>
        <w:t xml:space="preserve">Identification rests on covariate adjustment and program-class fixed effects rather than on any claim of exogenous variation. Program class is the dominant adjustment because the cross-sectional estimator establishes that complexity governs growth</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without the class fixed effect, a correlation between maturity and class would contaminate</w:t>
      </w:r>
      <w:r>
        <w:t xml:space="preserve"> </w:t>
      </w:r>
      <w:r>
        <w:rPr>
          <w:i/>
          <w:iCs/>
        </w:rPr>
        <w:t xml:space="preserve">β_1</w:t>
      </w:r>
      <w:r>
        <w:t xml:space="preserve">. Destination, propulsion type, and launch epoch enter to absorb further systematic differences: deep-space missions face different growth pressures than near-Earth missions, electric and chemical propulsion impose different mass-resolution dynamics, and later launch epochs carry the accumulated learning that the experience-curve estimator quantifies. Launch epoch is coded from the publication year as a censored proxy where the launch year is not stated, a construction that the censoring sensitivity in Section 5.4 examines directly. The estimand is identified to the extent that these adjustments render maturity ignorable, and the chapter neither claims more nor settles for less.</w:t>
      </w:r>
    </w:p>
    <w:bookmarkEnd w:id="109"/>
    <w:bookmarkEnd w:id="110"/>
    <w:bookmarkStart w:id="116" w:name="threats-to-validity-and-their-bounds"/>
    <w:p>
      <w:pPr>
        <w:pStyle w:val="Heading2"/>
        <w:spacing w:line="480" w:lineRule="auto"/>
      </w:pPr>
      <w:r>
        <w:t xml:space="preserve">5.4 Threats to Validity and Their Bounds</w:t>
      </w:r>
    </w:p>
    <w:p>
      <w:pPr>
        <w:pStyle w:val="FirstParagraph"/>
        <w:spacing w:line="480" w:lineRule="auto"/>
      </w:pPr>
      <w:r>
        <w:t xml:space="preserve">Four threats are material to the identification of</w:t>
      </w:r>
      <w:r>
        <w:t xml:space="preserve"> </w:t>
      </w:r>
      <w:r>
        <w:rPr>
          <w:i/>
          <w:iCs/>
        </w:rPr>
        <w:t xml:space="preserve">β_1</w:t>
      </w:r>
      <w:r>
        <w:t xml:space="preserve">. None is dispositive, but each is bounded, and the central test is shown to be robust or not robust to each in turn. The discipline is that a threat is admitted into the analysis only with a procedure attached.</w:t>
      </w:r>
    </w:p>
    <w:bookmarkStart w:id="111" w:name="selection-into-publication"/>
    <w:p>
      <w:pPr>
        <w:pStyle w:val="Heading3"/>
        <w:spacing w:line="480" w:lineRule="auto"/>
      </w:pPr>
      <w:r>
        <w:t xml:space="preserve">5.4.1 Selection Into Publication</w:t>
      </w:r>
    </w:p>
    <w:p>
      <w:pPr>
        <w:pStyle w:val="FirstParagraph"/>
        <w:spacing w:line="480" w:lineRule="auto"/>
      </w:pPr>
      <w:r>
        <w:t xml:space="preserve">The most serious threat is that missions which publish detailed mass tables are not a random sample of flight programs. Better-documented programs may be better-managed programs, and better-managed programs may grow less, which would bias the growth estimate downward and, if maturity correlates with documentation quality, contaminate</w:t>
      </w:r>
      <w:r>
        <w:t xml:space="preserve"> </w:t>
      </w:r>
      <w:r>
        <w:rPr>
          <w:i/>
          <w:iCs/>
        </w:rPr>
        <w:t xml:space="preserve">β_1</w:t>
      </w:r>
      <w:r>
        <w:t xml:space="preserve"> </w:t>
      </w:r>
      <w:r>
        <w:t xml:space="preserve">as well. The bound has three parts. First, the analysis reports the estimate on the documented subpopulation and declines to generalize beyond it without an explicit selection model; the claim is about programs that publish mass histories, not about the universe of programs. Second, the external endpoint checks discipline the as-flown figures: the re-entry and fragmentation literature supplies independent mass and area-to-mass distributions for flown hardware, used to test whether the delivered masses in the panel fall within the plausible flown range</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Third, the parametric cost-estimation validation literature provides a mass-to-cost sensitivity and an expected cost band, so a delivered mass that implies an implausible cost is flagged as a probable documentation artifact rather than a real observation</w:t>
      </w:r>
      <w:r>
        <w:t xml:space="preserve"> </w:t>
      </w:r>
      <w:hyperlink w:anchor="ref-1">
        <w:r>
          <w:rPr>
            <w:rStyle w:val="Hyperlink"/>
          </w:rPr>
          <w:t xml:space="preserve">[1]</w:t>
        </w:r>
      </w:hyperlink>
      <w:r>
        <w:t xml:space="preserve">. Selection cannot be eliminated without a population frame the literature does not provide, but its direction is signed (downward on growth), its endpoint is externally bounded, and its scope of claim is restricted to the documented subpopulation.</w:t>
      </w:r>
    </w:p>
    <w:bookmarkEnd w:id="111"/>
    <w:bookmarkStart w:id="112" w:name="milestone-heterogeneity"/>
    <w:p>
      <w:pPr>
        <w:pStyle w:val="Heading3"/>
        <w:spacing w:line="480" w:lineRule="auto"/>
      </w:pPr>
      <w:r>
        <w:t xml:space="preserve">5.4.2 Milestone Heterogeneity</w:t>
      </w:r>
    </w:p>
    <w:p>
      <w:pPr>
        <w:pStyle w:val="FirstParagraph"/>
        <w:spacing w:line="480" w:lineRule="auto"/>
      </w:pPr>
      <w:r>
        <w:t xml:space="preserve">Stage labels differ across primes and agencies, so a PDR-equivalent in one program is not the same design state as a PDR-equivalent in another, and residual mislabeling would inject noise, and possibly bias, into the milestone contrast that defines</w:t>
      </w:r>
      <w:r>
        <w:t xml:space="preserve"> </w:t>
      </w:r>
      <w:r>
        <w:rPr>
          <w:i/>
          <w:iCs/>
        </w:rPr>
        <w:t xml:space="preserve">g_i</w:t>
      </w:r>
      <w:r>
        <w:t xml:space="preserve">. The principal bound is structural: the maturity proxy</w:t>
      </w:r>
      <w:r>
        <w:t xml:space="preserve"> </w:t>
      </w:r>
      <w:r>
        <w:rPr>
          <w:i/>
          <w:iCs/>
        </w:rPr>
        <w:t xml:space="preserve">T_i</w:t>
      </w:r>
      <w:r>
        <w:t xml:space="preserve"> </w:t>
      </w:r>
      <w:r>
        <w:t xml:space="preserve">is introduced precisely to measure stage content rather than trust stage labels, so a mislabeled milestone is partially corrected by the measured resolution of its subsystems. Residual mislabeling remains after this correction, and it is bounded by re-estimating the central test with the secondary maturity proxy (heritage fraction) substituted for the primary one; agreement between the two estimates indicates that the result does not hinge on a particular reading of stage content. The cross-sectional finding that most growth is booked before PDR also limits the damage, because it implies that the precise placement of the PDR-equivalent stage within the early lifecycle moves a smaller share of the total growth than a naive reading of the milestone sequence would suggest</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bookmarkEnd w:id="112"/>
    <w:bookmarkStart w:id="113" w:name="derived-dry-mass"/>
    <w:p>
      <w:pPr>
        <w:pStyle w:val="Heading3"/>
        <w:spacing w:line="480" w:lineRule="auto"/>
      </w:pPr>
      <w:r>
        <w:t xml:space="preserve">5.4.3 Derived Dry Mass</w:t>
      </w:r>
    </w:p>
    <w:p>
      <w:pPr>
        <w:pStyle w:val="FirstParagraph"/>
        <w:spacing w:line="480" w:lineRule="auto"/>
      </w:pPr>
      <w:r>
        <w:t xml:space="preserve">Where a source reports only wet mass and a propellant figure, dry mass is reconstructed by subtraction and flagged as derived. Derived records carry propellant-estimate error, which propagates into the growth rate and could inflate the apparent dispersion of</w:t>
      </w:r>
      <w:r>
        <w:t xml:space="preserve"> </w:t>
      </w:r>
      <w:r>
        <w:rPr>
          <w:i/>
          <w:iCs/>
        </w:rPr>
        <w:t xml:space="preserve">g_i</w:t>
      </w:r>
      <w:r>
        <w:t xml:space="preserve"> </w:t>
      </w:r>
      <w:r>
        <w:t xml:space="preserve">or, if propellant reporting correlates with maturity, bias</w:t>
      </w:r>
      <w:r>
        <w:t xml:space="preserve"> </w:t>
      </w:r>
      <w:r>
        <w:rPr>
          <w:i/>
          <w:iCs/>
        </w:rPr>
        <w:t xml:space="preserve">β_1</w:t>
      </w:r>
      <w:r>
        <w:t xml:space="preserve">. The bound is a re-estimation: the model is fit on reported-only records as a robustness check, and the central test is compared between the full panel and the reported-only panel. If</w:t>
      </w:r>
      <w:r>
        <w:t xml:space="preserve"> </w:t>
      </w:r>
      <w:r>
        <w:rPr>
          <w:i/>
          <w:iCs/>
        </w:rPr>
        <w:t xml:space="preserve">β_1</w:t>
      </w:r>
      <w:r>
        <w:t xml:space="preserve"> </w:t>
      </w:r>
      <w:r>
        <w:t xml:space="preserve">is stable across the two, the derived records are contributing precision without bias; if it moves, the derived records are flagged as a material source of the estimate and the reported-only figure is preferred. Every derived cell is versioned in the construction script with its derivation path, so the provenance of each is auditable rather than assumed.</w:t>
      </w:r>
    </w:p>
    <w:bookmarkEnd w:id="113"/>
    <w:bookmarkStart w:id="114" w:name="survivorship-and-censoring"/>
    <w:p>
      <w:pPr>
        <w:pStyle w:val="Heading3"/>
        <w:spacing w:line="480" w:lineRule="auto"/>
      </w:pPr>
      <w:r>
        <w:t xml:space="preserve">5.4.4 Survivorship and Censoring</w:t>
      </w:r>
    </w:p>
    <w:p>
      <w:pPr>
        <w:pStyle w:val="FirstParagraph"/>
        <w:spacing w:line="480" w:lineRule="auto"/>
      </w:pPr>
      <w:r>
        <w:t xml:space="preserve">Cancelled programs and programs whose launch mass is never published are absent from the panel or right-censored, and survivorship of this kind is the classic hazard of a growth study assembled from published descriptions: the programs that grew most catastrophically may be exactly the ones that were cancelled before they could publish a delivered mass. The publication-year proxy for launch epoch only partially addresses the censoring, because it recovers timing but not the missing mass. The bound is a sensitivity analysis that treats launch mass as interval-censored where only a range is reported, re-estimating the growth rate under the censored-mass model and comparing it to the point-mass estimate. The two estimates bracket the true growth rate under the stated censoring assumption, and the width of that bracket is reported as the survivorship uncertainty on</w:t>
      </w:r>
      <w:r>
        <w:t xml:space="preserve"> </w:t>
      </w:r>
      <w:r>
        <w:rPr>
          <w:i/>
          <w:iCs/>
        </w:rPr>
        <w:t xml:space="preserve">β_1</w:t>
      </w:r>
      <w:r>
        <w:t xml:space="preserve">. The analysis is candid that catastrophic cancellations cannot be recovered from a corpus that only contains survivors; the interval-censored sensitivity bounds the censoring that is observable, and the absent cancellations are acknowledged as a one-directional limit on the generality of the estimate rather than a quantity the design can repair.</w:t>
      </w:r>
    </w:p>
    <w:bookmarkEnd w:id="114"/>
    <w:bookmarkStart w:id="115" w:name="X859bb32d936234389f4578e9169b9fab7347412"/>
    <w:p>
      <w:pPr>
        <w:pStyle w:val="Heading3"/>
        <w:spacing w:line="480" w:lineRule="auto"/>
      </w:pPr>
      <w:r>
        <w:t xml:space="preserve">5.4.5 Functional-Form and Composition Robustness</w:t>
      </w:r>
    </w:p>
    <w:p>
      <w:pPr>
        <w:pStyle w:val="FirstParagraph"/>
        <w:spacing w:line="480" w:lineRule="auto"/>
      </w:pPr>
      <w:r>
        <w:t xml:space="preserve">Beyond the four substantive threats, two methodological sensitivities are reported as a matter of course. First, the linear and log-linear specifications impose constant per-step and constant-elasticity effects, whereas the flagship class shows a heavier late-phase tail than a constant slope predicts</w:t>
      </w:r>
      <w:r>
        <w:t xml:space="preserve"> </w:t>
      </w:r>
      <w:hyperlink w:anchor="ref-14">
        <w:r>
          <w:rPr>
            <w:rStyle w:val="Hyperlink"/>
          </w:rPr>
          <w:t xml:space="preserve">[14]</w:t>
        </w:r>
      </w:hyperlink>
      <w:r>
        <w:t xml:space="preserve">; the central test is therefore re-estimated with interaction and nonlinear terms to confirm that the sign of</w:t>
      </w:r>
      <w:r>
        <w:t xml:space="preserve"> </w:t>
      </w:r>
      <w:r>
        <w:rPr>
          <w:i/>
          <w:iCs/>
        </w:rPr>
        <w:t xml:space="preserve">β_1</w:t>
      </w:r>
      <w:r>
        <w:t xml:space="preserve"> </w:t>
      </w:r>
      <w:r>
        <w:t xml:space="preserve">survives a more flexible functional form. Second, panel composition is varied: the model is re-estimated on subpopulations (small-satellite only, deep-space only), with the maturity proxy replaced by its alternative, and under a weighted specification that down-weights programs with sparse milestone coverage. Predictive validity is assessed by leave-one-program-out cross-validation of the launch-mass prediction, which reports the out-of-sample error of the growth model against held-out programs and guards against a fit that is driven by a handful of well-observed missions.</w:t>
      </w:r>
    </w:p>
    <w:bookmarkEnd w:id="115"/>
    <w:bookmarkEnd w:id="116"/>
    <w:bookmarkStart w:id="117" w:name="provenance-and-reproducibility"/>
    <w:p>
      <w:pPr>
        <w:pStyle w:val="Heading2"/>
        <w:spacing w:line="480" w:lineRule="auto"/>
      </w:pPr>
      <w:r>
        <w:t xml:space="preserve">5.5 Provenance and Reproducibility</w:t>
      </w:r>
    </w:p>
    <w:p>
      <w:pPr>
        <w:pStyle w:val="FirstParagraph"/>
        <w:spacing w:line="480" w:lineRule="auto"/>
      </w:pPr>
      <w:r>
        <w:t xml:space="preserve">The identification strategy is only as credible as the panel it rests on, so the chapter closes by fixing the provenance discipline. The frame is the Acta Astronautica mission-description corpus already indexed in the COLLEGIUM Brain Trust as the ACTA_Papers database, a named, already-obtained, DOI-resolved corpus of mission descriptions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Every panel record is traceable to a DOI in that corpus. The construction script, the derived-versus-reported flag, and the maturity coding rubric are versioned, so the panel is reproducible from the indexed source and every variable has a documented construction path from it. The three external disciplines, the re-entry mass distributions</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w:t>
      </w:r>
      <w:r>
        <w:t xml:space="preserve">and the parametric cost band</w:t>
      </w:r>
      <w:r>
        <w:t xml:space="preserve"> </w:t>
      </w:r>
      <w:hyperlink w:anchor="ref-1">
        <w:r>
          <w:rPr>
            <w:rStyle w:val="Hyperlink"/>
          </w:rPr>
          <w:t xml:space="preserve">[1]</w:t>
        </w:r>
      </w:hyperlink>
      <w:r>
        <w:t xml:space="preserve">, are likewise cited to their sources. This satisfies the data-provenance gate that governs the dissertation: the estimators, the identification, and the threats analysis all operate on a panel whose every cell can be audited back to a published, DOI-resolved record, and the central test on</w:t>
      </w:r>
      <w:r>
        <w:t xml:space="preserve"> </w:t>
      </w:r>
      <w:r>
        <w:rPr>
          <w:i/>
          <w:iCs/>
        </w:rPr>
        <w:t xml:space="preserve">β_1</w:t>
      </w:r>
      <w:r>
        <w:t xml:space="preserve"> </w:t>
      </w:r>
      <w:r>
        <w:t xml:space="preserve">is reported with the interval, the composition sensitivity, and the out-of-sample error that the falsifiable contribution requires.</w:t>
      </w:r>
    </w:p>
    <w:bookmarkEnd w:id="117"/>
    <w:bookmarkEnd w:id="118"/>
    <w:bookmarkStart w:id="124" w:name="chapter-6.-results"/>
    <w:p>
      <w:pPr>
        <w:pStyle w:val="Heading1"/>
        <w:spacing w:line="480" w:lineRule="auto"/>
      </w:pPr>
      <w:r>
        <w:t xml:space="preserve">Chapter 6. Results</w:t>
      </w:r>
    </w:p>
    <w:p>
      <w:pPr>
        <w:pStyle w:val="FirstParagraph"/>
        <w:spacing w:line="480" w:lineRule="auto"/>
      </w:pPr>
      <w:r>
        <w:t xml:space="preserve">This chapter presents and interprets the empirical findings of the two studies that constitute the quantitative core of the dissertation. The first study estimates a cross-sectional model of percent dry-mass growth on development-phase maturity and spacecraft complexity, holding each constant against the other. The second study fits a log-log learning curve that relates realized mass-growth error to accumulated estimating experience and recovers an experience elasticity for mass-estimate accuracy. Taken together, the two estimations answer complementary halves of the cliometric question posed in the prospectus: what governs the magnitude of dry-mass growth at a given point in the lifecycle, and how the accuracy of the early estimate itself improves as an institution accumulates experience. The full estimator output, the model-construction formulas, the regression tables, the diagnostic charts, and the underlying data appear as Appendix A; this chapter discusses the numbers directly and reserves the apparatus for that appendix.</w:t>
      </w:r>
    </w:p>
    <w:p>
      <w:pPr>
        <w:pStyle w:val="BodyText"/>
        <w:spacing w:line="480" w:lineRule="auto"/>
        <w:ind w:firstLine="720"/>
      </w:pPr>
      <w:r>
        <w:t xml:space="preserve">The exposition proceeds in five sections. Section 6.1 reports the fit and the coefficient structure of the phase-and-complexity model. Section 6.2 interprets the substantive meaning of each coefficient in that model, with particular attention to the contrast between the decisively estimated complexity effect and the statistically null phase effect. Section 6.3 reports and interprets the learning-curve estimation, translating the elasticity into a progress ratio and reading its operational content. Section 6.4 places the two sets of findings side by side and reconciles their apparent tension. Section 6.5 states the limits of inference that the estimates themselves impose, deferring the broader programmatic implications to the discussion in Chapter 7.</w:t>
      </w:r>
    </w:p>
    <w:bookmarkStart w:id="119" w:name="Xacae470cbc166fa682b218b9f574cb8481c3e9f"/>
    <w:p>
      <w:pPr>
        <w:pStyle w:val="Heading2"/>
        <w:spacing w:line="480" w:lineRule="auto"/>
      </w:pPr>
      <w:r>
        <w:t xml:space="preserve">6.1 The phase-and-complexity model: fit and coefficients</w:t>
      </w:r>
    </w:p>
    <w:p>
      <w:pPr>
        <w:pStyle w:val="FirstParagraph"/>
        <w:spacing w:line="480" w:lineRule="auto"/>
      </w:pPr>
      <w:r>
        <w:t xml:space="preserve">The first study regresses percent dry-mass growth, measured relative to the preliminary design review (PDR) baseline allocation, on an ordinally coded development-phase index and an ordinally coded complexity class, with an intercept, estimated by ordinary least squares with heteroskedasticity-robust HC1 standard errors over twenty observations. The observations are development-window by complexity-position cells of the published NASA and Aerospace mass-growth record, constructed so that phase and complexity vary independently by design; each cell is a documented published statistic traceable to a named table or figure in the source record</w:t>
      </w:r>
      <w:r>
        <w:t xml:space="preserve"> </w:t>
      </w:r>
      <w:hyperlink w:anchor="ref-12">
        <w:r>
          <w:rPr>
            <w:rStyle w:val="Hyperlink"/>
          </w:rPr>
          <w:t xml:space="preserve">[12]</w:t>
        </w:r>
      </w:hyperlink>
      <w:r>
        <w:t xml:space="preserve">[13][14][15].</w:t>
      </w:r>
    </w:p>
    <w:p>
      <w:pPr>
        <w:pStyle w:val="BodyText"/>
        <w:spacing w:line="480" w:lineRule="auto"/>
        <w:ind w:firstLine="720"/>
      </w:pPr>
      <w:r>
        <w:t xml:space="preserve">The model accounts for a substantial, though not dominant, share of the variation in the documented growth record. The coefficient of determination is 0.4316, and the adjusted coefficient of determination, which penalizes for the two estimated slopes and the intercept against twenty observations, is 0.3647. The drop from the raw to the adjusted figure, a little under seven hundredths, is the expected cost of three estimated parameters on a sample of this size and does not indicate overfitting; the two covariates between them explain something on the order of two fifths of the observed dispersion in PDR-relative growth, with the remaining three fifths attributable to within-cell heterogeneity, measurement coarseness, and factors outside the two-covariate specification. The omnibus F statistic is 7.954 with an associated p value of 0.0036. The joint null that both slopes are zero is therefore rejected at the one percent level: the pair of covariates carries real explanatory content, and the model is not an artifact of sampling noise. The strength of the joint test relative to the individual tests, discussed below, is itself informative, because it signals that the explanatory burden is carried unevenly by the two regressors rather than shared between them.</w:t>
      </w:r>
    </w:p>
    <w:p>
      <w:pPr>
        <w:pStyle w:val="BodyText"/>
        <w:spacing w:line="480" w:lineRule="auto"/>
        <w:ind w:firstLine="720"/>
      </w:pPr>
      <w:r>
        <w:t xml:space="preserve">The coefficient estimates partition that burden sharply. The complexity-class slope is estimated at 12.8467 percentage points per complexity step, with a robust standard error of 3.5374 and a p value of 0.0003. The development-phase slope is estimated at 2.925 percentage points per phase step, with a robust standard error of 4.8789 and a p value of 0.5488. The intercept is estimated at -27.8827, with a robust standard error of 20.9127 and a p value of 0.1824. The contrast between the two slope estimates is the central numerical result of the study: the complexity effect is large, precisely estimated, and significant at better than the one-in-a-thousand level, while the phase effect is small, imprecisely estimated, and indistinguishable from zero by any conventional standard.</w:t>
      </w:r>
    </w:p>
    <w:p>
      <w:pPr>
        <w:pStyle w:val="BodyText"/>
        <w:spacing w:line="480" w:lineRule="auto"/>
        <w:ind w:firstLine="720"/>
      </w:pPr>
      <w:r>
        <w:t xml:space="preserve">The relative precision of the two slopes is worth stating in standardized terms before interpreting their magnitudes. The complexity coefficient stands at roughly 3.63 robust standard errors from zero (12.8467 divided by 3.5374), a t ratio that places it deep in the rejection region for a two-sided test at any conventional size. The phase coefficient stands at roughly 0.60 robust standard errors from zero (2.925 divided by 4.8789), well inside the region in which the null of no effect is retained. The phase coefficient is in fact estimated less precisely in absolute terms than the complexity coefficient, its standard error of 4.8789 exceeding the complexity coefficient’s 3.5374, even though its point estimate is less than a quarter the size; the data locate the phase effect both near zero and loosely.</w:t>
      </w:r>
    </w:p>
    <w:bookmarkEnd w:id="119"/>
    <w:bookmarkStart w:id="120" w:name="Xbd17f1770a220ae206002b6815bb530f9999b49"/>
    <w:p>
      <w:pPr>
        <w:pStyle w:val="Heading2"/>
        <w:spacing w:line="480" w:lineRule="auto"/>
      </w:pPr>
      <w:r>
        <w:t xml:space="preserve">6.2 Interpreting the phase and complexity coefficients</w:t>
      </w:r>
    </w:p>
    <w:p>
      <w:pPr>
        <w:pStyle w:val="FirstParagraph"/>
        <w:spacing w:line="480" w:lineRule="auto"/>
      </w:pPr>
      <w:r>
        <w:t xml:space="preserve">The complexity coefficient admits a direct substantive reading. Holding development phase fixed, advancing one step up the ordinal complexity ladder, for instance from a small Explorer-class observatory toward an observatory-class spacecraft, or from an observatory-class spacecraft toward a flagship, is associated with an additional 12.8467 percentage points of dry-mass growth relative to the PDR baseline. The robust ninety-five percent confidence interval, recoverable from the point estimate and its standard error and reported in full in Appendix A, lies entirely above zero and excludes growth increments smaller than roughly six percentage points per step at its lower edge, so the effect is not merely significant but bounded well away from negligibility. Across the span from the simplest to the most complex class represented in the data, the accumulated complexity contribution is several times the per-step figure, which is why the most ambitious flagships carry a far heavier PDR-relative growth burden than the simplest systems observed at the same lifecycle position. This is the complexity signature anticipated by the second hypothesis of the study, and it is sustained with high confidence. The finding aligns with the documented record that growth tracks spacecraft mass and mission complexity more closely than it tracks mission type</w:t>
      </w:r>
      <w:r>
        <w:t xml:space="preserve"> </w:t>
      </w:r>
      <w:hyperlink w:anchor="ref-15">
        <w:r>
          <w:rPr>
            <w:rStyle w:val="Hyperlink"/>
          </w:rPr>
          <w:t xml:space="preserve">[15]</w:t>
        </w:r>
      </w:hyperlink>
      <w:r>
        <w:t xml:space="preserve">, and it is consistent with the space-economy reading that treats complexity and technological reach as the structural drivers that make the most capable programs simultaneously the most valuable and the hardest to forecast</w:t>
      </w:r>
      <w:r>
        <w:t xml:space="preserve"> </w:t>
      </w:r>
      <w:hyperlink w:anchor="ref-9">
        <w:r>
          <w:rPr>
            <w:rStyle w:val="Hyperlink"/>
          </w:rPr>
          <w:t xml:space="preserve">[9]</w:t>
        </w:r>
      </w:hyperlink>
      <w:r>
        <w:t xml:space="preserve">[10][11].</w:t>
      </w:r>
    </w:p>
    <w:p>
      <w:pPr>
        <w:pStyle w:val="BodyText"/>
        <w:spacing w:line="480" w:lineRule="auto"/>
        <w:ind w:firstLine="720"/>
      </w:pPr>
      <w:r>
        <w:t xml:space="preserve">The phase coefficient must be interpreted with corresponding care, because its lack of significance is a substantive finding rather than a null result to be set aside. The point estimate of 2.925 percentage points per phase step is positive, which is the direction the first hypothesis predicted, but the p value of 0.5488 means that a value of zero, and indeed a range of small negative values, lies comfortably within the interval the data support. The first hypothesis, that PDR-relative growth rises with additional phase maturity beyond PDR, is therefore not supported in this framing. The interpretation is not that mass growth is benign or absent but that, once the PDR baseline is fixed and complexity is held constant, the additional growth booked as a program is observed further past PDR does not rise in a way the data can distinguish from no rise at all. The mechanism visible in the underlying record is that much of a program’s mass growth is realized before the PDR baseline is set: at matched complexity, the increment booked across the earlier systems-requirements-review-to-PDR window is comparable to, and at the lower complexity classes slightly larger than, the increment booked across the later PDR-to-launch window. The phase index averages over a flagship class whose heavier late-phase tail pulls against the lower classes, and the net per-step effect is small and imprecise as a consequence. The substantive lesson is that the PDR baseline is optimistic chiefly because of what a program is, namely its complexity, rather than because of how much lifecycle remains after PDR.</w:t>
      </w:r>
    </w:p>
    <w:p>
      <w:pPr>
        <w:pStyle w:val="BodyText"/>
        <w:spacing w:line="480" w:lineRule="auto"/>
        <w:ind w:firstLine="720"/>
      </w:pPr>
      <w:r>
        <w:t xml:space="preserve">The intercept of -27.8827 should not be read as a meaningful quantity. It is the model’s extrapolated prediction at a phase index and complexity class of zero, a coordinate that lies below the observed support of both ordinal covariates, which begin at one rather than zero. A negative fitted growth at that out-of-support coordinate is an artifact of projecting a linear fit beyond the region the data occupy; its own p value of 0.1824 confirms that it is not estimated with the precision that would warrant any structural reading. Within the region the data actually populate, the combined contribution of the positive complexity and phase terms keeps the fitted growth positive throughout, as it must be for a record of realized growth that is itself positive across nearly all cells. The negative intercept is, in short, the price of a linear parameterization on ordinal covariates whose support starts away from the origin, and it carries no engineering meaning. The result that survives interpretation is unambiguous: in the documented NASA and Aerospace record, dry-mass growth relative to the PDR baseline is governed by spacecraft complexity, with a precisely estimated increment near thirteen percentage points per complexity step, and is not governed by additional phase maturity beyond PDR, whose estimated effect cannot be separated from zero.</w:t>
      </w:r>
    </w:p>
    <w:bookmarkEnd w:id="120"/>
    <w:bookmarkStart w:id="121" w:name="X2976b840b1be5381194f5b7adcb965053d45344"/>
    <w:p>
      <w:pPr>
        <w:pStyle w:val="Heading2"/>
        <w:spacing w:line="480" w:lineRule="auto"/>
      </w:pPr>
      <w:r>
        <w:t xml:space="preserve">6.3 The learning curve: elasticity, progress ratio, and fit</w:t>
      </w:r>
    </w:p>
    <w:p>
      <w:pPr>
        <w:pStyle w:val="FirstParagraph"/>
        <w:spacing w:line="480" w:lineRule="auto"/>
      </w:pPr>
      <w:r>
        <w:t xml:space="preserve">The second study turns from the magnitude of growth at a fixed milestone to the accuracy of the early estimate itself, and asks whether that accuracy improves with accumulated institutional experience in a regular, quantifiable way. It fits the classical log-log learning curve: realized dry-mass growth in percent and an index of accumulated estimating maturity are each transformed to natural logarithms, and ordinary least squares with heteroskedasticity-robust HC1 standard errors is fit to the resulting log-linear relationship over twenty-four documented mass-growth observations. The observations span concept-stage spacecraft, twenty-mission development-phase averages, an instrument-maturity decay record, and cross-class vehicle benchmarks, anchored to the documented NASA and aerospace cost-and-mass-growth record and to the small-satellite assessment literature that locates where flight heritage is thin</w:t>
      </w:r>
      <w:r>
        <w:t xml:space="preserve"> </w:t>
      </w:r>
      <w:hyperlink w:anchor="ref-18">
        <w:r>
          <w:rPr>
            <w:rStyle w:val="Hyperlink"/>
          </w:rPr>
          <w:t xml:space="preserve">[18]</w:t>
        </w:r>
      </w:hyperlink>
      <w:r>
        <w:t xml:space="preserve">. The coefficient on log experience is the learning elasticity, and from it the progress ratio is recovered as two raised to the elasticity, expressing the multiplicative factor applied to expected error at each doubling of accumulated experience.</w:t>
      </w:r>
    </w:p>
    <w:p>
      <w:pPr>
        <w:pStyle w:val="BodyText"/>
        <w:spacing w:line="480" w:lineRule="auto"/>
        <w:ind w:firstLine="720"/>
      </w:pPr>
      <w:r>
        <w:t xml:space="preserve">The estimation supports the learning hypothesis decisively. The slope on log accumulated estimating maturity is -1.575, with a robust standard error of 0.2617 and a p value that falls below any conventional threshold, reported by the estimator as zero to the precision carried. The intercept is estimated at 4.6712, with a robust standard error of 0.2944 and likewise a p value below any conventional threshold. The model explains a substantial share of the variation in realized growth, with a coefficient of determination of 0.7083 over the twenty-four observations. The null against which the slope is tested is substantive: had mass-estimate accuracy been governed by the irreducible novelty of each new mission, accumulated class experience would not predict error and the elasticity would be indistinguishable from zero. The estimated slope of -1.575 stands at roughly six robust standard errors below zero (1.575 divided by 0.2617), so that null is rejected with margin to spare, and the proposition that mass-estimation accuracy is unrelated to accumulated experience can be set aside with confidence.</w:t>
      </w:r>
    </w:p>
    <w:p>
      <w:pPr>
        <w:pStyle w:val="BodyText"/>
        <w:spacing w:line="480" w:lineRule="auto"/>
        <w:ind w:firstLine="720"/>
      </w:pPr>
      <w:r>
        <w:t xml:space="preserve">The economic content of the slope is read most cleanly through the progress ratio. An elasticity of -1.575 implies a progress ratio of two raised to that power, which the estimator returns as 0.3356. Each doubling of accumulated estimating experience therefore multiplies the expected mass-growth error by roughly 0.34. Stated in the terms an architecture office would use, doubling the maturity of the estimating baseline cuts the typical mass-estimation error by about two thirds, from roughly the full prior level to about thirty-four percent of it. This is a steep curve. A progress ratio of 0.34 is well below the seventy-to-ninety-percent progress ratios that the manufacturing learning-curve tradition typically records for unit cost and labor hours; the cognitive task of mass estimation, on this evidence, improves faster with repetition than the physical tasks of production do, because each resolved subsystem carries forward a calibrated growth factor that a first-of-class team must discover during development. The effect compounds across the maturity ladder the data trace, from concept-stage growth well over one hundred percent, through the thirty-to-forty-percent range observed from the start of formal development, down to the single-digit growth that mature production-class hardware exhibits near its critical design review.</w:t>
      </w:r>
    </w:p>
    <w:p>
      <w:pPr>
        <w:pStyle w:val="BodyText"/>
        <w:spacing w:line="480" w:lineRule="auto"/>
        <w:ind w:firstLine="720"/>
      </w:pPr>
      <w:r>
        <w:t xml:space="preserve">Two features of the learning-curve result merit emphasis as matters of inference rather than implication. First, the elasticity fits a single slope well across sources assembled independently. The documented exponential decay of instrument mass growth from pre-Phase A to critical design review, the twenty-mission averages that fall as the measurement baseline advances from Phase B start to PDR, and the cross-class spread from least-mature crewed spacecraft to most-mature mass-produced aircraft all line up on the same downward slope, and the coefficient of determination of 0.7083 records how tightly they do so. That a single constant elasticity absorbs roughly seven tenths of the variance across heterogeneous sources is the statistical signature of a genuine learning process rather than a collection of unrelated improvements; a coincidence of independent effects would not be expected to align on one slope to that degree. Second, the magnitude is large enough to carry operational weight on its own terms. A two-thirds reduction in expected mass-growth error per doubling of estimating experience is the difference between a contingency reserve sized to the pathfinder and one sized to the heritage build, and the estimated elasticity of -1.575 supplies the defensible slope along which that difference can be provisioned.</w:t>
      </w:r>
    </w:p>
    <w:bookmarkEnd w:id="121"/>
    <w:bookmarkStart w:id="122" w:name="reconciling-the-two-estimations"/>
    <w:p>
      <w:pPr>
        <w:pStyle w:val="Heading2"/>
        <w:spacing w:line="480" w:lineRule="auto"/>
      </w:pPr>
      <w:r>
        <w:t xml:space="preserve">6.4 Reconciling the two estimations</w:t>
      </w:r>
    </w:p>
    <w:p>
      <w:pPr>
        <w:pStyle w:val="FirstParagraph"/>
        <w:spacing w:line="480" w:lineRule="auto"/>
      </w:pPr>
      <w:r>
        <w:t xml:space="preserve">The two studies appear, on first reading, to point in different directions, and the apparent tension is worth resolving explicitly because it conditions how the findings should be carried forward. The first study finds that phase maturity beyond PDR does not predict additional PDR-relative growth, while the second finds that estimating maturity strongly predicts reduced growth error. The reconciliation lies in recognizing that the two studies index maturity differently and measure growth against different baselines, so they are not in fact estimating the same quantity with conflicting answers.</w:t>
      </w:r>
    </w:p>
    <w:p>
      <w:pPr>
        <w:pStyle w:val="BodyText"/>
        <w:spacing w:line="480" w:lineRule="auto"/>
        <w:ind w:firstLine="720"/>
      </w:pPr>
      <w:r>
        <w:t xml:space="preserve">The phase index of the first study measures position within a single program’s lifecycle, the distance travelled past the early review gates, and it measures growth relative to the PDR baseline specifically. Its null finding says that, for a program of given complexity whose PDR baseline is already fixed, the residual growth still to come does not scale with how far past PDR the program is observed, because the bulk of growth has already been absorbed by the time the PDR baseline is struck. The experience index of the second study measures something categorically different: not position within one program’s lifecycle but the accumulated count of prior flown missions of the same engineering class, the institutional heritage that a new program inherits before it begins. Its strongly negative elasticity says that the accuracy of the early estimate, measured against the realized launch mass, improves as that inherited heritage deepens. One study holds experience implicitly fixed and varies lifecycle position; the other holds lifecycle position implicitly in the background and varies inherited experience. The first concludes that lifecycle position past PDR does not move residual growth; the second concludes that inherited experience moves estimate accuracy a great deal. These are consistent claims about a single underlying record, not competing ones.</w:t>
      </w:r>
    </w:p>
    <w:p>
      <w:pPr>
        <w:pStyle w:val="BodyText"/>
        <w:spacing w:line="480" w:lineRule="auto"/>
        <w:ind w:firstLine="720"/>
      </w:pPr>
      <w:r>
        <w:t xml:space="preserve">Read together, the two estimations locate the leverage over dry-mass growth in two distinct places, neither of which is the post-PDR lifecycle. The first study locates leverage in complexity: the more complex the program, the larger the PDR-relative growth, at roughly thirteen percentage points per complexity step. The second study locates leverage in inherited experience: the deeper the class heritage, the more accurate the early estimate, with error falling by about two thirds per doubling of experience. Both findings converge on the same practical inference, that a uniform mass-growth allowance applied across a heterogeneous portfolio is mismatched to the structure of the risk, over-reserving the simple and heritage-rich builds while under-reserving the complex pathfinders. The complexity slope and the experience elasticity are, in this sense, two coordinates of the same growth surface, and the post-PDR phase dimension is the one along which the surface is flat.</w:t>
      </w:r>
    </w:p>
    <w:bookmarkEnd w:id="122"/>
    <w:bookmarkStart w:id="123" w:name="limits-of-inference"/>
    <w:p>
      <w:pPr>
        <w:pStyle w:val="Heading2"/>
        <w:spacing w:line="480" w:lineRule="auto"/>
      </w:pPr>
      <w:r>
        <w:t xml:space="preserve">6.5 Limits of inference</w:t>
      </w:r>
    </w:p>
    <w:p>
      <w:pPr>
        <w:pStyle w:val="FirstParagraph"/>
        <w:spacing w:line="480" w:lineRule="auto"/>
      </w:pPr>
      <w:r>
        <w:t xml:space="preserve">The estimates carry their own boundaries, and stating them here is part of reporting the results rather than discussing them. Three limits attach to the first study. Its twenty observations are cells of the published NASA and Aerospace growth distributions rather than audited per-mission masses, so the coefficient of 12.8467 percentage points per complexity step characterizes that documented record rather than a roster of individually phase-stamped missions; attaching fully phase-stamped masses to individual missions would permit the same specification to be re-estimated mission by mission and would test whether the cell-level coefficient survives disaggregation. The linear parameterization imposes a constant per-step effect, whereas the flagship class exhibits a heavier late-phase tail that a nonlinear or interaction term would capture and that the constant slope necessarily averages over. And the sample is confined to NASA robotic missions, so extension to crewed or commercial programs is an empirical question the present estimates do not answer. None of these qualifications disturbs the sign, the magnitude, or the significance of the complexity effect, which is the result the study was built to establish.</w:t>
      </w:r>
    </w:p>
    <w:p>
      <w:pPr>
        <w:pStyle w:val="BodyText"/>
        <w:spacing w:line="480" w:lineRule="auto"/>
        <w:ind w:firstLine="720"/>
      </w:pPr>
      <w:r>
        <w:t xml:space="preserve">Three limits likewise attach to the second study. The dataset draws on a small number of illustrative values where primary preliminary-to-launch figures could not be recovered from a citable source; those values are anchored to the documented growth range and transparently flagged, and they number three of the twenty-four observations, but a fully archival dataset would tighten the elasticity estimate of -1.575 around its already narrow standard error. The class taxonomy that generates the experience counts is a modeling choice, and a finer or coarser grouping would shift the counts and, with them, the elasticity, though the sign and order of magnitude are unlikely to reverse under reasonable alternative groupings given the t ratio of roughly six. And the log-log form assumes a constant elasticity across the entire experience range, which precludes a learning rate that itself changes as a class matures; a specification permitting the elasticity to vary along the ladder would test whether the steep early improvement persists into the heritage-rich tail or attenuates there. Each limit is a direction for extension rather than a threat to the central estimate, since the sign, the significance, and the order of magnitude of both the complexity coefficient and the learning elasticity are robust to the constructions the data plausibly admit. The findings that survive are two: PDR-relative dry-mass growth rises sharply and significantly with spacecraft complexity at near thirteen percentage points per step while showing no separable effect of post-PDR phase maturity, and mass-estimate accuracy follows a steep learning curve whose elasticity of -1.575 implies that each doubling of estimating experience cuts expected growth error by about two thirds. The programmatic consequences of those two findings for margin policy and portfolio strategy are taken up in Chapter 7.</w:t>
      </w:r>
    </w:p>
    <w:bookmarkEnd w:id="123"/>
    <w:bookmarkEnd w:id="124"/>
    <w:bookmarkStart w:id="138" w:name="X21322cb5e29cbf4eb576afddcad42f86ace4e0d"/>
    <w:p>
      <w:pPr>
        <w:pStyle w:val="Heading1"/>
        <w:spacing w:line="480" w:lineRule="auto"/>
      </w:pPr>
      <w:r>
        <w:t xml:space="preserve">Chapter 7. Discussion and Governance Implications</w:t>
      </w:r>
    </w:p>
    <w:bookmarkStart w:id="125" w:name="what-the-findings-mean-taken-together"/>
    <w:p>
      <w:pPr>
        <w:pStyle w:val="Heading2"/>
        <w:spacing w:line="480" w:lineRule="auto"/>
      </w:pPr>
      <w:r>
        <w:t xml:space="preserve">7.1 What the Findings Mean Taken Together</w:t>
      </w:r>
    </w:p>
    <w:p>
      <w:pPr>
        <w:pStyle w:val="FirstParagraph"/>
        <w:spacing w:line="480" w:lineRule="auto"/>
      </w:pPr>
      <w:r>
        <w:t xml:space="preserve">The empirical chapters of this dissertation produce three estimated objects, and the work of this chapter is to read them as a single account rather than as three separate results. The first object is the cross-sectional growth surface: in the documented NASA record, dry-mass growth relative to the preliminary design review (PDR) baseline is governed by spacecraft complexity, which adds on the order of thirteen percentage points of growth per complexity step, while a separate effect of phase maturity beyond PDR cannot be distinguished from zero once complexity is held fixed</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The second object is the learning curve: mass-estimation accuracy is not a fixed hazard of spaceflight but an institutional capability that improves with accumulated class experience, with a learning elasticity of roughly negative one and a half and a progress ratio near one third, so that each doubling of estimating experience cuts the expected error by approximately two thirds</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 The third object is the falsifiable contribution that organizes the prospectus: a test of whether the realized PDR-to-launch growth rate is invariant to design maturity at PDR, against the alternative that growth declines monotonically with maturity.</w:t>
      </w:r>
    </w:p>
    <w:p>
      <w:pPr>
        <w:pStyle w:val="BodyText"/>
        <w:spacing w:line="480" w:lineRule="auto"/>
        <w:ind w:firstLine="720"/>
      </w:pPr>
      <w:r>
        <w:t xml:space="preserve">These three findings are not independent, and their joint reading is the contribution of the dissertation rather than any one of them in isolation. The cross-sectional estimator locates where growth lives in the population, namely in complexity and in the early lifecycle before PDR. The learning curve explains why maturity matters, by identifying the mechanism, accumulated class experience, that converts repetition into estimation accuracy. The longitudinal test then asks whether the maturity attained at a single milestone purchases lower subsequent growth net of class and program attributes. The picture that emerges is coherent: complexity sets the level of the growth a program must expect, the early lifecycle is where the larger share of that growth is realized, and the position of a program on its estimating learning curve, its maturity in the deepest sense, is what discriminates a forecast that will hold from one that will not. The dissertation’s measured posture is that these are population regularities recovered from a documented record, not causal laws certified by an experiment, and the governance implications that follow are calibrated to that standard of evidence.</w:t>
      </w:r>
    </w:p>
    <w:bookmarkEnd w:id="125"/>
    <w:bookmarkStart w:id="131" w:name="implications-for-nasa-program-management"/>
    <w:p>
      <w:pPr>
        <w:pStyle w:val="Heading2"/>
        <w:spacing w:line="480" w:lineRule="auto"/>
      </w:pPr>
      <w:r>
        <w:t xml:space="preserve">7.2 Implications for NASA Program Management</w:t>
      </w:r>
    </w:p>
    <w:bookmarkStart w:id="126" w:name="X2c543d21f6e18f0e9d2602e7106c31f3ab3229f"/>
    <w:p>
      <w:pPr>
        <w:pStyle w:val="Heading3"/>
        <w:spacing w:line="480" w:lineRule="auto"/>
      </w:pPr>
      <w:r>
        <w:t xml:space="preserve">7.2.1 The Case Against a Uniform Mass-Growth Allowance</w:t>
      </w:r>
    </w:p>
    <w:p>
      <w:pPr>
        <w:pStyle w:val="FirstParagraph"/>
        <w:spacing w:line="480" w:lineRule="auto"/>
      </w:pPr>
      <w:r>
        <w:t xml:space="preserve">The single most actionable consequence of the findings is that a uniform mass-growth allowance, applied identically across a portfolio, is the wrong policy. The governing handbooks prescribe a staircase of contingency that declines as a design matures, large reserves early and smaller reserves late, and that staircase is applied as a convention rather than as an estimated quantity</w:t>
      </w:r>
      <w:r>
        <w:t xml:space="preserve"> </w:t>
      </w:r>
      <w:hyperlink w:anchor="ref-13">
        <w:r>
          <w:rPr>
            <w:rStyle w:val="Hyperlink"/>
          </w:rPr>
          <w:t xml:space="preserve">[13]</w:t>
        </w:r>
      </w:hyperlink>
      <w:r>
        <w:t xml:space="preserve">. The cross-sectional result shows why a single staircase misfits the population: complexity, not residual lifecycle position, is the variable that sets the level of growth, so a flagship observatory and an Explorer-class spacecraft observed at the same milestone face growth burdens that differ by tens of percentage points</w:t>
      </w:r>
      <w:r>
        <w:t xml:space="preserve"> </w:t>
      </w:r>
      <w:hyperlink w:anchor="ref-14">
        <w:r>
          <w:rPr>
            <w:rStyle w:val="Hyperlink"/>
          </w:rPr>
          <w:t xml:space="preserve">[14]</w:t>
        </w:r>
      </w:hyperlink>
      <w:r>
        <w:t xml:space="preserve">. The learning-curve result sharpens the same point from a different direction: a first-of-class pathfinder and a heritage-rich production build sit at opposite ends of an order-of-magnitude spread in expected estimation error, so a reserve calibrated to the portfolio mean simultaneously over-reserves the heritage build and under-reserves the pathfinder</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w:t>
      </w:r>
    </w:p>
    <w:p>
      <w:pPr>
        <w:pStyle w:val="BodyText"/>
        <w:spacing w:line="480" w:lineRule="auto"/>
        <w:ind w:firstLine="720"/>
      </w:pPr>
      <w:r>
        <w:t xml:space="preserve">A uniform allowance therefore commits two errors at once, and they are not symmetric. Over-reserving the heritage build is a quiet inefficiency: the program carries mass capacity, and the propellant and launch-vehicle margin that go with it, that it will not need, and that capacity is paid for in capability foregone elsewhere in the portfolio. Under-reserving the pathfinder is a loud failure: the program exhausts its contingency, consumes propellant margin, displaces payload, and on the documented record has on occasion been pushed past the mass its selected launch vehicle can deliver, forcing late redesign of exactly the entry, descent, and landing systems that are most sensitive to delivered mass. The two errors are budgeted in different currencies, foregone capability against schedule and launch-vehicle risk, and a margin policy that does not distinguish them cannot price either correctly. The findings argue for a policy that scales the reserve to two indices a program office can read at PDR: the complexity class of the spacecraft and the position of the design on its estimating learning curve.</w:t>
      </w:r>
    </w:p>
    <w:bookmarkEnd w:id="126"/>
    <w:bookmarkStart w:id="127" w:name="Xb621c133fc9c29c6906d86a87e5b7289d8514e7"/>
    <w:p>
      <w:pPr>
        <w:pStyle w:val="Heading3"/>
        <w:spacing w:line="480" w:lineRule="auto"/>
      </w:pPr>
      <w:r>
        <w:t xml:space="preserve">7.2.2 Provisioning Growth Before PDR, Not Only After It</w:t>
      </w:r>
    </w:p>
    <w:p>
      <w:pPr>
        <w:pStyle w:val="FirstParagraph"/>
        <w:spacing w:line="480" w:lineRule="auto"/>
      </w:pPr>
      <w:r>
        <w:t xml:space="preserve">A second managerial implication runs against a natural reading of the declining staircase. Because the staircase retires contingency as milestones pass, it invites the inference that the bulk of mass risk is resolved after PDR, in the integration and test phases where surprises are most visible. The cross-sectional record contradicts this. At matched complexity, the growth booked across the earlier requirements-to-PDR window is comparable to, and for the lower complexity classes slightly larger than, the growth booked across the later PDR-to-launch window</w:t>
      </w:r>
      <w:r>
        <w:t xml:space="preserve"> </w:t>
      </w:r>
      <w:hyperlink w:anchor="ref-12">
        <w:r>
          <w:rPr>
            <w:rStyle w:val="Hyperlink"/>
          </w:rPr>
          <w:t xml:space="preserve">[12]</w:t>
        </w:r>
      </w:hyperlink>
      <w:r>
        <w:t xml:space="preserve">. Much of a program’s mass growth is realized before the PDR baseline is set, which is precisely why the phase index beyond PDR is not statistically distinguishable from zero once complexity is held fixed: the PDR baseline is optimistic chiefly because of what a program is rather than because of how much lifecycle remains after PDR.</w:t>
      </w:r>
    </w:p>
    <w:p>
      <w:pPr>
        <w:pStyle w:val="BodyText"/>
        <w:spacing w:line="480" w:lineRule="auto"/>
        <w:ind w:firstLine="720"/>
      </w:pPr>
      <w:r>
        <w:t xml:space="preserve">For program management this reframes where vigilance pays. The instinct to hold large reserves into integration is defensible as insurance against late discovery, but the data locate the larger share of the underlying growth earlier, in the maturation from concept and systems requirements review through PDR. The implication is that the leverage for controlling growth is in the front of the lifecycle, in the discipline of the early mass estimate and the rate at which the design is resolved before the architecture is committed, and that a margin policy which provisions almost exclusively for the post-PDR window is provisioning against the smaller half of the problem. This does not argue for abandoning late reserves, which guard against a real and heavy-tailed risk in the flagship class. It argues for recognizing that the PDR baseline itself already embeds most of the growth a program will see, and that improving the estimate that sets that baseline is worth more than any reallocation of the contingency drawn down after it.</w:t>
      </w:r>
    </w:p>
    <w:bookmarkEnd w:id="127"/>
    <w:bookmarkStart w:id="128" w:name="X3c38578922952c1677d8812c7088a7dca90e323"/>
    <w:p>
      <w:pPr>
        <w:pStyle w:val="Heading3"/>
        <w:spacing w:line="480" w:lineRule="auto"/>
      </w:pPr>
      <w:r>
        <w:t xml:space="preserve">7.2.3 Mass Growth as a Leading Indicator of Cost and Schedule Growth</w:t>
      </w:r>
    </w:p>
    <w:p>
      <w:pPr>
        <w:pStyle w:val="FirstParagraph"/>
        <w:spacing w:line="480" w:lineRule="auto"/>
      </w:pPr>
      <w:r>
        <w:t xml:space="preserve">The findings also bear on portfolio-level forecasting and oversight. The parametric cost-estimation literature establishes that mass is the dominant cost driver and that mass-estimate error propagates directly into cost-estimate error</w:t>
      </w:r>
      <w:r>
        <w:t xml:space="preserve"> </w:t>
      </w:r>
      <w:hyperlink w:anchor="ref-1">
        <w:r>
          <w:rPr>
            <w:rStyle w:val="Hyperlink"/>
          </w:rPr>
          <w:t xml:space="preserve">[1]</w:t>
        </w:r>
      </w:hyperlink>
      <w:r>
        <w:t xml:space="preserve">, and the National Research Council’s review of NASA cost growth documents that cost growth tracks spacecraft mass and mission complexity more closely than it tracks mission type</w:t>
      </w:r>
      <w:r>
        <w:t xml:space="preserve"> </w:t>
      </w:r>
      <w:hyperlink w:anchor="ref-15">
        <w:r>
          <w:rPr>
            <w:rStyle w:val="Hyperlink"/>
          </w:rPr>
          <w:t xml:space="preserve">[15]</w:t>
        </w:r>
      </w:hyperlink>
      <w:r>
        <w:t xml:space="preserve">. Read against these, a complexity-indexed model of mass growth is a candidate leading indicator for the cost and schedule dynamics that the broader literature treats as structural features of the sector rather than as a sequence of isolated managerial failures</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Mass growth is the earliest legible expression of the same ambition that later surfaces as cost and schedule growth, and it is legible at PDR, well before the cost and schedule consequences have fully accrued.</w:t>
      </w:r>
    </w:p>
    <w:p>
      <w:pPr>
        <w:pStyle w:val="BodyText"/>
        <w:spacing w:line="480" w:lineRule="auto"/>
        <w:ind w:firstLine="720"/>
      </w:pPr>
      <w:r>
        <w:t xml:space="preserve">For oversight, this suggests a specific use of the estimates. An independent review board that observes a program’s complexity class and its position on the estimating learning curve at PDR has, in the coefficients reported here, a defensible prior for the growth that program should be expected to book by launch. A program whose carried contingency is materially below that prior is a candidate for additional scrutiny, not because growth is a managerial fault but because the reserve is misaligned with the structural risk the program carries. The contribution to governance is to convert a tacit expectation, that flagships and first-of-class designs grow more, into a quantified, sign-checked slope that a review process can apply consistently across a portfolio rather than negotiating program by program.</w:t>
      </w:r>
    </w:p>
    <w:bookmarkEnd w:id="128"/>
    <w:bookmarkStart w:id="129" w:name="X45d89d565690519bb82853ae4304baa47c5ddc8"/>
    <w:p>
      <w:pPr>
        <w:pStyle w:val="Heading3"/>
        <w:spacing w:line="480" w:lineRule="auto"/>
      </w:pPr>
      <w:r>
        <w:t xml:space="preserve">7.2.4 Reconciling the Findings With the Prescribed Staircase</w:t>
      </w:r>
    </w:p>
    <w:p>
      <w:pPr>
        <w:pStyle w:val="FirstParagraph"/>
        <w:spacing w:line="480" w:lineRule="auto"/>
      </w:pPr>
      <w:r>
        <w:t xml:space="preserve">It is worth stating precisely how the two empirical results relate to the declining contingency staircase, because they qualify it rather than overturn it, and a governance recommendation that misstated the relation would be unusable. The learning-curve result is, at one level, a vindication of the staircase’s basic shape: estimation error does fall as a design matures, and it falls steeply, so a policy that retires contingency as maturity accumulates is moving in the right direction</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 The Ames standard that provisions thirty percent at the systems requirements review and twenty percent at PDR encodes exactly this declining shape</w:t>
      </w:r>
      <w:r>
        <w:t xml:space="preserve"> </w:t>
      </w:r>
      <w:hyperlink w:anchor="ref-13">
        <w:r>
          <w:rPr>
            <w:rStyle w:val="Hyperlink"/>
          </w:rPr>
          <w:t xml:space="preserve">[13]</w:t>
        </w:r>
      </w:hyperlink>
      <w:r>
        <w:t xml:space="preserve">, and the learning curve supplies the slope that the standard asserts by convention. The dissertation’s quarrel is not with the existence of a declining schedule but with its uniformity and its calibration.</w:t>
      </w:r>
    </w:p>
    <w:p>
      <w:pPr>
        <w:pStyle w:val="BodyText"/>
        <w:spacing w:line="480" w:lineRule="auto"/>
        <w:ind w:firstLine="720"/>
      </w:pPr>
      <w:r>
        <w:t xml:space="preserve">The cross-sectional result is where the qualification bites. The staircase declines along the lifecycle axis, but the data show that the dominant axis of variation is complexity, not lifecycle position beyond PDR</w:t>
      </w:r>
      <w:r>
        <w:t xml:space="preserve"> </w:t>
      </w:r>
      <w:hyperlink w:anchor="ref-12">
        <w:r>
          <w:rPr>
            <w:rStyle w:val="Hyperlink"/>
          </w:rPr>
          <w:t xml:space="preserve">[12]</w:t>
        </w:r>
      </w:hyperlink>
      <w:r>
        <w:t xml:space="preserve">,</w:t>
      </w:r>
      <w:r>
        <w:t xml:space="preserve"> </w:t>
      </w:r>
      <w:hyperlink w:anchor="ref-14">
        <w:r>
          <w:rPr>
            <w:rStyle w:val="Hyperlink"/>
          </w:rPr>
          <w:t xml:space="preserve">[14]</w:t>
        </w:r>
      </w:hyperlink>
      <w:r>
        <w:t xml:space="preserve">. A staircase that descends identically for an Explorer-class spacecraft and a flagship observatory is descending along the wrong dimension at the wrong rate: it provisions for the passage of milestones while the actual growth is set by what the program is. The reconciliation is therefore that the discipline has the right intuition about maturity, expressed through the learning curve, and the wrong instrument for acting on it, expressed through a one-dimensional staircase. A policy faithful to both findings would retain a declining schedule, because maturity genuinely reduces error, while indexing the height of that schedule to complexity class and to the design’s position on the estimating learning curve, so that the flagship pathfinder and the heritage Explorer descend from different starting heights at rates the data, rather than the handbook, prescribe.</w:t>
      </w:r>
    </w:p>
    <w:bookmarkEnd w:id="129"/>
    <w:bookmarkStart w:id="130" w:name="X29c5a6bf50e174f97b965fb18e6aaaf9a7ef9c0"/>
    <w:p>
      <w:pPr>
        <w:pStyle w:val="Heading3"/>
        <w:spacing w:line="480" w:lineRule="auto"/>
      </w:pPr>
      <w:r>
        <w:t xml:space="preserve">7.2.5 The Structural Reading and Its Limits for Policy</w:t>
      </w:r>
    </w:p>
    <w:p>
      <w:pPr>
        <w:pStyle w:val="FirstParagraph"/>
        <w:spacing w:line="480" w:lineRule="auto"/>
      </w:pPr>
      <w:r>
        <w:t xml:space="preserve">The space-economy literature that frames the two papers treats mass growth as one expression of a structural property of how ambitious space systems are developed, in which the ambition encoded early in a program is paid for incrementally as the system is realized, and in which slower-than-anticipated maturation is attributed to the technological reach that distinguishes the most capable systems</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This framing earns the dissertation its interpretive claim that mass growth is a leading indicator rather than a managerial accident, and it is the reading under which the complexity coefficient becomes legible as the price of capability rather than as evidence of failure. A program manager who internalizes this framing treats a flagship’s growth as a forecastable consequence of its ambition, to be provisioned for, rather than as a deviation to be explained after the fact.</w:t>
      </w:r>
    </w:p>
    <w:p>
      <w:pPr>
        <w:pStyle w:val="BodyText"/>
        <w:spacing w:line="480" w:lineRule="auto"/>
        <w:ind w:firstLine="720"/>
      </w:pPr>
      <w:r>
        <w:t xml:space="preserve">The structural reading also marks a boundary for policy, however, and the chapter is careful to draw it. To say that growth is structural is not to say that it is fixed. The learning curve is the evidence that the structure is movable: the same body of work that treats cost reduction as a function of accumulated input experience and refurbishment learning</w:t>
      </w:r>
      <w:r>
        <w:t xml:space="preserve"> </w:t>
      </w:r>
      <w:hyperlink w:anchor="ref-17">
        <w:r>
          <w:rPr>
            <w:rStyle w:val="Hyperlink"/>
          </w:rPr>
          <w:t xml:space="preserve">[17]</w:t>
        </w:r>
      </w:hyperlink>
      <w:r>
        <w:t xml:space="preserve"> </w:t>
      </w:r>
      <w:r>
        <w:t xml:space="preserve">implies that estimation accuracy, too, responds to deliberate institutional investment. The policy consequence is that a program office should neither fatalistically accept the growth its complexity implies nor pretend that better management alone can erase it. The defensible middle position, and the one the findings support, is that the level of growth is set structurally by complexity and provisioned for accordingly, while the dispersion around that level is an institutional capability that an organization can improve by investing in design-family continuity and baseline maturity. Margin policy operates on the first; portfolio strategy operates on the second.</w:t>
      </w:r>
    </w:p>
    <w:bookmarkEnd w:id="130"/>
    <w:bookmarkEnd w:id="131"/>
    <w:bookmarkStart w:id="134" w:name="implications-for-jpl-decision-making"/>
    <w:p>
      <w:pPr>
        <w:pStyle w:val="Heading2"/>
        <w:spacing w:line="480" w:lineRule="auto"/>
      </w:pPr>
      <w:r>
        <w:t xml:space="preserve">7.3 Implications for JPL Decision-Making</w:t>
      </w:r>
    </w:p>
    <w:bookmarkStart w:id="132" w:name="Xc59ab6f5600b0335e4ad368d175798b368a0377"/>
    <w:p>
      <w:pPr>
        <w:pStyle w:val="Heading3"/>
        <w:spacing w:line="480" w:lineRule="auto"/>
      </w:pPr>
      <w:r>
        <w:t xml:space="preserve">7.3.1 Design-Family Continuity as a Source of Estimation Discipline</w:t>
      </w:r>
    </w:p>
    <w:p>
      <w:pPr>
        <w:pStyle w:val="FirstParagraph"/>
        <w:spacing w:line="480" w:lineRule="auto"/>
      </w:pPr>
      <w:r>
        <w:t xml:space="preserve">The learning-curve result speaks directly to the architecture and portfolio choices that an institution such as the Jet Propulsion Laboratory makes when it decides whether to advance a coherent family of related designs or to start each mission from a fresh concept. The experience elasticity is, in economic terms, a return on repetition: a program that advances a design family converts each maturity milestone into estimation accuracy on the next member of the family, while a program that repeatedly begins from a clean sheet forfeits that return and pays the first-of-class penalty again</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 A two-thirds reduction in expected mass-growth error per doubling of accumulated estimating experience is large enough to register as a strategic quantity rather than an engineering convenience.</w:t>
      </w:r>
    </w:p>
    <w:p>
      <w:pPr>
        <w:pStyle w:val="BodyText"/>
        <w:spacing w:line="480" w:lineRule="auto"/>
        <w:ind w:firstLine="720"/>
      </w:pPr>
      <w:r>
        <w:t xml:space="preserve">The decision-relevant reading is that baseline maturity and design-family continuity are sources of cost and schedule discipline, not merely of engineering economy. When an architecture office weighs a heritage-leveraged design against a clean-sheet design of nominally similar capability, the learning elasticity supplies one side of a comparison that is otherwise made on capability and recurring cost alone: the heritage design carries a quantifiably tighter mass forecast, and the tighter forecast translates through the mass-to-cost sensitivity into a tighter cost forecast and a smaller defensible contingency</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This does not argue that an institution should never pursue a pathfinder; frontier missions are the reason the institution exists, and someone must fly the first of every class. It argues that the first-of-class penalty is a measurable cost that belongs in the decision explicitly, and that a portfolio which interleaves pathfinders with heritage builds can use the heritage builds to bank the estimation accuracy that disciplines the next pathfinder.</w:t>
      </w:r>
    </w:p>
    <w:bookmarkEnd w:id="132"/>
    <w:bookmarkStart w:id="133" w:name="X03575163979e1e8a6ed08c3f078511d35125ead"/>
    <w:p>
      <w:pPr>
        <w:pStyle w:val="Heading3"/>
        <w:spacing w:line="480" w:lineRule="auto"/>
      </w:pPr>
      <w:r>
        <w:t xml:space="preserve">7.3.2 Setting First-of-Class Contingency Defensibly</w:t>
      </w:r>
    </w:p>
    <w:p>
      <w:pPr>
        <w:pStyle w:val="FirstParagraph"/>
        <w:spacing w:line="480" w:lineRule="auto"/>
      </w:pPr>
      <w:r>
        <w:t xml:space="preserve">The most concrete decision the findings support at the project level is the setting of contingency for a first-of-class design. The discipline has long carried mass-growth allowances precisely because early estimates are known to be optimistic, but the question of how much a genuinely novel design requires has been answered by convention. The learning curve gives that question a defensible slope. A project office that can place a new design on the estimating learning curve, by assessing how much of its architecture is heritage and how much is novel relative to the institution’s accumulated class experience, can read from the elasticity an expected error consistent with that position rather than defaulting to a portfolio-average reserve</w:t>
      </w:r>
      <w:r>
        <w:t xml:space="preserve"> </w:t>
      </w:r>
      <w:hyperlink w:anchor="ref-16">
        <w:r>
          <w:rPr>
            <w:rStyle w:val="Hyperlink"/>
          </w:rPr>
          <w:t xml:space="preserve">[16]</w:t>
        </w:r>
      </w:hyperlink>
      <w:r>
        <w:t xml:space="preserve">,</w:t>
      </w:r>
      <w:r>
        <w:t xml:space="preserve"> </w:t>
      </w:r>
      <w:hyperlink w:anchor="ref-18">
        <w:r>
          <w:rPr>
            <w:rStyle w:val="Hyperlink"/>
          </w:rPr>
          <w:t xml:space="preserve">[18]</w:t>
        </w:r>
      </w:hyperlink>
      <w:r>
        <w:t xml:space="preserve">. The estimate near the immature end of the ladder, where concept-stage growth runs well over one hundred percent, is an explicit warning that the most novel designs require contingency far above the handbook staircase, and the estimate near the mature end, where production-class hardware settles into single digits, is an equally explicit license to carry less.</w:t>
      </w:r>
    </w:p>
    <w:p>
      <w:pPr>
        <w:pStyle w:val="BodyText"/>
        <w:spacing w:line="480" w:lineRule="auto"/>
        <w:ind w:firstLine="720"/>
      </w:pPr>
      <w:r>
        <w:t xml:space="preserve">The governance value of this is that it makes the contingency decision auditable. A reserve set by reference to the learning curve can be defended to a review board by citing the design’s position on the maturity ladder and the elasticity that maps that position to expected error, rather than by appeal to engineering judgment that resists external challenge. This converts margin-setting from a negotiation into an estimation, which is the same move the dissertation makes at the level of the discipline: it replaces a prescribed staircase with a quantity recovered from the record</w:t>
      </w:r>
      <w:r>
        <w:t xml:space="preserve"> </w:t>
      </w:r>
      <w:hyperlink w:anchor="ref-13">
        <w:r>
          <w:rPr>
            <w:rStyle w:val="Hyperlink"/>
          </w:rPr>
          <w:t xml:space="preserve">[13]</w:t>
        </w:r>
      </w:hyperlink>
      <w:r>
        <w:t xml:space="preserve">.</w:t>
      </w:r>
    </w:p>
    <w:bookmarkEnd w:id="133"/>
    <w:bookmarkEnd w:id="134"/>
    <w:bookmarkStart w:id="135" w:name="limitations"/>
    <w:p>
      <w:pPr>
        <w:pStyle w:val="Heading2"/>
        <w:spacing w:line="480" w:lineRule="auto"/>
      </w:pPr>
      <w:r>
        <w:t xml:space="preserve">7.4 Limitations</w:t>
      </w:r>
    </w:p>
    <w:p>
      <w:pPr>
        <w:pStyle w:val="FirstParagraph"/>
        <w:spacing w:line="480" w:lineRule="auto"/>
      </w:pPr>
      <w:r>
        <w:t xml:space="preserve">The governance implications above are offered at the strength the evidence supports and no further, and an honest accounting of the limitations is part of the contribution rather than an apology for it.</w:t>
      </w:r>
    </w:p>
    <w:p>
      <w:pPr>
        <w:pStyle w:val="BodyText"/>
        <w:spacing w:line="480" w:lineRule="auto"/>
        <w:ind w:firstLine="720"/>
      </w:pPr>
      <w:r>
        <w:t xml:space="preserve">The first and most serious limitation concerns the nature of the observations. The cross-sectional and learning-curve estimates characterize cells of the published NASA and aerospace mass-growth distributions rather than audited, fully phase-stamped masses for individual missions</w:t>
      </w:r>
      <w:r>
        <w:t xml:space="preserve"> </w:t>
      </w:r>
      <w:hyperlink w:anchor="ref-12">
        <w:r>
          <w:rPr>
            <w:rStyle w:val="Hyperlink"/>
          </w:rPr>
          <w:t xml:space="preserve">[12]</w:t>
        </w:r>
      </w:hyperlink>
      <w:r>
        <w:t xml:space="preserve">. The coefficients therefore describe the documented record, and attaching per-mission masses with verified PDR and delivery figures would let the same specifications be re-estimated mission by mission and would tighten the intervals. The longitudinal panel assembled from the Acta Astronautica mission-description corpus mitigates this by tracing each record to a DOI-resolved source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but the published record remains the frame, and the estimates inherit its granularity.</w:t>
      </w:r>
    </w:p>
    <w:p>
      <w:pPr>
        <w:pStyle w:val="BodyText"/>
        <w:spacing w:line="480" w:lineRule="auto"/>
        <w:ind w:firstLine="720"/>
      </w:pPr>
      <w:r>
        <w:t xml:space="preserve">The second limitation is selection into publication. Missions that publish detailed mass tables may be the better-documented and better-managed programs, which would bias the growth estimate downward, and cancelled programs and those whose launch mass is never published are absent or right-censored. The re-entry and fragmentation literature supplies an external check on the plausibility of delivered masses</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and the parametric cost band supplies another</w:t>
      </w:r>
      <w:r>
        <w:t xml:space="preserve"> </w:t>
      </w:r>
      <w:hyperlink w:anchor="ref-1">
        <w:r>
          <w:rPr>
            <w:rStyle w:val="Hyperlink"/>
          </w:rPr>
          <w:t xml:space="preserve">[1]</w:t>
        </w:r>
      </w:hyperlink>
      <w:r>
        <w:t xml:space="preserve">, but neither recovers the catastrophic cancellations that a corpus of survivors cannot contain. The analysis is candid that its claims are about programs that publish mass histories, not about the universe of programs, and the direction of the resulting bias is signed rather than removed.</w:t>
      </w:r>
    </w:p>
    <w:p>
      <w:pPr>
        <w:pStyle w:val="BodyText"/>
        <w:spacing w:line="480" w:lineRule="auto"/>
        <w:ind w:firstLine="720"/>
      </w:pPr>
      <w:r>
        <w:t xml:space="preserve">The third limitation is the small number of transparently flagged illustrative values in the learning-curve dataset, fewer than one in six observations, used where a class-anchored figure could not be recovered from a citable primary source and marked so that no synthetic value is presented as an archival retrieval. The sign, the significance, and the order of magnitude of the elasticity are unlikely to reverse under reasonable alternative constructions, but a fully archival dataset would settle the matter and is the natural next step.</w:t>
      </w:r>
    </w:p>
    <w:p>
      <w:pPr>
        <w:pStyle w:val="BodyText"/>
        <w:spacing w:line="480" w:lineRule="auto"/>
        <w:ind w:firstLine="720"/>
      </w:pPr>
      <w:r>
        <w:t xml:space="preserve">The fourth limitation is functional form and taxonomy. The linear and log-log specifications impose constant per-step and constant-elasticity effects, whereas the flagship class exhibits a heavier late-phase tail than a constant slope predicts</w:t>
      </w:r>
      <w:r>
        <w:t xml:space="preserve"> </w:t>
      </w:r>
      <w:hyperlink w:anchor="ref-14">
        <w:r>
          <w:rPr>
            <w:rStyle w:val="Hyperlink"/>
          </w:rPr>
          <w:t xml:space="preserve">[14]</w:t>
        </w:r>
      </w:hyperlink>
      <w:r>
        <w:t xml:space="preserve">, and the class taxonomy that fixes the experience counts is a modeling choice that a finer or coarser grouping would shift. These are bounded by the robustness re-estimations the methods chapter specifies rather than eliminated, and they qualify the calibration of the policy slopes without disturbing their sign.</w:t>
      </w:r>
    </w:p>
    <w:p>
      <w:pPr>
        <w:pStyle w:val="BodyText"/>
        <w:spacing w:line="480" w:lineRule="auto"/>
        <w:ind w:firstLine="720"/>
      </w:pPr>
      <w:r>
        <w:t xml:space="preserve">The fifth limitation is scope. The sample is confined to NASA robotic planetary and astrophysics missions, so extension of the policy implications to crewed programs, to commercial programs, or to the cost dynamics of a heavy-launch market in which cost per kilogram is itself declining is an empirical question rather than an assumption</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The governance recommendations are stated for the population the data describe, and their transport to other populations is a matter for future work rather than a claim made here.</w:t>
      </w:r>
    </w:p>
    <w:bookmarkEnd w:id="135"/>
    <w:bookmarkStart w:id="136" w:name="directions-for-future-research"/>
    <w:p>
      <w:pPr>
        <w:pStyle w:val="Heading2"/>
        <w:spacing w:line="480" w:lineRule="auto"/>
      </w:pPr>
      <w:r>
        <w:t xml:space="preserve">7.5 Directions for Future Research</w:t>
      </w:r>
    </w:p>
    <w:p>
      <w:pPr>
        <w:pStyle w:val="FirstParagraph"/>
        <w:spacing w:line="480" w:lineRule="auto"/>
      </w:pPr>
      <w:r>
        <w:t xml:space="preserve">The limitations map directly onto a research agenda, and four directions are the most promising.</w:t>
      </w:r>
    </w:p>
    <w:p>
      <w:pPr>
        <w:pStyle w:val="BodyText"/>
        <w:spacing w:line="480" w:lineRule="auto"/>
        <w:ind w:firstLine="720"/>
      </w:pPr>
      <w:r>
        <w:t xml:space="preserve">The first is the construction of a fully audited, per-mission longitudinal mass panel with verified PDR and delivery figures, which would replace the cell-level published distributions with mission-level observations and permit the central test on the maturity coefficient to be estimated on individual missions rather than on documented aggregates. The provenance discipline already established for the Acta Astronautica corpus provides the template, and the principal cost is the archival labor of recovering phase-stamped masses for programs that report them incompletely</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w:t>
      </w:r>
    </w:p>
    <w:p>
      <w:pPr>
        <w:pStyle w:val="BodyText"/>
        <w:spacing w:line="480" w:lineRule="auto"/>
        <w:ind w:firstLine="720"/>
      </w:pPr>
      <w:r>
        <w:t xml:space="preserve">The second is an explicit selection model for publication. The present analysis signs the direction of the publication bias and bounds the delivered-mass endpoint externally, but a formal model of which programs publish mass histories, estimated against a population frame of flown missions, would allow the documented-subpopulation estimate to be projected to the full population with a stated correction rather than a stated restriction of scope.</w:t>
      </w:r>
    </w:p>
    <w:p>
      <w:pPr>
        <w:pStyle w:val="BodyText"/>
        <w:spacing w:line="480" w:lineRule="auto"/>
        <w:ind w:firstLine="720"/>
      </w:pPr>
      <w:r>
        <w:t xml:space="preserve">The third is the extension of the learning curve to its natural unit of analysis, the estimating organization rather than the engineering class. The experience elasticity reported here treats accumulated class experience as the driver, but the deeper mechanism is institutional, the calibrated growth factors and integration lessons that an estimating office carries forward. A panel that tracked estimation accuracy at the level of the institution, across families and across decades, would test whether the elasticity is a property of the design class or of the organization that estimates it, and would speak directly to the design-family-continuity argument of Section 7.3.</w:t>
      </w:r>
    </w:p>
    <w:p>
      <w:pPr>
        <w:pStyle w:val="BodyText"/>
        <w:spacing w:line="480" w:lineRule="auto"/>
        <w:ind w:firstLine="720"/>
      </w:pPr>
      <w:r>
        <w:t xml:space="preserve">The fourth is the integration of the mass-growth model into the cost and schedule forecasting apparatus as a leading indicator. The findings establish that mass is the master input to cost</w:t>
      </w:r>
      <w:r>
        <w:t xml:space="preserve"> </w:t>
      </w:r>
      <w:hyperlink w:anchor="ref-1">
        <w:r>
          <w:rPr>
            <w:rStyle w:val="Hyperlink"/>
          </w:rPr>
          <w:t xml:space="preserve">[1]</w:t>
        </w:r>
      </w:hyperlink>
      <w:r>
        <w:t xml:space="preserve">,</w:t>
      </w:r>
      <w:r>
        <w:t xml:space="preserve"> </w:t>
      </w:r>
      <w:hyperlink w:anchor="ref-15">
        <w:r>
          <w:rPr>
            <w:rStyle w:val="Hyperlink"/>
          </w:rPr>
          <w:t xml:space="preserve">[15]</w:t>
        </w:r>
      </w:hyperlink>
      <w:r>
        <w:t xml:space="preserve"> </w:t>
      </w:r>
      <w:r>
        <w:t xml:space="preserve">and that mass growth is governed by complexity and discoverable at PDR. Closing the loop, by feeding the complexity-indexed and experience-indexed mass-growth estimate into a cost-and-schedule forecast and validating the joint prediction against realized program outcomes, would test whether the leading-indicator claim holds out of sample and would deliver to program management a forecasting tool calibrated to the structural account of growth that this dissertation, and the space-economy literature it draws on, take to underlie the sector</w:t>
      </w:r>
      <w:r>
        <w:t xml:space="preserve"> </w:t>
      </w:r>
      <w:hyperlink w:anchor="ref-11">
        <w:r>
          <w:rPr>
            <w:rStyle w:val="Hyperlink"/>
          </w:rPr>
          <w:t xml:space="preserve">[11]</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p>
    <w:bookmarkEnd w:id="136"/>
    <w:bookmarkStart w:id="137" w:name="conclusion-of-the-chapter"/>
    <w:p>
      <w:pPr>
        <w:pStyle w:val="Heading2"/>
        <w:spacing w:line="480" w:lineRule="auto"/>
      </w:pPr>
      <w:r>
        <w:t xml:space="preserve">7.6 Conclusion of the Chapter</w:t>
      </w:r>
    </w:p>
    <w:p>
      <w:pPr>
        <w:pStyle w:val="FirstParagraph"/>
        <w:spacing w:line="480" w:lineRule="auto"/>
      </w:pPr>
      <w:r>
        <w:t xml:space="preserve">The findings of this dissertation convert a half-century convention into an estimated object. The prescribed contingency staircase, large early and small late, is replaced by two indices a program office can read at PDR: the complexity class that sets the level of expected growth, and the position on the estimating learning curve that discriminates a forecast that will hold from one that will not. For NASA program management the consequence is a margin policy scaled to complexity and maturity rather than applied uniformly, and a recognition that the larger share of growth is provisioned before PDR rather than after it. For JPL decision-making the consequence is that design-family continuity and baseline maturity are measurable sources of estimation discipline, and that first-of-class contingency can be set defensibly by reference to a curve rather than by appeal to judgment. The estimates are recovered from a documented record and inherit its limits, and the agenda that follows is the agenda required to lift those limits. The dissertation’s claim is therefore neither that growth has been explained away nor that it has been tamed, but that it has been measured, indexed, and made governable, which is the standard the discipline has long applied to cost and has only now begun to apply to the mass that drives it.</w:t>
      </w:r>
    </w:p>
    <w:bookmarkEnd w:id="137"/>
    <w:bookmarkEnd w:id="138"/>
    <w:bookmarkStart w:id="198" w:name="chapter-8.-conclusion"/>
    <w:p>
      <w:pPr>
        <w:pStyle w:val="Heading1"/>
        <w:spacing w:line="480" w:lineRule="auto"/>
      </w:pPr>
      <w:r>
        <w:t xml:space="preserve">Chapter 8. Conclusion</w:t>
      </w:r>
    </w:p>
    <w:bookmarkStart w:id="139" w:name="the-argument-restated"/>
    <w:p>
      <w:pPr>
        <w:pStyle w:val="Heading2"/>
        <w:spacing w:line="480" w:lineRule="auto"/>
      </w:pPr>
      <w:r>
        <w:t xml:space="preserve">8.1 The argument restated</w:t>
      </w:r>
    </w:p>
    <w:p>
      <w:pPr>
        <w:pStyle w:val="FirstParagraph"/>
        <w:spacing w:line="480" w:lineRule="auto"/>
      </w:pPr>
      <w:r>
        <w:t xml:space="preserve">This dissertation set out to convert a piece of engineering folklore into an estimated object. Spacecraft dry mass at delivery routinely exceeds the dry mass booked at the preliminary design review, and the discipline has responded for half a century with a contingency staircase: large reserves early, smaller reserves late, retired at delivery</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staircase is universally cited and almost never confronted with the histories it claims to summarize. The governing premise of the work was that the raw material for such a confrontation now exists at population scale, scattered across mission-description papers, cost-analysis reports, and re-entry studies, and that a cliometric treatment, the systematic longitudinal reconstruction of mass histories indexed by design maturity, could recover an empirical contingency schedule from data rather than from doctrine.</w:t>
      </w:r>
    </w:p>
    <w:p>
      <w:pPr>
        <w:pStyle w:val="BodyText"/>
        <w:spacing w:line="480" w:lineRule="auto"/>
        <w:ind w:firstLine="720"/>
      </w:pPr>
      <w:r>
        <w:t xml:space="preserve">The investigation proceeded from a single falsifiable question and resolved it through two complementary estimations. The first asked whether dry-mass growth relative to the PDR baseline is governed by how far a program has matured past its early reviews or by what the program is. The second asked whether the accuracy of the early mass estimate improves with institutional experience in a regular, quantifiable way. The two answers, taken together, compose the central claim of the dissertation: that the dry-mass growth curve is real, that it is structured, and that its structure is not the one the prescribed staircase assumes.</w:t>
      </w:r>
    </w:p>
    <w:p>
      <w:pPr>
        <w:pStyle w:val="BodyText"/>
        <w:spacing w:line="480" w:lineRule="auto"/>
        <w:ind w:firstLine="720"/>
      </w:pPr>
      <w:r>
        <w:t xml:space="preserve">The first study regressed percent dry-mass growth on a development-phase index and a spacecraft-complexity covariate, with the two effects orthogonalized by construction so that neither could be mistaken for the other. The result was decisive in its asymmetry. Complexity governed growth at roughly thirteen percentage points per complexity step, estimated with high confidence, while the phase index beyond PDR was statistically indistinguishable from zero. The most ambitious missions, the flagship observatories and large rovers, carried a far heavier growth burden than Explorer-class systems at the same point in their lifecycle, and that burden tracked spacecraft mass and mission complexity more than mission type, consistent with the consensus finding of the National Research Council’s review of cost growth</w:t>
      </w:r>
      <w:r>
        <w:t xml:space="preserve"> </w:t>
      </w:r>
      <w:hyperlink w:anchor="ref-15">
        <w:r>
          <w:rPr>
            <w:rStyle w:val="Hyperlink"/>
          </w:rPr>
          <w:t xml:space="preserve">[15]</w:t>
        </w:r>
      </w:hyperlink>
      <w:r>
        <w:t xml:space="preserve"> </w:t>
      </w:r>
      <w:r>
        <w:t xml:space="preserve">and with the Aerospace Corporation’s historical record of mean inert-mass growth near twenty-eight percent</w:t>
      </w:r>
      <w:r>
        <w:t xml:space="preserve"> </w:t>
      </w:r>
      <w:hyperlink w:anchor="ref-14">
        <w:r>
          <w:rPr>
            <w:rStyle w:val="Hyperlink"/>
          </w:rPr>
          <w:t xml:space="preserve">[14]</w:t>
        </w:r>
      </w:hyperlink>
      <w:r>
        <w:t xml:space="preserve">. The phase effect washed out not because growth is benign but because most of it is realized before the PDR baseline is fixed; at matched complexity, the SRR-to-PDR window absorbs growth comparable to, and at lower complexity larger than, the PDR-to-launch window</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second study reframed mass-estimation accuracy as a learning curve and measured its slope as an experience elasticity. Fitting the classical log-log experience curve to documented growth observations spanning concept-stage spacecraft through critical-design-review-stage production hardware, it found a learning elasticity of negative one and a half and a progress ratio near one third. Each doubling of accumulated estimating experience multiplies the expected mass-growth error by roughly that factor, cutting the typical error by about two thirds. The effect was monotone and regular enough to fit a single elasticity across sources assembled independently, the signature of a genuine learning process rather than a collection of unrelated improvements. The small-satellite literature supplied the mechanism: heritage is thin at the start of any class, and the speed, low cost, and risk tolerance that make a mature class attractive are precisely the qualities that early entrants lack</w:t>
      </w:r>
      <w:r>
        <w:t xml:space="preserve"> </w:t>
      </w:r>
      <w:hyperlink w:anchor="ref-18">
        <w:r>
          <w:rPr>
            <w:rStyle w:val="Hyperlink"/>
          </w:rPr>
          <w:t xml:space="preserve">[18]</w:t>
        </w:r>
      </w:hyperlink>
      <w:r>
        <w:t xml:space="preserve">. The space-economy account supplied the frame, treating cost-per-kilogram reduction as a function of accumulated input experience and refurbishment learning rather than as a one-time shock</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p>
    <w:bookmarkEnd w:id="139"/>
    <w:bookmarkStart w:id="140" w:name="synthesis-two-findings-one-curve"/>
    <w:p>
      <w:pPr>
        <w:pStyle w:val="Heading2"/>
        <w:spacing w:line="480" w:lineRule="auto"/>
      </w:pPr>
      <w:r>
        <w:t xml:space="preserve">8.2 Synthesis: two findings, one curve</w:t>
      </w:r>
    </w:p>
    <w:p>
      <w:pPr>
        <w:pStyle w:val="FirstParagraph"/>
        <w:spacing w:line="480" w:lineRule="auto"/>
      </w:pPr>
      <w:r>
        <w:t xml:space="preserve">The two studies look at first like separate inquiries, one cross-sectional and one longitudinal, but they describe the same surface from two directions, and reading them together is the synthetic contribution of the dissertation. The first study fixes a program in time and asks what about it predicts growth; the answer is its complexity. The second study fixes a class and asks what about its trajectory predicts growth; the answer is its accumulated experience. These are not competing explanations. They are the two axes of a single growth curve whose value at any point depends on where the design sits in complexity and where its estimating organization sits on its learning curve.</w:t>
      </w:r>
    </w:p>
    <w:p>
      <w:pPr>
        <w:pStyle w:val="BodyText"/>
        <w:spacing w:line="480" w:lineRule="auto"/>
        <w:ind w:firstLine="720"/>
      </w:pPr>
      <w:r>
        <w:t xml:space="preserve">The reconciliation runs as follows. Complexity raises the level of growth because more subsystems, more instrument accommodation, and more interfaces multiply the opportunities for an estimate to prove low. Experience lowers the level of growth because repetition converts mass-uncertain subsystems into calibrated growth factors and vendor-specific allowances carried forward from prior builds. A flagship that pushes a new frontier is therefore doubly exposed: it is complex, which raises its expected growth, and it is first-of-class, which denies it the learning that would temper that growth. An Explorer-class spacecraft drawn from a mature design family is doubly protected. The phase index of the first study fell silent precisely because it confounds these two genuine effects; movement past PDR is neither a pure complexity signal nor a pure experience signal, and averaging over a flagship class with a heavy late-phase tail and lower classes that front-load their growth leaves a net effect too small and too imprecise to recover. The apparent null is thus not an absence of structure but the residue of two real structures pulling against each other, and the dissertation’s contribution is to have separated them.</w:t>
      </w:r>
    </w:p>
    <w:p>
      <w:pPr>
        <w:pStyle w:val="BodyText"/>
        <w:spacing w:line="480" w:lineRule="auto"/>
        <w:ind w:firstLine="720"/>
      </w:pPr>
      <w:r>
        <w:t xml:space="preserve">This synthesis revises the prospectus hypothesis in an instructive way. The original falsifiable test posed maturity at PDR against a declining-staircase null, expecting that greater maturity would buy lower subsequent growth. The data did not vindicate the staircase in the maturity dimension as the prospectus framed it, because residual phase beyond PDR carries little information once complexity is held fixed. But they vindicated something stronger and more useful: a declining schedule does have empirical warrant, only it declines along the experience axis rather than the lifecycle-phase axis. The staircase was right that contingency should shrink as confidence grows; it was wrong about which variable indexes that confidence. Confidence is bought by repetition across a design family, not merely by the passage of a program through its own review gates.</w:t>
      </w:r>
    </w:p>
    <w:bookmarkEnd w:id="140"/>
    <w:bookmarkStart w:id="141" w:name="contribution-to-knowledge"/>
    <w:p>
      <w:pPr>
        <w:pStyle w:val="Heading2"/>
        <w:spacing w:line="480" w:lineRule="auto"/>
      </w:pPr>
      <w:r>
        <w:t xml:space="preserve">8.3 Contribution to knowledge</w:t>
      </w:r>
    </w:p>
    <w:p>
      <w:pPr>
        <w:pStyle w:val="FirstParagraph"/>
        <w:spacing w:line="480" w:lineRule="auto"/>
      </w:pPr>
      <w:r>
        <w:t xml:space="preserve">The dissertation makes four contributions that did not exist in the literature in this form.</w:t>
      </w:r>
    </w:p>
    <w:p>
      <w:pPr>
        <w:pStyle w:val="BodyText"/>
        <w:spacing w:line="480" w:lineRule="auto"/>
        <w:ind w:firstLine="720"/>
      </w:pPr>
      <w:r>
        <w:t xml:space="preserve">First, it establishes the dry-mass growth curve as a statistical object rather than a doctrinal convention. Three adjacent literatures touched the problem without addressing it: parametric cost estimation, which takes mass as the master input and studies cost as the output but never models the growth of the input itself</w:t>
      </w:r>
      <w:r>
        <w:t xml:space="preserve"> </w:t>
      </w:r>
      <w:hyperlink w:anchor="ref-1">
        <w:r>
          <w:rPr>
            <w:rStyle w:val="Hyperlink"/>
          </w:rPr>
          <w:t xml:space="preserve">[1]</w:t>
        </w:r>
      </w:hyperlink>
      <w:r>
        <w:t xml:space="preserve">; conceptual design, which builds mass budgets for individual missions, from interior probes to on-orbit-assembled telescopes to interplanetary CubeSats, without pooling across programs</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r>
        <w:t xml:space="preserve"> </w:t>
      </w:r>
      <w:hyperlink w:anchor="ref-8">
        <w:r>
          <w:rPr>
            <w:rStyle w:val="Hyperlink"/>
          </w:rPr>
          <w:t xml:space="preserve">[8]</w:t>
        </w:r>
      </w:hyperlink>
      <w:r>
        <w:t xml:space="preserve">; and the re-entry and debris literature, which characterizes the mass and area-to-mass properties of flown objects in aggregate without tracing the maturation of any single design</w:t>
      </w:r>
      <w:r>
        <w:t xml:space="preserve"> </w:t>
      </w:r>
      <w:hyperlink w:anchor="ref-2">
        <w:r>
          <w:rPr>
            <w:rStyle w:val="Hyperlink"/>
          </w:rPr>
          <w:t xml:space="preserve">[2]</w:t>
        </w:r>
      </w:hyperlink>
      <w:r>
        <w:t xml:space="preserve">,</w:t>
      </w:r>
      <w:r>
        <w:t xml:space="preserve"> </w:t>
      </w:r>
      <w:hyperlink w:anchor="ref-5">
        <w:r>
          <w:rPr>
            <w:rStyle w:val="Hyperlink"/>
          </w:rPr>
          <w:t xml:space="preserve">[5]</w:t>
        </w:r>
      </w:hyperlink>
      <w:r>
        <w:t xml:space="preserve">. The dissertation assembles the longitudinal panel that none of these had assembled and estimates the growth law as a quantity with a confidence interval, a sensitivity profile, and an out-of-sample error.</w:t>
      </w:r>
    </w:p>
    <w:p>
      <w:pPr>
        <w:pStyle w:val="BodyText"/>
        <w:spacing w:line="480" w:lineRule="auto"/>
        <w:ind w:firstLine="720"/>
      </w:pPr>
      <w:r>
        <w:t xml:space="preserve">Second, it identifies complexity, not residual lifecycle phase, as the governing cross-sectional driver of PDR-relative growth, and it does so with the two effects orthogonalized so the attribution is clean. This overturns the implicit assumption embedded in a uniform-by-phase staircase and replaces it with a complexity-indexed account that aligns the engineering record with the consensus cost-growth finding</w:t>
      </w:r>
      <w:r>
        <w:t xml:space="preserve"> </w:t>
      </w:r>
      <w:hyperlink w:anchor="ref-15">
        <w:r>
          <w:rPr>
            <w:rStyle w:val="Hyperlink"/>
          </w:rPr>
          <w:t xml:space="preserve">[15]</w:t>
        </w:r>
      </w:hyperlink>
      <w:r>
        <w:t xml:space="preserve"> </w:t>
      </w:r>
      <w:r>
        <w:t xml:space="preserve">and the historical inert-mass record</w:t>
      </w:r>
      <w:r>
        <w:t xml:space="preserve"> </w:t>
      </w:r>
      <w:hyperlink w:anchor="ref-14">
        <w:r>
          <w:rPr>
            <w:rStyle w:val="Hyperlink"/>
          </w:rPr>
          <w:t xml:space="preserve">[14]</w:t>
        </w:r>
      </w:hyperlink>
      <w:r>
        <w:t xml:space="preserve">.</w:t>
      </w:r>
    </w:p>
    <w:p>
      <w:pPr>
        <w:pStyle w:val="BodyText"/>
        <w:spacing w:line="480" w:lineRule="auto"/>
        <w:ind w:firstLine="720"/>
      </w:pPr>
      <w:r>
        <w:t xml:space="preserve">Third, it brings the experience-curve apparatus, long used for unit cost and manufacturing hours, to bear on estimation accuracy itself, and reports a defensible elasticity for mass-estimate error. The claim that estimating accuracy is a measurable institutional capability that improves with use, at a rate of roughly two thirds per doubling of experience, is, to the best of the candidate’s knowledge, the first quantified learning curve for spacecraft mass-estimation error. It converts the first-of-class penalty from an article of faith into a number an architecture office can carry into a margin policy.</w:t>
      </w:r>
    </w:p>
    <w:p>
      <w:pPr>
        <w:pStyle w:val="BodyText"/>
        <w:spacing w:line="480" w:lineRule="auto"/>
        <w:ind w:firstLine="720"/>
      </w:pPr>
      <w:r>
        <w:t xml:space="preserve">Fourth, and synthesizing the first three, it supplies a corrected basis for contingency policy. The practical recommendation that follows from the two studies jointly is sharper than any uniform allowance. A margin policy should scale the post-PDR reserve with complexity class, should provision the larger share of growth before PDR rather than after it, and should index the contingency slope to the position of a project on its estimating learning curve, reserving generously for pathfinders and sparingly for heritage-rich builds. Carrying a uniform allowance across a portfolio, by contrast, systematically over-reserves the mature builds and under-reserves the novel ones, a misallocation the dissertation makes legible and quantifiable for the first time.</w:t>
      </w:r>
    </w:p>
    <w:bookmarkEnd w:id="141"/>
    <w:bookmarkStart w:id="142" w:name="limitations-and-the-road-on"/>
    <w:p>
      <w:pPr>
        <w:pStyle w:val="Heading2"/>
        <w:spacing w:line="480" w:lineRule="auto"/>
      </w:pPr>
      <w:r>
        <w:t xml:space="preserve">8.4 Limitations and the road on</w:t>
      </w:r>
    </w:p>
    <w:p>
      <w:pPr>
        <w:pStyle w:val="FirstParagraph"/>
        <w:spacing w:line="480" w:lineRule="auto"/>
      </w:pPr>
      <w:r>
        <w:t xml:space="preserve">The contributions are bounded, and honesty about those bounds is part of the contribution. The observations in the first study are cells of published NASA and Aerospace growth distributions rather than audited per-mission masses, so the coefficients characterize that documented record; attaching fully phase-stamped masses for individual missions would let the same specification be re-estimated mission by mission and would convert the panel from a distributional reconstruction into an archival one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4">
        <w:r>
          <w:rPr>
            <w:rStyle w:val="Hyperlink"/>
          </w:rPr>
          <w:t xml:space="preserve">[14]</w:t>
        </w:r>
      </w:hyperlink>
      <w:r>
        <w:t xml:space="preserve">. The second study draws on a small number of transparently flagged illustrative values where primary preliminary-to-launch figures could not be recovered, and a fully archival dataset would tighten the elasticity even as its sign, significance, and order of magnitude are unlikely to reverse. Both studies inherit the selection-into-publication threat the prospectus named: missions that publish detailed mass tables may be the better-managed ones, which would bias the growth estimate downward and counsel against generalizing beyond the documented subpopulation without an explicit selection model. The linear and constant-elasticity specifications each impose a structure, a constant per-step effect and a constant progress ratio, that the heavier late-phase flagship tail invites future work to relax through interaction terms and nonlinear forms. And the sample is confined to NASA robotic missions, so extension to crewed or commercial programs, including the reusable-launcher economics now reshaping the sector, remains an empirical question rather than an assumption.</w:t>
      </w:r>
    </w:p>
    <w:p>
      <w:pPr>
        <w:pStyle w:val="BodyText"/>
        <w:spacing w:line="480" w:lineRule="auto"/>
        <w:ind w:firstLine="720"/>
      </w:pPr>
      <w:r>
        <w:t xml:space="preserve">Each of these is a direction rather than a defect. The most promising extension is the one the synthesis makes obvious: a joint model that carries complexity and experience as the two explicit axes of a single growth surface, estimated on the archival per-mission panel the prospectus specified, would replace the two separate slopes reported here with one coherent law. The cliometric program begun in this dissertation is, in that sense, a beginning that names its own continuation.</w:t>
      </w:r>
    </w:p>
    <w:bookmarkEnd w:id="142"/>
    <w:bookmarkStart w:id="143" w:name="closing-statement"/>
    <w:p>
      <w:pPr>
        <w:pStyle w:val="Heading2"/>
        <w:spacing w:line="480" w:lineRule="auto"/>
      </w:pPr>
      <w:r>
        <w:t xml:space="preserve">8.5 Closing statement</w:t>
      </w:r>
    </w:p>
    <w:p>
      <w:pPr>
        <w:pStyle w:val="FirstParagraph"/>
        <w:spacing w:line="480" w:lineRule="auto"/>
      </w:pPr>
      <w:r>
        <w:t xml:space="preserve">The discipline has long known that spacecraft gain mass on their way to the launch pad, and it has long carried reserves against that knowledge. What it lacked was an estimate of the curve those reserves are meant to track. This dissertation supplies that estimate, and in supplying it corrects the shape the curve was assumed to have. Growth is not principally a function of how far a program has traveled past its design reviews. It is a function of how complex the spacecraft is and of how much experience its builders bring to the act of estimating it. The first raises the curve; the second lowers it; and the contingency staircase, redrawn along those two axes rather than along lifecycle phase alone, becomes a policy grounded in the historical record instead of in convention. The contribution of mass-growth cliometrics is to have shown that a regularity old enough to be folklore is, when measured, a structured and tractable object, and that measuring it changes what we should do about it.</w:t>
      </w:r>
    </w:p>
    <w:bookmarkEnd w:id="143"/>
    <w:bookmarkStart w:id="197" w:name="references"/>
    <w:p>
      <w:pPr>
        <w:pStyle w:val="Heading2"/>
        <w:spacing w:line="480" w:lineRule="auto"/>
      </w:pPr>
      <w:r>
        <w:t xml:space="preserve">References</w:t>
      </w:r>
    </w:p>
    <w:p>
      <w:pPr>
        <w:pStyle w:val="FirstParagraph"/>
        <w:spacing w:line="480" w:lineRule="auto"/>
      </w:pPr>
      <w:bookmarkStart w:id="144" w:name="ref-1"/>
      <w:bookmarkEnd w:id="144"/>
      <w:r>
        <w:t xml:space="preserve">1. P. D. Friz, S. Hosder, B. B. Leser, et al.,</w:t>
      </w:r>
      <w:r>
        <w:t xml:space="preserve"> </w:t>
      </w:r>
      <w:r>
        <w:t xml:space="preserve">“Blind validation study of parametric cost estimation tool SEER-H for NASA space missions,”</w:t>
      </w:r>
      <w:r>
        <w:t xml:space="preserve"> </w:t>
      </w:r>
      <w:r>
        <w:rPr>
          <w:i/>
          <w:iCs/>
        </w:rPr>
        <w:t xml:space="preserve">Acta Astronautica</w:t>
      </w:r>
      <w:r>
        <w:t xml:space="preserve">, 2019. doi:</w:t>
      </w:r>
      <w:r>
        <w:t xml:space="preserve"> </w:t>
      </w:r>
      <w:hyperlink r:id="rId145">
        <w:r>
          <w:rPr>
            <w:rStyle w:val="Hyperlink"/>
          </w:rPr>
          <w:t xml:space="preserve">10.1016/j.actaastro.2019.09.030</w:t>
        </w:r>
      </w:hyperlink>
    </w:p>
    <w:p>
      <w:pPr>
        <w:pStyle w:val="BodyText"/>
        <w:spacing w:line="480" w:lineRule="auto"/>
        <w:ind w:firstLine="720"/>
      </w:pPr>
      <w:bookmarkStart w:id="146" w:name="ref-2"/>
      <w:bookmarkEnd w:id="146"/>
      <w:r>
        <w:t xml:space="preserve">2. F. Fabri and L. Olivieri,</w:t>
      </w:r>
      <w:r>
        <w:t xml:space="preserve"> </w:t>
      </w:r>
      <w:r>
        <w:t xml:space="preserve">“Investigation of size, mass, and area-to-mass distributions in carbon-fiber-reinforced composite panels fragments from hypervelocity impacts,”</w:t>
      </w:r>
      <w:r>
        <w:t xml:space="preserve"> </w:t>
      </w:r>
      <w:r>
        <w:rPr>
          <w:i/>
          <w:iCs/>
        </w:rPr>
        <w:t xml:space="preserve">Acta Astronautica</w:t>
      </w:r>
      <w:r>
        <w:t xml:space="preserve">, 2026. doi:</w:t>
      </w:r>
      <w:r>
        <w:t xml:space="preserve"> </w:t>
      </w:r>
      <w:hyperlink r:id="rId147">
        <w:r>
          <w:rPr>
            <w:rStyle w:val="Hyperlink"/>
          </w:rPr>
          <w:t xml:space="preserve">10.1016/j.actaastro.2026.03.061</w:t>
        </w:r>
      </w:hyperlink>
    </w:p>
    <w:p>
      <w:pPr>
        <w:pStyle w:val="BodyText"/>
        <w:spacing w:line="480" w:lineRule="auto"/>
        <w:ind w:firstLine="720"/>
      </w:pPr>
      <w:bookmarkStart w:id="148" w:name="ref-3"/>
      <w:bookmarkEnd w:id="148"/>
      <w:r>
        <w:t xml:space="preserve">3. V. Notaro, M. Di Benedetto, G. Colasurdo, et al.,</w:t>
      </w:r>
      <w:r>
        <w:t xml:space="preserve"> </w:t>
      </w:r>
      <w:r>
        <w:t xml:space="preserve">“A small spacecraft to probe the interior of the Jovian moon Europa: Europa Tomography Probe (ETP) system design,”</w:t>
      </w:r>
      <w:r>
        <w:t xml:space="preserve"> </w:t>
      </w:r>
      <w:r>
        <w:rPr>
          <w:i/>
          <w:iCs/>
        </w:rPr>
        <w:t xml:space="preserve">Acta Astronautica</w:t>
      </w:r>
      <w:r>
        <w:t xml:space="preserve">, 2019. doi:</w:t>
      </w:r>
      <w:r>
        <w:t xml:space="preserve"> </w:t>
      </w:r>
      <w:hyperlink r:id="rId149">
        <w:r>
          <w:rPr>
            <w:rStyle w:val="Hyperlink"/>
          </w:rPr>
          <w:t xml:space="preserve">10.1016/j.actaastro.2019.10.017</w:t>
        </w:r>
      </w:hyperlink>
    </w:p>
    <w:p>
      <w:pPr>
        <w:pStyle w:val="BodyText"/>
        <w:spacing w:line="480" w:lineRule="auto"/>
        <w:ind w:firstLine="720"/>
      </w:pPr>
      <w:bookmarkStart w:id="150" w:name="ref-4"/>
      <w:bookmarkEnd w:id="150"/>
      <w:r>
        <w:t xml:space="preserve">4. A. Nanjangud, C. Underwood, C. M. Rai, et al.,</w:t>
      </w:r>
      <w:r>
        <w:t xml:space="preserve"> </w:t>
      </w:r>
      <w:r>
        <w:t xml:space="preserve">“Towards robotic on-orbit assembly of large space telescopes: Mission architectures, concepts, and analyses,”</w:t>
      </w:r>
      <w:r>
        <w:t xml:space="preserve"> </w:t>
      </w:r>
      <w:r>
        <w:rPr>
          <w:i/>
          <w:iCs/>
        </w:rPr>
        <w:t xml:space="preserve">Acta Astronautica</w:t>
      </w:r>
      <w:r>
        <w:t xml:space="preserve">, 2024. doi:</w:t>
      </w:r>
      <w:r>
        <w:t xml:space="preserve"> </w:t>
      </w:r>
      <w:hyperlink r:id="rId151">
        <w:r>
          <w:rPr>
            <w:rStyle w:val="Hyperlink"/>
          </w:rPr>
          <w:t xml:space="preserve">10.1016/j.actaastro.2024.08.022</w:t>
        </w:r>
      </w:hyperlink>
    </w:p>
    <w:p>
      <w:pPr>
        <w:pStyle w:val="BodyText"/>
        <w:spacing w:line="480" w:lineRule="auto"/>
        <w:ind w:firstLine="720"/>
      </w:pPr>
      <w:bookmarkStart w:id="152" w:name="ref-5"/>
      <w:bookmarkEnd w:id="152"/>
      <w:r>
        <w:t xml:space="preserve">5. C. Pardini and L. Anselmo,</w:t>
      </w:r>
      <w:r>
        <w:t xml:space="preserve"> </w:t>
      </w:r>
      <w:r>
        <w:t xml:space="preserve">“The risk on the ground and in the airspace posed by uncontrolled re-entries: Should the growth observed in recent years be considered worrying?,”</w:t>
      </w:r>
      <w:r>
        <w:t xml:space="preserve"> </w:t>
      </w:r>
      <w:r>
        <w:rPr>
          <w:i/>
          <w:iCs/>
        </w:rPr>
        <w:t xml:space="preserve">Acta Astronautica</w:t>
      </w:r>
      <w:r>
        <w:t xml:space="preserve">, 2026. doi:</w:t>
      </w:r>
      <w:r>
        <w:t xml:space="preserve"> </w:t>
      </w:r>
      <w:hyperlink r:id="rId153">
        <w:r>
          <w:rPr>
            <w:rStyle w:val="Hyperlink"/>
          </w:rPr>
          <w:t xml:space="preserve">10.1016/j.actaastro.2026.01.049</w:t>
        </w:r>
      </w:hyperlink>
    </w:p>
    <w:p>
      <w:pPr>
        <w:pStyle w:val="BodyText"/>
        <w:spacing w:line="480" w:lineRule="auto"/>
        <w:ind w:firstLine="720"/>
      </w:pPr>
      <w:bookmarkStart w:id="154" w:name="ref-6"/>
      <w:bookmarkEnd w:id="154"/>
      <w:r>
        <w:t xml:space="preserve">6. D. Krejci, M. Gómez Jenkins, and P. Lozano,</w:t>
      </w:r>
      <w:r>
        <w:t xml:space="preserve"> </w:t>
      </w:r>
      <w:r>
        <w:t xml:space="preserve">“Staging of electric propulsion systems: Enabling an interplanetary Cubesat,”</w:t>
      </w:r>
      <w:r>
        <w:t xml:space="preserve"> </w:t>
      </w:r>
      <w:r>
        <w:rPr>
          <w:i/>
          <w:iCs/>
        </w:rPr>
        <w:t xml:space="preserve">Acta Astronautica</w:t>
      </w:r>
      <w:r>
        <w:t xml:space="preserve">, 2019. doi:</w:t>
      </w:r>
      <w:r>
        <w:t xml:space="preserve"> </w:t>
      </w:r>
      <w:hyperlink r:id="rId155">
        <w:r>
          <w:rPr>
            <w:rStyle w:val="Hyperlink"/>
          </w:rPr>
          <w:t xml:space="preserve">10.1016/j.actaastro.2019.04.031</w:t>
        </w:r>
      </w:hyperlink>
    </w:p>
    <w:p>
      <w:pPr>
        <w:pStyle w:val="BodyText"/>
        <w:spacing w:line="480" w:lineRule="auto"/>
        <w:ind w:firstLine="720"/>
      </w:pPr>
      <w:bookmarkStart w:id="156" w:name="ref-7"/>
      <w:bookmarkEnd w:id="156"/>
      <w:r>
        <w:t xml:space="preserve">7. C. Maddock, L. Ricciardi, M. West, et al.,</w:t>
      </w:r>
      <w:r>
        <w:t xml:space="preserve"> </w:t>
      </w:r>
      <w:r>
        <w:t xml:space="preserve">“Conceptual design analysis for a two-stage-to-orbit semi-reusable launch system for small satellites,”</w:t>
      </w:r>
      <w:r>
        <w:t xml:space="preserve"> </w:t>
      </w:r>
      <w:r>
        <w:rPr>
          <w:i/>
          <w:iCs/>
        </w:rPr>
        <w:t xml:space="preserve">Acta Astronautica</w:t>
      </w:r>
      <w:r>
        <w:t xml:space="preserve">, 2018. doi:</w:t>
      </w:r>
      <w:r>
        <w:t xml:space="preserve"> </w:t>
      </w:r>
      <w:hyperlink r:id="rId157">
        <w:r>
          <w:rPr>
            <w:rStyle w:val="Hyperlink"/>
          </w:rPr>
          <w:t xml:space="preserve">10.1016/j.actaastro.2018.08.021</w:t>
        </w:r>
      </w:hyperlink>
    </w:p>
    <w:p>
      <w:pPr>
        <w:pStyle w:val="BodyText"/>
        <w:spacing w:line="480" w:lineRule="auto"/>
        <w:ind w:firstLine="720"/>
      </w:pPr>
      <w:bookmarkStart w:id="158" w:name="ref-8"/>
      <w:bookmarkEnd w:id="158"/>
      <w:r>
        <w:t xml:space="preserve">8. F. Leverone, A. Cervone, and E. Gill,</w:t>
      </w:r>
      <w:r>
        <w:t xml:space="preserve"> </w:t>
      </w:r>
      <w:r>
        <w:t xml:space="preserve">“Cost analysis of solar thermal propulsion systems for microsatellite applications,”</w:t>
      </w:r>
      <w:r>
        <w:t xml:space="preserve"> </w:t>
      </w:r>
      <w:r>
        <w:rPr>
          <w:i/>
          <w:iCs/>
        </w:rPr>
        <w:t xml:space="preserve">Acta Astronautica</w:t>
      </w:r>
      <w:r>
        <w:t xml:space="preserve">, 2018. doi:</w:t>
      </w:r>
      <w:r>
        <w:t xml:space="preserve"> </w:t>
      </w:r>
      <w:hyperlink r:id="rId159">
        <w:r>
          <w:rPr>
            <w:rStyle w:val="Hyperlink"/>
          </w:rPr>
          <w:t xml:space="preserve">10.1016/j.actaastro.2018.11.025</w:t>
        </w:r>
      </w:hyperlink>
    </w:p>
    <w:p>
      <w:pPr>
        <w:pStyle w:val="BodyText"/>
        <w:spacing w:line="480" w:lineRule="auto"/>
        <w:ind w:firstLine="720"/>
      </w:pPr>
      <w:bookmarkStart w:id="160" w:name="ref-9"/>
      <w:bookmarkEnd w:id="160"/>
      <w:r>
        <w:t xml:space="preserve">9. Office of the Chief Economist Analysis,</w:t>
      </w:r>
      <w:r>
        <w:t xml:space="preserve"> </w:t>
      </w:r>
      <w:r>
        <w:t xml:space="preserve">“OCEA: Forecasting the Space Economy,”</w:t>
      </w:r>
      <w:r>
        <w:t xml:space="preserve"> </w:t>
      </w:r>
      <w:r>
        <w:t xml:space="preserve">space-economy source corpus (SD08).</w:t>
      </w:r>
    </w:p>
    <w:p>
      <w:pPr>
        <w:pStyle w:val="BodyText"/>
        <w:spacing w:line="480" w:lineRule="auto"/>
        <w:ind w:firstLine="720"/>
      </w:pPr>
      <w:bookmarkStart w:id="161" w:name="ref-10"/>
      <w:bookmarkEnd w:id="161"/>
      <w:r>
        <w:t xml:space="preserve">10.</w:t>
      </w:r>
      <w:r>
        <w:t xml:space="preserve"> </w:t>
      </w:r>
      <w:r>
        <w:t xml:space="preserve">“The Role of Space in Driving Sustainability, Security, and Development,”</w:t>
      </w:r>
      <w:r>
        <w:t xml:space="preserve"> </w:t>
      </w:r>
      <w:r>
        <w:t xml:space="preserve">space-economy source corpus (SD13).</w:t>
      </w:r>
    </w:p>
    <w:p>
      <w:pPr>
        <w:pStyle w:val="BodyText"/>
        <w:spacing w:line="480" w:lineRule="auto"/>
        <w:ind w:firstLine="720"/>
      </w:pPr>
      <w:bookmarkStart w:id="162" w:name="ref-11"/>
      <w:bookmarkEnd w:id="162"/>
      <w:r>
        <w:t xml:space="preserve">11.</w:t>
      </w:r>
      <w:r>
        <w:t xml:space="preserve"> </w:t>
      </w:r>
      <w:r>
        <w:t xml:space="preserve">“Architectural Socio-Technological Transformative Change of Space-Use Norms,”</w:t>
      </w:r>
      <w:r>
        <w:t xml:space="preserve"> </w:t>
      </w:r>
      <w:r>
        <w:t xml:space="preserve">space-economy source corpus (SD03).</w:t>
      </w:r>
    </w:p>
    <w:p>
      <w:pPr>
        <w:pStyle w:val="BodyText"/>
        <w:spacing w:line="480" w:lineRule="auto"/>
        <w:ind w:firstLine="720"/>
      </w:pPr>
      <w:bookmarkStart w:id="163" w:name="ref-12"/>
      <w:bookmarkEnd w:id="163"/>
      <w:r>
        <w:t xml:space="preserve">12. E. Plumer and D. Elliott,</w:t>
      </w:r>
      <w:r>
        <w:t xml:space="preserve"> </w:t>
      </w:r>
      <w:r>
        <w:t xml:space="preserve">“Probabilistic Mass Growth Uncertainties,”</w:t>
      </w:r>
      <w:r>
        <w:t xml:space="preserve"> </w:t>
      </w:r>
      <w:r>
        <w:t xml:space="preserve">NASA Headquarters and Tecolote Research, 2013, NASA Technical Reports Server document 20130013736.</w:t>
      </w:r>
    </w:p>
    <w:p>
      <w:pPr>
        <w:pStyle w:val="BodyText"/>
        <w:spacing w:line="480" w:lineRule="auto"/>
        <w:ind w:firstLine="720"/>
      </w:pPr>
      <w:bookmarkStart w:id="164" w:name="ref-13"/>
      <w:bookmarkEnd w:id="164"/>
      <w:r>
        <w:t xml:space="preserve">13. NASA Ames Research Center,</w:t>
      </w:r>
      <w:r>
        <w:t xml:space="preserve"> </w:t>
      </w:r>
      <w:r>
        <w:t xml:space="preserve">“Space Flight System Design and Environmental Test,”</w:t>
      </w:r>
      <w:r>
        <w:t xml:space="preserve"> </w:t>
      </w:r>
      <w:r>
        <w:t xml:space="preserve">Ames Technical Standard STD-8070.1, Table 3.1.1.1-1 (Spacecraft minimum dry mass margin).</w:t>
      </w:r>
    </w:p>
    <w:p>
      <w:pPr>
        <w:pStyle w:val="BodyText"/>
        <w:spacing w:line="480" w:lineRule="auto"/>
        <w:ind w:firstLine="720"/>
      </w:pPr>
      <w:bookmarkStart w:id="165" w:name="ref-14"/>
      <w:bookmarkEnd w:id="165"/>
      <w:r>
        <w:t xml:space="preserve">14.</w:t>
      </w:r>
      <w:r>
        <w:t xml:space="preserve"> </w:t>
      </w:r>
      <w:r>
        <w:t xml:space="preserve">“Mass growth in space vehicle and exploration architecture development,”</w:t>
      </w:r>
      <w:r>
        <w:t xml:space="preserve"> </w:t>
      </w:r>
      <w:r>
        <w:t xml:space="preserve">Acta Astronautica, vol. 66, 2010, doi:</w:t>
      </w:r>
      <w:r>
        <w:t xml:space="preserve"> </w:t>
      </w:r>
      <w:hyperlink r:id="rId166">
        <w:r>
          <w:rPr>
            <w:rStyle w:val="Hyperlink"/>
          </w:rPr>
          <w:t xml:space="preserve">10.1016/j.actaastro.2009.10.013</w:t>
        </w:r>
      </w:hyperlink>
    </w:p>
    <w:p>
      <w:pPr>
        <w:pStyle w:val="BodyText"/>
        <w:spacing w:line="480" w:lineRule="auto"/>
        <w:ind w:firstLine="720"/>
      </w:pPr>
      <w:bookmarkStart w:id="167" w:name="ref-15"/>
      <w:bookmarkEnd w:id="167"/>
      <w:r>
        <w:t xml:space="preserve">15. National Research Council, Controlling Cost Growth of NASA Earth and Space Science Missions, Washington, DC: The National Academies Press, 2010, ch. 3.</w:t>
      </w:r>
    </w:p>
    <w:p>
      <w:pPr>
        <w:pStyle w:val="BodyText"/>
        <w:spacing w:line="480" w:lineRule="auto"/>
        <w:ind w:firstLine="720"/>
      </w:pPr>
      <w:bookmarkStart w:id="168" w:name="ref-16"/>
      <w:bookmarkEnd w:id="168"/>
      <w:r>
        <w:t xml:space="preserve">16. D. K. P. Stilwell and collaborators,</w:t>
      </w:r>
      <w:r>
        <w:t xml:space="preserve"> </w:t>
      </w:r>
      <w:r>
        <w:t xml:space="preserve">“The Role of Space in Driving Sustainability, Security, and Development,”</w:t>
      </w:r>
      <w:r>
        <w:t xml:space="preserve"> </w:t>
      </w:r>
      <w:r>
        <w:t xml:space="preserve">space economy source corpus (sampled space cost curves; cost per kilogram to low Earth orbit), Space Economy Papers brain, source key SD13.</w:t>
      </w:r>
    </w:p>
    <w:p>
      <w:pPr>
        <w:pStyle w:val="BodyText"/>
        <w:spacing w:line="480" w:lineRule="auto"/>
        <w:ind w:firstLine="720"/>
      </w:pPr>
      <w:bookmarkStart w:id="169" w:name="ref-17"/>
      <w:bookmarkEnd w:id="169"/>
      <w:r>
        <w:t xml:space="preserve">17.</w:t>
      </w:r>
      <w:r>
        <w:t xml:space="preserve"> </w:t>
      </w:r>
      <w:r>
        <w:t xml:space="preserve">“OCEA: Forecasting the Space Economy,”</w:t>
      </w:r>
      <w:r>
        <w:t xml:space="preserve"> </w:t>
      </w:r>
      <w:r>
        <w:t xml:space="preserve">space economy source corpus (cost-per-kilogram reduction scenarios driven by accumulated input experience and refurbishment learning), Space Economy Papers brain, source key SD08.</w:t>
      </w:r>
    </w:p>
    <w:p>
      <w:pPr>
        <w:pStyle w:val="BodyText"/>
        <w:spacing w:line="480" w:lineRule="auto"/>
        <w:ind w:firstLine="720"/>
      </w:pPr>
      <w:bookmarkStart w:id="170" w:name="ref-18"/>
      <w:bookmarkEnd w:id="170"/>
      <w:r>
        <w:t xml:space="preserve">18. J. Kopacz, R. Herschitz, and J. Roney,</w:t>
      </w:r>
      <w:r>
        <w:t xml:space="preserve"> </w:t>
      </w:r>
      <w:r>
        <w:t xml:space="preserve">“Small satellites: an overview and assessment,”</w:t>
      </w:r>
      <w:r>
        <w:t xml:space="preserve"> </w:t>
      </w:r>
      <w:r>
        <w:t xml:space="preserve">Acta Astronautica, vol. 170, pp. 369-388, 2020, doi:</w:t>
      </w:r>
      <w:r>
        <w:t xml:space="preserve"> </w:t>
      </w:r>
      <w:hyperlink r:id="rId171">
        <w:r>
          <w:rPr>
            <w:rStyle w:val="Hyperlink"/>
          </w:rPr>
          <w:t xml:space="preserve">10.1016/j.actaastro.2020.01.034</w:t>
        </w:r>
      </w:hyperlink>
    </w:p>
    <w:p>
      <w:pPr>
        <w:pStyle w:val="BodyText"/>
        <w:spacing w:line="480" w:lineRule="auto"/>
        <w:ind w:firstLine="720"/>
      </w:pPr>
      <w:bookmarkStart w:id="172" w:name="ref-19"/>
      <w:bookmarkEnd w:id="172"/>
      <w:r>
        <w:t xml:space="preserve">19. Gene Stansbery (NASA Johnson Space Center), Mark Matney (NASA Johnson Space Center), J.C. Liou (NASA Johnson Space Center), Dave Whitlock (ESCG/Hamilton Sundstrand). A Comparison of Catastrophic On-Orbit Collisions (2008).</w:t>
      </w:r>
    </w:p>
    <w:p>
      <w:pPr>
        <w:pStyle w:val="BodyText"/>
        <w:spacing w:line="480" w:lineRule="auto"/>
        <w:ind w:firstLine="720"/>
      </w:pPr>
      <w:bookmarkStart w:id="173" w:name="ref-20"/>
      <w:bookmarkEnd w:id="173"/>
      <w:r>
        <w:t xml:space="preserve">20. Daniel Moomey, Air Force Institute of Technology; Rachael Falcon, Headquarters Air Force Safety Center; Arbab Khan, Booz-Allen-Hamilton. Trending and Analysis of Payload vs. All Low Earth Conjunction Data Messages below 1,000 km, from 2016 through 2021 (2022).</w:t>
      </w:r>
    </w:p>
    <w:p>
      <w:pPr>
        <w:pStyle w:val="BodyText"/>
        <w:spacing w:line="480" w:lineRule="auto"/>
        <w:ind w:firstLine="720"/>
      </w:pPr>
      <w:bookmarkStart w:id="174" w:name="ref-21"/>
      <w:bookmarkEnd w:id="174"/>
      <w:r>
        <w:t xml:space="preserve">21. Timothy Carrico (Analytical Graphics, Inc.), Travis Langster (Analytical Graphics, Inc.), John Carrico (Applied Defense Solutions), David Vallado (Center for Space Standards &amp; Innovation), Mike Loucks (Space Exploration Engineering), Salvatore Alfano (Center for Space Standards &amp; Innovation). Proximity Operations for Space Situational Awareness (2006).</w:t>
      </w:r>
    </w:p>
    <w:p>
      <w:pPr>
        <w:pStyle w:val="BodyText"/>
        <w:spacing w:line="480" w:lineRule="auto"/>
        <w:ind w:firstLine="720"/>
      </w:pPr>
      <w:bookmarkStart w:id="175" w:name="ref-22"/>
      <w:bookmarkEnd w:id="175"/>
      <w:r>
        <w:t xml:space="preserve">22. Roberta M. Ewart, US Space Force, SSC; Elozor Plotke, LinQuest Corporation; Peter Lai, LinQuest Corporation. Pole-Sitter Based Space Domain Awareness for Cislunar Regions (2022).</w:t>
      </w:r>
    </w:p>
    <w:p>
      <w:pPr>
        <w:pStyle w:val="BodyText"/>
        <w:spacing w:line="480" w:lineRule="auto"/>
        <w:ind w:firstLine="720"/>
      </w:pPr>
      <w:bookmarkStart w:id="176" w:name="ref-23"/>
      <w:bookmarkEnd w:id="176"/>
      <w:r>
        <w:t xml:space="preserve">23. Susanne Peters, Universität der Bundeswehr München, Roger Förstner, Universität der Bundeswehr München, Hauke Fiedler, Deutches Zentrum für Luft- und Raumfahrt DLR. Mission Design and Simulation Considerations for ADReS-A (2016).</w:t>
      </w:r>
    </w:p>
    <w:p>
      <w:pPr>
        <w:pStyle w:val="BodyText"/>
        <w:spacing w:line="480" w:lineRule="auto"/>
        <w:ind w:firstLine="720"/>
      </w:pPr>
      <w:bookmarkStart w:id="177" w:name="ref-24"/>
      <w:bookmarkEnd w:id="177"/>
      <w:r>
        <w:t xml:space="preserve">24. Sam Wishnek, BAE Systems. Minimum Observation Methods of Initial Maneuver Determination (2024). doi:</w:t>
      </w:r>
      <w:r>
        <w:t xml:space="preserve"> </w:t>
      </w:r>
      <w:hyperlink r:id="rId178">
        <w:r>
          <w:rPr>
            <w:rStyle w:val="Hyperlink"/>
          </w:rPr>
          <w:t xml:space="preserve">10.64861/AIKJ9678</w:t>
        </w:r>
      </w:hyperlink>
    </w:p>
    <w:p>
      <w:pPr>
        <w:pStyle w:val="BodyText"/>
        <w:spacing w:line="480" w:lineRule="auto"/>
        <w:ind w:firstLine="720"/>
      </w:pPr>
      <w:bookmarkStart w:id="179" w:name="ref-25"/>
      <w:bookmarkEnd w:id="179"/>
      <w:r>
        <w:t xml:space="preserve">25. Blair Thompson, Applied Defense Solutions, Thomas Kelecy, Applied Defense Solutions, Thomas Kubancik, Applied Defense Solutions, Tim Flora, Sierra Nevada Corporation, Michael Chylla, Sierra Nevada Corporation, Debra Rose, Sierra Nevada Corporation. Geosynchronous Patrol Orbit for Space Situational Awareness (2017).</w:t>
      </w:r>
    </w:p>
    <w:p>
      <w:pPr>
        <w:pStyle w:val="BodyText"/>
        <w:spacing w:line="480" w:lineRule="auto"/>
        <w:ind w:firstLine="720"/>
      </w:pPr>
      <w:bookmarkStart w:id="180" w:name="ref-26"/>
      <w:bookmarkEnd w:id="180"/>
      <w:r>
        <w:t xml:space="preserve">26. Adrienne Rudolph, ExoAnalytic Solutions; Phillip Cunio, ExoAnalytic Solutions; Marcus Bever, ExoAnalytic Solutions; Christopher Bolig, ExoAnalytic Solutions; Doug Hendrix, ExoAnalytic Solutions; Stuart Eves, SJE Space Ltd. Analysis of Spacecraft Propellant Plumes in the GEO Plasma Environment (2023). doi:</w:t>
      </w:r>
      <w:r>
        <w:t xml:space="preserve"> </w:t>
      </w:r>
      <w:hyperlink r:id="rId181">
        <w:r>
          <w:rPr>
            <w:rStyle w:val="Hyperlink"/>
          </w:rPr>
          <w:t xml:space="preserve">10.64861/LPWQ5164</w:t>
        </w:r>
      </w:hyperlink>
    </w:p>
    <w:p>
      <w:pPr>
        <w:pStyle w:val="BodyText"/>
        <w:spacing w:line="480" w:lineRule="auto"/>
        <w:ind w:firstLine="720"/>
      </w:pPr>
      <w:bookmarkStart w:id="182" w:name="ref-27"/>
      <w:bookmarkEnd w:id="182"/>
      <w:r>
        <w:t xml:space="preserve">27. Carmen Pardini; Luciano Anselmo. The risk on the ground and in the airspace posed by uncontrolled re-entries: Should the growth observed in recent years be considered worrying? (2026). doi:</w:t>
      </w:r>
      <w:r>
        <w:t xml:space="preserve"> </w:t>
      </w:r>
      <w:hyperlink r:id="rId153">
        <w:r>
          <w:rPr>
            <w:rStyle w:val="Hyperlink"/>
          </w:rPr>
          <w:t xml:space="preserve">10.1016/j.actaastro.2026.01.049</w:t>
        </w:r>
      </w:hyperlink>
    </w:p>
    <w:p>
      <w:pPr>
        <w:pStyle w:val="BodyText"/>
        <w:spacing w:line="480" w:lineRule="auto"/>
        <w:ind w:firstLine="720"/>
      </w:pPr>
      <w:bookmarkStart w:id="183" w:name="ref-28"/>
      <w:bookmarkEnd w:id="183"/>
      <w:r>
        <w:t xml:space="preserve">28. Colby C. Merrill; Carl J. Geiger; Abu Taqui Md Tahsin; Dmitry Savransky; Mason A. Peck. Creating a contact binary via spacecraft impact to near-Earth binary asteroid (350751) 2002 AW (2023). doi:</w:t>
      </w:r>
      <w:r>
        <w:t xml:space="preserve"> </w:t>
      </w:r>
      <w:hyperlink r:id="rId184">
        <w:r>
          <w:rPr>
            <w:rStyle w:val="Hyperlink"/>
          </w:rPr>
          <w:t xml:space="preserve">10.1016/j.actaastro.2023.11.030</w:t>
        </w:r>
      </w:hyperlink>
    </w:p>
    <w:p>
      <w:pPr>
        <w:pStyle w:val="BodyText"/>
        <w:spacing w:line="480" w:lineRule="auto"/>
        <w:ind w:firstLine="720"/>
      </w:pPr>
      <w:bookmarkStart w:id="185" w:name="ref-29"/>
      <w:bookmarkEnd w:id="185"/>
      <w:r>
        <w:t xml:space="preserve">29. Lina Salman; Francisco J. Guerrero-Gonzalez; Richard Ubiennyh; Gisela Detrell; Philipp Reiss. In-situ manufacturing of photobioreactors on the Moon using local resources (2025). doi:</w:t>
      </w:r>
      <w:r>
        <w:t xml:space="preserve"> </w:t>
      </w:r>
      <w:hyperlink r:id="rId186">
        <w:r>
          <w:rPr>
            <w:rStyle w:val="Hyperlink"/>
          </w:rPr>
          <w:t xml:space="preserve">10.1016/j.actaastro.2025.07.033</w:t>
        </w:r>
      </w:hyperlink>
    </w:p>
    <w:p>
      <w:pPr>
        <w:pStyle w:val="BodyText"/>
        <w:spacing w:line="480" w:lineRule="auto"/>
        <w:ind w:firstLine="720"/>
      </w:pPr>
      <w:bookmarkStart w:id="187" w:name="ref-30"/>
      <w:bookmarkEnd w:id="187"/>
      <w:r>
        <w:t xml:space="preserve">30. Ramy Mesalam; Paul Schmitz; Hannah Sargeant; Elizabeth Turnbull; Alessandra Barco; Scott D. Wilson; Jesse Stuck; Emily Jane Watkinson; Steven R. Oleson; Richard Ambrosi. Americium fuelled radioisotope stirling generator for lunar surface mobility systems (2024). doi:</w:t>
      </w:r>
      <w:r>
        <w:t xml:space="preserve"> </w:t>
      </w:r>
      <w:hyperlink r:id="rId188">
        <w:r>
          <w:rPr>
            <w:rStyle w:val="Hyperlink"/>
          </w:rPr>
          <w:t xml:space="preserve">10.1016/j.actaastro.2024.12.001</w:t>
        </w:r>
      </w:hyperlink>
    </w:p>
    <w:p>
      <w:pPr>
        <w:pStyle w:val="BodyText"/>
        <w:spacing w:line="480" w:lineRule="auto"/>
        <w:ind w:firstLine="720"/>
      </w:pPr>
      <w:bookmarkStart w:id="189" w:name="ref-31"/>
      <w:bookmarkEnd w:id="189"/>
      <w:r>
        <w:t xml:space="preserve">31. Nicole Viola; Roberta Fusaro; Davide Ferretto; Valeria Vercella. Research, development and production costs prediction parametric model for future civil hypersonic aircraft (2022). doi:</w:t>
      </w:r>
      <w:r>
        <w:t xml:space="preserve"> </w:t>
      </w:r>
      <w:hyperlink r:id="rId190">
        <w:r>
          <w:rPr>
            <w:rStyle w:val="Hyperlink"/>
          </w:rPr>
          <w:t xml:space="preserve">10.1016/j.actaastro.2022.12.036</w:t>
        </w:r>
      </w:hyperlink>
    </w:p>
    <w:p>
      <w:pPr>
        <w:pStyle w:val="BodyText"/>
        <w:spacing w:line="480" w:lineRule="auto"/>
        <w:ind w:firstLine="720"/>
      </w:pPr>
      <w:bookmarkStart w:id="191" w:name="ref-32"/>
      <w:bookmarkEnd w:id="191"/>
      <w:r>
        <w:t xml:space="preserve">32. Tatsuro Maki; Kiyoshi Kinefuchi; Shinatora Cho; Hiroki Watanabe. Dry ice propellant for electric propulsion with triple-point storage (2022). doi:</w:t>
      </w:r>
      <w:r>
        <w:t xml:space="preserve"> </w:t>
      </w:r>
      <w:hyperlink r:id="rId192">
        <w:r>
          <w:rPr>
            <w:rStyle w:val="Hyperlink"/>
          </w:rPr>
          <w:t xml:space="preserve">10.1016/j.actaastro.2022.10.034</w:t>
        </w:r>
      </w:hyperlink>
    </w:p>
    <w:p>
      <w:pPr>
        <w:pStyle w:val="BodyText"/>
        <w:spacing w:line="480" w:lineRule="auto"/>
        <w:ind w:firstLine="720"/>
      </w:pPr>
      <w:bookmarkStart w:id="193" w:name="ref-33"/>
      <w:bookmarkEnd w:id="193"/>
      <w:r>
        <w:t xml:space="preserve">33. Kosuke Ikeya; Francisco J. Guerrero-Gonzalez; Luca Kiewiet; Michel‐Alexandre Cardin; J.J. Cilliers; Stanley Starr; Kathryn Hadler. Hybrid lunar ISRU plant: A comparative analysis with carbothermal reduction and water extraction (2025). doi:</w:t>
      </w:r>
      <w:r>
        <w:t xml:space="preserve"> </w:t>
      </w:r>
      <w:hyperlink r:id="rId194">
        <w:r>
          <w:rPr>
            <w:rStyle w:val="Hyperlink"/>
          </w:rPr>
          <w:t xml:space="preserve">10.1016/j.actaastro.2025.02.004</w:t>
        </w:r>
      </w:hyperlink>
    </w:p>
    <w:p>
      <w:pPr>
        <w:pStyle w:val="BodyText"/>
        <w:spacing w:line="480" w:lineRule="auto"/>
        <w:ind w:firstLine="720"/>
      </w:pPr>
      <w:bookmarkStart w:id="195" w:name="ref-34"/>
      <w:bookmarkEnd w:id="195"/>
      <w:r>
        <w:t xml:space="preserve">34. Martin Sippel; Jascha Wilken; Ingrid Dietlein; Moritz Herberhold; Kevin Bergmann; Leonid Bussler. Evaluating launcher options for Europe in a world of Starship (2026). doi:</w:t>
      </w:r>
      <w:r>
        <w:t xml:space="preserve"> </w:t>
      </w:r>
      <w:hyperlink r:id="rId196">
        <w:r>
          <w:rPr>
            <w:rStyle w:val="Hyperlink"/>
          </w:rPr>
          <w:t xml:space="preserve">10.1016/j.actaastro.2026.01.018</w:t>
        </w:r>
      </w:hyperlink>
    </w:p>
    <w:bookmarkEnd w:id="197"/>
    <w:bookmarkEnd w:id="198"/>
    <w:bookmarkStart w:id="21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6" w:name="X58f038405256bfc8ff6ffc1570c442cb22def06"/>
    <w:p>
      <w:pPr>
        <w:pStyle w:val="Heading2"/>
        <w:spacing w:line="480" w:lineRule="auto"/>
      </w:pPr>
      <w:r>
        <w:t xml:space="preserve">A.1 Dry-Mass Growth Across Development Phases: An Ordinary Least Squares Analysis of Phase Maturity and Spacecraft Complexity</w:t>
      </w:r>
    </w:p>
    <w:p>
      <w:pPr>
        <w:pStyle w:val="FirstParagraph"/>
        <w:spacing w:line="480" w:lineRule="auto"/>
      </w:pPr>
      <m:oMathPara>
        <m:oMathParaPr>
          <m:jc m:val="center"/>
        </m:oMathParaPr>
        <m:oMath>
          <m:sSub>
            <m:e>
              <m:r>
                <m:rPr>
                  <m:nor/>
                  <m:sty m:val="p"/>
                </m:rPr>
                <m:t>MassGrowth</m:t>
              </m:r>
            </m:e>
            <m:sub>
              <m:r>
                <m:t>i</m:t>
              </m:r>
            </m:sub>
          </m:sSub>
          <m:r>
            <m:rPr>
              <m:sty m:val="p"/>
            </m:rPr>
            <m:t>=</m:t>
          </m:r>
          <m:sSub>
            <m:e>
              <m:r>
                <m:t>β</m:t>
              </m:r>
            </m:e>
            <m:sub>
              <m:r>
                <m:t>0</m:t>
              </m:r>
            </m:sub>
          </m:sSub>
          <m:r>
            <m:rPr>
              <m:sty m:val="p"/>
            </m:rPr>
            <m:t>+</m:t>
          </m:r>
          <m:sSub>
            <m:e>
              <m:r>
                <m:t>β</m:t>
              </m:r>
            </m:e>
            <m:sub>
              <m:r>
                <m:t>1</m:t>
              </m:r>
            </m:sub>
          </m:sSub>
          <m:sSub>
            <m:e>
              <m:r>
                <m:rPr>
                  <m:nor/>
                  <m:sty m:val="p"/>
                </m:rPr>
                <m:t>PhaseIndex</m:t>
              </m:r>
            </m:e>
            <m:sub>
              <m:r>
                <m:t>i</m:t>
              </m:r>
            </m:sub>
          </m:sSub>
          <m:r>
            <m:rPr>
              <m:sty m:val="p"/>
            </m:rPr>
            <m:t>+</m:t>
          </m:r>
          <m:sSub>
            <m:e>
              <m:r>
                <m:t>β</m:t>
              </m:r>
            </m:e>
            <m:sub>
              <m:r>
                <m:t>2</m:t>
              </m:r>
            </m:sub>
          </m:sSub>
          <m:sSub>
            <m:e>
              <m:r>
                <m:rPr>
                  <m:nor/>
                  <m:sty m:val="p"/>
                </m:rPr>
                <m:t>ComplexityClass</m:t>
              </m:r>
            </m:e>
            <m:sub>
              <m:r>
                <m:t>i</m:t>
              </m:r>
            </m:sub>
          </m:sSub>
          <m:r>
            <m:rPr>
              <m:sty m:val="p"/>
            </m:rPr>
            <m:t>+</m:t>
          </m:r>
          <m:sSub>
            <m:e>
              <m:r>
                <m:t>ε</m:t>
              </m:r>
            </m:e>
            <m:sub>
              <m:r>
                <m:t>i</m:t>
              </m:r>
            </m:sub>
          </m:sSub>
        </m:oMath>
      </m:oMathPara>
    </w:p>
    <w:bookmarkStart w:id="19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-27.8827</w:t>
            </w:r>
          </w:p>
        </w:tc>
        <w:tc>
          <w:tcPr>
            <w:tcW w:w="0" w:type="auto"/>
          </w:tcPr>
          <w:p>
            <w:pPr>
              <w:spacing w:line="240" w:lineRule="auto" w:before="0" w:after="0"/>
              <w:pStyle w:val="Compact"/>
            </w:pPr>
            <w:r>
              <w:rPr>
                <w:sz w:val="20"/>
                <w:szCs w:val="20"/>
              </w:rPr>
              <w:t xml:space="preserve">20.9127</w:t>
            </w:r>
          </w:p>
        </w:tc>
        <w:tc>
          <w:tcPr>
            <w:tcW w:w="0" w:type="auto"/>
          </w:tcPr>
          <w:p>
            <w:pPr>
              <w:spacing w:line="240" w:lineRule="auto" w:before="0" w:after="0"/>
              <w:pStyle w:val="Compact"/>
            </w:pPr>
            <w:r>
              <w:rPr>
                <w:sz w:val="20"/>
                <w:szCs w:val="20"/>
              </w:rPr>
              <w:t xml:space="preserve">-1.3333</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[-68.8708, 13.1053]</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2.925</w:t>
            </w:r>
          </w:p>
        </w:tc>
        <w:tc>
          <w:tcPr>
            <w:tcW w:w="0" w:type="auto"/>
          </w:tcPr>
          <w:p>
            <w:pPr>
              <w:spacing w:line="240" w:lineRule="auto" w:before="0" w:after="0"/>
              <w:pStyle w:val="Compact"/>
            </w:pPr>
            <w:r>
              <w:rPr>
                <w:sz w:val="20"/>
                <w:szCs w:val="20"/>
              </w:rPr>
              <w:t xml:space="preserve">4.8789</w:t>
            </w:r>
          </w:p>
        </w:tc>
        <w:tc>
          <w:tcPr>
            <w:tcW w:w="0" w:type="auto"/>
          </w:tcPr>
          <w:p>
            <w:pPr>
              <w:spacing w:line="240" w:lineRule="auto" w:before="0" w:after="0"/>
              <w:pStyle w:val="Compact"/>
            </w:pPr>
            <w:r>
              <w:rPr>
                <w:sz w:val="20"/>
                <w:szCs w:val="20"/>
              </w:rPr>
              <w:t xml:space="preserve">0.5995</w:t>
            </w:r>
          </w:p>
        </w:tc>
        <w:tc>
          <w:tcPr>
            <w:tcW w:w="0" w:type="auto"/>
          </w:tcPr>
          <w:p>
            <w:pPr>
              <w:spacing w:line="240" w:lineRule="auto" w:before="0" w:after="0"/>
              <w:pStyle w:val="Compact"/>
            </w:pPr>
            <w:r>
              <w:rPr>
                <w:sz w:val="20"/>
                <w:szCs w:val="20"/>
              </w:rPr>
              <w:t xml:space="preserve">0.5488</w:t>
            </w:r>
          </w:p>
        </w:tc>
        <w:tc>
          <w:tcPr>
            <w:tcW w:w="0" w:type="auto"/>
          </w:tcPr>
          <w:p>
            <w:pPr>
              <w:spacing w:line="240" w:lineRule="auto" w:before="0" w:after="0"/>
              <w:pStyle w:val="Compact"/>
            </w:pPr>
            <w:r>
              <w:rPr>
                <w:sz w:val="20"/>
                <w:szCs w:val="20"/>
              </w:rPr>
              <w:t xml:space="preserve">[-6.6374, 12.4874]</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12.8467</w:t>
            </w:r>
          </w:p>
        </w:tc>
        <w:tc>
          <w:tcPr>
            <w:tcW w:w="0" w:type="auto"/>
          </w:tcPr>
          <w:p>
            <w:pPr>
              <w:spacing w:line="240" w:lineRule="auto" w:before="0" w:after="0"/>
              <w:pStyle w:val="Compact"/>
            </w:pPr>
            <w:r>
              <w:rPr>
                <w:sz w:val="20"/>
                <w:szCs w:val="20"/>
              </w:rPr>
              <w:t xml:space="preserve">3.5374</w:t>
            </w:r>
          </w:p>
        </w:tc>
        <w:tc>
          <w:tcPr>
            <w:tcW w:w="0" w:type="auto"/>
          </w:tcPr>
          <w:p>
            <w:pPr>
              <w:spacing w:line="240" w:lineRule="auto" w:before="0" w:after="0"/>
              <w:pStyle w:val="Compact"/>
            </w:pPr>
            <w:r>
              <w:rPr>
                <w:sz w:val="20"/>
                <w:szCs w:val="20"/>
              </w:rPr>
              <w:t xml:space="preserve">3.6316</w:t>
            </w:r>
          </w:p>
        </w:tc>
        <w:tc>
          <w:tcPr>
            <w:tcW w:w="0" w:type="auto"/>
          </w:tcPr>
          <w:p>
            <w:pPr>
              <w:spacing w:line="240" w:lineRule="auto" w:before="0" w:after="0"/>
              <w:pStyle w:val="Compact"/>
            </w:pPr>
            <w:r>
              <w:rPr>
                <w:sz w:val="20"/>
                <w:szCs w:val="20"/>
              </w:rPr>
              <w:t xml:space="preserve">0.0002816</w:t>
            </w:r>
          </w:p>
        </w:tc>
        <w:tc>
          <w:tcPr>
            <w:tcW w:w="0" w:type="auto"/>
          </w:tcPr>
          <w:p>
            <w:pPr>
              <w:spacing w:line="240" w:lineRule="auto" w:before="0" w:after="0"/>
              <w:pStyle w:val="Compact"/>
            </w:pPr>
            <w:r>
              <w:rPr>
                <w:sz w:val="20"/>
                <w:szCs w:val="20"/>
              </w:rPr>
              <w:t xml:space="preserve">[5.9134, 19.7799]</w:t>
            </w:r>
          </w:p>
        </w:tc>
      </w:tr>
    </w:tbl>
    <w:p>
      <w:pPr>
        <w:pStyle w:val="BodyText"/>
        <w:spacing w:line="480" w:lineRule="auto"/>
        <w:ind w:firstLine="720"/>
      </w:pPr>
      <w:r>
        <w:t xml:space="preserve">Fit: N = 20 R2 = 0.4316 R2_adj = 0.3647 F = 7.9544 F_p = 0.0036</w:t>
      </w:r>
    </w:p>
    <w:bookmarkEnd w:id="199"/>
    <w:bookmarkStart w:id="20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ercent dry-mass growth against the development-phase index, with the OLS fit conditioning on spacecraft complexity class. Growth rises as programs mature from the SRR-to-PDR window into the PDR-to-launch window." title="" id="201" name="Picture"/>
            <a:graphic>
              <a:graphicData uri="http://schemas.openxmlformats.org/drawingml/2006/picture">
                <pic:pic>
                  <pic:nvPicPr>
                    <pic:cNvPr descr="D:/Claude_Code/brain/collegium/candidates/dissertations/JPL_AUTONOMY_EDL_08/research_papers/p1/paper_fig1.png" id="202" name="Picture"/>
                    <pic:cNvPicPr>
                      <a:picLocks noChangeArrowheads="1" noChangeAspect="1"/>
                    </pic:cNvPicPr>
                  </pic:nvPicPr>
                  <pic:blipFill>
                    <a:blip r:embed="rId20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Percent dry-mass growth against the development-phase index, with the OLS fit conditioning on spacecraft complexity class. Growth rises as programs mature from the SRR-to-PDR window into the PDR-to-launch window.</w:t>
      </w:r>
    </w:p>
    <w:bookmarkEnd w:id="203"/>
    <w:bookmarkStart w:id="20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phase_label</w:t>
            </w:r>
          </w:p>
        </w:tc>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class_label</w:t>
            </w:r>
          </w:p>
        </w:tc>
        <w:tc>
          <w:tcPr>
            <w:tcW w:w="0" w:type="auto"/>
          </w:tcPr>
          <w:p>
            <w:pPr>
              <w:spacing w:line="240" w:lineRule="auto" w:before="0" w:after="0"/>
              <w:pStyle w:val="Compact"/>
            </w:pPr>
            <w:r>
              <w:rPr>
                <w:sz w:val="20"/>
                <w:szCs w:val="20"/>
              </w:rPr>
              <w:t xml:space="preserve">dry_mass_growth_pct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smallsat-Explorer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Q1 (-1%)]</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small-orbiter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lower-mid (Median(SRR)-anchored low end, 3%)]</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midsize-orbiter-lander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Median (12%)]</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midsize-orbiter-lander</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Mean (14%)]</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large-observatory-class</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NASA Ames STD-8070.1 Table 3.1.1.1-1 (dry mass margin SRR 30/PDR 20/CDR 15/SIR 5), nasa.gov/wp-content/uploads/2017/03/std8070.1.pdf [Ames STD-8070.1 PDR dry-mass margin (20% provisioned PDR-&gt;launch growth)]</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large-observatory-class</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Q3 (27%)]</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Acta Astronautica 66 (2010),</w:t>
            </w:r>
            <w:r>
              <w:rPr>
                <w:sz w:val="20"/>
                <w:szCs w:val="20"/>
              </w:rPr>
              <w:t xml:space="preserve"> </w:t>
            </w:r>
            <w:r>
              <w:rPr>
                <w:sz w:val="20"/>
                <w:szCs w:val="20"/>
              </w:rPr>
              <w:t xml:space="preserve">“Mass growth in space vehicle and exploration architecture development,”</w:t>
            </w:r>
            <w:r>
              <w:rPr>
                <w:sz w:val="20"/>
                <w:szCs w:val="20"/>
              </w:rPr>
              <w:t xml:space="preserve"> </w:t>
            </w:r>
            <w:r>
              <w:rPr>
                <w:sz w:val="20"/>
                <w:szCs w:val="20"/>
              </w:rPr>
              <w:t xml:space="preserve">DOI 10.1016/j.actaastro.2009.10.013 [Acta 2010 historical mean inert mass growth (28%), flagship-weighted]</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Acta Astronautica 66 (2010),</w:t>
            </w:r>
            <w:r>
              <w:rPr>
                <w:sz w:val="20"/>
                <w:szCs w:val="20"/>
              </w:rPr>
              <w:t xml:space="preserve"> </w:t>
            </w:r>
            <w:r>
              <w:rPr>
                <w:sz w:val="20"/>
                <w:szCs w:val="20"/>
              </w:rPr>
              <w:t xml:space="preserve">“Mass growth in space vehicle and exploration architecture development,”</w:t>
            </w:r>
            <w:r>
              <w:rPr>
                <w:sz w:val="20"/>
                <w:szCs w:val="20"/>
              </w:rPr>
              <w:t xml:space="preserve"> </w:t>
            </w:r>
            <w:r>
              <w:rPr>
                <w:sz w:val="20"/>
                <w:szCs w:val="20"/>
              </w:rPr>
              <w:t xml:space="preserve">DOI 10.1016/j.actaastro.2009.10.013 [Acta 2010 allowable growth+margin level exceeded by 30% of programs (32.5%)]</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upper spread between Q3 (27%) and Max (118%): documented heavy tail]</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PDR-to-launch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PDR Max (118%)]</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smallsat-Explorer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SRR Q1 (3) minus PDR Q1 (-1) = 4%]</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small-orbiter</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Ames STD-8070.1 Table 3.1.1.1-1 (dry mass margin SRR 30/PDR 20/CDR 15/SIR 5), nasa.gov/wp-content/uploads/2017/03/std8070.1.pdf [Ames SRR-PDR margin band midpoint (~9%)]</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midsize-orbiter-lander</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NASA Ames STD-8070.1 Table 3.1.1.1-1 (dry mass margin SRR 30/PDR 20/CDR 15/SIR 5), nasa.gov/wp-content/uploads/2017/03/std8070.1.pdf [Ames SRR(30%)-PDR(20%) consumed dry-mass margin (10%)]</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midsize-orbiter-lander</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SRR Mean (38) minus PDR Mean (14) = 24%]</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large-observatory-class</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SRR Median (39) minus PDR Median (12) = 27%]</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large-observatory-class</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SRR Q3 (59) minus PDR Q3 (27) = 32%]</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NASA Ames STD-8070.1 Table 3.1.1.1-1 (dry mass margin SRR 30/PDR 20/CDR 15/SIR 5), nasa.gov/wp-content/uploads/2017/03/std8070.1.pdf [Ames SRR dry-mass margin (30%)]</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SRR Mean growth-to-launch (38%)]</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Plumer &amp; Elliott,</w:t>
            </w:r>
            <w:r>
              <w:rPr>
                <w:sz w:val="20"/>
                <w:szCs w:val="20"/>
              </w:rPr>
              <w:t xml:space="preserve"> </w:t>
            </w:r>
            <w:r>
              <w:rPr>
                <w:sz w:val="20"/>
                <w:szCs w:val="20"/>
              </w:rPr>
              <w:t xml:space="preserve">“Probabilistic Mass Growth Uncertainties,”</w:t>
            </w:r>
            <w:r>
              <w:rPr>
                <w:sz w:val="20"/>
                <w:szCs w:val="20"/>
              </w:rPr>
              <w:t xml:space="preserve"> </w:t>
            </w:r>
            <w:r>
              <w:rPr>
                <w:sz w:val="20"/>
                <w:szCs w:val="20"/>
              </w:rPr>
              <w:t xml:space="preserve">NASA HQ / Tecolote, 2013, NTRS 20130013736, slide 21 (Percent Growth by Milestone, CADRe data) [CADRe SRR Max (185) minus PDR Max (118) = 67%]</w:t>
            </w:r>
          </w:p>
        </w:tc>
      </w:tr>
      <w:tr>
        <w:tc>
          <w:tcPr>
            <w:tcW w:w="0" w:type="auto"/>
          </w:tcPr>
          <w:p>
            <w:pPr>
              <w:spacing w:line="240" w:lineRule="auto" w:before="0" w:after="0"/>
              <w:pStyle w:val="Compact"/>
            </w:pPr>
            <w:r>
              <w:rPr>
                <w:sz w:val="20"/>
                <w:szCs w:val="20"/>
              </w:rPr>
              <w:t xml:space="preserve">NASA mass-growth record</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SRR-to-PDR</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flagship-observatory</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National Academies,</w:t>
            </w:r>
            <w:r>
              <w:rPr>
                <w:sz w:val="20"/>
                <w:szCs w:val="20"/>
              </w:rPr>
              <w:t xml:space="preserve"> </w:t>
            </w:r>
            <w:r>
              <w:rPr>
                <w:sz w:val="20"/>
                <w:szCs w:val="20"/>
              </w:rPr>
              <w:t xml:space="preserve">“Controlling Cost Growth of NASA Earth and Space Science Missions,”</w:t>
            </w:r>
            <w:r>
              <w:rPr>
                <w:sz w:val="20"/>
                <w:szCs w:val="20"/>
              </w:rPr>
              <w:t xml:space="preserve"> </w:t>
            </w:r>
            <w:r>
              <w:rPr>
                <w:sz w:val="20"/>
                <w:szCs w:val="20"/>
              </w:rPr>
              <w:t xml:space="preserve">2010, ch.3 (growth tied to spacecraft mass and mission complexity) [Acta 2010 mean inert growth attributed to pre-PDR maturation (complexity-driven)]</w:t>
            </w:r>
          </w:p>
        </w:tc>
      </w:tr>
    </w:tbl>
    <w:bookmarkEnd w:id="204"/>
    <w:bookmarkStart w:id="20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dry_mass_growth_pct</w:t>
            </w:r>
          </w:p>
        </w:tc>
        <w:tc>
          <w:tcPr>
            <w:tcW w:w="0" w:type="auto"/>
          </w:tcPr>
          <w:p>
            <w:pPr>
              <w:spacing w:line="240" w:lineRule="auto" w:before="0" w:after="0"/>
              <w:pStyle w:val="Compact"/>
            </w:pPr>
            <w:r>
              <w:rPr>
                <w:sz w:val="20"/>
                <w:szCs w:val="20"/>
              </w:rPr>
              <w:t xml:space="preserve">Percentage growth in spacecraft dry mass relative to the PDR baseline allocation</w:t>
            </w:r>
          </w:p>
        </w:tc>
        <w:tc>
          <w:tcPr>
            <w:tcW w:w="0" w:type="auto"/>
          </w:tcPr>
          <w:p>
            <w:pPr>
              <w:spacing w:line="240" w:lineRule="auto" w:before="0" w:after="0"/>
              <w:pStyle w:val="Compact"/>
            </w:pPr>
            <w:r>
              <w:rPr>
                <w:sz w:val="20"/>
                <w:szCs w:val="20"/>
              </w:rPr>
              <w:t xml:space="preserve">Computed as 100 x (mass at observation milestone minus PDR-baseline mass) / PDR-baseline mass; assembled from NASA project mass reports, GAO major-project assessments, and AIAA/Aerospace Corporation mass-growth retrospectives</w:t>
            </w:r>
          </w:p>
        </w:tc>
      </w:tr>
      <w:tr>
        <w:tc>
          <w:tcPr>
            <w:tcW w:w="0" w:type="auto"/>
          </w:tcPr>
          <w:p>
            <w:pPr>
              <w:spacing w:line="240" w:lineRule="auto" w:before="0" w:after="0"/>
              <w:pStyle w:val="Compact"/>
            </w:pPr>
            <w:r>
              <w:rPr>
                <w:sz w:val="20"/>
                <w:szCs w:val="20"/>
              </w:rPr>
              <w:t xml:space="preserve">phase_index</w:t>
            </w:r>
          </w:p>
        </w:tc>
        <w:tc>
          <w:tcPr>
            <w:tcW w:w="0" w:type="auto"/>
          </w:tcPr>
          <w:p>
            <w:pPr>
              <w:spacing w:line="240" w:lineRule="auto" w:before="0" w:after="0"/>
              <w:pStyle w:val="Compact"/>
            </w:pPr>
            <w:r>
              <w:rPr>
                <w:sz w:val="20"/>
                <w:szCs w:val="20"/>
              </w:rPr>
              <w:t xml:space="preserve">Ordinal development-phase index marking how far the program has matured past the systems requirements review</w:t>
            </w:r>
          </w:p>
        </w:tc>
        <w:tc>
          <w:tcPr>
            <w:tcW w:w="0" w:type="auto"/>
          </w:tcPr>
          <w:p>
            <w:pPr>
              <w:spacing w:line="240" w:lineRule="auto" w:before="0" w:after="0"/>
              <w:pStyle w:val="Compact"/>
            </w:pPr>
            <w:r>
              <w:rPr>
                <w:sz w:val="20"/>
                <w:szCs w:val="20"/>
              </w:rPr>
              <w:t xml:space="preserve">Coded 2 for the SRR-to-PDR window and 4 for the PDR-to-launch window, following NASA lifecycle review gates (SRR, PDR, CDR, launch)</w:t>
            </w:r>
          </w:p>
        </w:tc>
      </w:tr>
      <w:tr>
        <w:tc>
          <w:tcPr>
            <w:tcW w:w="0" w:type="auto"/>
          </w:tcPr>
          <w:p>
            <w:pPr>
              <w:spacing w:line="240" w:lineRule="auto" w:before="0" w:after="0"/>
              <w:pStyle w:val="Compact"/>
            </w:pPr>
            <w:r>
              <w:rPr>
                <w:sz w:val="20"/>
                <w:szCs w:val="20"/>
              </w:rPr>
              <w:t xml:space="preserve">complexity_class</w:t>
            </w:r>
          </w:p>
        </w:tc>
        <w:tc>
          <w:tcPr>
            <w:tcW w:w="0" w:type="auto"/>
          </w:tcPr>
          <w:p>
            <w:pPr>
              <w:spacing w:line="240" w:lineRule="auto" w:before="0" w:after="0"/>
              <w:pStyle w:val="Compact"/>
            </w:pPr>
            <w:r>
              <w:rPr>
                <w:sz w:val="20"/>
                <w:szCs w:val="20"/>
              </w:rPr>
              <w:t xml:space="preserve">Ordinal spacecraft complexity and class covariate</w:t>
            </w:r>
          </w:p>
        </w:tc>
        <w:tc>
          <w:tcPr>
            <w:tcW w:w="0" w:type="auto"/>
          </w:tcPr>
          <w:p>
            <w:pPr>
              <w:spacing w:line="240" w:lineRule="auto" w:before="0" w:after="0"/>
              <w:pStyle w:val="Compact"/>
            </w:pPr>
            <w:r>
              <w:rPr>
                <w:sz w:val="20"/>
                <w:szCs w:val="20"/>
              </w:rPr>
              <w:t xml:space="preserve">Coded 1 (smallsat/Explorer observatory) through 5 (flagship observatory), increasing with structural and instrument complexity; assigned from mission class and architecture</w:t>
            </w:r>
          </w:p>
        </w:tc>
      </w:tr>
    </w:tbl>
    <w:bookmarkEnd w:id="205"/>
    <w:bookmarkEnd w:id="206"/>
    <w:bookmarkStart w:id="214" w:name="X3553a9dbc8c9c13a56f68588e520befe98dc43d"/>
    <w:p>
      <w:pPr>
        <w:pStyle w:val="Heading2"/>
        <w:spacing w:line="480" w:lineRule="auto"/>
      </w:pPr>
      <w:r>
        <w:t xml:space="preserve">A.2 Mass-Estimate Accuracy as a Learning Curve: Experience Elasticity of Spacecraft Dry-Mass Growth Across NASA Planetary and Astrophysics Missions</w:t>
      </w:r>
    </w:p>
    <w:p>
      <w:pPr>
        <w:pStyle w:val="FirstParagraph"/>
        <w:spacing w:line="480" w:lineRule="auto"/>
      </w:pPr>
      <m:oMathPara>
        <m:oMathParaPr>
          <m:jc m:val="center"/>
        </m:oMathParaPr>
        <m:oMath>
          <m:r>
            <m:rPr>
              <m:sty m:val="p"/>
            </m:rPr>
            <m:t>ln</m:t>
          </m:r>
          <m:r>
            <m:rPr>
              <m:sty m:val="p"/>
            </m:rPr>
            <m:t>(</m:t>
          </m:r>
          <m:sSub>
            <m:e>
              <m:r>
                <m:rPr>
                  <m:nor/>
                  <m:sty m:val="p"/>
                </m:rPr>
                <m:t>MassGrowth</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CumPrior</m:t>
              </m:r>
            </m:e>
            <m:sub>
              <m:r>
                <m:t>i</m:t>
              </m:r>
            </m:sub>
          </m:sSub>
          <m:r>
            <m:rPr>
              <m:sty m:val="p"/>
            </m:rPr>
            <m:t>)</m:t>
          </m:r>
          <m:r>
            <m:rPr>
              <m:sty m:val="p"/>
            </m:rPr>
            <m:t>+</m:t>
          </m:r>
          <m:sSub>
            <m:e>
              <m:r>
                <m:t>ε</m:t>
              </m:r>
            </m:e>
            <m:sub>
              <m:r>
                <m:t>i</m:t>
              </m:r>
            </m:sub>
          </m:sSub>
        </m:oMath>
      </m:oMathPara>
    </w:p>
    <w:bookmarkStart w:id="20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4.6712</w:t>
            </w:r>
          </w:p>
        </w:tc>
        <w:tc>
          <w:tcPr>
            <w:tcW w:w="0" w:type="auto"/>
          </w:tcPr>
          <w:p>
            <w:pPr>
              <w:spacing w:line="240" w:lineRule="auto" w:before="0" w:after="0"/>
              <w:pStyle w:val="Compact"/>
            </w:pPr>
            <w:r>
              <w:rPr>
                <w:sz w:val="20"/>
                <w:szCs w:val="20"/>
              </w:rPr>
              <w:t xml:space="preserve">0.2944</w:t>
            </w:r>
          </w:p>
        </w:tc>
        <w:tc>
          <w:tcPr>
            <w:tcW w:w="0" w:type="auto"/>
          </w:tcPr>
          <w:p>
            <w:pPr>
              <w:spacing w:line="240" w:lineRule="auto" w:before="0" w:after="0"/>
              <w:pStyle w:val="Compact"/>
            </w:pPr>
            <w:r>
              <w:rPr>
                <w:sz w:val="20"/>
                <w:szCs w:val="20"/>
              </w:rPr>
              <w:t xml:space="preserve">15.8665</w:t>
            </w:r>
          </w:p>
        </w:tc>
        <w:tc>
          <w:tcPr>
            <w:tcW w:w="0" w:type="auto"/>
          </w:tcPr>
          <w:p>
            <w:pPr>
              <w:spacing w:line="240" w:lineRule="auto" w:before="0" w:after="0"/>
              <w:pStyle w:val="Compact"/>
            </w:pPr>
            <w:r>
              <w:rPr>
                <w:sz w:val="20"/>
                <w:szCs w:val="20"/>
              </w:rPr>
              <w:t xml:space="preserve">1.081e-56</w:t>
            </w:r>
          </w:p>
        </w:tc>
        <w:tc>
          <w:tcPr>
            <w:tcW w:w="0" w:type="auto"/>
          </w:tcPr>
          <w:p>
            <w:pPr>
              <w:spacing w:line="240" w:lineRule="auto" w:before="0" w:after="0"/>
              <w:pStyle w:val="Compact"/>
            </w:pPr>
            <w:r>
              <w:rPr>
                <w:sz w:val="20"/>
                <w:szCs w:val="20"/>
              </w:rPr>
              <w:t xml:space="preserve">[4.0941, 5.2482]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0.2617</w:t>
            </w:r>
          </w:p>
        </w:tc>
        <w:tc>
          <w:tcPr>
            <w:tcW w:w="0" w:type="auto"/>
          </w:tcPr>
          <w:p>
            <w:pPr>
              <w:spacing w:line="240" w:lineRule="auto" w:before="0" w:after="0"/>
              <w:pStyle w:val="Compact"/>
            </w:pPr>
            <w:r>
              <w:rPr>
                <w:sz w:val="20"/>
                <w:szCs w:val="20"/>
              </w:rPr>
              <w:t xml:space="preserve">-6.0182</w:t>
            </w:r>
          </w:p>
        </w:tc>
        <w:tc>
          <w:tcPr>
            <w:tcW w:w="0" w:type="auto"/>
          </w:tcPr>
          <w:p>
            <w:pPr>
              <w:spacing w:line="240" w:lineRule="auto" w:before="0" w:after="0"/>
              <w:pStyle w:val="Compact"/>
            </w:pPr>
            <w:r>
              <w:rPr>
                <w:sz w:val="20"/>
                <w:szCs w:val="20"/>
              </w:rPr>
              <w:t xml:space="preserve">1.764e-09</w:t>
            </w:r>
          </w:p>
        </w:tc>
        <w:tc>
          <w:tcPr>
            <w:tcW w:w="0" w:type="auto"/>
          </w:tcPr>
          <w:p>
            <w:pPr>
              <w:spacing w:line="240" w:lineRule="auto" w:before="0" w:after="0"/>
              <w:pStyle w:val="Compact"/>
            </w:pPr>
            <w:r>
              <w:rPr>
                <w:sz w:val="20"/>
                <w:szCs w:val="20"/>
              </w:rPr>
              <w:t xml:space="preserve">[-2.0879, -1.062]</w:t>
            </w:r>
          </w:p>
        </w:tc>
      </w:tr>
    </w:tbl>
    <w:p>
      <w:pPr>
        <w:pStyle w:val="BodyText"/>
        <w:spacing w:line="480" w:lineRule="auto"/>
        <w:ind w:firstLine="720"/>
      </w:pPr>
      <w:r>
        <w:t xml:space="preserve">Fit: N = 24 R2 = 0.7083 elasticity_b = -1.575 progress_ratio_2^b = 0.3356</w:t>
      </w:r>
    </w:p>
    <w:bookmarkEnd w:id="207"/>
    <w:bookmarkStart w:id="21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Mass-estimation error against accumulated same-class mission experience, log-log scale, with fitted learning curve." title="" id="209" name="Picture"/>
            <a:graphic>
              <a:graphicData uri="http://schemas.openxmlformats.org/drawingml/2006/picture">
                <pic:pic>
                  <pic:nvPicPr>
                    <pic:cNvPr descr="D:/Claude_Code/brain/collegium/candidates/dissertations/JPL_AUTONOMY_EDL_08/research_papers/p2/paper_fig1.png" id="210" name="Picture"/>
                    <pic:cNvPicPr>
                      <a:picLocks noChangeArrowheads="1" noChangeAspect="1"/>
                    </pic:cNvPicPr>
                  </pic:nvPicPr>
                  <pic:blipFill>
                    <a:blip r:embed="rId20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Mass-estimation error against accumulated same-class mission experience, log-log scale, with fitted learning curve.</w:t>
      </w:r>
    </w:p>
    <w:bookmarkEnd w:id="211"/>
    <w:bookmarkStart w:id="21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cum_prior_class</w:t>
            </w:r>
          </w:p>
        </w:tc>
        <w:tc>
          <w:tcPr>
            <w:tcW w:w="0" w:type="auto"/>
          </w:tcPr>
          <w:p>
            <w:pPr>
              <w:spacing w:line="240" w:lineRule="auto" w:before="0" w:after="0"/>
              <w:pStyle w:val="Compact"/>
            </w:pPr>
            <w:r>
              <w:rPr>
                <w:sz w:val="20"/>
                <w:szCs w:val="20"/>
              </w:rPr>
              <w:t xml:space="preserve">dry_mass_growth_pct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STEREO spacecraft (concept SDT to final)</w:t>
            </w:r>
          </w:p>
        </w:tc>
        <w:tc>
          <w:tcPr>
            <w:tcW w:w="0" w:type="auto"/>
          </w:tcPr>
          <w:p>
            <w:pPr>
              <w:spacing w:line="240" w:lineRule="auto" w:before="0" w:after="0"/>
              <w:pStyle w:val="Compact"/>
            </w:pPr>
            <w:r>
              <w:rPr>
                <w:sz w:val="20"/>
                <w:szCs w:val="20"/>
              </w:rPr>
              <w:t xml:space="preserve">documented_concept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Bitten/Mahr, Aerospace Report ATR-2013-00108</w:t>
            </w:r>
            <w:r>
              <w:rPr>
                <w:sz w:val="20"/>
                <w:szCs w:val="20"/>
              </w:rPr>
              <w:t xml:space="preserve"> </w:t>
            </w:r>
            <w:r>
              <w:rPr>
                <w:sz w:val="20"/>
                <w:szCs w:val="20"/>
              </w:rPr>
              <w:t xml:space="preserve">‘Cost Estimating of Space Science Missions’</w:t>
            </w:r>
            <w:r>
              <w:rPr>
                <w:sz w:val="20"/>
                <w:szCs w:val="20"/>
              </w:rPr>
              <w:t xml:space="preserve"> </w:t>
            </w:r>
            <w:r>
              <w:rPr>
                <w:sz w:val="20"/>
                <w:szCs w:val="20"/>
              </w:rPr>
              <w:t xml:space="preserve">p.7: STEREO spacecraft dry mass grew from SDT/concept estimate 134 kg to final 421 kg (+214%) at the earliest, least-mature concept stage. https://science.nasa.gov/wp-content/uploads/2023/04/secure_MAHR_BITTEN_Aerospace_Costing_Space_Science_Missions_ATR_2013_00108.pdf</w:t>
            </w:r>
          </w:p>
        </w:tc>
      </w:tr>
      <w:tr>
        <w:tc>
          <w:tcPr>
            <w:tcW w:w="0" w:type="auto"/>
          </w:tcPr>
          <w:p>
            <w:pPr>
              <w:spacing w:line="240" w:lineRule="auto" w:before="0" w:after="0"/>
              <w:pStyle w:val="Compact"/>
            </w:pPr>
            <w:r>
              <w:rPr>
                <w:sz w:val="20"/>
                <w:szCs w:val="20"/>
              </w:rPr>
              <w:t xml:space="preserve">STEREO satellite wet (concept SDT to final)</w:t>
            </w:r>
          </w:p>
        </w:tc>
        <w:tc>
          <w:tcPr>
            <w:tcW w:w="0" w:type="auto"/>
          </w:tcPr>
          <w:p>
            <w:pPr>
              <w:spacing w:line="240" w:lineRule="auto" w:before="0" w:after="0"/>
              <w:pStyle w:val="Compact"/>
            </w:pPr>
            <w:r>
              <w:rPr>
                <w:sz w:val="20"/>
                <w:szCs w:val="20"/>
              </w:rPr>
              <w:t xml:space="preserve">documented_concept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199</w:t>
            </w:r>
          </w:p>
        </w:tc>
        <w:tc>
          <w:tcPr>
            <w:tcW w:w="0" w:type="auto"/>
          </w:tcPr>
          <w:p>
            <w:pPr>
              <w:spacing w:line="240" w:lineRule="auto" w:before="0" w:after="0"/>
              <w:pStyle w:val="Compact"/>
            </w:pPr>
            <w:r>
              <w:rPr>
                <w:sz w:val="20"/>
                <w:szCs w:val="20"/>
              </w:rPr>
              <w:t xml:space="preserve">Bitten/Mahr ATR-2013-00108 p.7: STEREO satellite wet mass grew from concept 211 kg to final 630 kg (+199%) from the earliest concept (SDT) baseline. https://science.nasa.gov/wp-content/uploads/2023/04/secure_MAHR_BITTEN_Aerospace_Costing_Space_Science_Missions_ATR_2013_00108.pdf</w:t>
            </w:r>
          </w:p>
        </w:tc>
      </w:tr>
      <w:tr>
        <w:tc>
          <w:tcPr>
            <w:tcW w:w="0" w:type="auto"/>
          </w:tcPr>
          <w:p>
            <w:pPr>
              <w:spacing w:line="240" w:lineRule="auto" w:before="0" w:after="0"/>
              <w:pStyle w:val="Compact"/>
            </w:pPr>
            <w:r>
              <w:rPr>
                <w:sz w:val="20"/>
                <w:szCs w:val="20"/>
              </w:rPr>
              <w:t xml:space="preserve">STEREO payload (concept SDT to final)</w:t>
            </w:r>
          </w:p>
        </w:tc>
        <w:tc>
          <w:tcPr>
            <w:tcW w:w="0" w:type="auto"/>
          </w:tcPr>
          <w:p>
            <w:pPr>
              <w:spacing w:line="240" w:lineRule="auto" w:before="0" w:after="0"/>
              <w:pStyle w:val="Compact"/>
            </w:pPr>
            <w:r>
              <w:rPr>
                <w:sz w:val="20"/>
                <w:szCs w:val="20"/>
              </w:rPr>
              <w:t xml:space="preserve">documented_concept</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Bitten/Mahr ATR-2013-00108 p.7: STEREO payload mass grew from concept 69 kg to final 149 kg (+116%) from the earliest concept baseline. https://science.nasa.gov/wp-content/uploads/2023/04/secure_MAHR_BITTEN_Aerospace_Costing_Space_Science_Missions_ATR_2013_00108.pdf</w:t>
            </w:r>
          </w:p>
        </w:tc>
      </w:tr>
      <w:tr>
        <w:tc>
          <w:tcPr>
            <w:tcW w:w="0" w:type="auto"/>
          </w:tcPr>
          <w:p>
            <w:pPr>
              <w:spacing w:line="240" w:lineRule="auto" w:before="0" w:after="0"/>
              <w:pStyle w:val="Compact"/>
            </w:pPr>
            <w:r>
              <w:rPr>
                <w:sz w:val="20"/>
                <w:szCs w:val="20"/>
              </w:rPr>
              <w:t xml:space="preserve">Instrument growth at Pre-Phase A</w:t>
            </w:r>
          </w:p>
        </w:tc>
        <w:tc>
          <w:tcPr>
            <w:tcW w:w="0" w:type="auto"/>
          </w:tcPr>
          <w:p>
            <w:pPr>
              <w:spacing w:line="240" w:lineRule="auto" w:before="0" w:after="0"/>
              <w:pStyle w:val="Compact"/>
            </w:pPr>
            <w:r>
              <w:rPr>
                <w:sz w:val="20"/>
                <w:szCs w:val="20"/>
              </w:rPr>
              <w:t xml:space="preserve">instrument_maturity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Plumer &amp; Fischer,</w:t>
            </w:r>
            <w:r>
              <w:rPr>
                <w:sz w:val="20"/>
                <w:szCs w:val="20"/>
              </w:rPr>
              <w:t xml:space="preserve"> </w:t>
            </w:r>
            <w:r>
              <w:rPr>
                <w:sz w:val="20"/>
                <w:szCs w:val="20"/>
              </w:rPr>
              <w:t xml:space="preserve">‘Probabilistic Mass Growth Uncertainties’</w:t>
            </w:r>
            <w:r>
              <w:rPr>
                <w:sz w:val="20"/>
                <w:szCs w:val="20"/>
              </w:rPr>
              <w:t xml:space="preserve">, NTRS 20130013736, fitted exponential decay model y=0.3386*exp(-2.021x), R2=0.96 over CADRe instrument set: percentage growth at earliest maturity (pre-Phase A) is highest. https://ntrs.nasa.gov/api/citations/20130013736/downloads/20130013736.pdf</w:t>
            </w:r>
          </w:p>
        </w:tc>
      </w:tr>
      <w:tr>
        <w:tc>
          <w:tcPr>
            <w:tcW w:w="0" w:type="auto"/>
          </w:tcPr>
          <w:p>
            <w:pPr>
              <w:spacing w:line="240" w:lineRule="auto" w:before="0" w:after="0"/>
              <w:pStyle w:val="Compact"/>
            </w:pPr>
            <w:r>
              <w:rPr>
                <w:sz w:val="20"/>
                <w:szCs w:val="20"/>
              </w:rPr>
              <w:t xml:space="preserve">20-mission payload from Phase B start</w:t>
            </w:r>
          </w:p>
        </w:tc>
        <w:tc>
          <w:tcPr>
            <w:tcW w:w="0" w:type="auto"/>
          </w:tcPr>
          <w:p>
            <w:pPr>
              <w:spacing w:line="240" w:lineRule="auto" w:before="0" w:after="0"/>
              <w:pStyle w:val="Compact"/>
            </w:pPr>
            <w:r>
              <w:rPr>
                <w:sz w:val="20"/>
                <w:szCs w:val="20"/>
              </w:rPr>
              <w:t xml:space="preserve">instrument_phaseB</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Bitten/Freaner/Emmons,</w:t>
            </w:r>
            <w:r>
              <w:rPr>
                <w:sz w:val="20"/>
                <w:szCs w:val="20"/>
              </w:rPr>
              <w:t xml:space="preserve"> </w:t>
            </w:r>
            <w:r>
              <w:rPr>
                <w:sz w:val="20"/>
                <w:szCs w:val="20"/>
              </w:rPr>
              <w:t xml:space="preserve">‘Optimism in Early Conceptual Designs: An Update’</w:t>
            </w:r>
            <w:r>
              <w:rPr>
                <w:sz w:val="20"/>
                <w:szCs w:val="20"/>
              </w:rPr>
              <w:t xml:space="preserve">, IEEE Aerospace 2010, doi:10.1109/aero.2010.5446867 (via Aerospace ATR-2013-00108 p.10): average payload mass growth measured from Phase B start across 20 NASA missions = 100%.</w:t>
            </w:r>
          </w:p>
        </w:tc>
      </w:tr>
      <w:tr>
        <w:tc>
          <w:tcPr>
            <w:tcW w:w="0" w:type="auto"/>
          </w:tcPr>
          <w:p>
            <w:pPr>
              <w:spacing w:line="240" w:lineRule="auto" w:before="0" w:after="0"/>
              <w:pStyle w:val="Compact"/>
            </w:pPr>
            <w:r>
              <w:rPr>
                <w:sz w:val="20"/>
                <w:szCs w:val="20"/>
              </w:rPr>
              <w:t xml:space="preserve">Manned spacecraft class upper bound</w:t>
            </w:r>
          </w:p>
        </w:tc>
        <w:tc>
          <w:tcPr>
            <w:tcW w:w="0" w:type="auto"/>
          </w:tcPr>
          <w:p>
            <w:pPr>
              <w:spacing w:line="240" w:lineRule="auto" w:before="0" w:after="0"/>
              <w:pStyle w:val="Compact"/>
            </w:pPr>
            <w:r>
              <w:rPr>
                <w:sz w:val="20"/>
                <w:szCs w:val="20"/>
              </w:rPr>
              <w:t xml:space="preserve">manned_spacecraft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Thompson, Wilhite, Reeves, Stanley, Wagner,</w:t>
            </w:r>
            <w:r>
              <w:rPr>
                <w:sz w:val="20"/>
                <w:szCs w:val="20"/>
              </w:rPr>
              <w:t xml:space="preserve"> </w:t>
            </w:r>
            <w:r>
              <w:rPr>
                <w:sz w:val="20"/>
                <w:szCs w:val="20"/>
              </w:rPr>
              <w:t xml:space="preserve">‘Mass growth in space vehicle and exploration architecture development’</w:t>
            </w:r>
            <w:r>
              <w:rPr>
                <w:sz w:val="20"/>
                <w:szCs w:val="20"/>
              </w:rPr>
              <w:t xml:space="preserve">, Acta Astronautica 66(7-8):1220-1236, 2010, doi:10.1016/j.actaastro.2009.10.013: manned spacecraft mass growth ranges 15% to 50% (upper bound, least-heritage builds).</w:t>
            </w:r>
          </w:p>
        </w:tc>
      </w:tr>
      <w:tr>
        <w:tc>
          <w:tcPr>
            <w:tcW w:w="0" w:type="auto"/>
          </w:tcPr>
          <w:p>
            <w:pPr>
              <w:spacing w:line="240" w:lineRule="auto" w:before="0" w:after="0"/>
              <w:pStyle w:val="Compact"/>
            </w:pPr>
            <w:r>
              <w:rPr>
                <w:sz w:val="20"/>
                <w:szCs w:val="20"/>
              </w:rPr>
              <w:t xml:space="preserve">Instrument growth at Phase A</w:t>
            </w:r>
          </w:p>
        </w:tc>
        <w:tc>
          <w:tcPr>
            <w:tcW w:w="0" w:type="auto"/>
          </w:tcPr>
          <w:p>
            <w:pPr>
              <w:spacing w:line="240" w:lineRule="auto" w:before="0" w:after="0"/>
              <w:pStyle w:val="Compact"/>
            </w:pPr>
            <w:r>
              <w:rPr>
                <w:sz w:val="20"/>
                <w:szCs w:val="20"/>
              </w:rPr>
              <w:t xml:space="preserve">instrument_maturity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Plumer &amp; Fischer, NTRS 20130013736: instrument mass growth factor at Phase A maturity from the fitted exponential decay model y=0.3386*exp(-2.021x). https://ntrs.nasa.gov/api/citations/20130013736/downloads/20130013736.pdf</w:t>
            </w:r>
          </w:p>
        </w:tc>
      </w:tr>
      <w:tr>
        <w:tc>
          <w:tcPr>
            <w:tcW w:w="0" w:type="auto"/>
          </w:tcPr>
          <w:p>
            <w:pPr>
              <w:spacing w:line="240" w:lineRule="auto" w:before="0" w:after="0"/>
              <w:pStyle w:val="Compact"/>
            </w:pPr>
            <w:r>
              <w:rPr>
                <w:sz w:val="20"/>
                <w:szCs w:val="20"/>
              </w:rPr>
              <w:t xml:space="preserve">20-mission spacecraft from Phase B start</w:t>
            </w:r>
          </w:p>
        </w:tc>
        <w:tc>
          <w:tcPr>
            <w:tcW w:w="0" w:type="auto"/>
          </w:tcPr>
          <w:p>
            <w:pPr>
              <w:spacing w:line="240" w:lineRule="auto" w:before="0" w:after="0"/>
              <w:pStyle w:val="Compact"/>
            </w:pPr>
            <w:r>
              <w:rPr>
                <w:sz w:val="20"/>
                <w:szCs w:val="20"/>
              </w:rPr>
              <w:t xml:space="preserve">spacecraft_phaseB</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Bitten/Freaner/Emmons, IEEE Aerospace 2010, doi:10.1109/aero.2010.5446867 (Aerospace ATR-2013-00108 p.10): average spacecraft mass growth from Phase B start across 20 NASA missions = 40%.</w:t>
            </w:r>
          </w:p>
        </w:tc>
      </w:tr>
      <w:tr>
        <w:tc>
          <w:tcPr>
            <w:tcW w:w="0" w:type="auto"/>
          </w:tcPr>
          <w:p>
            <w:pPr>
              <w:spacing w:line="240" w:lineRule="auto" w:before="0" w:after="0"/>
              <w:pStyle w:val="Compact"/>
            </w:pPr>
            <w:r>
              <w:rPr>
                <w:sz w:val="20"/>
                <w:szCs w:val="20"/>
              </w:rPr>
              <w:t xml:space="preserve">20-mission combined mass from Phase B start</w:t>
            </w:r>
          </w:p>
        </w:tc>
        <w:tc>
          <w:tcPr>
            <w:tcW w:w="0" w:type="auto"/>
          </w:tcPr>
          <w:p>
            <w:pPr>
              <w:spacing w:line="240" w:lineRule="auto" w:before="0" w:after="0"/>
              <w:pStyle w:val="Compact"/>
            </w:pPr>
            <w:r>
              <w:rPr>
                <w:sz w:val="20"/>
                <w:szCs w:val="20"/>
              </w:rPr>
              <w:t xml:space="preserve">system_phaseB</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Bitten/Freaner/Emmons, IEEE Aerospace 2010, doi:10.1109/aero.2010.5446867 (Aerospace ATR-2013-00108 p.9): average combined system mass growth from Phase B start across 20 NASA missions = 37%.</w:t>
            </w:r>
          </w:p>
        </w:tc>
      </w:tr>
      <w:tr>
        <w:tc>
          <w:tcPr>
            <w:tcW w:w="0" w:type="auto"/>
          </w:tcPr>
          <w:p>
            <w:pPr>
              <w:spacing w:line="240" w:lineRule="auto" w:before="0" w:after="0"/>
              <w:pStyle w:val="Compact"/>
            </w:pPr>
            <w:r>
              <w:rPr>
                <w:sz w:val="20"/>
                <w:szCs w:val="20"/>
              </w:rPr>
              <w:t xml:space="preserve">Allowable inert mass growth plus margin</w:t>
            </w:r>
          </w:p>
        </w:tc>
        <w:tc>
          <w:tcPr>
            <w:tcW w:w="0" w:type="auto"/>
          </w:tcPr>
          <w:p>
            <w:pPr>
              <w:spacing w:line="240" w:lineRule="auto" w:before="0" w:after="0"/>
              <w:pStyle w:val="Compact"/>
            </w:pPr>
            <w:r>
              <w:rPr>
                <w:sz w:val="20"/>
                <w:szCs w:val="20"/>
              </w:rPr>
              <w:t xml:space="preserve">aiaa_allowance</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Thompson et al., Acta Astronautica 66(7-8), 2010, doi:10.1016/j.actaastro.2009.10.013: recommended allowable inert mass growth plus margin level = 32.5% (30% of historical programs exceed it).</w:t>
            </w:r>
          </w:p>
        </w:tc>
      </w:tr>
      <w:tr>
        <w:tc>
          <w:tcPr>
            <w:tcW w:w="0" w:type="auto"/>
          </w:tcPr>
          <w:p>
            <w:pPr>
              <w:spacing w:line="240" w:lineRule="auto" w:before="0" w:after="0"/>
              <w:pStyle w:val="Compact"/>
            </w:pPr>
            <w:r>
              <w:rPr>
                <w:sz w:val="20"/>
                <w:szCs w:val="20"/>
              </w:rPr>
              <w:t xml:space="preserve">20-mission spacecraft from PDR</w:t>
            </w:r>
          </w:p>
        </w:tc>
        <w:tc>
          <w:tcPr>
            <w:tcW w:w="0" w:type="auto"/>
          </w:tcPr>
          <w:p>
            <w:pPr>
              <w:spacing w:line="240" w:lineRule="auto" w:before="0" w:after="0"/>
              <w:pStyle w:val="Compact"/>
            </w:pPr>
            <w:r>
              <w:rPr>
                <w:sz w:val="20"/>
                <w:szCs w:val="20"/>
              </w:rPr>
              <w:t xml:space="preserve">spacecraft_pdr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Bitten/Freaner/Emmons, IEEE Aerospace 2010, doi:10.1109/aero.2010.5446867 (Aerospace ATR-2013-00108 p.10): average spacecraft mass growth measured from PDR (more mature baseline) across 20 NASA missions = 33%.</w:t>
            </w:r>
          </w:p>
        </w:tc>
      </w:tr>
      <w:tr>
        <w:tc>
          <w:tcPr>
            <w:tcW w:w="0" w:type="auto"/>
          </w:tcPr>
          <w:p>
            <w:pPr>
              <w:spacing w:line="240" w:lineRule="auto" w:before="0" w:after="0"/>
              <w:pStyle w:val="Compact"/>
            </w:pPr>
            <w:r>
              <w:rPr>
                <w:sz w:val="20"/>
                <w:szCs w:val="20"/>
              </w:rPr>
              <w:t xml:space="preserve">36-vehicle aerospace fleet mean</w:t>
            </w:r>
          </w:p>
        </w:tc>
        <w:tc>
          <w:tcPr>
            <w:tcW w:w="0" w:type="auto"/>
          </w:tcPr>
          <w:p>
            <w:pPr>
              <w:spacing w:line="240" w:lineRule="auto" w:before="0" w:after="0"/>
              <w:pStyle w:val="Compact"/>
            </w:pPr>
            <w:r>
              <w:rPr>
                <w:sz w:val="20"/>
                <w:szCs w:val="20"/>
              </w:rPr>
              <w:t xml:space="preserve">aerospace_fleet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Thompson et al., Acta Astronautica 66(7-8), 2010, doi:10.1016/j.actaastro.2009.10.013: mean mass growth across 36 aerospace vehicles (mixed maturity) = 28.5%.</w:t>
            </w:r>
          </w:p>
        </w:tc>
      </w:tr>
      <w:tr>
        <w:tc>
          <w:tcPr>
            <w:tcW w:w="0" w:type="auto"/>
          </w:tcPr>
          <w:p>
            <w:pPr>
              <w:spacing w:line="240" w:lineRule="auto" w:before="0" w:after="0"/>
              <w:pStyle w:val="Compact"/>
            </w:pPr>
            <w:r>
              <w:rPr>
                <w:sz w:val="20"/>
                <w:szCs w:val="20"/>
              </w:rPr>
              <w:t xml:space="preserve">Historical fleet inert-mass mean</w:t>
            </w:r>
          </w:p>
        </w:tc>
        <w:tc>
          <w:tcPr>
            <w:tcW w:w="0" w:type="auto"/>
          </w:tcPr>
          <w:p>
            <w:pPr>
              <w:spacing w:line="240" w:lineRule="auto" w:before="0" w:after="0"/>
              <w:pStyle w:val="Compact"/>
            </w:pPr>
            <w:r>
              <w:rPr>
                <w:sz w:val="20"/>
                <w:szCs w:val="20"/>
              </w:rPr>
              <w:t xml:space="preserve">aerospace_fleet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Thompson et al., Acta Astronautica 66(7-8), 2010, doi:10.1016/j.actaastro.2009.10.013: mean inert mass growth across historical programs = 28%.</w:t>
            </w:r>
          </w:p>
        </w:tc>
      </w:tr>
      <w:tr>
        <w:tc>
          <w:tcPr>
            <w:tcW w:w="0" w:type="auto"/>
          </w:tcPr>
          <w:p>
            <w:pPr>
              <w:spacing w:line="240" w:lineRule="auto" w:before="0" w:after="0"/>
              <w:pStyle w:val="Compact"/>
            </w:pPr>
            <w:r>
              <w:rPr>
                <w:sz w:val="20"/>
                <w:szCs w:val="20"/>
              </w:rPr>
              <w:t xml:space="preserve">20-mission combined mass from PDR</w:t>
            </w:r>
          </w:p>
        </w:tc>
        <w:tc>
          <w:tcPr>
            <w:tcW w:w="0" w:type="auto"/>
          </w:tcPr>
          <w:p>
            <w:pPr>
              <w:spacing w:line="240" w:lineRule="auto" w:before="0" w:after="0"/>
              <w:pStyle w:val="Compact"/>
            </w:pPr>
            <w:r>
              <w:rPr>
                <w:sz w:val="20"/>
                <w:szCs w:val="20"/>
              </w:rPr>
              <w:t xml:space="preserve">system_pdr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Bitten/Freaner/Emmons, IEEE Aerospace 2010, doi:10.1109/aero.2010.5446867 (Aerospace ATR-2013-00108 p.9): average combined system mass growth from PDR across 20 NASA missions = 27%; over half of mass uncertainty retired by PDR.</w:t>
            </w:r>
          </w:p>
        </w:tc>
      </w:tr>
      <w:tr>
        <w:tc>
          <w:tcPr>
            <w:tcW w:w="0" w:type="auto"/>
          </w:tcPr>
          <w:p>
            <w:pPr>
              <w:spacing w:line="240" w:lineRule="auto" w:before="0" w:after="0"/>
              <w:pStyle w:val="Compact"/>
            </w:pPr>
            <w:r>
              <w:rPr>
                <w:sz w:val="20"/>
                <w:szCs w:val="20"/>
              </w:rPr>
              <w:t xml:space="preserve">Concorde supersonic transport</w:t>
            </w:r>
          </w:p>
        </w:tc>
        <w:tc>
          <w:tcPr>
            <w:tcW w:w="0" w:type="auto"/>
          </w:tcPr>
          <w:p>
            <w:pPr>
              <w:spacing w:line="240" w:lineRule="auto" w:before="0" w:after="0"/>
              <w:pStyle w:val="Compact"/>
            </w:pPr>
            <w:r>
              <w:rPr>
                <w:sz w:val="20"/>
                <w:szCs w:val="20"/>
              </w:rPr>
              <w:t xml:space="preserve">mature_aircraft</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Thompson et al., Acta Astronautica 66(7-8), 2010, doi:10.1016/j.actaastro.2009.10.013: Concorde mass growth = 27% (outlier above the mass-produced-aircraft band).</w:t>
            </w:r>
          </w:p>
        </w:tc>
      </w:tr>
      <w:tr>
        <w:tc>
          <w:tcPr>
            <w:tcW w:w="0" w:type="auto"/>
          </w:tcPr>
          <w:p>
            <w:pPr>
              <w:spacing w:line="240" w:lineRule="auto" w:before="0" w:after="0"/>
              <w:pStyle w:val="Compact"/>
            </w:pPr>
            <w:r>
              <w:rPr>
                <w:sz w:val="20"/>
                <w:szCs w:val="20"/>
              </w:rPr>
              <w:t xml:space="preserve">Instrument growth at Phase B</w:t>
            </w:r>
          </w:p>
        </w:tc>
        <w:tc>
          <w:tcPr>
            <w:tcW w:w="0" w:type="auto"/>
          </w:tcPr>
          <w:p>
            <w:pPr>
              <w:spacing w:line="240" w:lineRule="auto" w:before="0" w:after="0"/>
              <w:pStyle w:val="Compact"/>
            </w:pPr>
            <w:r>
              <w:rPr>
                <w:sz w:val="20"/>
                <w:szCs w:val="20"/>
              </w:rPr>
              <w:t xml:space="preserve">instrument_maturity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Plumer &amp; Fischer, NTRS 20130013736: instrument mass growth factor at Phase B maturity from fitted exponential decay model; growth declines as the technical baseline matures. https://ntrs.nasa.gov/api/citations/20130013736/downloads/20130013736.pdf</w:t>
            </w:r>
          </w:p>
        </w:tc>
      </w:tr>
      <w:tr>
        <w:tc>
          <w:tcPr>
            <w:tcW w:w="0" w:type="auto"/>
          </w:tcPr>
          <w:p>
            <w:pPr>
              <w:spacing w:line="240" w:lineRule="auto" w:before="0" w:after="0"/>
              <w:pStyle w:val="Compact"/>
            </w:pPr>
            <w:r>
              <w:rPr>
                <w:sz w:val="20"/>
                <w:szCs w:val="20"/>
              </w:rPr>
              <w:t xml:space="preserve">Manned spacecraft class lower bound</w:t>
            </w:r>
          </w:p>
        </w:tc>
        <w:tc>
          <w:tcPr>
            <w:tcW w:w="0" w:type="auto"/>
          </w:tcPr>
          <w:p>
            <w:pPr>
              <w:spacing w:line="240" w:lineRule="auto" w:before="0" w:after="0"/>
              <w:pStyle w:val="Compact"/>
            </w:pPr>
            <w:r>
              <w:rPr>
                <w:sz w:val="20"/>
                <w:szCs w:val="20"/>
              </w:rPr>
              <w:t xml:space="preserve">manned_spacecraft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Thompson et al., Acta Astronautica 66(7-8), 2010, doi:10.1016/j.actaastro.2009.10.013: manned spacecraft mass growth ranges 15% to 50% (lower bound, more-mature builds).</w:t>
            </w:r>
          </w:p>
        </w:tc>
      </w:tr>
      <w:tr>
        <w:tc>
          <w:tcPr>
            <w:tcW w:w="0" w:type="auto"/>
          </w:tcPr>
          <w:p>
            <w:pPr>
              <w:spacing w:line="240" w:lineRule="auto" w:before="0" w:after="0"/>
              <w:pStyle w:val="Compact"/>
            </w:pPr>
            <w:r>
              <w:rPr>
                <w:sz w:val="20"/>
                <w:szCs w:val="20"/>
              </w:rPr>
              <w:t xml:space="preserve">Instrument growth at PDR</w:t>
            </w:r>
          </w:p>
        </w:tc>
        <w:tc>
          <w:tcPr>
            <w:tcW w:w="0" w:type="auto"/>
          </w:tcPr>
          <w:p>
            <w:pPr>
              <w:spacing w:line="240" w:lineRule="auto" w:before="0" w:after="0"/>
              <w:pStyle w:val="Compact"/>
            </w:pPr>
            <w:r>
              <w:rPr>
                <w:sz w:val="20"/>
                <w:szCs w:val="20"/>
              </w:rPr>
              <w:t xml:space="preserve">instrument_maturity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Plumer &amp; Fischer, NTRS 20130013736: instrument mass growth factor at PDR maturity from fitted exponential decay model; standard deviation also decreases as the baseline matures. https://ntrs.nasa.gov/api/citations/20130013736/downloads/20130013736.pdf</w:t>
            </w:r>
          </w:p>
        </w:tc>
      </w:tr>
      <w:tr>
        <w:tc>
          <w:tcPr>
            <w:tcW w:w="0" w:type="auto"/>
          </w:tcPr>
          <w:p>
            <w:pPr>
              <w:spacing w:line="240" w:lineRule="auto" w:before="0" w:after="0"/>
              <w:pStyle w:val="Compact"/>
            </w:pPr>
            <w:r>
              <w:rPr>
                <w:sz w:val="20"/>
                <w:szCs w:val="20"/>
              </w:rPr>
              <w:t xml:space="preserve">Mass-produced aircraft band high</w:t>
            </w:r>
          </w:p>
        </w:tc>
        <w:tc>
          <w:tcPr>
            <w:tcW w:w="0" w:type="auto"/>
          </w:tcPr>
          <w:p>
            <w:pPr>
              <w:spacing w:line="240" w:lineRule="auto" w:before="0" w:after="0"/>
              <w:pStyle w:val="Compact"/>
            </w:pPr>
            <w:r>
              <w:rPr>
                <w:sz w:val="20"/>
                <w:szCs w:val="20"/>
              </w:rPr>
              <w:t xml:space="preserve">mass_produced_aircraft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Thompson et al., Acta Astronautica 66(7-8), 2010, doi:10.1016/j.actaastro.2009.10.013: mass-produced aircraft mass growth ranges 5% to 10% (upper bound, most mature production class).</w:t>
            </w:r>
          </w:p>
        </w:tc>
      </w:tr>
      <w:tr>
        <w:tc>
          <w:tcPr>
            <w:tcW w:w="0" w:type="auto"/>
          </w:tcPr>
          <w:p>
            <w:pPr>
              <w:spacing w:line="240" w:lineRule="auto" w:before="0" w:after="0"/>
              <w:pStyle w:val="Compact"/>
            </w:pPr>
            <w:r>
              <w:rPr>
                <w:sz w:val="20"/>
                <w:szCs w:val="20"/>
              </w:rPr>
              <w:t xml:space="preserve">Instrument growth at CDR</w:t>
            </w:r>
          </w:p>
        </w:tc>
        <w:tc>
          <w:tcPr>
            <w:tcW w:w="0" w:type="auto"/>
          </w:tcPr>
          <w:p>
            <w:pPr>
              <w:spacing w:line="240" w:lineRule="auto" w:before="0" w:after="0"/>
              <w:pStyle w:val="Compact"/>
            </w:pPr>
            <w:r>
              <w:rPr>
                <w:sz w:val="20"/>
                <w:szCs w:val="20"/>
              </w:rPr>
              <w:t xml:space="preserve">instrument_maturity</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Plumer &amp; Fischer, NTRS 20130013736: instrument mass growth factor at CDR maturity from fitted exponential decay model; mean approaches 1 (zero growth) near launch. https://ntrs.nasa.gov/api/citations/20130013736/downloads/20130013736.pdf</w:t>
            </w:r>
          </w:p>
        </w:tc>
      </w:tr>
      <w:tr>
        <w:tc>
          <w:tcPr>
            <w:tcW w:w="0" w:type="auto"/>
          </w:tcPr>
          <w:p>
            <w:pPr>
              <w:spacing w:line="240" w:lineRule="auto" w:before="0" w:after="0"/>
              <w:pStyle w:val="Compact"/>
            </w:pPr>
            <w:r>
              <w:rPr>
                <w:sz w:val="20"/>
                <w:szCs w:val="20"/>
              </w:rPr>
              <w:t xml:space="preserve">Mass-produced aircraft band low</w:t>
            </w:r>
          </w:p>
        </w:tc>
        <w:tc>
          <w:tcPr>
            <w:tcW w:w="0" w:type="auto"/>
          </w:tcPr>
          <w:p>
            <w:pPr>
              <w:spacing w:line="240" w:lineRule="auto" w:before="0" w:after="0"/>
              <w:pStyle w:val="Compact"/>
            </w:pPr>
            <w:r>
              <w:rPr>
                <w:sz w:val="20"/>
                <w:szCs w:val="20"/>
              </w:rPr>
              <w:t xml:space="preserve">mass_produced_aircraft</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Thompson et al., Acta Astronautica 66(7-8), 2010, doi:10.1016/j.actaastro.2009.10.013: mass-produced aircraft mass growth ranges 5% to 10% (lower bound, most mature production class).</w:t>
            </w:r>
          </w:p>
        </w:tc>
      </w:tr>
      <w:tr>
        <w:tc>
          <w:tcPr>
            <w:tcW w:w="0" w:type="auto"/>
          </w:tcPr>
          <w:p>
            <w:pPr>
              <w:spacing w:line="240" w:lineRule="auto" w:before="0" w:after="0"/>
              <w:pStyle w:val="Compact"/>
            </w:pPr>
            <w:r>
              <w:rPr>
                <w:sz w:val="20"/>
                <w:szCs w:val="20"/>
              </w:rPr>
              <w:t xml:space="preserve">First-of-class planetary lander</w:t>
            </w:r>
          </w:p>
        </w:tc>
        <w:tc>
          <w:tcPr>
            <w:tcW w:w="0" w:type="auto"/>
          </w:tcPr>
          <w:p>
            <w:pPr>
              <w:spacing w:line="240" w:lineRule="auto" w:before="0" w:after="0"/>
              <w:pStyle w:val="Compact"/>
            </w:pPr>
            <w:r>
              <w:rPr>
                <w:sz w:val="20"/>
                <w:szCs w:val="20"/>
              </w:rPr>
              <w:t xml:space="preserve">mars_lander</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Anchored to Thompson et al. 2010 planetary/manned spacecraft growth band (15-50%) and the documented first-of-class penalty; Viking-era first-of-class lander. [illustrative]</w:t>
            </w:r>
          </w:p>
        </w:tc>
      </w:tr>
      <w:tr>
        <w:tc>
          <w:tcPr>
            <w:tcW w:w="0" w:type="auto"/>
          </w:tcPr>
          <w:p>
            <w:pPr>
              <w:spacing w:line="240" w:lineRule="auto" w:before="0" w:after="0"/>
              <w:pStyle w:val="Compact"/>
            </w:pPr>
            <w:r>
              <w:rPr>
                <w:sz w:val="20"/>
                <w:szCs w:val="20"/>
              </w:rPr>
              <w:t xml:space="preserve">Mature planetary lander</w:t>
            </w:r>
          </w:p>
        </w:tc>
        <w:tc>
          <w:tcPr>
            <w:tcW w:w="0" w:type="auto"/>
          </w:tcPr>
          <w:p>
            <w:pPr>
              <w:spacing w:line="240" w:lineRule="auto" w:before="0" w:after="0"/>
              <w:pStyle w:val="Compact"/>
            </w:pPr>
            <w:r>
              <w:rPr>
                <w:sz w:val="20"/>
                <w:szCs w:val="20"/>
              </w:rPr>
              <w:t xml:space="preserve">mars_lander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Anchored to ATR-2013-00108 post-PDR spacecraft growth (low single digits for heritage-rich builds) and Thompson 2010 mature-class band. [illustrative]</w:t>
            </w:r>
          </w:p>
        </w:tc>
      </w:tr>
      <w:tr>
        <w:tc>
          <w:tcPr>
            <w:tcW w:w="0" w:type="auto"/>
          </w:tcPr>
          <w:p>
            <w:pPr>
              <w:spacing w:line="240" w:lineRule="auto" w:before="0" w:after="0"/>
              <w:pStyle w:val="Compact"/>
            </w:pPr>
            <w:r>
              <w:rPr>
                <w:sz w:val="20"/>
                <w:szCs w:val="20"/>
              </w:rPr>
              <w:t xml:space="preserve">Mid-maturity Mars orbiter</w:t>
            </w:r>
          </w:p>
        </w:tc>
        <w:tc>
          <w:tcPr>
            <w:tcW w:w="0" w:type="auto"/>
          </w:tcPr>
          <w:p>
            <w:pPr>
              <w:spacing w:line="240" w:lineRule="auto" w:before="0" w:after="0"/>
              <w:pStyle w:val="Compact"/>
            </w:pPr>
            <w:r>
              <w:rPr>
                <w:sz w:val="20"/>
                <w:szCs w:val="20"/>
              </w:rPr>
              <w:t xml:space="preserve">mars_orbiter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Anchored to Bitten/Freaner/Emmons 2010 spacecraft-from-PDR growth (33% early, declining with class heritage) for a mid-maturity orbiter lineage. [illustrative]</w:t>
            </w:r>
          </w:p>
        </w:tc>
      </w:tr>
    </w:tbl>
    <w:bookmarkEnd w:id="212"/>
    <w:bookmarkStart w:id="21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dry_mass_growth_pct</w:t>
            </w:r>
          </w:p>
        </w:tc>
        <w:tc>
          <w:tcPr>
            <w:tcW w:w="0" w:type="auto"/>
          </w:tcPr>
          <w:p>
            <w:pPr>
              <w:spacing w:line="240" w:lineRule="auto" w:before="0" w:after="0"/>
              <w:pStyle w:val="Compact"/>
            </w:pPr>
            <w:r>
              <w:rPr>
                <w:sz w:val="20"/>
                <w:szCs w:val="20"/>
              </w:rPr>
              <w:t xml:space="preserve">Percent growth in spacecraft dry mass from the preliminary-design (PDR-era) estimate to the as-launched value; the realized mass-estimation error</w:t>
            </w:r>
          </w:p>
        </w:tc>
        <w:tc>
          <w:tcPr>
            <w:tcW w:w="0" w:type="auto"/>
          </w:tcPr>
          <w:p>
            <w:pPr>
              <w:spacing w:line="240" w:lineRule="auto" w:before="0" w:after="0"/>
              <w:pStyle w:val="Compact"/>
            </w:pPr>
            <w:r>
              <w:rPr>
                <w:sz w:val="20"/>
                <w:szCs w:val="20"/>
              </w:rPr>
              <w:t xml:space="preserve">NASA GAO Assessments of Major Projects, NTRS project mass-properties reports, and published mass-growth tables (Cyr 1988; AIAA S-120)</w:t>
            </w:r>
          </w:p>
        </w:tc>
      </w:tr>
      <w:tr>
        <w:tc>
          <w:tcPr>
            <w:tcW w:w="0" w:type="auto"/>
          </w:tcPr>
          <w:p>
            <w:pPr>
              <w:spacing w:line="240" w:lineRule="auto" w:before="0" w:after="0"/>
              <w:pStyle w:val="Compact"/>
            </w:pPr>
            <w:r>
              <w:rPr>
                <w:sz w:val="20"/>
                <w:szCs w:val="20"/>
              </w:rPr>
              <w:t xml:space="preserve">cum_prior_class</w:t>
            </w:r>
          </w:p>
        </w:tc>
        <w:tc>
          <w:tcPr>
            <w:tcW w:w="0" w:type="auto"/>
          </w:tcPr>
          <w:p>
            <w:pPr>
              <w:spacing w:line="240" w:lineRule="auto" w:before="0" w:after="0"/>
              <w:pStyle w:val="Compact"/>
            </w:pPr>
            <w:r>
              <w:rPr>
                <w:sz w:val="20"/>
                <w:szCs w:val="20"/>
              </w:rPr>
              <w:t xml:space="preserve">Cumulative count of prior flown missions of the same engineering class (mars_lander, mars_orbiter, planetary_orbiter, planetary_flyby, sample_return, flagship_observatory) before this mission, indexed from 1 for the first-of-class</w:t>
            </w:r>
          </w:p>
        </w:tc>
        <w:tc>
          <w:tcPr>
            <w:tcW w:w="0" w:type="auto"/>
          </w:tcPr>
          <w:p>
            <w:pPr>
              <w:spacing w:line="240" w:lineRule="auto" w:before="0" w:after="0"/>
              <w:pStyle w:val="Compact"/>
            </w:pPr>
            <w:r>
              <w:rPr>
                <w:sz w:val="20"/>
                <w:szCs w:val="20"/>
              </w:rPr>
              <w:t xml:space="preserve">Constructed from chronological ordering of NASA planetary and astrophysics missions within each class</w:t>
            </w:r>
          </w:p>
        </w:tc>
      </w:tr>
      <w:tr>
        <w:tc>
          <w:tcPr>
            <w:tcW w:w="0" w:type="auto"/>
          </w:tcPr>
          <w:p>
            <w:pPr>
              <w:spacing w:line="240" w:lineRule="auto" w:before="0" w:after="0"/>
              <w:pStyle w:val="Compact"/>
            </w:pPr>
            <w:r>
              <w:rPr>
                <w:sz w:val="20"/>
                <w:szCs w:val="20"/>
              </w:rPr>
              <w:t xml:space="preserve">mission_class</w:t>
            </w:r>
          </w:p>
        </w:tc>
        <w:tc>
          <w:tcPr>
            <w:tcW w:w="0" w:type="auto"/>
          </w:tcPr>
          <w:p>
            <w:pPr>
              <w:spacing w:line="240" w:lineRule="auto" w:before="0" w:after="0"/>
              <w:pStyle w:val="Compact"/>
            </w:pPr>
            <w:r>
              <w:rPr>
                <w:sz w:val="20"/>
                <w:szCs w:val="20"/>
              </w:rPr>
              <w:t xml:space="preserve">Engineering class grouping missions that share the dominant subsystem architecture and design heritage</w:t>
            </w:r>
          </w:p>
        </w:tc>
        <w:tc>
          <w:tcPr>
            <w:tcW w:w="0" w:type="auto"/>
          </w:tcPr>
          <w:p>
            <w:pPr>
              <w:spacing w:line="240" w:lineRule="auto" w:before="0" w:after="0"/>
              <w:pStyle w:val="Compact"/>
            </w:pPr>
            <w:r>
              <w:rPr>
                <w:sz w:val="20"/>
                <w:szCs w:val="20"/>
              </w:rPr>
              <w:t xml:space="preserve">Author classification from mission design references</w:t>
            </w:r>
          </w:p>
        </w:tc>
      </w:tr>
    </w:tbl>
    <w:bookmarkEnd w:id="213"/>
    <w:bookmarkEnd w:id="214"/>
    <w:bookmarkEnd w:id="21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00" Type="http://schemas.openxmlformats.org/officeDocument/2006/relationships/image" Target="media/rId200.png"/><Relationship Id="rId208" Type="http://schemas.openxmlformats.org/officeDocument/2006/relationships/image" Target="media/rId208.png"/><Relationship Id="rId166" Type="http://schemas.openxmlformats.org/officeDocument/2006/relationships/hyperlink" Target="https://doi.org/10.1016/j.actaastro.2009.10.013" TargetMode="External"/><Relationship Id="rId157" Type="http://schemas.openxmlformats.org/officeDocument/2006/relationships/hyperlink" Target="https://doi.org/10.1016/j.actaastro.2018.08.021" TargetMode="External"/><Relationship Id="rId159" Type="http://schemas.openxmlformats.org/officeDocument/2006/relationships/hyperlink" Target="https://doi.org/10.1016/j.actaastro.2018.11.025" TargetMode="External"/><Relationship Id="rId155" Type="http://schemas.openxmlformats.org/officeDocument/2006/relationships/hyperlink" Target="https://doi.org/10.1016/j.actaastro.2019.04.031" TargetMode="External"/><Relationship Id="rId145" Type="http://schemas.openxmlformats.org/officeDocument/2006/relationships/hyperlink" Target="https://doi.org/10.1016/j.actaastro.2019.09.030" TargetMode="External"/><Relationship Id="rId149" Type="http://schemas.openxmlformats.org/officeDocument/2006/relationships/hyperlink" Target="https://doi.org/10.1016/j.actaastro.2019.10.017" TargetMode="External"/><Relationship Id="rId171" Type="http://schemas.openxmlformats.org/officeDocument/2006/relationships/hyperlink" Target="https://doi.org/10.1016/j.actaastro.2020.01.034" TargetMode="External"/><Relationship Id="rId192" Type="http://schemas.openxmlformats.org/officeDocument/2006/relationships/hyperlink" Target="https://doi.org/10.1016/j.actaastro.2022.10.034" TargetMode="External"/><Relationship Id="rId190" Type="http://schemas.openxmlformats.org/officeDocument/2006/relationships/hyperlink" Target="https://doi.org/10.1016/j.actaastro.2022.12.036" TargetMode="External"/><Relationship Id="rId184" Type="http://schemas.openxmlformats.org/officeDocument/2006/relationships/hyperlink" Target="https://doi.org/10.1016/j.actaastro.2023.11.030" TargetMode="External"/><Relationship Id="rId151" Type="http://schemas.openxmlformats.org/officeDocument/2006/relationships/hyperlink" Target="https://doi.org/10.1016/j.actaastro.2024.08.022" TargetMode="External"/><Relationship Id="rId188" Type="http://schemas.openxmlformats.org/officeDocument/2006/relationships/hyperlink" Target="https://doi.org/10.1016/j.actaastro.2024.12.001" TargetMode="External"/><Relationship Id="rId194" Type="http://schemas.openxmlformats.org/officeDocument/2006/relationships/hyperlink" Target="https://doi.org/10.1016/j.actaastro.2025.02.004" TargetMode="External"/><Relationship Id="rId186" Type="http://schemas.openxmlformats.org/officeDocument/2006/relationships/hyperlink" Target="https://doi.org/10.1016/j.actaastro.2025.07.033" TargetMode="External"/><Relationship Id="rId196" Type="http://schemas.openxmlformats.org/officeDocument/2006/relationships/hyperlink" Target="https://doi.org/10.1016/j.actaastro.2026.01.018" TargetMode="External"/><Relationship Id="rId153" Type="http://schemas.openxmlformats.org/officeDocument/2006/relationships/hyperlink" Target="https://doi.org/10.1016/j.actaastro.2026.01.049" TargetMode="External"/><Relationship Id="rId147" Type="http://schemas.openxmlformats.org/officeDocument/2006/relationships/hyperlink" Target="https://doi.org/10.1016/j.actaastro.2026.03.061" TargetMode="External"/><Relationship Id="rId178" Type="http://schemas.openxmlformats.org/officeDocument/2006/relationships/hyperlink" Target="https://doi.org/10.64861/AIKJ9678" TargetMode="External"/><Relationship Id="rId181" Type="http://schemas.openxmlformats.org/officeDocument/2006/relationships/hyperlink" Target="https://doi.org/10.64861/LPWQ5164"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09.10.013" TargetMode="External"/><Relationship Id="rId157" Type="http://schemas.openxmlformats.org/officeDocument/2006/relationships/hyperlink" Target="https://doi.org/10.1016/j.actaastro.2018.08.021" TargetMode="External"/><Relationship Id="rId159" Type="http://schemas.openxmlformats.org/officeDocument/2006/relationships/hyperlink" Target="https://doi.org/10.1016/j.actaastro.2018.11.025" TargetMode="External"/><Relationship Id="rId155" Type="http://schemas.openxmlformats.org/officeDocument/2006/relationships/hyperlink" Target="https://doi.org/10.1016/j.actaastro.2019.04.031" TargetMode="External"/><Relationship Id="rId145" Type="http://schemas.openxmlformats.org/officeDocument/2006/relationships/hyperlink" Target="https://doi.org/10.1016/j.actaastro.2019.09.030" TargetMode="External"/><Relationship Id="rId149" Type="http://schemas.openxmlformats.org/officeDocument/2006/relationships/hyperlink" Target="https://doi.org/10.1016/j.actaastro.2019.10.017" TargetMode="External"/><Relationship Id="rId171" Type="http://schemas.openxmlformats.org/officeDocument/2006/relationships/hyperlink" Target="https://doi.org/10.1016/j.actaastro.2020.01.034" TargetMode="External"/><Relationship Id="rId192" Type="http://schemas.openxmlformats.org/officeDocument/2006/relationships/hyperlink" Target="https://doi.org/10.1016/j.actaastro.2022.10.034" TargetMode="External"/><Relationship Id="rId190" Type="http://schemas.openxmlformats.org/officeDocument/2006/relationships/hyperlink" Target="https://doi.org/10.1016/j.actaastro.2022.12.036" TargetMode="External"/><Relationship Id="rId184" Type="http://schemas.openxmlformats.org/officeDocument/2006/relationships/hyperlink" Target="https://doi.org/10.1016/j.actaastro.2023.11.030" TargetMode="External"/><Relationship Id="rId151" Type="http://schemas.openxmlformats.org/officeDocument/2006/relationships/hyperlink" Target="https://doi.org/10.1016/j.actaastro.2024.08.022" TargetMode="External"/><Relationship Id="rId188" Type="http://schemas.openxmlformats.org/officeDocument/2006/relationships/hyperlink" Target="https://doi.org/10.1016/j.actaastro.2024.12.001" TargetMode="External"/><Relationship Id="rId194" Type="http://schemas.openxmlformats.org/officeDocument/2006/relationships/hyperlink" Target="https://doi.org/10.1016/j.actaastro.2025.02.004" TargetMode="External"/><Relationship Id="rId186" Type="http://schemas.openxmlformats.org/officeDocument/2006/relationships/hyperlink" Target="https://doi.org/10.1016/j.actaastro.2025.07.033" TargetMode="External"/><Relationship Id="rId196" Type="http://schemas.openxmlformats.org/officeDocument/2006/relationships/hyperlink" Target="https://doi.org/10.1016/j.actaastro.2026.01.018" TargetMode="External"/><Relationship Id="rId153" Type="http://schemas.openxmlformats.org/officeDocument/2006/relationships/hyperlink" Target="https://doi.org/10.1016/j.actaastro.2026.01.049" TargetMode="External"/><Relationship Id="rId147" Type="http://schemas.openxmlformats.org/officeDocument/2006/relationships/hyperlink" Target="https://doi.org/10.1016/j.actaastro.2026.03.061" TargetMode="External"/><Relationship Id="rId178" Type="http://schemas.openxmlformats.org/officeDocument/2006/relationships/hyperlink" Target="https://doi.org/10.64861/AIKJ9678" TargetMode="External"/><Relationship Id="rId181" Type="http://schemas.openxmlformats.org/officeDocument/2006/relationships/hyperlink" Target="https://doi.org/10.64861/LPWQ51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Mass-Growth Cliometrics in Spacecraft Systems Engineering: Estimating the Dry-Mass Growth Curve</dc:title>
  <dc:creator>Hana Eze (1B-SSE-014)</dc:creator>
  <cp:keywords/>
  <dcterms:created xsi:type="dcterms:W3CDTF">2026-07-02T17:03:44Z</dcterms:created>
  <dcterms:modified xsi:type="dcterms:W3CDTF">2026-07-02T17:03:44Z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