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8d047f903a56d47c20127f367e13de5cacfa847"/>
    <w:p>
      <w:pPr>
        <w:pStyle w:val="Heading1"/>
      </w:pPr>
      <w:r>
        <w:t xml:space="preserve">Surviving the Seven Minutes: A Proportional-Hazards Test of Whether Pre-Entry Atmospheric Knowledge Lowers the Failure Hazard of Martian Entry, Descent, and Landing</w:t>
      </w:r>
    </w:p>
    <w:bookmarkStart w:id="61" w:name="introduction"/>
    <w:p>
      <w:pPr>
        <w:pStyle w:val="Heading2"/>
      </w:pPr>
      <w:r>
        <w:t xml:space="preserve">1. Introduction</w:t>
      </w:r>
    </w:p>
    <w:p>
      <w:pPr>
        <w:pStyle w:val="FirstParagraph"/>
      </w:pPr>
      <w:r>
        <w:t xml:space="preserve">A Mars lander commits to its fate in about seven minutes. From the moment the vehicle crosses the atmospheric entry interface to the moment it touches down, roughly 390 seconds elapse, and across that window the deceleration physics are governed by a density profile the vehicle can only forecast in advance</w:t>
      </w:r>
      <w:r>
        <w:t xml:space="preserve"> </w:t>
      </w:r>
      <w:hyperlink w:anchor="ref-1">
        <m:oMathPara>
          <m:oMathParaPr>
            <m:jc m:val="center"/>
          </m:oMathParaPr>
          <m:oMath>
            <m:r>
              <m:t>1</m:t>
            </m:r>
          </m:oMath>
        </m:oMathPara>
      </w:hyperlink>
      <w:r>
        <w:t xml:space="preserve">. The companion study to this paper treats that liability as a controlled computational experiment, estimating the elasticity of landed dispersion with respect to forecast error inside a fixed guidance pipeline. This paper asks a coarser and more consequential question of the flight record itself. Across the full history of Martian entry, descent, and landing attempts, do the missions that flew with better pre-entry knowledge of the Martian atmosphere actually survive the descent at a higher rate than the missions that flew blind?</w:t>
      </w:r>
    </w:p>
    <w:p>
      <w:pPr>
        <w:pStyle w:val="FirstParagraph"/>
      </w:pPr>
      <w:r>
        <w:t xml:space="preserve">The question matters because the two framings can disagree. A simulation can show that forecast quality moves a landing ellipse while the historical failure record shows nothing, if real failures are dominated by mechanisms unrelated to the atmosphere. Conversely, the flight record can reveal a survival benefit to atmospheric knowledge that a dispersion study scoped to a single failure mode would miss. The contribution here is a single survival-analytic estimate: the hazard ratio attached to having prior in-situ atmospheric density reconnaissance of Mars, estimated across eighteen documented Martian EDL attempts from 1971 through 2021, holding accumulated entry experience fixed. The estimate is small-sample and the confidence interval is wide, but the sign and magnitude are decision-relevant, and the method is chosen precisely because the outcome of interest is a time-to-failure inside a short, sharply bounded descent rather than a continuous dispersion.</w:t>
      </w:r>
    </w:p>
    <w:bookmarkEnd w:id="61"/>
    <w:bookmarkStart w:id="62" w:name="theory-and-hypotheses"/>
    <w:p>
      <w:pPr>
        <w:pStyle w:val="Heading2"/>
      </w:pPr>
      <w:r>
        <w:t xml:space="preserve">2. Theory and Hypotheses</w:t>
      </w:r>
    </w:p>
    <w:p>
      <w:pPr>
        <w:pStyle w:val="FirstParagraph"/>
      </w:pPr>
      <w:r>
        <w:t xml:space="preserve">Three propositions from the entry literature motivate the test. First, atmospheric density is among the largest sources of uncertainty in trajectory propagation through a planetary atmosphere, and a vehicle that enters with a poor density forecast carries that error directly into its deceleration profile [1, 2]. Second, the field has historically responded by hardening the controller rather than the forecast, designing reference-tracking guidance laws that are evaluated explicitly on their robustness against model errors in atmospheric density [3, 4]. Third, the knowledge an EDL program holds about the target atmosphere is not fixed: it accumulates as orbiters return in-situ-anchored density measurements and as each successful entry adds a reconstructed atmosphere to the design database [5, 6].</w:t>
      </w:r>
    </w:p>
    <w:p>
      <w:pPr>
        <w:pStyle w:val="BodyText"/>
      </w:pPr>
      <w:r>
        <w:t xml:space="preserve">These propositions frame a hazard. If atmospheric ignorance is a live cause of EDL failure, then the instantaneous risk of losing a vehicle during descent should fall once the program flies with prior density reconnaissance, because the entry trajectory is committed against a forecast closer to the atmosphere actually encountered. If instead the controller already absorbs atmospheric uncertainty across the realized range, or if failures are driven by mechanisms the atmosphere does not touch, the reconnaissance should leave the failure hazard unmoved.</w:t>
      </w:r>
    </w:p>
    <w:p>
      <w:pPr>
        <w:pStyle w:val="BodyText"/>
      </w:pPr>
      <w:r>
        <w:t xml:space="preserve">This yields the central test. The null hypothesis holds that the coefficient on prior atmospheric density reconnaissance is zero, so reconnaissance does not change the EDL failure hazard. The alternative holds that the coefficient is negative, so missions flown with prior reconnaissance face a lower instantaneous hazard of EDL failure, with accumulated entry experience held fixed. The accumulated-experience covariate is included because the survey and reconstruction literature treats each prior successful entry as a stock of validated atmospheric and aerodynamic models that should itself bear on survival independently of orbiter reconnaissance [5, 6].</w:t>
      </w:r>
    </w:p>
    <w:bookmarkEnd w:id="62"/>
    <w:bookmarkStart w:id="63" w:name="data"/>
    <w:p>
      <w:pPr>
        <w:pStyle w:val="Heading2"/>
      </w:pPr>
      <w:r>
        <w:t xml:space="preserve">3. Data</w:t>
      </w:r>
    </w:p>
    <w:p>
      <w:pPr>
        <w:pStyle w:val="FirstParagraph"/>
      </w:pPr>
      <w:r>
        <w:t xml:space="preserve">The dataset is a cohort of eighteen documented Martian atmospheric entry, descent, and landing attempts spanning the Soviet Mars 2 and Mars 3 descent modules of 1971 through the Tianwen-1 landing of 2021. Each row is one vehicle that crossed the Martian atmospheric entry interface and attempted a descent. Attempts that never reached Mars or never entered the atmosphere are excluded, so the cohort is restricted to genuine EDL events on a single body, which holds the atmosphere whose error statistics anchor the dissertation fixed and avoids cross-gravity transfer.</w:t>
      </w:r>
    </w:p>
    <w:p>
      <w:pPr>
        <w:pStyle w:val="BodyText"/>
      </w:pPr>
      <w:r>
        <w:t xml:space="preserve">Each attempt carries four recorded quantities and a source citation. The survival duration is the elapsed seconds of the EDL sequence the vehicle completed before failure or nominal touchdown, with the canonical Mars entry-to-touchdown interval of about 390 seconds taken from the NASA descent timeline and failed attempts recorded at the documented seconds reached before loss</w:t>
      </w:r>
      <w:r>
        <w:t xml:space="preserve"> </w:t>
      </w:r>
      <w:hyperlink w:anchor="ref-1">
        <m:oMathPara>
          <m:oMathParaPr>
            <m:jc m:val="center"/>
          </m:oMathParaPr>
          <m:oMath>
            <m:r>
              <m:t>1</m:t>
            </m:r>
          </m:oMath>
        </m:oMathPara>
      </w:hyperlink>
      <w:r>
        <w:t xml:space="preserve">. The event indicator marks whether the vehicle was lost during EDL. The atmospheric-knowledge covariate marks whether a prior Mars orbiter had returned in-situ-anchored upper-atmosphere density reconnaissance before the attempt, which becomes available once Mars Global Surveyor and its successors returned aerobraking accelerometer density data from the late 1990s onward [5, 6]. The experience covariate is the cumulative count of prior successful Martian EDLs at the time of the attempt. Outcomes are sourced per mission to the NASA NSSDCA master catalog, NASA JPL and NASA Science EDL records, ESA mission pages, the NASA technical report record for Phoenix and Mars 2020, and the published mission history; the source column of the dataset names each. Six of the eighteen attempts ended in EDL failure, and two penetrator durations are marked illustrative where the exact seconds to loss are unrecoverable, under the project threshold for illustrative values.</w:t>
      </w:r>
    </w:p>
    <w:bookmarkEnd w:id="63"/>
    <w:bookmarkStart w:id="64" w:name="method"/>
    <w:p>
      <w:pPr>
        <w:pStyle w:val="Heading2"/>
      </w:pPr>
      <w:r>
        <w:t xml:space="preserve">4. Method</w:t>
      </w:r>
    </w:p>
    <w:p>
      <w:pPr>
        <w:pStyle w:val="FirstParagraph"/>
      </w:pPr>
      <w:r>
        <w:t xml:space="preserve">The estimator is a Cox proportional-hazards regression of the EDL failure event on the two covariates, with the descent duration as the survival time and surviving vehicles right-censored at their completed EDL duration. The proportional-hazards form is appropriate because the outcome is a time-to-failure inside a short, sharply bounded interval, and because it estimates the multiplicative effect of each covariate on the instantaneous failure hazard without forcing a parametric shape on the baseline descent risk. The model was fit by partial-likelihood maximization in statsmodels and reports hazard ratios as the exponentiated coefficients.</w:t>
      </w:r>
    </w:p>
    <w:p>
      <w:pPr>
        <w:pStyle w:val="BodyText"/>
      </w:pPr>
      <w:r>
        <w:t xml:space="preserve">Two modeling decisions follow from the small event count. With six events, the specification is deliberately parsimonious at two covariates to avoid overfitting. A control-authority indicator distinguishing closed-loop guided entry from unguided ballistic descent was constructed and examined but excluded from the reported model, because it is collinear with the reconnaissance covariate at a correlation near 0.9 and induces quasi-complete separation that prevents convergence. Its omission is itself a finding about the flight record: in the Martian cohort, the arrival of guided entry and the arrival of orbiter density reconnaissance are nearly the same historical event, so the two cannot be separated with this sample, and the reported coefficient on reconnaissance should be read as the effect of the modern knowledge-and-control regime rather than of atmospheric knowledge alone.</w:t>
      </w:r>
    </w:p>
    <w:bookmarkEnd w:id="64"/>
    <w:bookmarkStart w:id="65" w:name="findings"/>
    <w:p>
      <w:pPr>
        <w:pStyle w:val="Heading2"/>
      </w:pPr>
      <w:r>
        <w:t xml:space="preserve">5. Findings</w:t>
      </w:r>
    </w:p>
    <w:p>
      <w:pPr>
        <w:pStyle w:val="FirstParagraph"/>
      </w:pPr>
      <w:r>
        <w:t xml:space="preserve">The reconnaissance covariate carries a negative coefficient of -3.42 with a standard error of 2.02, a z-statistic of -1.69, and a p-value of 0.091. The corresponding hazard ratio is 0.033, with a 95 percent confidence interval on the coefficient running from -7.38 to 0.54. Read directly, missions flown with prior in-situ atmospheric density reconnaissance of Mars face an estimated instantaneous EDL failure hazard about 97 percent lower than missions flown without it, holding accumulated entry experience fixed. The effect is large and its sign matches the alternative hypothesis. The p-value of 0.091 clears the conventional 10 percent threshold but not the 5 percent threshold, and the confidence interval on the coefficient crosses zero at its upper end, so the null that reconnaissance does not move the failure hazard cannot be rejected at the 5 percent level on this sample. The honest reading is suggestive directional support for the dissertation thesis, not a decisive rejection of the null.</w:t>
      </w:r>
    </w:p>
    <w:p>
      <w:pPr>
        <w:pStyle w:val="BodyText"/>
      </w:pPr>
      <w:r>
        <w:t xml:space="preserve">The accumulated-experience covariate carries a positive coefficient of 0.27 with a standard error of 0.27, a z-statistic of 0.98, and a p-value of 0.330, for a hazard ratio of 1.30 with a confidence interval on the coefficient from -0.27 to 0.80. The point estimate runs counter to the intuition that more prior successes should lower the failure hazard, but it is statistically indistinguishable from zero and should not be interpreted as a real positive effect. Its most plausible reading is that the raw count of prior successes is a noisy proxy that partly tracks calendar time and mission ambition, with later high-success-era missions also being the heaviest and most aggressive landers, so the count does not isolate a clean experience benefit once reconnaissance is in the model. The model was fit on eighteen attempts with six events.</w:t>
      </w:r>
    </w:p>
    <w:p>
      <w:pPr>
        <w:pStyle w:val="BodyText"/>
      </w:pPr>
      <w:r>
        <w:t xml:space="preserve">The pattern in the underlying record is consistent with the estimated sign. Of the nine attempts flown without prior density reconnaissance, five ended in EDL failure, whereas of the nine attempts flown with reconnaissance, only one, Schiaparelli, failed, and that failure traced to an inertial-measurement saturation that drove an erroneous altitude rather than to an atmospheric forecast error. The single in-regime failure is what widens the confidence interval and keeps the result short of the 5 percent threshold, and it is also a reminder that atmospheric knowledge cannot insure against failure modes that lie outside the atmosphere.</w:t>
      </w:r>
    </w:p>
    <w:bookmarkEnd w:id="65"/>
    <w:bookmarkStart w:id="66" w:name="discussion"/>
    <w:p>
      <w:pPr>
        <w:pStyle w:val="Heading2"/>
      </w:pPr>
      <w:r>
        <w:t xml:space="preserve">6. Discussion</w:t>
      </w:r>
    </w:p>
    <w:p>
      <w:pPr>
        <w:pStyle w:val="FirstParagraph"/>
      </w:pPr>
      <w:r>
        <w:t xml:space="preserve">The estimate converts a piece of EDL folklore into a measured, if imprecise, hazard ratio. The flight record is consistent with a large survival benefit to flying Mars EDL with prior in-situ atmospheric density reconnaissance, on the order of a 97 percent reduction in the instantaneous failure hazard, but the eighteen-attempt cohort with six events supports that benefit only at the 10 percent level, and the collinearity between reconnaissance and guided control means the coefficient captures the modern regime as a whole rather than atmospheric knowledge in isolation. This is the correct complement to the companion dispersion study. The simulation isolates the atmospheric channel by holding the controller fixed and can speak to the elasticity of dispersion cleanly; the flight record cannot separate knowledge from control, but it can confirm that whatever the modern regime changed, the change shows up as a real drop in lost vehicles.</w:t>
      </w:r>
    </w:p>
    <w:p>
      <w:pPr>
        <w:pStyle w:val="BodyText"/>
      </w:pPr>
      <w:r>
        <w:t xml:space="preserve">Three limitations bound the claim. First, the sample is small and the events are few, so the wide interval is structural and not a defect to be explained away; a single additional in-regime failure or success would move the estimate materially. Second, reconnaissance and guidance are confounded in the Martian record, so the design cannot attribute the survival gain to the forecast alone, which is precisely why the dissertation pairs this observational test with a controlled experiment. Third, the cohort is Mars-only by construction, so the hazard ratio does not transfer to atmospheres with different scale heights and variability without further work. Within those bounds, the two papers point the same direction from opposite methods: better pre-entry atmospheric knowledge is associated with both a smaller landing ellipse in simulation and a lower failure hazard in the flight record, and the convergence of a controlled elasticity and an observational hazard ratio is stronger evidence for the value of atmospheric knowledge than either could supply alone.</w:t>
      </w:r>
    </w:p>
    <w:bookmarkEnd w:id="66"/>
    <w:bookmarkStart w:id="77" w:name="references"/>
    <w:p>
      <w:pPr>
        <w:pStyle w:val="Heading2"/>
      </w:pPr>
      <w:r>
        <w:t xml:space="preserve">References</w:t>
      </w:r>
    </w:p>
    <w:p>
      <w:pPr>
        <w:pStyle w:val="FirstParagraph"/>
      </w:pPr>
      <w:bookmarkStart w:id="67" w:name="ref-1"/>
      <w:bookmarkEnd w:id="67"/>
      <w:r>
        <w:t xml:space="preserve">1. How We Land on Mars, NASA Science, Mars Exploration Program mission timeline. https://science.nasa.gov/planetary-science/programs/mars-exploration/mission-timeline/how-we-land-on-mars/</w:t>
      </w:r>
    </w:p>
    <w:p>
      <w:pPr>
        <w:pStyle w:val="BodyText"/>
      </w:pPr>
      <w:bookmarkStart w:id="68" w:name="ref-2"/>
      <w:bookmarkEnd w:id="68"/>
      <w:r>
        <w:t xml:space="preserve">2. C. A. McLaughlin, A. Hiatt, D. Mysore Krishna, T. Lechtenberg, E. Fattig, and P. M. Mehta, Precision Orbit Derived Atmospheric Density: Development and Performance, Proc. Advanced Maui Optical and Space Surveillance Technologies (AMOS) Conference, 2012.</w:t>
      </w:r>
    </w:p>
    <w:p>
      <w:pPr>
        <w:pStyle w:val="BodyText"/>
      </w:pPr>
      <w:bookmarkStart w:id="69" w:name="ref-3"/>
      <w:bookmarkEnd w:id="69"/>
      <w:r>
        <w:t xml:space="preserve">3. J. Dai, A. Gao, and Y. Xia, Mars atmospheric entry guidance for reference trajectory tracking based on robust nonlinear compound controller, Acta Astronautica, vol. 132, 2016. https://doi.org/10.1016/j.actaastro.2016.12.013</w:t>
      </w:r>
    </w:p>
    <w:p>
      <w:pPr>
        <w:pStyle w:val="BodyText"/>
      </w:pPr>
      <w:bookmarkStart w:id="70" w:name="ref-4"/>
      <w:bookmarkEnd w:id="70"/>
      <w:r>
        <w:t xml:space="preserve">4. T. Saito, T. Kuwahara, Y. Saito, and Y. Sato, Guidance strategies for controlled Earth reentry of small spacecraft in low Earth orbit, Acta Astronautica, vol. 229, 2024. https://doi.org/10.1016/j.actaastro.2024.12.054</w:t>
      </w:r>
    </w:p>
    <w:p>
      <w:pPr>
        <w:pStyle w:val="BodyText"/>
      </w:pPr>
      <w:bookmarkStart w:id="71" w:name="ref-5"/>
      <w:bookmarkEnd w:id="71"/>
      <w:r>
        <w:t xml:space="preserve">5. R. H. Tolson et al., Atmospheric Modeling Using Accelerometer Data During Mars Reconnaissance Orbiter Aerobraking Operations, Journal of Spacecraft and Rockets, AIAA. https://arc.aiaa.org/doi/10.2514/1.34301</w:t>
      </w:r>
    </w:p>
    <w:p>
      <w:pPr>
        <w:pStyle w:val="BodyText"/>
      </w:pPr>
      <w:bookmarkStart w:id="72" w:name="ref-6"/>
      <w:bookmarkEnd w:id="72"/>
      <w:r>
        <w:t xml:space="preserve">6. J. M. McGrew et al., Entry Guidance Design and Post-Flight Performance of the Mars 2020 Mission, NASA Technical Reports Server, 20240015538, 2025. https://ntrs.nasa.gov/citations/20240015538</w:t>
      </w:r>
    </w:p>
    <w:p>
      <w:pPr>
        <w:pStyle w:val="BodyText"/>
      </w:pPr>
      <w:bookmarkStart w:id="73" w:name="ref-7"/>
      <w:bookmarkEnd w:id="73"/>
      <w:r>
        <w:t xml:space="preserve">7. Mars Pathfinder EDL Accelerometer-Derived Atmospheric Density and Pressure Profiles, NASA Planetary Data System Atmospheres node. https://atmos.nmsu.edu/data_and_services/atmospheres_data/MARS/pathfinder/mars_edl.html</w:t>
      </w:r>
    </w:p>
    <w:p>
      <w:pPr>
        <w:pStyle w:val="BodyText"/>
      </w:pPr>
      <w:bookmarkStart w:id="74" w:name="ref-8"/>
      <w:bookmarkEnd w:id="74"/>
      <w:r>
        <w:t xml:space="preserve">8. R. W. Williams, NASA Space Science Data Coordinated Archive (NSSDCA) master catalog, Mars 2, Mars 3, Mars 6, Viking 1, and Viking 2 lander records. https://nssdc.gsfc.nasa.gov/nmc/</w:t>
      </w:r>
    </w:p>
    <w:p>
      <w:pPr>
        <w:pStyle w:val="BodyText"/>
      </w:pPr>
      <w:bookmarkStart w:id="75" w:name="ref-9"/>
      <w:bookmarkEnd w:id="75"/>
      <w:r>
        <w:t xml:space="preserve">9. Beagle 2 lander, ESA Mars Express, European Space Agency. https://www.esa.int/Science_Exploration/Space_Science/Mars_Express/Beagle_2_lander</w:t>
      </w:r>
    </w:p>
    <w:p>
      <w:pPr>
        <w:pStyle w:val="BodyText"/>
      </w:pPr>
      <w:bookmarkStart w:id="76" w:name="ref-10"/>
      <w:bookmarkEnd w:id="76"/>
      <w:r>
        <w:t xml:space="preserve">10. P. N. Desai et al., Mars Phoenix Entry, Descent, and Landing Simulation Design, NASA Technical Reports Server, 20080033126, 2008. https://ntrs.nasa.gov/api/citations/20080033126/downloads/20080033126.pdf</w:t>
      </w:r>
    </w:p>
    <w:bookmarkEnd w:id="77"/>
    <w:bookmarkStart w:id="78"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d</m:t>
              </m:r>
              <m:r>
                <m:rPr>
                  <m:sty m:val="p"/>
                </m:rPr>
                <m:t>e</m:t>
              </m:r>
              <m:r>
                <m:rPr>
                  <m:sty m:val="p"/>
                </m:rPr>
                <m:t>n</m:t>
              </m:r>
              <m:r>
                <m:rPr>
                  <m:sty m:val="p"/>
                </m:rPr>
                <m:t>s</m:t>
              </m:r>
              <m:r>
                <m:rPr>
                  <m:sty m:val="p"/>
                </m:rPr>
                <m:t>i</m:t>
              </m:r>
              <m:r>
                <m:rPr>
                  <m:sty m:val="p"/>
                </m:rPr>
                <m:t>t</m:t>
              </m:r>
              <m:r>
                <m:rPr>
                  <m:sty m:val="p"/>
                </m:rPr>
                <m:t>y</m:t>
              </m:r>
              <m:r>
                <m:rPr>
                  <m:sty m:val="p"/>
                </m:rPr>
                <m:t>_</m:t>
              </m:r>
              <m:r>
                <m:rPr>
                  <m:sty m:val="p"/>
                </m:rPr>
                <m:t>r</m:t>
              </m:r>
              <m:r>
                <m:rPr>
                  <m:sty m:val="p"/>
                </m:rPr>
                <m:t>e</m:t>
              </m:r>
              <m:r>
                <m:rPr>
                  <m:sty m:val="p"/>
                </m:rPr>
                <m:t>c</m:t>
              </m:r>
              <m:r>
                <m:rPr>
                  <m:sty m:val="p"/>
                </m:rPr>
                <m:t>o</m:t>
              </m:r>
              <m:r>
                <m:rPr>
                  <m:sty m:val="p"/>
                </m:rPr>
                <m:t>n</m:t>
              </m:r>
              <m:r>
                <m:rPr>
                  <m:sty m:val="p"/>
                </m:rPr>
                <m:t>+</m:t>
              </m:r>
              <m:sSub>
                <m:e>
                  <m:r>
                    <m:t>β</m:t>
                  </m:r>
                </m:e>
                <m:sub>
                  <m:r>
                    <m:t>2</m:t>
                  </m:r>
                </m:sub>
              </m:sSub>
              <m:r>
                <m:t> </m:t>
              </m:r>
              <m:r>
                <m:rPr>
                  <m:sty m:val="p"/>
                </m:rPr>
                <m:t>p</m:t>
              </m:r>
              <m:r>
                <m:rPr>
                  <m:sty m:val="p"/>
                </m:rPr>
                <m:t>r</m:t>
              </m:r>
              <m:r>
                <m:rPr>
                  <m:sty m:val="p"/>
                </m:rPr>
                <m:t>i</m:t>
              </m:r>
              <m:r>
                <m:rPr>
                  <m:sty m:val="p"/>
                </m:rPr>
                <m:t>o</m:t>
              </m:r>
              <m:r>
                <m:rPr>
                  <m:sty m:val="p"/>
                </m:rPr>
                <m:t>r</m:t>
              </m:r>
              <m:r>
                <m:rPr>
                  <m:sty m:val="p"/>
                </m:rPr>
                <m:t>_</m:t>
              </m:r>
              <m:r>
                <m:rPr>
                  <m:sty m:val="p"/>
                </m:rPr>
                <m:t>s</m:t>
              </m:r>
              <m:r>
                <m:rPr>
                  <m:sty m:val="p"/>
                </m:rPr>
                <m:t>u</m:t>
              </m:r>
              <m:r>
                <m:rPr>
                  <m:sty m:val="p"/>
                </m:rPr>
                <m:t>c</m:t>
              </m:r>
              <m:r>
                <m:rPr>
                  <m:sty m:val="p"/>
                </m:rPr>
                <m:t>c</m:t>
              </m:r>
              <m:r>
                <m:rPr>
                  <m:sty m:val="p"/>
                </m:rPr>
                <m:t>e</m:t>
              </m:r>
              <m:r>
                <m:rPr>
                  <m:sty m:val="p"/>
                </m:rPr>
                <m:t>s</m:t>
              </m:r>
              <m:r>
                <m:rPr>
                  <m:sty m:val="p"/>
                </m:rPr>
                <m:t>s</m:t>
              </m:r>
            </m:e>
          </m:d>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density_recon</w:t>
            </w:r>
          </w:p>
        </w:tc>
        <w:tc>
          <w:tcPr>
            <w:tcW w:w="0" w:type="auto"/>
          </w:tcPr>
          <w:p>
            <w:pPr>
              <w:spacing w:line="240" w:lineRule="auto" w:before="0" w:after="0"/>
              <w:pStyle w:val="Compact"/>
            </w:pPr>
            <w:r>
              <w:rPr>
                <w:sz w:val="20"/>
                <w:szCs w:val="20"/>
              </w:rPr>
              <w:t xml:space="preserve">-3.4213</w:t>
            </w:r>
          </w:p>
        </w:tc>
        <w:tc>
          <w:tcPr>
            <w:tcW w:w="0" w:type="auto"/>
          </w:tcPr>
          <w:p>
            <w:pPr>
              <w:spacing w:line="240" w:lineRule="auto" w:before="0" w:after="0"/>
              <w:pStyle w:val="Compact"/>
            </w:pPr>
            <w:r>
              <w:rPr>
                <w:sz w:val="20"/>
                <w:szCs w:val="20"/>
              </w:rPr>
              <w:t xml:space="preserve">2.0216</w:t>
            </w:r>
          </w:p>
        </w:tc>
        <w:tc>
          <w:tcPr>
            <w:tcW w:w="0" w:type="auto"/>
          </w:tcPr>
          <w:p>
            <w:pPr>
              <w:spacing w:line="240" w:lineRule="auto" w:before="0" w:after="0"/>
              <w:pStyle w:val="Compact"/>
            </w:pPr>
            <w:r>
              <w:rPr>
                <w:sz w:val="20"/>
                <w:szCs w:val="20"/>
              </w:rPr>
              <w:t xml:space="preserve">-1.6924</w:t>
            </w:r>
          </w:p>
        </w:tc>
        <w:tc>
          <w:tcPr>
            <w:tcW w:w="0" w:type="auto"/>
          </w:tcPr>
          <w:p>
            <w:pPr>
              <w:spacing w:line="240" w:lineRule="auto" w:before="0" w:after="0"/>
              <w:pStyle w:val="Compact"/>
            </w:pPr>
            <w:r>
              <w:rPr>
                <w:sz w:val="20"/>
                <w:szCs w:val="20"/>
              </w:rPr>
              <w:t xml:space="preserve">0.0906</w:t>
            </w:r>
          </w:p>
        </w:tc>
        <w:tc>
          <w:tcPr>
            <w:tcW w:w="0" w:type="auto"/>
          </w:tcPr>
          <w:p>
            <w:pPr>
              <w:spacing w:line="240" w:lineRule="auto" w:before="0" w:after="0"/>
              <w:pStyle w:val="Compact"/>
            </w:pPr>
            <w:r>
              <w:rPr>
                <w:sz w:val="20"/>
                <w:szCs w:val="20"/>
              </w:rPr>
              <w:t xml:space="preserve">[-7.3835, 0.541]</w:t>
            </w:r>
          </w:p>
        </w:tc>
        <w:tc>
          <w:tcPr>
            <w:tcW w:w="0" w:type="auto"/>
          </w:tcPr>
          <w:p>
            <w:pPr>
              <w:spacing w:line="240" w:lineRule="auto" w:before="0" w:after="0"/>
              <w:pStyle w:val="Compact"/>
            </w:pPr>
            <w:r>
              <w:rPr>
                <w:sz w:val="20"/>
                <w:szCs w:val="20"/>
              </w:rPr>
              <w:t xml:space="preserve">0.0327</w:t>
            </w:r>
          </w:p>
        </w:tc>
      </w:tr>
      <w:tr>
        <w:tc>
          <w:tcPr>
            <w:tcW w:w="0" w:type="auto"/>
          </w:tcPr>
          <w:p>
            <w:pPr>
              <w:spacing w:line="240" w:lineRule="auto" w:before="0" w:after="0"/>
              <w:pStyle w:val="Compact"/>
            </w:pPr>
            <w:r>
              <w:rPr>
                <w:sz w:val="20"/>
                <w:szCs w:val="20"/>
              </w:rPr>
              <w:t xml:space="preserve">prior_success</w:t>
            </w:r>
          </w:p>
        </w:tc>
        <w:tc>
          <w:tcPr>
            <w:tcW w:w="0" w:type="auto"/>
          </w:tcPr>
          <w:p>
            <w:pPr>
              <w:spacing w:line="240" w:lineRule="auto" w:before="0" w:after="0"/>
              <w:pStyle w:val="Compact"/>
            </w:pPr>
            <w:r>
              <w:rPr>
                <w:sz w:val="20"/>
                <w:szCs w:val="20"/>
              </w:rPr>
              <w:t xml:space="preserve">0.2661</w:t>
            </w:r>
          </w:p>
        </w:tc>
        <w:tc>
          <w:tcPr>
            <w:tcW w:w="0" w:type="auto"/>
          </w:tcPr>
          <w:p>
            <w:pPr>
              <w:spacing w:line="240" w:lineRule="auto" w:before="0" w:after="0"/>
              <w:pStyle w:val="Compact"/>
            </w:pPr>
            <w:r>
              <w:rPr>
                <w:sz w:val="20"/>
                <w:szCs w:val="20"/>
              </w:rPr>
              <w:t xml:space="preserve">0.2728</w:t>
            </w:r>
          </w:p>
        </w:tc>
        <w:tc>
          <w:tcPr>
            <w:tcW w:w="0" w:type="auto"/>
          </w:tcPr>
          <w:p>
            <w:pPr>
              <w:spacing w:line="240" w:lineRule="auto" w:before="0" w:after="0"/>
              <w:pStyle w:val="Compact"/>
            </w:pPr>
            <w:r>
              <w:rPr>
                <w:sz w:val="20"/>
                <w:szCs w:val="20"/>
              </w:rPr>
              <w:t xml:space="preserve">0.9751</w:t>
            </w:r>
          </w:p>
        </w:tc>
        <w:tc>
          <w:tcPr>
            <w:tcW w:w="0" w:type="auto"/>
          </w:tcPr>
          <w:p>
            <w:pPr>
              <w:spacing w:line="240" w:lineRule="auto" w:before="0" w:after="0"/>
              <w:pStyle w:val="Compact"/>
            </w:pPr>
            <w:r>
              <w:rPr>
                <w:sz w:val="20"/>
                <w:szCs w:val="20"/>
              </w:rPr>
              <w:t xml:space="preserve">0.3295</w:t>
            </w:r>
          </w:p>
        </w:tc>
        <w:tc>
          <w:tcPr>
            <w:tcW w:w="0" w:type="auto"/>
          </w:tcPr>
          <w:p>
            <w:pPr>
              <w:spacing w:line="240" w:lineRule="auto" w:before="0" w:after="0"/>
              <w:pStyle w:val="Compact"/>
            </w:pPr>
            <w:r>
              <w:rPr>
                <w:sz w:val="20"/>
                <w:szCs w:val="20"/>
              </w:rPr>
              <w:t xml:space="preserve">[-0.2687, 0.8008]</w:t>
            </w:r>
          </w:p>
        </w:tc>
        <w:tc>
          <w:tcPr>
            <w:tcW w:w="0" w:type="auto"/>
          </w:tcPr>
          <w:p>
            <w:pPr>
              <w:spacing w:line="240" w:lineRule="auto" w:before="0" w:after="0"/>
              <w:pStyle w:val="Compact"/>
            </w:pPr>
            <w:r>
              <w:rPr>
                <w:sz w:val="20"/>
                <w:szCs w:val="20"/>
              </w:rPr>
              <w:t xml:space="preserve">1.3048</w:t>
            </w:r>
          </w:p>
        </w:tc>
      </w:tr>
    </w:tbl>
    <w:p>
      <w:pPr>
        <w:pStyle w:val="BodyText"/>
      </w:pPr>
      <w:r>
        <w:t xml:space="preserve">Fit: N = 18 events = 6</w:t>
      </w:r>
    </w:p>
    <w:p>
      <w:pPr>
        <w:pStyle w:val="CaptionedFigure"/>
      </w:pPr>
      <w:r>
        <w:drawing>
          <wp:inline>
            <wp:extent cx="5669280" cy="3657600"/>
            <wp:effectExtent b="0" l="0" r="0" t="0"/>
            <wp:docPr descr="Figure 1. Each marker is one Martian EDL attempt, positioned by the stock of prior successful EDLs (a proxy for accumulated atmospheric and entry-model knowledge) and the seconds of the entry-descent-landing sequence it survived. Filled markers denote EDL failures (event = 1) and open markers denote vehicles that survived EDL (censored). The downward concentration of failures at low accumulated knowledge and the clustering of full-duration survivals at higher accumulated knowledge motivate the proportional-hazards test." title="" id="80" name="Picture"/>
            <a:graphic>
              <a:graphicData uri="http://schemas.openxmlformats.org/drawingml/2006/picture">
                <pic:pic>
                  <pic:nvPicPr>
                    <pic:cNvPr descr="D:\Claude_Code\brain\collegium\candidates\dissertations\JPL_AUTONOMY_EDL_07\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Each marker is one Martian EDL attempt, positioned by the stock of prior successful EDLs (a proxy for accumulated atmospheric and entry-model knowledge) and the seconds of the entry-descent-landing sequence it survived. Filled markers denote EDL failures (event = 1) and open markers denote vehicles that survived EDL (censored). The downward concentration of failures at low accumulated knowledge and the clustering of full-duration survivals at higher accumulated knowledge motivate the proportional-hazards test.</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edl_seconds</w:t>
            </w:r>
          </w:p>
        </w:tc>
        <w:tc>
          <w:tcPr>
            <w:tcW w:w="0" w:type="auto"/>
          </w:tcPr>
          <w:p>
            <w:pPr>
              <w:spacing w:line="240" w:lineRule="auto" w:before="0" w:after="0"/>
              <w:pStyle w:val="Compact"/>
            </w:pPr>
            <w:r>
              <w:rPr>
                <w:sz w:val="20"/>
                <w:szCs w:val="20"/>
              </w:rPr>
              <w:t xml:space="preserve">edl_failure</w:t>
            </w:r>
          </w:p>
        </w:tc>
        <w:tc>
          <w:tcPr>
            <w:tcW w:w="0" w:type="auto"/>
          </w:tcPr>
          <w:p>
            <w:pPr>
              <w:spacing w:line="240" w:lineRule="auto" w:before="0" w:after="0"/>
              <w:pStyle w:val="Compact"/>
            </w:pPr>
            <w:r>
              <w:rPr>
                <w:sz w:val="20"/>
                <w:szCs w:val="20"/>
              </w:rPr>
              <w:t xml:space="preserve">density_recon</w:t>
            </w:r>
          </w:p>
        </w:tc>
        <w:tc>
          <w:tcPr>
            <w:tcW w:w="0" w:type="auto"/>
          </w:tcPr>
          <w:p>
            <w:pPr>
              <w:spacing w:line="240" w:lineRule="auto" w:before="0" w:after="0"/>
              <w:pStyle w:val="Compact"/>
            </w:pPr>
            <w:r>
              <w:rPr>
                <w:sz w:val="20"/>
                <w:szCs w:val="20"/>
              </w:rPr>
              <w:t xml:space="preserve">prior_success</w:t>
            </w:r>
          </w:p>
        </w:tc>
        <w:tc>
          <w:tcPr>
            <w:tcW w:w="0" w:type="auto"/>
          </w:tcPr>
          <w:p>
            <w:pPr>
              <w:spacing w:line="240" w:lineRule="auto" w:before="0" w:after="0"/>
              <w:pStyle w:val="Compact"/>
            </w:pPr>
            <w:r>
              <w:rPr>
                <w:sz w:val="20"/>
                <w:szCs w:val="20"/>
              </w:rPr>
              <w:t xml:space="preserve">closed_loop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2 descent module</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Mars 2 lander page; descent system failed during atmospheric entry and descent, no surface data returned (https://nssdc.gsfc.nasa.gov/nmc/spacecraft/display.action?id=1971-045D)</w:t>
            </w:r>
          </w:p>
        </w:tc>
      </w:tr>
      <w:tr>
        <w:tc>
          <w:tcPr>
            <w:tcW w:w="0" w:type="auto"/>
          </w:tcPr>
          <w:p>
            <w:pPr>
              <w:spacing w:line="240" w:lineRule="auto" w:before="0" w:after="0"/>
              <w:pStyle w:val="Compact"/>
            </w:pPr>
            <w:r>
              <w:rPr>
                <w:sz w:val="20"/>
                <w:szCs w:val="20"/>
              </w:rPr>
              <w:t xml:space="preserve">Mars 3 lander</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Mars 3 lander page; first soft landing, survived EDL and transmitted about 110 s from the surface before signal loss (https://nssdc.gsfc.nasa.gov/nmc/spacecraft/display.action?id=1971-049F)</w:t>
            </w:r>
          </w:p>
        </w:tc>
      </w:tr>
      <w:tr>
        <w:tc>
          <w:tcPr>
            <w:tcW w:w="0" w:type="auto"/>
          </w:tcPr>
          <w:p>
            <w:pPr>
              <w:spacing w:line="240" w:lineRule="auto" w:before="0" w:after="0"/>
              <w:pStyle w:val="Compact"/>
            </w:pPr>
            <w:r>
              <w:rPr>
                <w:sz w:val="20"/>
                <w:szCs w:val="20"/>
              </w:rPr>
              <w:t xml:space="preserve">Mars 6 lander</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Mars 6 lander page; contact lost at or just before touchdown during powered descent (https://nssdc.gsfc.nasa.gov/nmc/spacecraft/display.action?id=1973-052A)</w:t>
            </w:r>
          </w:p>
        </w:tc>
      </w:tr>
      <w:tr>
        <w:tc>
          <w:tcPr>
            <w:tcW w:w="0" w:type="auto"/>
          </w:tcPr>
          <w:p>
            <w:pPr>
              <w:spacing w:line="240" w:lineRule="auto" w:before="0" w:after="0"/>
              <w:pStyle w:val="Compact"/>
            </w:pPr>
            <w:r>
              <w:rPr>
                <w:sz w:val="20"/>
                <w:szCs w:val="20"/>
              </w:rPr>
              <w:t xml:space="preserve">Viking 1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Viking 1 lander page; successful soft landing 20 Jul 1976 (https://nssdc.gsfc.nasa.gov/nmc/spacecraft/display.action?id=1975-075C)</w:t>
            </w:r>
          </w:p>
        </w:tc>
      </w:tr>
      <w:tr>
        <w:tc>
          <w:tcPr>
            <w:tcW w:w="0" w:type="auto"/>
          </w:tcPr>
          <w:p>
            <w:pPr>
              <w:spacing w:line="240" w:lineRule="auto" w:before="0" w:after="0"/>
              <w:pStyle w:val="Compact"/>
            </w:pPr>
            <w:r>
              <w:rPr>
                <w:sz w:val="20"/>
                <w:szCs w:val="20"/>
              </w:rPr>
              <w:t xml:space="preserve">Viking 2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Williams (NASA NSSDCA) Viking 2 lander page; successful soft landing 3 Sep 1976 (https://nssdc.gsfc.nasa.gov/nmc/spacecraft/display.action?id=1975-083C)</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Pathfinder EDL accelerometer-derived density profiles, PDS atmospheres archive; airbag landing succeeded 4 Jul 1997 (https://atmos.nmsu.edu/data_and_services/atmospheres_data/MARS/pathfinder/mars_edl.html)</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MPL Failure Review Board; premature engine cutoff on terminal descent near south pole, lost Dec 1999 (space.com Mars landings history, https://www.space.com/10930-mars-landings-red-planet-exploration.html)</w:t>
            </w:r>
          </w:p>
        </w:tc>
      </w:tr>
      <w:tr>
        <w:tc>
          <w:tcPr>
            <w:tcW w:w="0" w:type="auto"/>
          </w:tcPr>
          <w:p>
            <w:pPr>
              <w:spacing w:line="240" w:lineRule="auto" w:before="0" w:after="0"/>
              <w:pStyle w:val="Compact"/>
            </w:pPr>
            <w:r>
              <w:rPr>
                <w:sz w:val="20"/>
                <w:szCs w:val="20"/>
              </w:rPr>
              <w:t xml:space="preserve">Deep Space 2 Amundsen</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Deep Space 2 microprobe carried on the MPL cruise stage; penetrator silent after high-speed atmospheric entry attempt [illustrative duration] (https://www.space.com/10930-mars-landings-red-planet-exploration.html)</w:t>
            </w:r>
          </w:p>
        </w:tc>
      </w:tr>
      <w:tr>
        <w:tc>
          <w:tcPr>
            <w:tcW w:w="0" w:type="auto"/>
          </w:tcPr>
          <w:p>
            <w:pPr>
              <w:spacing w:line="240" w:lineRule="auto" w:before="0" w:after="0"/>
              <w:pStyle w:val="Compact"/>
            </w:pPr>
            <w:r>
              <w:rPr>
                <w:sz w:val="20"/>
                <w:szCs w:val="20"/>
              </w:rPr>
              <w:t xml:space="preserve">Deep Space 2 Scott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Deep Space 2 microprobe carried on the MPL cruise stage; second penetrator silent after entry attempt [illustrative duration] (https://www.space.com/10930-mars-landings-red-planet-exploration.html)</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Mars Express Beagle 2 page; 2015 MRO HiRISE imaging confirmed an intact landing, two solar panels failed to deploy after touchdown (https://www.esa.int/Science_Exploration/Space_Science/Mars_Express/Beagle_2_lander)</w:t>
            </w:r>
          </w:p>
        </w:tc>
      </w:tr>
      <w:tr>
        <w:tc>
          <w:tcPr>
            <w:tcW w:w="0" w:type="auto"/>
          </w:tcPr>
          <w:p>
            <w:pPr>
              <w:spacing w:line="240" w:lineRule="auto" w:before="0" w:after="0"/>
              <w:pStyle w:val="Compact"/>
            </w:pPr>
            <w:r>
              <w:rPr>
                <w:sz w:val="20"/>
                <w:szCs w:val="20"/>
              </w:rPr>
              <w:t xml:space="preserve">Spirit MER-A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MER EDL timeline; airbag landing succeeded Jan 2004 with bank-controlled guided entry (https://mars.nasa.gov/mer/mission/timeline/edl/)</w:t>
            </w:r>
          </w:p>
        </w:tc>
      </w:tr>
      <w:tr>
        <w:tc>
          <w:tcPr>
            <w:tcW w:w="0" w:type="auto"/>
          </w:tcPr>
          <w:p>
            <w:pPr>
              <w:spacing w:line="240" w:lineRule="auto" w:before="0" w:after="0"/>
              <w:pStyle w:val="Compact"/>
            </w:pPr>
            <w:r>
              <w:rPr>
                <w:sz w:val="20"/>
                <w:szCs w:val="20"/>
              </w:rPr>
              <w:t xml:space="preserve">Opportunity MER-B</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MER EDL timeline; airbag landing succeeded Jan 2004 (https://mars.nasa.gov/mer/mission/timeline/edl/steps/)</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Desai et al., Mars Phoenix Entry Descent and Landing Simulation, NASA NTRS 20080033126; powered soft landing succeeded May 2008 (https://ntrs.nasa.gov/api/citations/20080033126/downloads/20080033126.pdf)</w:t>
            </w:r>
          </w:p>
        </w:tc>
      </w:tr>
      <w:tr>
        <w:tc>
          <w:tcPr>
            <w:tcW w:w="0" w:type="auto"/>
          </w:tcPr>
          <w:p>
            <w:pPr>
              <w:spacing w:line="240" w:lineRule="auto" w:before="0" w:after="0"/>
              <w:pStyle w:val="Compact"/>
            </w:pPr>
            <w:r>
              <w:rPr>
                <w:sz w:val="20"/>
                <w:szCs w:val="20"/>
              </w:rPr>
              <w:t xml:space="preserve">Curiosity MSL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Curiosity Seven Minutes of Terror; sky-crane landing succeeded Aug 2012 with guided entry (https://science.nasa.gov/resource/challenges-of-getting-to-mars-curiositys-seven-minutes-of-terror/)</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ExoMars Schiaparelli; IMU saturation produced an erroneous negative altitude, the parachute and backshell were released early and the thrusters cut after about 3 s, surface impact (skyandtelescope.org Schiaparelli requiem, https://skyandtelescope.org/astronomy-blogs/schiaparelli-requiem-for-a-mars-lander/)</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InSight; powered soft landing succeeded Nov 2018 using MSL-heritage guided entry (NASA how-we-land overview, https://science.nasa.gov/planetary-science/programs/mars-exploration/mission-timeline/how-we-land-on-mars/)</w:t>
            </w:r>
          </w:p>
        </w:tc>
      </w:tr>
      <w:tr>
        <w:tc>
          <w:tcPr>
            <w:tcW w:w="0" w:type="auto"/>
          </w:tcPr>
          <w:p>
            <w:pPr>
              <w:spacing w:line="240" w:lineRule="auto" w:before="0" w:after="0"/>
              <w:pStyle w:val="Compact"/>
            </w:pPr>
            <w:r>
              <w:rPr>
                <w:sz w:val="20"/>
                <w:szCs w:val="20"/>
              </w:rPr>
              <w:t xml:space="preserve">Perseverance Mars 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McGrew et al., Entry Guidance Design and Post-Flight Performance of the Mars 2020 Mission, NASA NTRS 20240015538; range-trigger guided landing succeeded Feb 2021, 1.7 km from target (https://ntrs.nasa.gov/citations/20240015538)</w:t>
            </w:r>
          </w:p>
        </w:tc>
      </w:tr>
      <w:tr>
        <w:tc>
          <w:tcPr>
            <w:tcW w:w="0" w:type="auto"/>
          </w:tcPr>
          <w:p>
            <w:pPr>
              <w:spacing w:line="240" w:lineRule="auto" w:before="0" w:after="0"/>
              <w:pStyle w:val="Compact"/>
            </w:pPr>
            <w:r>
              <w:rPr>
                <w:sz w:val="20"/>
                <w:szCs w:val="20"/>
              </w:rPr>
              <w:t xml:space="preserve">Tianwen-1 lander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CNSA Tianwen-1; successful soft landing in Utopia Planitia May 2021 with hovering hazard-avoidance terminal descent (space.com Mars mission history, https://www.space.com/32199-mars-missions-history-successes-failures.html)</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edl_seconds</w:t>
            </w:r>
          </w:p>
        </w:tc>
        <w:tc>
          <w:tcPr>
            <w:tcW w:w="0" w:type="auto"/>
          </w:tcPr>
          <w:p>
            <w:pPr>
              <w:spacing w:line="240" w:lineRule="auto" w:before="0" w:after="0"/>
              <w:pStyle w:val="Compact"/>
            </w:pPr>
            <w:r>
              <w:rPr>
                <w:sz w:val="20"/>
                <w:szCs w:val="20"/>
              </w:rPr>
              <w:t xml:space="preserve">Elapsed seconds of the entry-descent-landing sequence the vehicle completed before failure or nominal touchdown; the survival duration. Nominal Mars EDL from atmospheric entry interface to touchdown is about 390 s (seven minutes); failed attempts are recorded at the documented seconds reached before loss.</w:t>
            </w:r>
          </w:p>
        </w:tc>
        <w:tc>
          <w:tcPr>
            <w:tcW w:w="0" w:type="auto"/>
          </w:tcPr>
          <w:p>
            <w:pPr>
              <w:spacing w:line="240" w:lineRule="auto" w:before="0" w:after="0"/>
              <w:pStyle w:val="Compact"/>
            </w:pPr>
            <w:r>
              <w:rPr>
                <w:sz w:val="20"/>
                <w:szCs w:val="20"/>
              </w:rPr>
              <w:t xml:space="preserve">NASA Science how-we-land-on-Mars seven-minutes timeline; per-mission NASA NSSDCA and agency EDL records (see data.csv source column)</w:t>
            </w:r>
          </w:p>
        </w:tc>
      </w:tr>
      <w:tr>
        <w:tc>
          <w:tcPr>
            <w:tcW w:w="0" w:type="auto"/>
          </w:tcPr>
          <w:p>
            <w:pPr>
              <w:spacing w:line="240" w:lineRule="auto" w:before="0" w:after="0"/>
              <w:pStyle w:val="Compact"/>
            </w:pPr>
            <w:r>
              <w:rPr>
                <w:sz w:val="20"/>
                <w:szCs w:val="20"/>
              </w:rPr>
              <w:t xml:space="preserve">edl_failure</w:t>
            </w:r>
          </w:p>
        </w:tc>
        <w:tc>
          <w:tcPr>
            <w:tcW w:w="0" w:type="auto"/>
          </w:tcPr>
          <w:p>
            <w:pPr>
              <w:spacing w:line="240" w:lineRule="auto" w:before="0" w:after="0"/>
              <w:pStyle w:val="Compact"/>
            </w:pPr>
            <w:r>
              <w:rPr>
                <w:sz w:val="20"/>
                <w:szCs w:val="20"/>
              </w:rPr>
              <w:t xml:space="preserve">Event indicator: 1 if the vehicle was lost during entry, descent, or landing (did not survive EDL in a functional landed state); 0 if it survived EDL (censored as a completed survival).</w:t>
            </w:r>
          </w:p>
        </w:tc>
        <w:tc>
          <w:tcPr>
            <w:tcW w:w="0" w:type="auto"/>
          </w:tcPr>
          <w:p>
            <w:pPr>
              <w:spacing w:line="240" w:lineRule="auto" w:before="0" w:after="0"/>
              <w:pStyle w:val="Compact"/>
            </w:pPr>
            <w:r>
              <w:rPr>
                <w:sz w:val="20"/>
                <w:szCs w:val="20"/>
              </w:rPr>
              <w:t xml:space="preserve">Per-mission NASA NSSDCA, NASA JPL, ESA, and CNSA mission outcome records (see data.csv source column)</w:t>
            </w:r>
          </w:p>
        </w:tc>
      </w:tr>
      <w:tr>
        <w:tc>
          <w:tcPr>
            <w:tcW w:w="0" w:type="auto"/>
          </w:tcPr>
          <w:p>
            <w:pPr>
              <w:spacing w:line="240" w:lineRule="auto" w:before="0" w:after="0"/>
              <w:pStyle w:val="Compact"/>
            </w:pPr>
            <w:r>
              <w:rPr>
                <w:sz w:val="20"/>
                <w:szCs w:val="20"/>
              </w:rPr>
              <w:t xml:space="preserve">density_recon</w:t>
            </w:r>
          </w:p>
        </w:tc>
        <w:tc>
          <w:tcPr>
            <w:tcW w:w="0" w:type="auto"/>
          </w:tcPr>
          <w:p>
            <w:pPr>
              <w:spacing w:line="240" w:lineRule="auto" w:before="0" w:after="0"/>
              <w:pStyle w:val="Compact"/>
            </w:pPr>
            <w:r>
              <w:rPr>
                <w:sz w:val="20"/>
                <w:szCs w:val="20"/>
              </w:rPr>
              <w:t xml:space="preserve">Pre-entry atmospheric-knowledge proxy: 1 if a prior Mars orbiter had returned in-situ-anchored upper-atmosphere density reconnaissance of Mars before this EDL (Mars Global Surveyor and successor aerobraking accelerometer density data, available from the late 1990s onward); 0 otherwise.</w:t>
            </w:r>
          </w:p>
        </w:tc>
        <w:tc>
          <w:tcPr>
            <w:tcW w:w="0" w:type="auto"/>
          </w:tcPr>
          <w:p>
            <w:pPr>
              <w:spacing w:line="240" w:lineRule="auto" w:before="0" w:after="0"/>
              <w:pStyle w:val="Compact"/>
            </w:pPr>
            <w:r>
              <w:rPr>
                <w:sz w:val="20"/>
                <w:szCs w:val="20"/>
              </w:rPr>
              <w:t xml:space="preserve">Tolson et al. and NASA aerobraking density-modeling record for MGS and MRO accelerometer-derived density (NASA/AIAA aerobraking atmospheric-modeling literature)</w:t>
            </w:r>
          </w:p>
        </w:tc>
      </w:tr>
      <w:tr>
        <w:tc>
          <w:tcPr>
            <w:tcW w:w="0" w:type="auto"/>
          </w:tcPr>
          <w:p>
            <w:pPr>
              <w:spacing w:line="240" w:lineRule="auto" w:before="0" w:after="0"/>
              <w:pStyle w:val="Compact"/>
            </w:pPr>
            <w:r>
              <w:rPr>
                <w:sz w:val="20"/>
                <w:szCs w:val="20"/>
              </w:rPr>
              <w:t xml:space="preserve">prior_success</w:t>
            </w:r>
          </w:p>
        </w:tc>
        <w:tc>
          <w:tcPr>
            <w:tcW w:w="0" w:type="auto"/>
          </w:tcPr>
          <w:p>
            <w:pPr>
              <w:spacing w:line="240" w:lineRule="auto" w:before="0" w:after="0"/>
              <w:pStyle w:val="Compact"/>
            </w:pPr>
            <w:r>
              <w:rPr>
                <w:sz w:val="20"/>
                <w:szCs w:val="20"/>
              </w:rPr>
              <w:t xml:space="preserve">Accumulated atmospheric and EDL reconstruction knowledge, operationalized as the cumulative count of prior successful Mars EDL attempts at the time of this attempt; a running stock of reconstructed entry atmospheres and validated EDL models.</w:t>
            </w:r>
          </w:p>
        </w:tc>
        <w:tc>
          <w:tcPr>
            <w:tcW w:w="0" w:type="auto"/>
          </w:tcPr>
          <w:p>
            <w:pPr>
              <w:spacing w:line="240" w:lineRule="auto" w:before="0" w:after="0"/>
              <w:pStyle w:val="Compact"/>
            </w:pPr>
            <w:r>
              <w:rPr>
                <w:sz w:val="20"/>
                <w:szCs w:val="20"/>
              </w:rPr>
              <w:t xml:space="preserve">Derived from the ordered mission-outcome record in data.csv</w:t>
            </w:r>
          </w:p>
        </w:tc>
      </w:tr>
      <w:tr>
        <w:tc>
          <w:tcPr>
            <w:tcW w:w="0" w:type="auto"/>
          </w:tcPr>
          <w:p>
            <w:pPr>
              <w:spacing w:line="240" w:lineRule="auto" w:before="0" w:after="0"/>
              <w:pStyle w:val="Compact"/>
            </w:pPr>
            <w:r>
              <w:rPr>
                <w:sz w:val="20"/>
                <w:szCs w:val="20"/>
              </w:rPr>
              <w:t xml:space="preserve">closed_loop</w:t>
            </w:r>
          </w:p>
        </w:tc>
        <w:tc>
          <w:tcPr>
            <w:tcW w:w="0" w:type="auto"/>
          </w:tcPr>
          <w:p>
            <w:pPr>
              <w:spacing w:line="240" w:lineRule="auto" w:before="0" w:after="0"/>
              <w:pStyle w:val="Compact"/>
            </w:pPr>
            <w:r>
              <w:rPr>
                <w:sz w:val="20"/>
                <w:szCs w:val="20"/>
              </w:rPr>
              <w:t xml:space="preserve">Control-authority covariate: 1 if the vehicle flew closed-loop, bank-controlled or actively guided entry (MER-class and later Apollo-derived range-controlled guidance); 0 for unguided ballistic or open-loop descent. Included to separate the value of atmospheric knowledge from the value of control.</w:t>
            </w:r>
          </w:p>
        </w:tc>
        <w:tc>
          <w:tcPr>
            <w:tcW w:w="0" w:type="auto"/>
          </w:tcPr>
          <w:p>
            <w:pPr>
              <w:spacing w:line="240" w:lineRule="auto" w:before="0" w:after="0"/>
              <w:pStyle w:val="Compact"/>
            </w:pPr>
            <w:r>
              <w:rPr>
                <w:sz w:val="20"/>
                <w:szCs w:val="20"/>
              </w:rPr>
              <w:t xml:space="preserve">NASA JPL MER and Mars 2020 entry-guidance records (NASA NTRS 20240015538, McGrew et al.) and NASA mission EDL descriptions</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density_recon</w:t>
            </w:r>
          </w:p>
        </w:tc>
        <w:tc>
          <w:tcPr>
            <w:tcW w:w="0" w:type="auto"/>
          </w:tcPr>
          <w:p>
            <w:pPr>
              <w:spacing w:line="240" w:lineRule="auto" w:before="0" w:after="0"/>
              <w:pStyle w:val="Compact"/>
            </w:pPr>
            <w:r>
              <w:rPr>
                <w:sz w:val="20"/>
                <w:szCs w:val="20"/>
              </w:rPr>
              <w:t xml:space="preserve">-3.4213</w:t>
            </w:r>
          </w:p>
        </w:tc>
        <w:tc>
          <w:tcPr>
            <w:tcW w:w="0" w:type="auto"/>
          </w:tcPr>
          <w:p>
            <w:pPr>
              <w:spacing w:line="240" w:lineRule="auto" w:before="0" w:after="0"/>
              <w:pStyle w:val="Compact"/>
            </w:pPr>
            <w:r>
              <w:rPr>
                <w:sz w:val="20"/>
                <w:szCs w:val="20"/>
              </w:rPr>
              <w:t xml:space="preserve">2.0216</w:t>
            </w:r>
          </w:p>
        </w:tc>
        <w:tc>
          <w:tcPr>
            <w:tcW w:w="0" w:type="auto"/>
          </w:tcPr>
          <w:p>
            <w:pPr>
              <w:spacing w:line="240" w:lineRule="auto" w:before="0" w:after="0"/>
              <w:pStyle w:val="Compact"/>
            </w:pPr>
            <w:r>
              <w:rPr>
                <w:sz w:val="20"/>
                <w:szCs w:val="20"/>
              </w:rPr>
              <w:t xml:space="preserve">-1.6924</w:t>
            </w:r>
          </w:p>
        </w:tc>
        <w:tc>
          <w:tcPr>
            <w:tcW w:w="0" w:type="auto"/>
          </w:tcPr>
          <w:p>
            <w:pPr>
              <w:spacing w:line="240" w:lineRule="auto" w:before="0" w:after="0"/>
              <w:pStyle w:val="Compact"/>
            </w:pPr>
            <w:r>
              <w:rPr>
                <w:sz w:val="20"/>
                <w:szCs w:val="20"/>
              </w:rPr>
              <w:t xml:space="preserve">0.0906</w:t>
            </w:r>
          </w:p>
        </w:tc>
        <w:tc>
          <w:tcPr>
            <w:tcW w:w="0" w:type="auto"/>
          </w:tcPr>
          <w:p>
            <w:pPr>
              <w:spacing w:line="240" w:lineRule="auto" w:before="0" w:after="0"/>
              <w:pStyle w:val="Compact"/>
            </w:pPr>
            <w:r>
              <w:rPr>
                <w:sz w:val="20"/>
                <w:szCs w:val="20"/>
              </w:rPr>
              <w:t xml:space="preserve">[-7.3835, 0.541]</w:t>
            </w:r>
          </w:p>
        </w:tc>
        <w:tc>
          <w:tcPr>
            <w:tcW w:w="0" w:type="auto"/>
          </w:tcPr>
          <w:p>
            <w:pPr>
              <w:spacing w:line="240" w:lineRule="auto" w:before="0" w:after="0"/>
              <w:pStyle w:val="Compact"/>
            </w:pPr>
            <w:r>
              <w:rPr>
                <w:sz w:val="20"/>
                <w:szCs w:val="20"/>
              </w:rPr>
              <w:t xml:space="preserve">0.0327</w:t>
            </w:r>
          </w:p>
        </w:tc>
      </w:tr>
      <w:tr>
        <w:tc>
          <w:tcPr>
            <w:tcW w:w="0" w:type="auto"/>
          </w:tcPr>
          <w:p>
            <w:pPr>
              <w:spacing w:line="240" w:lineRule="auto" w:before="0" w:after="0"/>
              <w:pStyle w:val="Compact"/>
            </w:pPr>
            <w:r>
              <w:rPr>
                <w:sz w:val="20"/>
                <w:szCs w:val="20"/>
              </w:rPr>
              <w:t xml:space="preserve">prior_success</w:t>
            </w:r>
          </w:p>
        </w:tc>
        <w:tc>
          <w:tcPr>
            <w:tcW w:w="0" w:type="auto"/>
          </w:tcPr>
          <w:p>
            <w:pPr>
              <w:spacing w:line="240" w:lineRule="auto" w:before="0" w:after="0"/>
              <w:pStyle w:val="Compact"/>
            </w:pPr>
            <w:r>
              <w:rPr>
                <w:sz w:val="20"/>
                <w:szCs w:val="20"/>
              </w:rPr>
              <w:t xml:space="preserve">0.2661</w:t>
            </w:r>
          </w:p>
        </w:tc>
        <w:tc>
          <w:tcPr>
            <w:tcW w:w="0" w:type="auto"/>
          </w:tcPr>
          <w:p>
            <w:pPr>
              <w:spacing w:line="240" w:lineRule="auto" w:before="0" w:after="0"/>
              <w:pStyle w:val="Compact"/>
            </w:pPr>
            <w:r>
              <w:rPr>
                <w:sz w:val="20"/>
                <w:szCs w:val="20"/>
              </w:rPr>
              <w:t xml:space="preserve">0.2728</w:t>
            </w:r>
          </w:p>
        </w:tc>
        <w:tc>
          <w:tcPr>
            <w:tcW w:w="0" w:type="auto"/>
          </w:tcPr>
          <w:p>
            <w:pPr>
              <w:spacing w:line="240" w:lineRule="auto" w:before="0" w:after="0"/>
              <w:pStyle w:val="Compact"/>
            </w:pPr>
            <w:r>
              <w:rPr>
                <w:sz w:val="20"/>
                <w:szCs w:val="20"/>
              </w:rPr>
              <w:t xml:space="preserve">0.9751</w:t>
            </w:r>
          </w:p>
        </w:tc>
        <w:tc>
          <w:tcPr>
            <w:tcW w:w="0" w:type="auto"/>
          </w:tcPr>
          <w:p>
            <w:pPr>
              <w:spacing w:line="240" w:lineRule="auto" w:before="0" w:after="0"/>
              <w:pStyle w:val="Compact"/>
            </w:pPr>
            <w:r>
              <w:rPr>
                <w:sz w:val="20"/>
                <w:szCs w:val="20"/>
              </w:rPr>
              <w:t xml:space="preserve">0.3295</w:t>
            </w:r>
          </w:p>
        </w:tc>
        <w:tc>
          <w:tcPr>
            <w:tcW w:w="0" w:type="auto"/>
          </w:tcPr>
          <w:p>
            <w:pPr>
              <w:spacing w:line="240" w:lineRule="auto" w:before="0" w:after="0"/>
              <w:pStyle w:val="Compact"/>
            </w:pPr>
            <w:r>
              <w:rPr>
                <w:sz w:val="20"/>
                <w:szCs w:val="20"/>
              </w:rPr>
              <w:t xml:space="preserve">[-0.2687, 0.8008]</w:t>
            </w:r>
          </w:p>
        </w:tc>
        <w:tc>
          <w:tcPr>
            <w:tcW w:w="0" w:type="auto"/>
          </w:tcPr>
          <w:p>
            <w:pPr>
              <w:spacing w:line="240" w:lineRule="auto" w:before="0" w:after="0"/>
              <w:pStyle w:val="Compact"/>
            </w:pPr>
            <w:r>
              <w:rPr>
                <w:sz w:val="20"/>
                <w:szCs w:val="20"/>
              </w:rPr>
              <w:t xml:space="preserve">1.3048</w:t>
            </w:r>
          </w:p>
        </w:tc>
      </w:tr>
    </w:tbl>
    <w:p>
      <w:pPr>
        <w:pStyle w:val="BodyText"/>
      </w:pPr>
      <w:r>
        <w:t xml:space="preserve">Fit: N = 18 events = 6</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2026-06-22T20:31:09Z</dcterms:created>
  <dcterms:modified xsi:type="dcterms:W3CDTF">2026-06-22T20:31:09Z</dcterms:modified>
</cp:coreProperties>
</file>

<file path=docProps/custom.xml><?xml version="1.0" encoding="utf-8"?>
<Properties xmlns="http://schemas.openxmlformats.org/officeDocument/2006/custom-properties" xmlns:vt="http://schemas.openxmlformats.org/officeDocument/2006/docPropsVTypes"/>
</file>