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33430c40ec287269e2b1b4aecc6814d6f4e7b5"/>
    <w:p>
      <w:pPr>
        <w:pStyle w:val="Heading1"/>
      </w:pPr>
      <w:r>
        <w:t xml:space="preserve">The Landed Value of Atmospheric Knowledge: A Cross-Mission Test of Pre-Entry Atmospheric Maturity and Landed-State Dispersion in Atmospheric EDL</w:t>
      </w:r>
    </w:p>
    <w:bookmarkStart w:id="61" w:name="introduction"/>
    <w:p>
      <w:pPr>
        <w:pStyle w:val="Heading2"/>
      </w:pPr>
      <w:r>
        <w:t xml:space="preserve">1. Introduction</w:t>
      </w:r>
    </w:p>
    <w:p>
      <w:pPr>
        <w:pStyle w:val="FirstParagraph"/>
      </w:pPr>
      <w:r>
        <w:t xml:space="preserve">Every atmospheric entry, descent, and landing system commits to a trajectory under a forecast of the atmosphere it will fly through, and the realized atmosphere departs from that forecast. The controller absorbs the residual, and what remains shows up as dispersion in the landed state. Density modeling is among the largest sources of uncertainty in trajectory propagation through a planetary atmosphere, a point the operations-ready thermospheric density survey literature documents in detail: the major drag-relevant density models disagree with one another and with truth by margins large enough to matter for anything that integrates a trajectory through the upper atmosphere</w:t>
      </w:r>
      <w:r>
        <w:t xml:space="preserve"> </w:t>
      </w:r>
      <w:hyperlink w:anchor="ref-1">
        <m:oMathPara>
          <m:oMathParaPr>
            <m:jc m:val="center"/>
          </m:oMathParaPr>
          <m:oMath>
            <m:r>
              <m:t>1</m:t>
            </m:r>
          </m:oMath>
        </m:oMathPara>
      </w:hyperlink>
      <w:r>
        <w:t xml:space="preserve">. The same conclusion arrives from the estimation side, where precision-orbit-derived density work treats residual density error after the best available model as a first-order term rather than a rounding error</w:t>
      </w:r>
      <w:r>
        <w:t xml:space="preserve"> </w:t>
      </w:r>
      <w:hyperlink w:anchor="ref-2">
        <m:oMathPara>
          <m:oMathParaPr>
            <m:jc m:val="center"/>
          </m:oMathParaPr>
          <m:oMath>
            <m:r>
              <m:t>2</m:t>
            </m:r>
          </m:oMath>
        </m:oMathPara>
      </w:hyperlink>
      <w:r>
        <w:t xml:space="preserve">, and from recent uncertainty-quantification work that reframes density prediction as an explicitly probabilistic problem</w:t>
      </w:r>
      <w:r>
        <w:t xml:space="preserve"> </w:t>
      </w:r>
      <w:hyperlink w:anchor="ref-3">
        <m:oMathPara>
          <m:oMathParaPr>
            <m:jc m:val="center"/>
          </m:oMathParaPr>
          <m:oMath>
            <m:r>
              <m:t>3</m:t>
            </m:r>
          </m:oMath>
        </m:oMathPara>
      </w:hyperlink>
      <w:r>
        <w:t xml:space="preserve">.</w:t>
      </w:r>
    </w:p>
    <w:p>
      <w:pPr>
        <w:pStyle w:val="FirstParagraph"/>
      </w:pPr>
      <w:r>
        <w:t xml:space="preserve">The engineering response to this liability has been to harden the controller rather than the forecast. Robust nonlinear entry-guidance designs are built to track a reference trajectory in the presence of entry-state dispersions and model errors, including the drag and lift dispersions that stand in for atmospheric uncertainty</w:t>
      </w:r>
      <w:r>
        <w:t xml:space="preserve"> </w:t>
      </w:r>
      <w:hyperlink w:anchor="ref-4">
        <m:oMathPara>
          <m:oMathParaPr>
            <m:jc m:val="center"/>
          </m:oMathParaPr>
          <m:oMath>
            <m:r>
              <m:t>4</m:t>
            </m:r>
          </m:oMath>
        </m:oMathPara>
      </w:hyperlink>
      <w:r>
        <w:t xml:space="preserve">, and controlled-reentry guidance for small spacecraft is evaluated on its robustness against density and atmospheric model error</w:t>
      </w:r>
      <w:r>
        <w:t xml:space="preserve"> </w:t>
      </w:r>
      <w:hyperlink w:anchor="ref-5">
        <m:oMathPara>
          <m:oMathParaPr>
            <m:jc m:val="center"/>
          </m:oMathParaPr>
          <m:oMath>
            <m:r>
              <m:t>5</m:t>
            </m:r>
          </m:oMath>
        </m:oMathPara>
      </w:hyperlink>
      <w:r>
        <w:t xml:space="preserve">. This posture leaves an economic question unanswered. Better pre-entry atmospheric knowledge is not free and not fixed: a program can invest in improved models, precursor measurement, or assimilation of recent observations, and the question is whether that investment moves the landing ellipse. This paper supplies a first cross-mission estimate of that relationship, using the flight record rather than a single simulation campaign.</w:t>
      </w:r>
    </w:p>
    <w:bookmarkEnd w:id="61"/>
    <w:bookmarkStart w:id="62" w:name="theory-and-hypotheses"/>
    <w:p>
      <w:pPr>
        <w:pStyle w:val="Heading2"/>
      </w:pPr>
      <w:r>
        <w:t xml:space="preserve">2. Theory and Hypotheses</w:t>
      </w:r>
    </w:p>
    <w:p>
      <w:pPr>
        <w:pStyle w:val="FirstParagraph"/>
      </w:pPr>
      <w:r>
        <w:t xml:space="preserve">The mechanism is direct. A guided entry vehicle commands bank angle and parachute-deploy timing against a model of the density it expects to encounter. Where that model is closer to the realized atmosphere, the commanded trajectory tracks the intended one more closely, and the terminal dispersion shrinks. Where the model is poor, the controller spends its authority correcting for the gap rather than for incidental disturbances, and the ellipse grows. The density-modeling literature establishes that the gap between forecast and truth is both large and historically variable across the era of planetary exploration, declining as reconstruction and assimilation matured [1, 2, 3]. The guidance literature establishes that a controllable entry can convert that knowledge into reduced dispersion, since closed-loop guidance with better navigation and atmosphere knowledge demonstrably reduces the landing ellipse</w:t>
      </w:r>
      <w:r>
        <w:t xml:space="preserve"> </w:t>
      </w:r>
      <w:hyperlink w:anchor="ref-4">
        <m:oMathPara>
          <m:oMathParaPr>
            <m:jc m:val="center"/>
          </m:oMathParaPr>
          <m:oMath>
            <m:r>
              <m:t>4</m:t>
            </m:r>
          </m:oMath>
        </m:oMathPara>
      </w:hyperlink>
      <w:r>
        <w:t xml:space="preserve">, while a ballistic vehicle has no such lever and must accept whatever dispersion the realized atmosphere imposes</w:t>
      </w:r>
      <w:r>
        <w:t xml:space="preserve"> </w:t>
      </w:r>
      <w:hyperlink w:anchor="ref-5">
        <m:oMathPara>
          <m:oMathParaPr>
            <m:jc m:val="center"/>
          </m:oMathParaPr>
          <m:oMath>
            <m:r>
              <m:t>5</m:t>
            </m:r>
          </m:oMath>
        </m:oMathPara>
      </w:hyperlink>
      <w:r>
        <w:t xml:space="preserve">.</w:t>
      </w:r>
    </w:p>
    <w:p>
      <w:pPr>
        <w:pStyle w:val="FirstParagraph"/>
      </w:pPr>
      <w:r>
        <w:t xml:space="preserve">Two competing accounts follow. The first holds that modern closed-loop guidance absorbs atmospheric uncertainty so completely that the maturity of the pre-entry atmosphere model no longer moves the landed outcome once the entry mode is accounted for. The second holds that atmospheric knowledge retains independent landed value even after the entry mode and the vehicle scale are controlled. These map onto a testable null and alternative.</w:t>
      </w:r>
    </w:p>
    <w:p>
      <w:pPr>
        <w:pStyle w:val="BodyText"/>
      </w:pPr>
      <w:r>
        <w:rPr>
          <w:b/>
          <w:bCs/>
        </w:rPr>
        <w:t xml:space="preserve">H0:</w:t>
      </w:r>
      <w:r>
        <w:t xml:space="preserve"> </w:t>
      </w:r>
      <w:r>
        <w:t xml:space="preserve">Pre-entry atmospheric-knowledge maturity has no effect on landed-state dispersion once entry mode and vehicle scale are controlled (the coefficient on the maturity index is zero).</w:t>
      </w:r>
    </w:p>
    <w:p>
      <w:pPr>
        <w:pStyle w:val="BodyText"/>
      </w:pPr>
      <w:r>
        <w:rPr>
          <w:b/>
          <w:bCs/>
        </w:rPr>
        <w:t xml:space="preserve">H1:</w:t>
      </w:r>
      <w:r>
        <w:t xml:space="preserve"> </w:t>
      </w:r>
      <w:r>
        <w:t xml:space="preserve">Greater pre-entry atmospheric-knowledge maturity is associated with a smaller landing ellipse at fixed entry mode and vehicle scale (the coefficient is negative).</w:t>
      </w:r>
    </w:p>
    <w:bookmarkEnd w:id="62"/>
    <w:bookmarkStart w:id="63" w:name="data"/>
    <w:p>
      <w:pPr>
        <w:pStyle w:val="Heading2"/>
      </w:pPr>
      <w:r>
        <w:t xml:space="preserve">3. Data</w:t>
      </w:r>
    </w:p>
    <w:p>
      <w:pPr>
        <w:pStyle w:val="FirstParagraph"/>
      </w:pPr>
      <w:r>
        <w:t xml:space="preserve">The dataset is a cross-mission panel of eighteen documented atmospheric-entry missions spanning 1969 to 2023, covering Mars landers and rovers from Viking through Perseverance, the lost ballistic missions Mars Polar Lander, Beagle 2, and Schiaparelli, and a set of Earth sample-return and lunar-return capsules (Apollo, Genesis, Stardust, Hayabusa, OSIRIS-REx). Each row carries four measured quantities and its source. The dependent variable is the landing-ellipse semi-major axis in kilometers, taken from mission press kits, NASA, ESA, and JAXA landing-site papers, and EDL reconstruction reports; it ranges from 3.85 km for Perseverance to 150 km for the Viking landers. Because the ellipse sizes are strongly right-skewed, the regression uses the natural log of the semi-major axis as the response, so coefficients read as approximate proportional changes.</w:t>
      </w:r>
    </w:p>
    <w:p>
      <w:pPr>
        <w:pStyle w:val="BodyText"/>
      </w:pPr>
      <w:r>
        <w:t xml:space="preserve">Three regressors follow. Pre-entry atmospheric-knowledge maturity is an ordinal index from one to five, coded from documented atmospheric-model heritage: a Viking-era a priori atmosphere scores one, the pre-reconnaissance Pathfinder and Mars Polar Lander era scores two, the Mars Global Surveyor and Odyssey density-reconstruction era scores three, the Mars Reconnaissance Orbiter assimilation era scores four, and assimilation paired with best-available per-mission reconstruction, or a well-characterized terrestrial atmosphere with modern reconnaissance, scores five</w:t>
      </w:r>
      <w:r>
        <w:t xml:space="preserve"> </w:t>
      </w:r>
      <w:hyperlink w:anchor="ref-1">
        <m:oMathPara>
          <m:oMathParaPr>
            <m:jc m:val="center"/>
          </m:oMathParaPr>
          <m:oMath>
            <m:r>
              <m:t>1</m:t>
            </m:r>
          </m:oMath>
        </m:oMathPara>
      </w:hyperlink>
      <w:r>
        <w:t xml:space="preserve">. A binary indicator records whether the vehicle flew a controllable guided entry or a ballistic unguided one, following the standard EDL-architecture classification</w:t>
      </w:r>
      <w:r>
        <w:t xml:space="preserve"> </w:t>
      </w:r>
      <w:hyperlink w:anchor="ref-4">
        <m:oMathPara>
          <m:oMathParaPr>
            <m:jc m:val="center"/>
          </m:oMathParaPr>
          <m:oMath>
            <m:r>
              <m:t>4</m:t>
            </m:r>
          </m:oMath>
        </m:oMathPara>
      </w:hyperlink>
      <w:r>
        <w:t xml:space="preserve">. Entry mass in tonnes controls for vehicle scale and ballistic coefficient. Every ellipse value but one is sourced to a named document; the single exception, the Hayabusa recovery footprint, is marked illustrative in the row source.</w:t>
      </w:r>
    </w:p>
    <w:bookmarkEnd w:id="63"/>
    <w:bookmarkStart w:id="64" w:name="method"/>
    <w:p>
      <w:pPr>
        <w:pStyle w:val="Heading2"/>
      </w:pPr>
      <w:r>
        <w:t xml:space="preserve">4. Method</w:t>
      </w:r>
    </w:p>
    <w:p>
      <w:pPr>
        <w:pStyle w:val="FirstParagraph"/>
      </w:pPr>
      <w:r>
        <w:t xml:space="preserve">The estimator is an ordinary-least-squares regression of the log landing-ellipse semi-major axis on the three regressors, with heteroskedasticity-robust standard errors. The maturity index and the guided indicator enter additively, so the coefficient on maturity is identified from variation in atmospheric knowledge after differencing out the average effect of flying a guided versus a ballistic entry and the average effect of vehicle scale. This is the central design feature: because the guided indicator is in the model, a significant maturity coefficient cannot be an artifact of the fact that the most recent guided missions also happened to fly under the best atmosphere models, since the guided effect is estimated separately. The specification holds control authority and vehicle scale fixed and asks what is left for knowledge to explain. The test of H0 is the sign and significance of the maturity coefficient.</w:t>
      </w:r>
    </w:p>
    <w:bookmarkEnd w:id="64"/>
    <w:bookmarkStart w:id="65" w:name="findings"/>
    <w:p>
      <w:pPr>
        <w:pStyle w:val="Heading2"/>
      </w:pPr>
      <w:r>
        <w:t xml:space="preserve">5. Findings</w:t>
      </w:r>
    </w:p>
    <w:p>
      <w:pPr>
        <w:pStyle w:val="FirstParagraph"/>
      </w:pPr>
      <w:r>
        <w:t xml:space="preserve">The model fits the cross-mission record well, explaining 78 percent of the variance in log-ellipse size (R-squared 0.779, adjusted 0.732) with an overall F of 67.7 and a joint p-value below 1.5e-08 across eighteen missions. The maturity coefficient is negative and significant: each one-step gain in pre-entry atmospheric-knowledge maturity is associated with a 0.530 reduction in log-ellipse (standard error 0.192, t = -2.76, p = 0.006, 95 percent confidence interval -0.907 to -0.153). The interval excludes zero, so H0 is rejected in favor of H1. In proportional terms the point estimate implies that a single rung up the maturity ladder shrinks the landing ellipse by roughly 41 percent at fixed entry mode and vehicle scale, and the confidence interval ranges from about a 14 percent reduction at the conservative end to about a 60 percent reduction at the optimistic end.</w:t>
      </w:r>
    </w:p>
    <w:p>
      <w:pPr>
        <w:pStyle w:val="BodyText"/>
      </w:pPr>
      <w:r>
        <w:t xml:space="preserve">The two controls behave as the theory predicts in sign while carrying weaker statistical support in this sample. Flying a guided rather than ballistic entry carries a coefficient of -1.047 (standard error 0.645, p = 0.105, interval -2.310 to 0.217), a large negative point estimate corresponding to about a 65 percent smaller ellipse, but one that does not clear conventional significance at the eighteen-mission scale and whose interval still admits a small positive value. Entry mass is effectively flat, with a coefficient of -0.061 per tonne (standard error 0.116, p = 0.598), indicating that once knowledge and entry mode are accounted for, the heavier guided vehicles are not landing more precisely because they are heavy. The notable result is that the knowledge coefficient is the one that separates cleanly from zero. Atmospheric knowledge, not merely the presence of a controller, carries identifiable landed value in the flight record.</w:t>
      </w:r>
    </w:p>
    <w:bookmarkEnd w:id="65"/>
    <w:bookmarkStart w:id="66" w:name="discussion"/>
    <w:p>
      <w:pPr>
        <w:pStyle w:val="Heading2"/>
      </w:pPr>
      <w:r>
        <w:t xml:space="preserve">6. Discussion</w:t>
      </w:r>
    </w:p>
    <w:p>
      <w:pPr>
        <w:pStyle w:val="FirstParagraph"/>
      </w:pPr>
      <w:r>
        <w:t xml:space="preserve">The estimate converts a working intuition of EDL practice into a quantified slope: across the flight record, moving from one era of atmospheric knowledge to the next is associated with a landing ellipse roughly two-fifths smaller, even after the move from ballistic to guided entry is separately accounted for. This is the cross-mission complement to the controlled simulation question of whether better forecasts move the ellipse at fixed control authority. The dissertation’s Monte Carlo study manipulates forecast quality directly and holds the guidance law fixed by construction; the present panel cannot manipulate anything, but it tests the same proposition against the only ground truth that exists, namely what real missions actually achieved as their atmosphere models matured. That the two approaches point the same direction strengthens both.</w:t>
      </w:r>
    </w:p>
    <w:p>
      <w:pPr>
        <w:pStyle w:val="BodyText"/>
      </w:pPr>
      <w:r>
        <w:t xml:space="preserve">The limits are honest. With eighteen missions the guided coefficient is imprecise, and maturity and guidance are correlated in the historical record because the missions that flew guided entries also tended to fly under better atmosphere models; the additive specification separates their average effects but cannot fully break a correlation that history itself imposed. The maturity index is ordinal and coded from documented model heritage rather than measured as a continuous forecast-error magnitude, so the slope is a step effect across eras rather than the elasticity with respect to a root-mean-square density error that the controlled study estimates. The terrestrial capsules and the Mars landers share a single ellipse metric but not a single atmosphere, and the lost ballistic missions contribute planned rather than achieved ellipses. None of these reverse the result: the maturity coefficient is negative, significant, and bounded away from zero, and it survives the inclusion of the entry-mode control that is the most plausible confounder. The practical reading is that, in the regime the flight record covers, investment in pre-entry atmospheric knowledge has shown a measurable return in landed precision, and that return is not simply a relabeling of the value of closed-loop control.</w:t>
      </w:r>
    </w:p>
    <w:bookmarkEnd w:id="66"/>
    <w:bookmarkStart w:id="78" w:name="references"/>
    <w:p>
      <w:pPr>
        <w:pStyle w:val="Heading2"/>
      </w:pPr>
      <w:r>
        <w:t xml:space="preserve">References</w:t>
      </w:r>
    </w:p>
    <w:p>
      <w:pPr>
        <w:pStyle w:val="FirstParagraph"/>
      </w:pPr>
      <w:bookmarkStart w:id="67" w:name="ref-1"/>
      <w:bookmarkEnd w:id="67"/>
      <w:r>
        <w:t xml:space="preserve">1. S. Mutschler, W. K. Tobiska, M. Pilinski, S. Bruinsma, E. Sutton, D. Knipp, V. Mallik, B. Jagatia, M. Siegers, T.-W. Fang, T. Fuller-Rowell, B. diLorenzo, S. Casali, C. Siemes, and K. Wahl,</w:t>
      </w:r>
      <w:r>
        <w:t xml:space="preserve"> </w:t>
      </w:r>
      <w:r>
        <w:t xml:space="preserve">“A Survey of Current Operations-Ready Thermospheric Density Models for Drag Modeling in LEO Operations,”</w:t>
      </w:r>
      <w:r>
        <w:t xml:space="preserve"> </w:t>
      </w:r>
      <w:r>
        <w:t xml:space="preserve">Proc. Advanced Maui Optical and Space Surveillance Technologies (AMOS) Conference, 2023. doi:</w:t>
      </w:r>
      <w:r>
        <w:t xml:space="preserve"> </w:t>
      </w:r>
      <w:hyperlink r:id="rId68">
        <w:r>
          <w:rPr>
            <w:rStyle w:val="Hyperlink"/>
          </w:rPr>
          <w:t xml:space="preserve">10.64861/PFPI7186</w:t>
        </w:r>
      </w:hyperlink>
      <w:r>
        <w:t xml:space="preserve">.</w:t>
      </w:r>
    </w:p>
    <w:p>
      <w:pPr>
        <w:pStyle w:val="BodyText"/>
      </w:pPr>
      <w:bookmarkStart w:id="69" w:name="ref-2"/>
      <w:bookmarkEnd w:id="69"/>
      <w:r>
        <w:t xml:space="preserve">2. C. A. McLaughlin, A. Hiatt, D. Mysore Krishna, T. Lechtenberg, E. Fattig, and P. M. Mehta,</w:t>
      </w:r>
      <w:r>
        <w:t xml:space="preserve"> </w:t>
      </w:r>
      <w:r>
        <w:t xml:space="preserve">“Precision Orbit Derived Atmospheric Density: Development and Performance,”</w:t>
      </w:r>
      <w:r>
        <w:t xml:space="preserve"> </w:t>
      </w:r>
      <w:r>
        <w:t xml:space="preserve">Proc. Advanced Maui Optical and Space Surveillance Technologies (AMOS) Conference, 2012.</w:t>
      </w:r>
    </w:p>
    <w:p>
      <w:pPr>
        <w:pStyle w:val="BodyText"/>
      </w:pPr>
      <w:bookmarkStart w:id="70" w:name="ref-3"/>
      <w:bookmarkEnd w:id="70"/>
      <w:r>
        <w:t xml:space="preserve">3. B. Joshi, S. Majumder, T. Ansari, and T. Ahmed,</w:t>
      </w:r>
      <w:r>
        <w:t xml:space="preserve"> </w:t>
      </w:r>
      <w:r>
        <w:t xml:space="preserve">“Thermospheric Density Prediction and Uncertainty Quantification through Generative AI-based Architectures,”</w:t>
      </w:r>
      <w:r>
        <w:t xml:space="preserve"> </w:t>
      </w:r>
      <w:r>
        <w:t xml:space="preserve">Proc. Advanced Maui Optical and Space Surveillance Technologies (AMOS) Conference, 2025. doi:</w:t>
      </w:r>
      <w:r>
        <w:t xml:space="preserve"> </w:t>
      </w:r>
      <w:hyperlink r:id="rId71">
        <w:r>
          <w:rPr>
            <w:rStyle w:val="Hyperlink"/>
          </w:rPr>
          <w:t xml:space="preserve">10.64861/KLIJ1542</w:t>
        </w:r>
      </w:hyperlink>
      <w:r>
        <w:t xml:space="preserve">.</w:t>
      </w:r>
    </w:p>
    <w:p>
      <w:pPr>
        <w:pStyle w:val="BodyText"/>
      </w:pPr>
      <w:bookmarkStart w:id="72" w:name="ref-4"/>
      <w:bookmarkEnd w:id="72"/>
      <w:r>
        <w:t xml:space="preserve">4. R. D. Braun and R. M. Manning,</w:t>
      </w:r>
      <w:r>
        <w:t xml:space="preserve"> </w:t>
      </w:r>
      <w:r>
        <w:t xml:space="preserve">“Mars Exploration Entry, Descent, and Landing Challenges,”</w:t>
      </w:r>
      <w:r>
        <w:t xml:space="preserve"> </w:t>
      </w:r>
      <w:r>
        <w:t xml:space="preserve">Journal of Spacecraft and Rockets, vol. 44, no. 2, 2007. doi:</w:t>
      </w:r>
      <w:r>
        <w:t xml:space="preserve"> </w:t>
      </w:r>
      <w:hyperlink r:id="rId73">
        <w:r>
          <w:rPr>
            <w:rStyle w:val="Hyperlink"/>
          </w:rPr>
          <w:t xml:space="preserve">10.2514/1.25116</w:t>
        </w:r>
      </w:hyperlink>
      <w:r>
        <w:t xml:space="preserve">.</w:t>
      </w:r>
    </w:p>
    <w:p>
      <w:pPr>
        <w:pStyle w:val="BodyText"/>
      </w:pPr>
      <w:bookmarkStart w:id="74" w:name="ref-5"/>
      <w:bookmarkEnd w:id="74"/>
      <w:r>
        <w:t xml:space="preserve">5. T. Saito, T. Kuwahara, Y. Saito, and Y. Sato,</w:t>
      </w:r>
      <w:r>
        <w:t xml:space="preserve"> </w:t>
      </w:r>
      <w:r>
        <w:t xml:space="preserve">“Guidance strategies for controlled Earth reentry of small spacecraft in low Earth orbit,”</w:t>
      </w:r>
      <w:r>
        <w:t xml:space="preserve"> </w:t>
      </w:r>
      <w:r>
        <w:t xml:space="preserve">Acta Astronautica, vol. 229, 2024. doi:</w:t>
      </w:r>
      <w:r>
        <w:t xml:space="preserve"> </w:t>
      </w:r>
      <w:hyperlink r:id="rId75">
        <w:r>
          <w:rPr>
            <w:rStyle w:val="Hyperlink"/>
          </w:rPr>
          <w:t xml:space="preserve">10.1016/j.actaastro.2024.12.054</w:t>
        </w:r>
      </w:hyperlink>
      <w:r>
        <w:t xml:space="preserve">.</w:t>
      </w:r>
    </w:p>
    <w:p>
      <w:pPr>
        <w:pStyle w:val="BodyText"/>
      </w:pPr>
      <w:bookmarkStart w:id="76" w:name="ref-6"/>
      <w:bookmarkEnd w:id="76"/>
      <w:r>
        <w:t xml:space="preserve">6. M. Golombek, J. Grant, D. Kipp, A. Vasavada, R. Kirk, R. Fergason, P. Bellutta, F. Calef, K. Larsen, Y. Katayama, A. Huertas, R. Beyer, A. Chen, T. Parker, B. Pollard, S. Lee, Y. Sun, R. Hoover, H. Sladek, J. Grotzinger, R. Welch, E. Noe Dobrea, J. Michalski, and M. Watkins,</w:t>
      </w:r>
      <w:r>
        <w:t xml:space="preserve"> </w:t>
      </w:r>
      <w:r>
        <w:t xml:space="preserve">“Selection of the Mars Exploration Rover landing sites,”</w:t>
      </w:r>
      <w:r>
        <w:t xml:space="preserve"> </w:t>
      </w:r>
      <w:r>
        <w:t xml:space="preserve">Journal of Geophysical Research: Planets, vol. 108, no. E12, 2003. doi:</w:t>
      </w:r>
      <w:r>
        <w:t xml:space="preserve"> </w:t>
      </w:r>
      <w:hyperlink r:id="rId77">
        <w:r>
          <w:rPr>
            <w:rStyle w:val="Hyperlink"/>
          </w:rPr>
          <w:t xml:space="preserve">10.1029/2003JE002074</w:t>
        </w:r>
      </w:hyperlink>
      <w:r>
        <w:t xml:space="preserve">.</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t>D</m:t>
              </m:r>
            </m:e>
            <m:sub>
              <m:r>
                <m:t>i</m:t>
              </m:r>
            </m:sub>
          </m:sSub>
          <m:r>
            <m:rPr>
              <m:sty m:val="p"/>
            </m:rPr>
            <m:t>)</m:t>
          </m:r>
          <m:r>
            <m:rPr>
              <m:sty m:val="p"/>
            </m:rPr>
            <m:t>=</m:t>
          </m:r>
          <m:sSub>
            <m:e>
              <m:r>
                <m:t>β</m:t>
              </m:r>
            </m:e>
            <m:sub>
              <m:r>
                <m:t>0</m:t>
              </m:r>
            </m:sub>
          </m:sSub>
          <m:r>
            <m:rPr>
              <m:sty m:val="p"/>
            </m:rPr>
            <m:t>+</m:t>
          </m:r>
          <m:sSub>
            <m:e>
              <m:r>
                <m:t>β</m:t>
              </m:r>
            </m:e>
            <m:sub>
              <m:r>
                <m:t>1</m:t>
              </m:r>
            </m:sub>
          </m:sSub>
          <m:sSub>
            <m:e>
              <m:r>
                <m:t>K</m:t>
              </m:r>
            </m:e>
            <m:sub>
              <m:r>
                <m:t>i</m:t>
              </m:r>
            </m:sub>
          </m:sSub>
          <m:r>
            <m:rPr>
              <m:sty m:val="p"/>
            </m:rPr>
            <m:t>+</m:t>
          </m:r>
          <m:sSub>
            <m:e>
              <m:r>
                <m:t>β</m:t>
              </m:r>
            </m:e>
            <m:sub>
              <m:r>
                <m:t>2</m:t>
              </m:r>
            </m:sub>
          </m:sSub>
          <m:sSub>
            <m:e>
              <m:r>
                <m:t>G</m:t>
              </m:r>
            </m:e>
            <m:sub>
              <m:r>
                <m:t>i</m:t>
              </m:r>
            </m:sub>
          </m:sSub>
          <m:r>
            <m:rPr>
              <m:sty m:val="p"/>
            </m:rPr>
            <m:t>+</m:t>
          </m:r>
          <m:sSub>
            <m:e>
              <m:r>
                <m:t>β</m:t>
              </m:r>
            </m:e>
            <m:sub>
              <m:r>
                <m:t>3</m:t>
              </m:r>
            </m:sub>
          </m:sSub>
          <m:sSub>
            <m:e>
              <m:r>
                <m:t>M</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5.5385</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15.2267</w:t>
            </w:r>
          </w:p>
        </w:tc>
        <w:tc>
          <w:tcPr>
            <w:tcW w:w="0" w:type="auto"/>
          </w:tcPr>
          <w:p>
            <w:pPr>
              <w:spacing w:line="240" w:lineRule="auto" w:before="0" w:after="0"/>
              <w:pStyle w:val="Compact"/>
            </w:pPr>
            <w:r>
              <w:rPr>
                <w:sz w:val="20"/>
                <w:szCs w:val="20"/>
              </w:rPr>
              <w:t xml:space="preserve">2.352e-52</w:t>
            </w:r>
          </w:p>
        </w:tc>
        <w:tc>
          <w:tcPr>
            <w:tcW w:w="0" w:type="auto"/>
          </w:tcPr>
          <w:p>
            <w:pPr>
              <w:spacing w:line="240" w:lineRule="auto" w:before="0" w:after="0"/>
              <w:pStyle w:val="Compact"/>
            </w:pPr>
            <w:r>
              <w:rPr>
                <w:sz w:val="20"/>
                <w:szCs w:val="20"/>
              </w:rPr>
              <w:t xml:space="preserve">[4.8256, 6.2514]</w:t>
            </w:r>
          </w:p>
        </w:tc>
      </w:tr>
      <w:tr>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-0.5298</w:t>
            </w:r>
          </w:p>
        </w:tc>
        <w:tc>
          <w:tcPr>
            <w:tcW w:w="0" w:type="auto"/>
          </w:tcPr>
          <w:p>
            <w:pPr>
              <w:spacing w:line="240" w:lineRule="auto" w:before="0" w:after="0"/>
              <w:pStyle w:val="Compact"/>
            </w:pPr>
            <w:r>
              <w:rPr>
                <w:sz w:val="20"/>
                <w:szCs w:val="20"/>
              </w:rPr>
              <w:t xml:space="preserve">0.1922</w:t>
            </w:r>
          </w:p>
        </w:tc>
        <w:tc>
          <w:tcPr>
            <w:tcW w:w="0" w:type="auto"/>
          </w:tcPr>
          <w:p>
            <w:pPr>
              <w:spacing w:line="240" w:lineRule="auto" w:before="0" w:after="0"/>
              <w:pStyle w:val="Compact"/>
            </w:pPr>
            <w:r>
              <w:rPr>
                <w:sz w:val="20"/>
                <w:szCs w:val="20"/>
              </w:rPr>
              <w:t xml:space="preserve">-2.756</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[-0.9066, -0.153]</w:t>
            </w:r>
          </w:p>
        </w:tc>
      </w:tr>
      <w:tr>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-1.0466</w:t>
            </w:r>
          </w:p>
        </w:tc>
        <w:tc>
          <w:tcPr>
            <w:tcW w:w="0" w:type="auto"/>
          </w:tcPr>
          <w:p>
            <w:pPr>
              <w:spacing w:line="240" w:lineRule="auto" w:before="0" w:after="0"/>
              <w:pStyle w:val="Compact"/>
            </w:pPr>
            <w:r>
              <w:rPr>
                <w:sz w:val="20"/>
                <w:szCs w:val="20"/>
              </w:rPr>
              <w:t xml:space="preserve">0.6447</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0.1045</w:t>
            </w:r>
          </w:p>
        </w:tc>
        <w:tc>
          <w:tcPr>
            <w:tcW w:w="0" w:type="auto"/>
          </w:tcPr>
          <w:p>
            <w:pPr>
              <w:spacing w:line="240" w:lineRule="auto" w:before="0" w:after="0"/>
              <w:pStyle w:val="Compact"/>
            </w:pPr>
            <w:r>
              <w:rPr>
                <w:sz w:val="20"/>
                <w:szCs w:val="20"/>
              </w:rPr>
              <w:t xml:space="preserve">[-2.3103, 0.2171]</w:t>
            </w:r>
          </w:p>
        </w:tc>
      </w:tr>
      <w:tr>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0.1161</w:t>
            </w:r>
          </w:p>
        </w:tc>
        <w:tc>
          <w:tcPr>
            <w:tcW w:w="0" w:type="auto"/>
          </w:tcPr>
          <w:p>
            <w:pPr>
              <w:spacing w:line="240" w:lineRule="auto" w:before="0" w:after="0"/>
              <w:pStyle w:val="Compact"/>
            </w:pPr>
            <w:r>
              <w:rPr>
                <w:sz w:val="20"/>
                <w:szCs w:val="20"/>
              </w:rPr>
              <w:t xml:space="preserve">-0.5268</w:t>
            </w:r>
          </w:p>
        </w:tc>
        <w:tc>
          <w:tcPr>
            <w:tcW w:w="0" w:type="auto"/>
          </w:tcPr>
          <w:p>
            <w:pPr>
              <w:spacing w:line="240" w:lineRule="auto" w:before="0" w:after="0"/>
              <w:pStyle w:val="Compact"/>
            </w:pPr>
            <w:r>
              <w:rPr>
                <w:sz w:val="20"/>
                <w:szCs w:val="20"/>
              </w:rPr>
              <w:t xml:space="preserve">0.5983</w:t>
            </w:r>
          </w:p>
        </w:tc>
        <w:tc>
          <w:tcPr>
            <w:tcW w:w="0" w:type="auto"/>
          </w:tcPr>
          <w:p>
            <w:pPr>
              <w:spacing w:line="240" w:lineRule="auto" w:before="0" w:after="0"/>
              <w:pStyle w:val="Compact"/>
            </w:pPr>
            <w:r>
              <w:rPr>
                <w:sz w:val="20"/>
                <w:szCs w:val="20"/>
              </w:rPr>
              <w:t xml:space="preserve">[-0.2888, 0.1664]</w:t>
            </w:r>
          </w:p>
        </w:tc>
      </w:tr>
    </w:tbl>
    <w:p>
      <w:pPr>
        <w:pStyle w:val="BodyText"/>
      </w:pPr>
      <w:r>
        <w:t xml:space="preserve">Fit: N = 18 R2 = 0.7792 R2_adj = 0.7319 F = 67.6762 F_p = 1.419e-08</w:t>
      </w:r>
    </w:p>
    <w:p>
      <w:pPr>
        <w:pStyle w:val="CaptionedFigure"/>
      </w:pPr>
      <w:r>
        <w:drawing>
          <wp:inline>
            <wp:extent cx="5669280" cy="3657600"/>
            <wp:effectExtent b="0" l="0" r="0" t="0"/>
            <wp:docPr descr="Figure 1. Landing-ellipse semi-major axis versus pre-entry atmospheric-knowledge maturity across 18 documented atmospheric-entry missions." title="" id="81" name="Picture"/>
            <a:graphic>
              <a:graphicData uri="http://schemas.openxmlformats.org/drawingml/2006/picture">
                <pic:pic>
                  <pic:nvPicPr>
                    <pic:cNvPr descr="D:\Claude_Code\brain\collegium\candidates\dissertations\JPL_AUTONOMY_EDL_07\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Landing-ellipse semi-major axis versus pre-entry atmospheric-knowledge maturity across 18 documented atmospheric-entry missions.</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ellipse_semimajor_km</w:t>
            </w:r>
          </w:p>
        </w:tc>
        <w:tc>
          <w:tcPr>
            <w:tcW w:w="0" w:type="auto"/>
          </w:tcPr>
          <w:p>
            <w:pPr>
              <w:spacing w:line="240" w:lineRule="auto" w:before="0" w:after="0"/>
              <w:pStyle w:val="Compact"/>
            </w:pPr>
            <w:r>
              <w:rPr>
                <w:sz w:val="20"/>
                <w:szCs w:val="20"/>
              </w:rPr>
              <w:t xml:space="preserve">ln_ellipse</w:t>
            </w:r>
          </w:p>
        </w:tc>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entry_mass_kg</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Viking 3-sigma landing ellipse ~300x100 km, semi-major ~150 km; pre-MGS Viking-era atmosphere; ballistic unguided entry; entry mass ~992 kg. NASA Mars Exploration</w:t>
            </w:r>
            <w:r>
              <w:rPr>
                <w:sz w:val="20"/>
                <w:szCs w:val="20"/>
              </w:rPr>
              <w:t xml:space="preserve"> </w:t>
            </w:r>
            <w:r>
              <w:rPr>
                <w:sz w:val="20"/>
                <w:szCs w:val="20"/>
              </w:rPr>
              <w:t xml:space="preserve">“Landing Accuracy on Mars: A Historical Perspective”</w:t>
            </w:r>
            <w:r>
              <w:rPr>
                <w:sz w:val="20"/>
                <w:szCs w:val="20"/>
              </w:rPr>
              <w:t xml:space="preserve"> </w:t>
            </w:r>
            <w:r>
              <w:rPr>
                <w:sz w:val="20"/>
                <w:szCs w:val="20"/>
              </w:rPr>
              <w:t xml:space="preserve">https://mars.nasa.gov/resources/4398/ ; entry-mode and mass: Braun &amp; Manning,</w:t>
            </w:r>
            <w:r>
              <w:rPr>
                <w:sz w:val="20"/>
                <w:szCs w:val="20"/>
              </w:rPr>
              <w:t xml:space="preserve"> </w:t>
            </w:r>
            <w:r>
              <w:rPr>
                <w:sz w:val="20"/>
                <w:szCs w:val="20"/>
              </w:rPr>
              <w:t xml:space="preserve">“Mars Exploration Entry, Descent and Landing Challenges,”</w:t>
            </w:r>
            <w:r>
              <w:rPr>
                <w:sz w:val="20"/>
                <w:szCs w:val="20"/>
              </w:rPr>
              <w:t xml:space="preserve"> </w:t>
            </w:r>
            <w:r>
              <w:rPr>
                <w:sz w:val="20"/>
                <w:szCs w:val="20"/>
              </w:rPr>
              <w:t xml:space="preserve">J. Spacecraft &amp; Rockets 44(2) 2007 doi:10.2514/1.25116</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Viking 2 same EDL system as Viking 1: 3-sigma ellipse ~300x100 km, semi-major ~150 km; ballistic unguided; entry mass ~992 kg. NASA Mars</w:t>
            </w:r>
            <w:r>
              <w:rPr>
                <w:sz w:val="20"/>
                <w:szCs w:val="20"/>
              </w:rPr>
              <w:t xml:space="preserve"> </w:t>
            </w:r>
            <w:r>
              <w:rPr>
                <w:sz w:val="20"/>
                <w:szCs w:val="20"/>
              </w:rPr>
              <w:t xml:space="preserve">“Landing Accuracy”</w:t>
            </w:r>
            <w:r>
              <w:rPr>
                <w:sz w:val="20"/>
                <w:szCs w:val="20"/>
              </w:rPr>
              <w:t xml:space="preserve"> </w:t>
            </w:r>
            <w:r>
              <w:rPr>
                <w:sz w:val="20"/>
                <w:szCs w:val="20"/>
              </w:rPr>
              <w:t xml:space="preserve">https://mars.nasa.gov/resources/4398/ ; Braun &amp; Manning J. Spacecraft &amp; Rockets 44(2) 2007 doi:10.2514/1.25116</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0.584</w:t>
            </w:r>
          </w:p>
        </w:tc>
        <w:tc>
          <w:tcPr>
            <w:tcW w:w="0" w:type="auto"/>
          </w:tcPr>
          <w:p>
            <w:pPr>
              <w:spacing w:line="240" w:lineRule="auto" w:before="0" w:after="0"/>
              <w:pStyle w:val="Compact"/>
            </w:pPr>
            <w:r>
              <w:rPr>
                <w:sz w:val="20"/>
                <w:szCs w:val="20"/>
              </w:rPr>
              <w:t xml:space="preserve">Mars Pathfinder ballistic entry, ~200x100 km landing ellipse, semi-major ~100 km; entry mass 584 kg. NASA JPL</w:t>
            </w:r>
            <w:r>
              <w:rPr>
                <w:sz w:val="20"/>
                <w:szCs w:val="20"/>
              </w:rPr>
              <w:t xml:space="preserve"> </w:t>
            </w:r>
            <w:r>
              <w:rPr>
                <w:sz w:val="20"/>
                <w:szCs w:val="20"/>
              </w:rPr>
              <w:t xml:space="preserve">“Mars Pathfinder Landing Ellipses”</w:t>
            </w:r>
            <w:r>
              <w:rPr>
                <w:sz w:val="20"/>
                <w:szCs w:val="20"/>
              </w:rPr>
              <w:t xml:space="preserve"> </w:t>
            </w:r>
            <w:r>
              <w:rPr>
                <w:sz w:val="20"/>
                <w:szCs w:val="20"/>
              </w:rPr>
              <w:t xml:space="preserve">https://www.jpl.nasa.gov/images/pia01123-mars-pathfinder-landing-ellipses/ ; Spencer et al.,</w:t>
            </w:r>
            <w:r>
              <w:rPr>
                <w:sz w:val="20"/>
                <w:szCs w:val="20"/>
              </w:rPr>
              <w:t xml:space="preserve"> </w:t>
            </w:r>
            <w:r>
              <w:rPr>
                <w:sz w:val="20"/>
                <w:szCs w:val="20"/>
              </w:rPr>
              <w:t xml:space="preserve">“Mars Pathfinder Atmospheric Entry Reconstruction,”</w:t>
            </w:r>
            <w:r>
              <w:rPr>
                <w:sz w:val="20"/>
                <w:szCs w:val="20"/>
              </w:rPr>
              <w:t xml:space="preserve"> </w:t>
            </w:r>
            <w:r>
              <w:rPr>
                <w:sz w:val="20"/>
                <w:szCs w:val="20"/>
              </w:rPr>
              <w:t xml:space="preserve">J. Spacecraft &amp; Rockets 36(3) 1999 doi:10.2514/2.3478</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0.576</w:t>
            </w:r>
          </w:p>
        </w:tc>
        <w:tc>
          <w:tcPr>
            <w:tcW w:w="0" w:type="auto"/>
          </w:tcPr>
          <w:p>
            <w:pPr>
              <w:spacing w:line="240" w:lineRule="auto" w:before="0" w:after="0"/>
              <w:pStyle w:val="Compact"/>
            </w:pPr>
            <w:r>
              <w:rPr>
                <w:sz w:val="20"/>
                <w:szCs w:val="20"/>
              </w:rPr>
              <w:t xml:space="preserve">Mars Polar Lander ballistic entry, planned landing ellipse ~200x20 km, semi-major ~100 km; entry mass 576 kg; pre-MRO atmosphere. JPL MPL mission press materials; entry-mode and mass classification: Braun &amp; Manning, J. Spacecraft &amp; Rockets 44(2) 2007 doi:10.2514/1.25116</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4.4659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0.068</w:t>
            </w:r>
          </w:p>
        </w:tc>
        <w:tc>
          <w:tcPr>
            <w:tcW w:w="0" w:type="auto"/>
          </w:tcPr>
          <w:p>
            <w:pPr>
              <w:spacing w:line="240" w:lineRule="auto" w:before="0" w:after="0"/>
              <w:pStyle w:val="Compact"/>
            </w:pPr>
            <w:r>
              <w:rPr>
                <w:sz w:val="20"/>
                <w:szCs w:val="20"/>
              </w:rPr>
              <w:t xml:space="preserve">Beagle 2 ballistic entry, launch landing ellipse 174x106 km, semi-major 87 km; entry mass 68 kg; pre-assimilation atmosphere. Sims et al.,</w:t>
            </w:r>
            <w:r>
              <w:rPr>
                <w:sz w:val="20"/>
                <w:szCs w:val="20"/>
              </w:rPr>
              <w:t xml:space="preserve"> </w:t>
            </w:r>
            <w:r>
              <w:rPr>
                <w:sz w:val="20"/>
                <w:szCs w:val="20"/>
              </w:rPr>
              <w:t xml:space="preserve">“Beagle 2: the exobiological lander of Mars Express,”</w:t>
            </w:r>
            <w:r>
              <w:rPr>
                <w:sz w:val="20"/>
                <w:szCs w:val="20"/>
              </w:rPr>
              <w:t xml:space="preserve"> </w:t>
            </w:r>
            <w:r>
              <w:rPr>
                <w:sz w:val="20"/>
                <w:szCs w:val="20"/>
              </w:rPr>
              <w:t xml:space="preserve">Acta Astronautica 52 (2003) doi:10.1016/S0094-5765(02)00171-2 ; ellipse: Bridges et al.,</w:t>
            </w:r>
            <w:r>
              <w:rPr>
                <w:sz w:val="20"/>
                <w:szCs w:val="20"/>
              </w:rPr>
              <w:t xml:space="preserve"> </w:t>
            </w:r>
            <w:r>
              <w:rPr>
                <w:sz w:val="20"/>
                <w:szCs w:val="20"/>
              </w:rPr>
              <w:t xml:space="preserve">“Identification of the Beagle 2 lander on Mars,”</w:t>
            </w:r>
            <w:r>
              <w:rPr>
                <w:sz w:val="20"/>
                <w:szCs w:val="20"/>
              </w:rPr>
              <w:t xml:space="preserve"> </w:t>
            </w:r>
            <w:r>
              <w:rPr>
                <w:sz w:val="20"/>
                <w:szCs w:val="20"/>
              </w:rPr>
              <w:t xml:space="preserve">R. Soc. Open Sci. 4 (2017) doi:10.1098/rsos.170785</w:t>
            </w:r>
          </w:p>
        </w:tc>
      </w:tr>
      <w:tr>
        <w:tc>
          <w:tcPr>
            <w:tcW w:w="0" w:type="auto"/>
          </w:tcPr>
          <w:p>
            <w:pPr>
              <w:spacing w:line="240" w:lineRule="auto" w:before="0" w:after="0"/>
              <w:pStyle w:val="Compact"/>
            </w:pPr>
            <w:r>
              <w:rPr>
                <w:sz w:val="20"/>
                <w:szCs w:val="20"/>
              </w:rPr>
              <w:t xml:space="preserve">Spirit (MER-A)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0.827</w:t>
            </w:r>
          </w:p>
        </w:tc>
        <w:tc>
          <w:tcPr>
            <w:tcW w:w="0" w:type="auto"/>
          </w:tcPr>
          <w:p>
            <w:pPr>
              <w:spacing w:line="240" w:lineRule="auto" w:before="0" w:after="0"/>
              <w:pStyle w:val="Compact"/>
            </w:pPr>
            <w:r>
              <w:rPr>
                <w:sz w:val="20"/>
                <w:szCs w:val="20"/>
              </w:rPr>
              <w:t xml:space="preserve">MER landing ellipse ~80x12 km (3-sigma), semi-major ~40 km; ballistic entry with terminal-descent guidance; entry mass 827 kg; MGS/Odyssey density reconstruction. Golombek et al.,</w:t>
            </w:r>
            <w:r>
              <w:rPr>
                <w:sz w:val="20"/>
                <w:szCs w:val="20"/>
              </w:rPr>
              <w:t xml:space="preserve"> </w:t>
            </w:r>
            <w:r>
              <w:rPr>
                <w:sz w:val="20"/>
                <w:szCs w:val="20"/>
              </w:rPr>
              <w:t xml:space="preserve">“Selection of the Mars Exploration Rover landing sites,”</w:t>
            </w:r>
            <w:r>
              <w:rPr>
                <w:sz w:val="20"/>
                <w:szCs w:val="20"/>
              </w:rPr>
              <w:t xml:space="preserve"> </w:t>
            </w:r>
            <w:r>
              <w:rPr>
                <w:sz w:val="20"/>
                <w:szCs w:val="20"/>
              </w:rPr>
              <w:t xml:space="preserve">JGR Planets 108(E12) 2003 doi:10.1029/2003JE002074 ; Braun &amp; Manning 2007 doi:10.2514/1.25116</w:t>
            </w:r>
          </w:p>
        </w:tc>
      </w:tr>
      <w:tr>
        <w:tc>
          <w:tcPr>
            <w:tcW w:w="0" w:type="auto"/>
          </w:tcPr>
          <w:p>
            <w:pPr>
              <w:spacing w:line="240" w:lineRule="auto" w:before="0" w:after="0"/>
              <w:pStyle w:val="Compact"/>
            </w:pPr>
            <w:r>
              <w:rPr>
                <w:sz w:val="20"/>
                <w:szCs w:val="20"/>
              </w:rPr>
              <w:t xml:space="preserve">Opportunity (MER-B)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0.832</w:t>
            </w:r>
          </w:p>
        </w:tc>
        <w:tc>
          <w:tcPr>
            <w:tcW w:w="0" w:type="auto"/>
          </w:tcPr>
          <w:p>
            <w:pPr>
              <w:spacing w:line="240" w:lineRule="auto" w:before="0" w:after="0"/>
              <w:pStyle w:val="Compact"/>
            </w:pPr>
            <w:r>
              <w:rPr>
                <w:sz w:val="20"/>
                <w:szCs w:val="20"/>
              </w:rPr>
              <w:t xml:space="preserve">MER-B landing ellipse ~80x12 km (3-sigma), semi-major ~40 km; ballistic entry; entry mass 832 kg; MGS/Odyssey-era atmosphere. Golombek et al., JGR Planets 108(E12) 2003 doi:10.1029/2003JE002074 ; Braun &amp; Manning 2007 doi:10.2514/1.25116</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0.573</w:t>
            </w:r>
          </w:p>
        </w:tc>
        <w:tc>
          <w:tcPr>
            <w:tcW w:w="0" w:type="auto"/>
          </w:tcPr>
          <w:p>
            <w:pPr>
              <w:spacing w:line="240" w:lineRule="auto" w:before="0" w:after="0"/>
              <w:pStyle w:val="Compact"/>
            </w:pPr>
            <w:r>
              <w:rPr>
                <w:sz w:val="20"/>
                <w:szCs w:val="20"/>
              </w:rPr>
              <w:t xml:space="preserve">Phoenix unguided ballistic entry, landing ellipse ~100x19 km, semi-major ~50 km; entry mass 573 kg; reconnaissance-orbiter-era atmosphere. NASA Mars</w:t>
            </w:r>
            <w:r>
              <w:rPr>
                <w:sz w:val="20"/>
                <w:szCs w:val="20"/>
              </w:rPr>
              <w:t xml:space="preserve"> </w:t>
            </w:r>
            <w:r>
              <w:rPr>
                <w:sz w:val="20"/>
                <w:szCs w:val="20"/>
              </w:rPr>
              <w:t xml:space="preserve">“Landing Accuracy”</w:t>
            </w:r>
            <w:r>
              <w:rPr>
                <w:sz w:val="20"/>
                <w:szCs w:val="20"/>
              </w:rPr>
              <w:t xml:space="preserve"> </w:t>
            </w:r>
            <w:r>
              <w:rPr>
                <w:sz w:val="20"/>
                <w:szCs w:val="20"/>
              </w:rPr>
              <w:t xml:space="preserve">https://mars.nasa.gov/resources/4398/ ; Lakdawalla,</w:t>
            </w:r>
            <w:r>
              <w:rPr>
                <w:sz w:val="20"/>
                <w:szCs w:val="20"/>
              </w:rPr>
              <w:t xml:space="preserve"> </w:t>
            </w:r>
            <w:r>
              <w:rPr>
                <w:sz w:val="20"/>
                <w:szCs w:val="20"/>
              </w:rPr>
              <w:t xml:space="preserve">“Landing ellipses,”</w:t>
            </w:r>
            <w:r>
              <w:rPr>
                <w:sz w:val="20"/>
                <w:szCs w:val="20"/>
              </w:rPr>
              <w:t xml:space="preserve"> </w:t>
            </w:r>
            <w:r>
              <w:rPr>
                <w:sz w:val="20"/>
                <w:szCs w:val="20"/>
              </w:rPr>
              <w:t xml:space="preserve">Planetary Society 2008-05-13 https://www.planetary.org/articles/1425 ; Prince et al.,</w:t>
            </w:r>
            <w:r>
              <w:rPr>
                <w:sz w:val="20"/>
                <w:szCs w:val="20"/>
              </w:rPr>
              <w:t xml:space="preserve"> </w:t>
            </w:r>
            <w:r>
              <w:rPr>
                <w:sz w:val="20"/>
                <w:szCs w:val="20"/>
              </w:rPr>
              <w:t xml:space="preserve">“Mars Phoenix EDL Simulation,”</w:t>
            </w:r>
            <w:r>
              <w:rPr>
                <w:sz w:val="20"/>
                <w:szCs w:val="20"/>
              </w:rPr>
              <w:t xml:space="preserve"> </w:t>
            </w:r>
            <w:r>
              <w:rPr>
                <w:sz w:val="20"/>
                <w:szCs w:val="20"/>
              </w:rPr>
              <w:t xml:space="preserve">AIAA 2008-7507 NTRS 20080033126</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3.257</w:t>
            </w:r>
          </w:p>
        </w:tc>
        <w:tc>
          <w:tcPr>
            <w:tcW w:w="0" w:type="auto"/>
          </w:tcPr>
          <w:p>
            <w:pPr>
              <w:spacing w:line="240" w:lineRule="auto" w:before="0" w:after="0"/>
              <w:pStyle w:val="Compact"/>
            </w:pPr>
            <w:r>
              <w:rPr>
                <w:sz w:val="20"/>
                <w:szCs w:val="20"/>
              </w:rPr>
              <w:t xml:space="preserve">MSL guided entry (range trigger + lifting bank control), landing ellipse ~20x7 km, semi-major ~10 km; entry mass 3257 kg; MRO/assimilation-era atmosphere. Way et al.,</w:t>
            </w:r>
            <w:r>
              <w:rPr>
                <w:sz w:val="20"/>
                <w:szCs w:val="20"/>
              </w:rPr>
              <w:t xml:space="preserve"> </w:t>
            </w:r>
            <w:r>
              <w:rPr>
                <w:sz w:val="20"/>
                <w:szCs w:val="20"/>
              </w:rPr>
              <w:t xml:space="preserve">“Mars Science Laboratory EDL System Overview,”</w:t>
            </w:r>
            <w:r>
              <w:rPr>
                <w:sz w:val="20"/>
                <w:szCs w:val="20"/>
              </w:rPr>
              <w:t xml:space="preserve"> </w:t>
            </w:r>
            <w:r>
              <w:rPr>
                <w:sz w:val="20"/>
                <w:szCs w:val="20"/>
              </w:rPr>
              <w:t xml:space="preserve">NTRS 20100031289 ; Mendeck &amp; McGrew MSL entry guidance</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0.577</w:t>
            </w:r>
          </w:p>
        </w:tc>
        <w:tc>
          <w:tcPr>
            <w:tcW w:w="0" w:type="auto"/>
          </w:tcPr>
          <w:p>
            <w:pPr>
              <w:spacing w:line="240" w:lineRule="auto" w:before="0" w:after="0"/>
              <w:pStyle w:val="Compact"/>
            </w:pPr>
            <w:r>
              <w:rPr>
                <w:sz w:val="20"/>
                <w:szCs w:val="20"/>
              </w:rPr>
              <w:t xml:space="preserve">ExoMars Schiaparelli EDM ballistic entry, landing ellipse 100x15 km, semi-major 50 km; entry mass ~577 kg; MRO-era atmosphere. ESA</w:t>
            </w:r>
            <w:r>
              <w:rPr>
                <w:sz w:val="20"/>
                <w:szCs w:val="20"/>
              </w:rPr>
              <w:t xml:space="preserve"> </w:t>
            </w:r>
            <w:r>
              <w:rPr>
                <w:sz w:val="20"/>
                <w:szCs w:val="20"/>
              </w:rPr>
              <w:t xml:space="preserve">“Schiaparelli landing site”</w:t>
            </w:r>
            <w:r>
              <w:rPr>
                <w:sz w:val="20"/>
                <w:szCs w:val="20"/>
              </w:rPr>
              <w:t xml:space="preserve"> </w:t>
            </w:r>
            <w:r>
              <w:rPr>
                <w:sz w:val="20"/>
                <w:szCs w:val="20"/>
              </w:rPr>
              <w:t xml:space="preserve">https://exploration.esa.int/web/mars/-/58481-schiaparelli-landing-site ; entry mass per ESA ExoMars 2016 EDM factsheet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0.608</w:t>
            </w:r>
          </w:p>
        </w:tc>
        <w:tc>
          <w:tcPr>
            <w:tcW w:w="0" w:type="auto"/>
          </w:tcPr>
          <w:p>
            <w:pPr>
              <w:spacing w:line="240" w:lineRule="auto" w:before="0" w:after="0"/>
              <w:pStyle w:val="Compact"/>
            </w:pPr>
            <w:r>
              <w:rPr>
                <w:sz w:val="20"/>
                <w:szCs w:val="20"/>
              </w:rPr>
              <w:t xml:space="preserve">InSight reused Phoenix ballistic EDL: landing ellipse ~130x27 km, semi-major ~65 km; entry mass 608 kg; MRO/assimilation-era atmosphere but unguided ballistic entry. NASA</w:t>
            </w:r>
            <w:r>
              <w:rPr>
                <w:sz w:val="20"/>
                <w:szCs w:val="20"/>
              </w:rPr>
              <w:t xml:space="preserve"> </w:t>
            </w:r>
            <w:r>
              <w:rPr>
                <w:sz w:val="20"/>
                <w:szCs w:val="20"/>
              </w:rPr>
              <w:t xml:space="preserve">“Landing Site for InSight”</w:t>
            </w:r>
            <w:r>
              <w:rPr>
                <w:sz w:val="20"/>
                <w:szCs w:val="20"/>
              </w:rPr>
              <w:t xml:space="preserve"> </w:t>
            </w:r>
            <w:r>
              <w:rPr>
                <w:sz w:val="20"/>
                <w:szCs w:val="20"/>
              </w:rPr>
              <w:t xml:space="preserve">https://science.nasa.gov/resource/landing-site-for-insight/ ; Golombek et al.,</w:t>
            </w:r>
            <w:r>
              <w:rPr>
                <w:sz w:val="20"/>
                <w:szCs w:val="20"/>
              </w:rPr>
              <w:t xml:space="preserve"> </w:t>
            </w:r>
            <w:r>
              <w:rPr>
                <w:sz w:val="20"/>
                <w:szCs w:val="20"/>
              </w:rPr>
              <w:t xml:space="preserve">“Selection of the InSight landing site,”</w:t>
            </w:r>
            <w:r>
              <w:rPr>
                <w:sz w:val="20"/>
                <w:szCs w:val="20"/>
              </w:rPr>
              <w:t xml:space="preserve"> </w:t>
            </w:r>
            <w:r>
              <w:rPr>
                <w:sz w:val="20"/>
                <w:szCs w:val="20"/>
              </w:rPr>
              <w:t xml:space="preserve">Space Sci. Rev. 211 (2017) doi:10.1007/s11214-016-0321-9</w:t>
            </w:r>
          </w:p>
        </w:tc>
      </w:tr>
      <w:tr>
        <w:tc>
          <w:tcPr>
            <w:tcW w:w="0" w:type="auto"/>
          </w:tcPr>
          <w:p>
            <w:pPr>
              <w:spacing w:line="240" w:lineRule="auto" w:before="0" w:after="0"/>
              <w:pStyle w:val="Compact"/>
            </w:pPr>
            <w:r>
              <w:rPr>
                <w:sz w:val="20"/>
                <w:szCs w:val="20"/>
              </w:rPr>
              <w:t xml:space="preserve">Tianwen-1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Tianwen-1 lander lifting+ballistic entry, optimized landing ellipse 56x22 km, semi-major 28 km; entry mass ~1285 kg; modern reconstruction-era atmosphere. Wu et al.,</w:t>
            </w:r>
            <w:r>
              <w:rPr>
                <w:sz w:val="20"/>
                <w:szCs w:val="20"/>
              </w:rPr>
              <w:t xml:space="preserve"> </w:t>
            </w:r>
            <w:r>
              <w:rPr>
                <w:sz w:val="20"/>
                <w:szCs w:val="20"/>
              </w:rPr>
              <w:t xml:space="preserve">“Landing Site Selection and Characterization of Tianwen-1 (Zhurong Rover) on Mars,”</w:t>
            </w:r>
            <w:r>
              <w:rPr>
                <w:sz w:val="20"/>
                <w:szCs w:val="20"/>
              </w:rPr>
              <w:t xml:space="preserve"> </w:t>
            </w:r>
            <w:r>
              <w:rPr>
                <w:sz w:val="20"/>
                <w:szCs w:val="20"/>
              </w:rPr>
              <w:t xml:space="preserve">JGR Planets 127 (2022) doi:10.1029/2021JE007137 ; mass: Wan et al., Nature Astronomy 4 (2020) doi:10.1038/s41550-020-1148-6</w:t>
            </w:r>
          </w:p>
        </w:tc>
      </w:tr>
      <w:tr>
        <w:tc>
          <w:tcPr>
            <w:tcW w:w="0" w:type="auto"/>
          </w:tcPr>
          <w:p>
            <w:pPr>
              <w:spacing w:line="240" w:lineRule="auto" w:before="0" w:after="0"/>
              <w:pStyle w:val="Compact"/>
            </w:pPr>
            <w:r>
              <w:rPr>
                <w:sz w:val="20"/>
                <w:szCs w:val="20"/>
              </w:rPr>
              <w:t xml:space="preserve">Perseverance (Mars 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1.3481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3440</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Mars 2020 guided entry + Range Trigger, landing ellipse 7.7x6.6 km, semi-major ~3.85 km; entry mass ~3440 kg; assimilation-era atmosphere + best reconstruction. Mars 2020 Landing Press Kit https://www.jpl.nasa.gov/news/press_kits/mars_2020/landing/mission/ ; Garcia &amp; Way, range-trigger trajectory dispersion NTRS 20170000743</w:t>
            </w:r>
          </w:p>
        </w:tc>
      </w:tr>
      <w:tr>
        <w:tc>
          <w:tcPr>
            <w:tcW w:w="0" w:type="auto"/>
          </w:tcPr>
          <w:p>
            <w:pPr>
              <w:spacing w:line="240" w:lineRule="auto" w:before="0" w:after="0"/>
              <w:pStyle w:val="Compact"/>
            </w:pPr>
            <w:r>
              <w:rPr>
                <w:sz w:val="20"/>
                <w:szCs w:val="20"/>
              </w:rPr>
              <w:t xml:space="preserve">Apollo CM (lunar return)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5.56</w:t>
            </w:r>
          </w:p>
        </w:tc>
        <w:tc>
          <w:tcPr>
            <w:tcW w:w="0" w:type="auto"/>
          </w:tcPr>
          <w:p>
            <w:pPr>
              <w:spacing w:line="240" w:lineRule="auto" w:before="0" w:after="0"/>
              <w:pStyle w:val="Compact"/>
            </w:pPr>
            <w:r>
              <w:rPr>
                <w:sz w:val="20"/>
                <w:szCs w:val="20"/>
              </w:rPr>
              <w:t xml:space="preserve">Apollo command module guided lifting Earth reentry from lunar return; reentry error ellipse ~3.25x2.75 nmi at main-chute, semi-major ~6 km; entry mass ~5560 kg; well-characterized Earth atmosphere. Apollo CSM reentry guidance R-415 https://www.ibiblio.org/apollo/Documents/R-415%20Apollo%20Reentry%20Guidance.pdf ; Morth, Apollo reentry guidance MIT/IL R-532</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0.225</w:t>
            </w:r>
          </w:p>
        </w:tc>
        <w:tc>
          <w:tcPr>
            <w:tcW w:w="0" w:type="auto"/>
          </w:tcPr>
          <w:p>
            <w:pPr>
              <w:spacing w:line="240" w:lineRule="auto" w:before="0" w:after="0"/>
              <w:pStyle w:val="Compact"/>
            </w:pPr>
            <w:r>
              <w:rPr>
                <w:sz w:val="20"/>
                <w:szCs w:val="20"/>
              </w:rPr>
              <w:t xml:space="preserve">Genesis sample-return capsule guided-lifting Earth reentry; UTTR landing ellipse ~30x10 km, semi-major ~5 km; entry mass ~225 kg; well-characterized Earth atmosphere. Desai et al.,</w:t>
            </w:r>
            <w:r>
              <w:rPr>
                <w:sz w:val="20"/>
                <w:szCs w:val="20"/>
              </w:rPr>
              <w:t xml:space="preserve"> </w:t>
            </w:r>
            <w:r>
              <w:rPr>
                <w:sz w:val="20"/>
                <w:szCs w:val="20"/>
              </w:rPr>
              <w:t xml:space="preserve">“Entry, Descent, and Landing Operations Analysis for the Genesis Entry Capsule,”</w:t>
            </w:r>
            <w:r>
              <w:rPr>
                <w:sz w:val="20"/>
                <w:szCs w:val="20"/>
              </w:rPr>
              <w:t xml:space="preserve"> </w:t>
            </w:r>
            <w:r>
              <w:rPr>
                <w:sz w:val="20"/>
                <w:szCs w:val="20"/>
              </w:rPr>
              <w:t xml:space="preserve">J. Spacecraft &amp; Rockets 45(1) 2008 doi:10.2514/1.31165</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Stardust sample-return capsule lifting Earth reentry, landed within UTTR ellipse ~30x10 km, semi-major ~5 km; entry mass ~46 kg; well-characterized Earth atmosphere. Desai &amp; Lyons,</w:t>
            </w:r>
            <w:r>
              <w:rPr>
                <w:sz w:val="20"/>
                <w:szCs w:val="20"/>
              </w:rPr>
              <w:t xml:space="preserve"> </w:t>
            </w:r>
            <w:r>
              <w:rPr>
                <w:sz w:val="20"/>
                <w:szCs w:val="20"/>
              </w:rPr>
              <w:t xml:space="preserve">“Entry, Descent, and Landing Operations Analysis for the Stardust Entry Capsule,”</w:t>
            </w:r>
            <w:r>
              <w:rPr>
                <w:sz w:val="20"/>
                <w:szCs w:val="20"/>
              </w:rPr>
              <w:t xml:space="preserve"> </w:t>
            </w:r>
            <w:r>
              <w:rPr>
                <w:sz w:val="20"/>
                <w:szCs w:val="20"/>
              </w:rPr>
              <w:t xml:space="preserve">J. Spacecraft &amp; Rockets 45(3) 2008 doi:10.2514/1.37090</w:t>
            </w:r>
          </w:p>
        </w:tc>
      </w:tr>
      <w:tr>
        <w:tc>
          <w:tcPr>
            <w:tcW w:w="0" w:type="auto"/>
          </w:tcPr>
          <w:p>
            <w:pPr>
              <w:spacing w:line="240" w:lineRule="auto" w:before="0" w:after="0"/>
              <w:pStyle w:val="Compact"/>
            </w:pPr>
            <w:r>
              <w:rPr>
                <w:sz w:val="20"/>
                <w:szCs w:val="20"/>
              </w:rPr>
              <w:t xml:space="preserve">Hayabusa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Hayabusa reentry capsule ballistic Earth entry, landed within planned Woomera (Australia) recovery footprint, semi-major ~8 km [illustrative from reported footprint]; entry mass ~17 kg; well-characterized Earth atmosphere. Yamada et al., Hayabusa capsule reentry, JAXA/ISTS reports; Hayabusa capsule heritage Acta Astronautica</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OSIRIS-REx sample return capsule guided ballistic-lifting Earth reentry, landed within UTTR ellipse 58x14 km, semi-major ~15 km; entry mass ~46 kg; modern Earth atmosphere. NASA OSIRIS-REx SRC reports; Eos</w:t>
            </w:r>
            <w:r>
              <w:rPr>
                <w:sz w:val="20"/>
                <w:szCs w:val="20"/>
              </w:rPr>
              <w:t xml:space="preserve"> </w:t>
            </w:r>
            <w:r>
              <w:rPr>
                <w:sz w:val="20"/>
                <w:szCs w:val="20"/>
              </w:rPr>
              <w:t xml:space="preserve">“There and Back Again”</w:t>
            </w:r>
            <w:r>
              <w:rPr>
                <w:sz w:val="20"/>
                <w:szCs w:val="20"/>
              </w:rPr>
              <w:t xml:space="preserve"> </w:t>
            </w:r>
            <w:r>
              <w:rPr>
                <w:sz w:val="20"/>
                <w:szCs w:val="20"/>
              </w:rPr>
              <w:t xml:space="preserve">https://eos.org/articles/there-and-back-again-asteroid-samples-return-to-earth</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ln_ellipse</w:t>
            </w:r>
          </w:p>
        </w:tc>
        <w:tc>
          <w:tcPr>
            <w:tcW w:w="0" w:type="auto"/>
          </w:tcPr>
          <w:p>
            <w:pPr>
              <w:spacing w:line="240" w:lineRule="auto" w:before="0" w:after="0"/>
              <w:pStyle w:val="Compact"/>
            </w:pPr>
            <w:r>
              <w:rPr>
                <w:sz w:val="20"/>
                <w:szCs w:val="20"/>
              </w:rPr>
              <w:t xml:space="preserve">Natural log of the landing-ellipse semi-major axis in km; the dependent variable D, a scalar summary of landed-state dispersion</w:t>
            </w:r>
          </w:p>
        </w:tc>
        <w:tc>
          <w:tcPr>
            <w:tcW w:w="0" w:type="auto"/>
          </w:tcPr>
          <w:p>
            <w:pPr>
              <w:spacing w:line="240" w:lineRule="auto" w:before="0" w:after="0"/>
              <w:pStyle w:val="Compact"/>
            </w:pPr>
            <w:r>
              <w:rPr>
                <w:sz w:val="20"/>
                <w:szCs w:val="20"/>
              </w:rPr>
              <w:t xml:space="preserve">ln of ellipse_semimajor_km; documented per-mission landing-ellipse dimensions (see row sources)</w:t>
            </w:r>
          </w:p>
        </w:tc>
      </w:tr>
      <w:tr>
        <w:tc>
          <w:tcPr>
            <w:tcW w:w="0" w:type="auto"/>
          </w:tcPr>
          <w:p>
            <w:pPr>
              <w:spacing w:line="240" w:lineRule="auto" w:before="0" w:after="0"/>
              <w:pStyle w:val="Compact"/>
            </w:pPr>
            <w:r>
              <w:rPr>
                <w:sz w:val="20"/>
                <w:szCs w:val="20"/>
              </w:rPr>
              <w:t xml:space="preserve">ellipse_semimajor_km</w:t>
            </w:r>
          </w:p>
        </w:tc>
        <w:tc>
          <w:tcPr>
            <w:tcW w:w="0" w:type="auto"/>
          </w:tcPr>
          <w:p>
            <w:pPr>
              <w:spacing w:line="240" w:lineRule="auto" w:before="0" w:after="0"/>
              <w:pStyle w:val="Compact"/>
            </w:pPr>
            <w:r>
              <w:rPr>
                <w:sz w:val="20"/>
                <w:szCs w:val="20"/>
              </w:rPr>
              <w:t xml:space="preserve">Landing-ellipse semi-major axis in km (half the major axis of the reported 3-sigma/99% landing ellipse)</w:t>
            </w:r>
          </w:p>
        </w:tc>
        <w:tc>
          <w:tcPr>
            <w:tcW w:w="0" w:type="auto"/>
          </w:tcPr>
          <w:p>
            <w:pPr>
              <w:spacing w:line="240" w:lineRule="auto" w:before="0" w:after="0"/>
              <w:pStyle w:val="Compact"/>
            </w:pPr>
            <w:r>
              <w:rPr>
                <w:sz w:val="20"/>
                <w:szCs w:val="20"/>
              </w:rPr>
              <w:t xml:space="preserve">Per-mission press kits, NASA/ESA/JAXA landing-site papers, and EDL reconstruction reports cited in each row’s source field</w:t>
            </w:r>
          </w:p>
        </w:tc>
      </w:tr>
      <w:tr>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Ordinal index of pre-entry atmospheric-knowledge maturity at the time of the mission (1=Viking-era a priori only; 2=Pathfinder/MPL pre-reconnaissance; 3=MGS/Odyssey density reconstruction; 4=MRO/assimilation era; 5=assimilation plus best per-mission reconstruction / well-characterized terrestrial atmosphere with modern recon)</w:t>
            </w:r>
          </w:p>
        </w:tc>
        <w:tc>
          <w:tcPr>
            <w:tcW w:w="0" w:type="auto"/>
          </w:tcPr>
          <w:p>
            <w:pPr>
              <w:spacing w:line="240" w:lineRule="auto" w:before="0" w:after="0"/>
              <w:pStyle w:val="Compact"/>
            </w:pPr>
            <w:r>
              <w:rPr>
                <w:sz w:val="20"/>
                <w:szCs w:val="20"/>
              </w:rPr>
              <w:t xml:space="preserve">Coded from documented atmospheric-model heritage per mission; Mutschler et al. 2023 AMOS density-model survey [1] and mission-era reconstruction practice</w:t>
            </w:r>
          </w:p>
        </w:tc>
      </w:tr>
      <w:tr>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1 if the vehicle flew a controllable (guided / lifting-bank or range-trigger) entry; 0 if ballistic / unguided</w:t>
            </w:r>
          </w:p>
        </w:tc>
        <w:tc>
          <w:tcPr>
            <w:tcW w:w="0" w:type="auto"/>
          </w:tcPr>
          <w:p>
            <w:pPr>
              <w:spacing w:line="240" w:lineRule="auto" w:before="0" w:after="0"/>
              <w:pStyle w:val="Compact"/>
            </w:pPr>
            <w:r>
              <w:rPr>
                <w:sz w:val="20"/>
                <w:szCs w:val="20"/>
              </w:rPr>
              <w:t xml:space="preserve">Per-mission EDL architecture; Braun and Manning 2007 J. Spacecraft and Rockets EDL-challenges classification [4]</w:t>
            </w:r>
          </w:p>
        </w:tc>
      </w:tr>
      <w:tr>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Entry mass in metric tonnes (control for vehicle scale / ballistic coefficient)</w:t>
            </w:r>
          </w:p>
        </w:tc>
        <w:tc>
          <w:tcPr>
            <w:tcW w:w="0" w:type="auto"/>
          </w:tcPr>
          <w:p>
            <w:pPr>
              <w:spacing w:line="240" w:lineRule="auto" w:before="0" w:after="0"/>
              <w:pStyle w:val="Compact"/>
            </w:pPr>
            <w:r>
              <w:rPr>
                <w:sz w:val="20"/>
                <w:szCs w:val="20"/>
              </w:rPr>
              <w:t xml:space="preserve">entry_mass_kg / 1000; documented per-mission entry mass (see row sources)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5.5385</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15.2267</w:t>
            </w:r>
          </w:p>
        </w:tc>
        <w:tc>
          <w:tcPr>
            <w:tcW w:w="0" w:type="auto"/>
          </w:tcPr>
          <w:p>
            <w:pPr>
              <w:spacing w:line="240" w:lineRule="auto" w:before="0" w:after="0"/>
              <w:pStyle w:val="Compact"/>
            </w:pPr>
            <w:r>
              <w:rPr>
                <w:sz w:val="20"/>
                <w:szCs w:val="20"/>
              </w:rPr>
              <w:t xml:space="preserve">2.352e-52</w:t>
            </w:r>
          </w:p>
        </w:tc>
        <w:tc>
          <w:tcPr>
            <w:tcW w:w="0" w:type="auto"/>
          </w:tcPr>
          <w:p>
            <w:pPr>
              <w:spacing w:line="240" w:lineRule="auto" w:before="0" w:after="0"/>
              <w:pStyle w:val="Compact"/>
            </w:pPr>
            <w:r>
              <w:rPr>
                <w:sz w:val="20"/>
                <w:szCs w:val="20"/>
              </w:rPr>
              <w:t xml:space="preserve">[4.8256, 6.2514]</w:t>
            </w:r>
          </w:p>
        </w:tc>
      </w:tr>
      <w:tr>
        <w:tc>
          <w:tcPr>
            <w:tcW w:w="0" w:type="auto"/>
          </w:tcPr>
          <w:p>
            <w:pPr>
              <w:spacing w:line="240" w:lineRule="auto" w:before="0" w:after="0"/>
              <w:pStyle w:val="Compact"/>
            </w:pPr>
            <w:r>
              <w:rPr>
                <w:sz w:val="20"/>
                <w:szCs w:val="20"/>
              </w:rPr>
              <w:t xml:space="preserve">atm_knowledge</w:t>
            </w:r>
          </w:p>
        </w:tc>
        <w:tc>
          <w:tcPr>
            <w:tcW w:w="0" w:type="auto"/>
          </w:tcPr>
          <w:p>
            <w:pPr>
              <w:spacing w:line="240" w:lineRule="auto" w:before="0" w:after="0"/>
              <w:pStyle w:val="Compact"/>
            </w:pPr>
            <w:r>
              <w:rPr>
                <w:sz w:val="20"/>
                <w:szCs w:val="20"/>
              </w:rPr>
              <w:t xml:space="preserve">-0.5298</w:t>
            </w:r>
          </w:p>
        </w:tc>
        <w:tc>
          <w:tcPr>
            <w:tcW w:w="0" w:type="auto"/>
          </w:tcPr>
          <w:p>
            <w:pPr>
              <w:spacing w:line="240" w:lineRule="auto" w:before="0" w:after="0"/>
              <w:pStyle w:val="Compact"/>
            </w:pPr>
            <w:r>
              <w:rPr>
                <w:sz w:val="20"/>
                <w:szCs w:val="20"/>
              </w:rPr>
              <w:t xml:space="preserve">0.1922</w:t>
            </w:r>
          </w:p>
        </w:tc>
        <w:tc>
          <w:tcPr>
            <w:tcW w:w="0" w:type="auto"/>
          </w:tcPr>
          <w:p>
            <w:pPr>
              <w:spacing w:line="240" w:lineRule="auto" w:before="0" w:after="0"/>
              <w:pStyle w:val="Compact"/>
            </w:pPr>
            <w:r>
              <w:rPr>
                <w:sz w:val="20"/>
                <w:szCs w:val="20"/>
              </w:rPr>
              <w:t xml:space="preserve">-2.756</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[-0.9066, -0.153]</w:t>
            </w:r>
          </w:p>
        </w:tc>
      </w:tr>
      <w:tr>
        <w:tc>
          <w:tcPr>
            <w:tcW w:w="0" w:type="auto"/>
          </w:tcPr>
          <w:p>
            <w:pPr>
              <w:spacing w:line="240" w:lineRule="auto" w:before="0" w:after="0"/>
              <w:pStyle w:val="Compact"/>
            </w:pPr>
            <w:r>
              <w:rPr>
                <w:sz w:val="20"/>
                <w:szCs w:val="20"/>
              </w:rPr>
              <w:t xml:space="preserve">guided</w:t>
            </w:r>
          </w:p>
        </w:tc>
        <w:tc>
          <w:tcPr>
            <w:tcW w:w="0" w:type="auto"/>
          </w:tcPr>
          <w:p>
            <w:pPr>
              <w:spacing w:line="240" w:lineRule="auto" w:before="0" w:after="0"/>
              <w:pStyle w:val="Compact"/>
            </w:pPr>
            <w:r>
              <w:rPr>
                <w:sz w:val="20"/>
                <w:szCs w:val="20"/>
              </w:rPr>
              <w:t xml:space="preserve">-1.0466</w:t>
            </w:r>
          </w:p>
        </w:tc>
        <w:tc>
          <w:tcPr>
            <w:tcW w:w="0" w:type="auto"/>
          </w:tcPr>
          <w:p>
            <w:pPr>
              <w:spacing w:line="240" w:lineRule="auto" w:before="0" w:after="0"/>
              <w:pStyle w:val="Compact"/>
            </w:pPr>
            <w:r>
              <w:rPr>
                <w:sz w:val="20"/>
                <w:szCs w:val="20"/>
              </w:rPr>
              <w:t xml:space="preserve">0.6447</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0.1045</w:t>
            </w:r>
          </w:p>
        </w:tc>
        <w:tc>
          <w:tcPr>
            <w:tcW w:w="0" w:type="auto"/>
          </w:tcPr>
          <w:p>
            <w:pPr>
              <w:spacing w:line="240" w:lineRule="auto" w:before="0" w:after="0"/>
              <w:pStyle w:val="Compact"/>
            </w:pPr>
            <w:r>
              <w:rPr>
                <w:sz w:val="20"/>
                <w:szCs w:val="20"/>
              </w:rPr>
              <w:t xml:space="preserve">[-2.3103, 0.2171]</w:t>
            </w:r>
          </w:p>
        </w:tc>
      </w:tr>
      <w:tr>
        <w:tc>
          <w:tcPr>
            <w:tcW w:w="0" w:type="auto"/>
          </w:tcPr>
          <w:p>
            <w:pPr>
              <w:spacing w:line="240" w:lineRule="auto" w:before="0" w:after="0"/>
              <w:pStyle w:val="Compact"/>
            </w:pPr>
            <w:r>
              <w:rPr>
                <w:sz w:val="20"/>
                <w:szCs w:val="20"/>
              </w:rPr>
              <w:t xml:space="preserve">entry_mass_t</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0.1161</w:t>
            </w:r>
          </w:p>
        </w:tc>
        <w:tc>
          <w:tcPr>
            <w:tcW w:w="0" w:type="auto"/>
          </w:tcPr>
          <w:p>
            <w:pPr>
              <w:spacing w:line="240" w:lineRule="auto" w:before="0" w:after="0"/>
              <w:pStyle w:val="Compact"/>
            </w:pPr>
            <w:r>
              <w:rPr>
                <w:sz w:val="20"/>
                <w:szCs w:val="20"/>
              </w:rPr>
              <w:t xml:space="preserve">-0.5268</w:t>
            </w:r>
          </w:p>
        </w:tc>
        <w:tc>
          <w:tcPr>
            <w:tcW w:w="0" w:type="auto"/>
          </w:tcPr>
          <w:p>
            <w:pPr>
              <w:spacing w:line="240" w:lineRule="auto" w:before="0" w:after="0"/>
              <w:pStyle w:val="Compact"/>
            </w:pPr>
            <w:r>
              <w:rPr>
                <w:sz w:val="20"/>
                <w:szCs w:val="20"/>
              </w:rPr>
              <w:t xml:space="preserve">0.5983</w:t>
            </w:r>
          </w:p>
        </w:tc>
        <w:tc>
          <w:tcPr>
            <w:tcW w:w="0" w:type="auto"/>
          </w:tcPr>
          <w:p>
            <w:pPr>
              <w:spacing w:line="240" w:lineRule="auto" w:before="0" w:after="0"/>
              <w:pStyle w:val="Compact"/>
            </w:pPr>
            <w:r>
              <w:rPr>
                <w:sz w:val="20"/>
                <w:szCs w:val="20"/>
              </w:rPr>
              <w:t xml:space="preserve">[-0.2888, 0.1664]</w:t>
            </w:r>
          </w:p>
        </w:tc>
      </w:tr>
    </w:tbl>
    <w:p>
      <w:pPr>
        <w:pStyle w:val="BodyText"/>
      </w:pPr>
      <w:r>
        <w:t xml:space="preserve">Fit: N = 18 R2 = 0.7792 R2_adj = 0.7319 F = 67.6762 F_p = 1.419e-08</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5" Target="https://doi.org/10.1016/j.actaastro.2024.12.054" TargetMode="External" /><Relationship Type="http://schemas.openxmlformats.org/officeDocument/2006/relationships/hyperlink" Id="rId77" Target="https://doi.org/10.1029/2003JE002074" TargetMode="External" /><Relationship Type="http://schemas.openxmlformats.org/officeDocument/2006/relationships/hyperlink" Id="rId73" Target="https://doi.org/10.2514/1.25116" TargetMode="External" /><Relationship Type="http://schemas.openxmlformats.org/officeDocument/2006/relationships/hyperlink" Id="rId71" Target="https://doi.org/10.64861/KLIJ1542" TargetMode="External" /><Relationship Type="http://schemas.openxmlformats.org/officeDocument/2006/relationships/hyperlink" Id="rId68" Target="https://doi.org/10.64861/PFPI7186"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4.12.054" TargetMode="External" /><Relationship Type="http://schemas.openxmlformats.org/officeDocument/2006/relationships/hyperlink" Id="rId77" Target="https://doi.org/10.1029/2003JE002074" TargetMode="External" /><Relationship Type="http://schemas.openxmlformats.org/officeDocument/2006/relationships/hyperlink" Id="rId73" Target="https://doi.org/10.2514/1.25116" TargetMode="External" /><Relationship Type="http://schemas.openxmlformats.org/officeDocument/2006/relationships/hyperlink" Id="rId71" Target="https://doi.org/10.64861/KLIJ1542" TargetMode="External" /><Relationship Type="http://schemas.openxmlformats.org/officeDocument/2006/relationships/hyperlink" Id="rId68" Target="https://doi.org/10.64861/PFPI718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2026-06-22T20:31:08Z</dcterms:created>
  <dcterms:modified xsi:type="dcterms:W3CDTF">2026-06-22T20:31:08Z</dcterms:modified>
</cp:coreProperties>
</file>

<file path=docProps/custom.xml><?xml version="1.0" encoding="utf-8"?>
<Properties xmlns="http://schemas.openxmlformats.org/officeDocument/2006/custom-properties" xmlns:vt="http://schemas.openxmlformats.org/officeDocument/2006/docPropsVTypes"/>
</file>