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COST OF ATMOSPHERIC UNCERTAINTY: DOES PRE-ENTRY ATMOSPHERIC KNOWLEDGE REDUCE LANDED-STATE DISPERSION IN ATMOSPHERIC ENTRY, DESCENT, AND LANDING?</w:t>
      </w:r>
    </w:p>
    <w:p>
      <w:pPr>
        <w:jc w:val="center"/>
      </w:pPr>
    </w:p>
    <w:p>
      <w:pPr>
        <w:jc w:val="center"/>
      </w:pPr>
      <w:r>
        <w:rPr>
          <w:rFonts w:ascii="Times New Roman" w:hAnsi="Times New Roman"/>
          <w:sz w:val="24"/>
        </w:rPr>
        <w:t>by</w:t>
      </w:r>
    </w:p>
    <w:p>
      <w:pPr>
        <w:jc w:val="center"/>
      </w:pPr>
      <w:r>
        <w:rPr>
          <w:rFonts w:ascii="Times New Roman" w:hAnsi="Times New Roman"/>
          <w:b/>
          <w:sz w:val="28"/>
        </w:rPr>
        <w:t>Marcus Feld</w:t>
      </w:r>
    </w:p>
    <w:p>
      <w:pPr>
        <w:jc w:val="center"/>
      </w:pPr>
      <w:r>
        <w:rPr>
          <w:rFonts w:ascii="Times New Roman" w:hAnsi="Times New Roman"/>
          <w:sz w:val="24"/>
        </w:rPr>
        <w:t>1B-EDL-013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c937217b743bbcd9046334c86f5383dbd82403c"/>
    <w:p>
      <w:pPr>
        <w:pStyle w:val="Heading2"/>
        <w:spacing w:line="480" w:lineRule="auto"/>
      </w:pPr>
      <w:r>
        <w:t xml:space="preserve">1.1 The Commitment Problem at the Heart of Entry, Descent, and Landing</w:t>
      </w:r>
    </w:p>
    <w:p>
      <w:pPr>
        <w:pStyle w:val="FirstParagraph"/>
        <w:spacing w:line="480" w:lineRule="auto"/>
      </w:pPr>
      <w:r>
        <w:t xml:space="preserve">Every atmospheric entry, descent, and landing (EDL) system makes an irreversible commitment before it can know whether that commitment was correct. Once a vehicle is captured by the atmosphere of a planet, the dominant deceleration physics are fixed by the density profile the vehicle actually encounters, and that profile is known only as a forecast at the moment the entry trajectory is committed. The atmosphere the vehicle plans against and the atmosphere it flies through are not the same object. The difference between them propagates, through hypersonic deceleration, parachute deployment, and powered descent, into the only outcome that a landing program ultimately cares about: where the vehicle comes to rest, and how tightly that resting point can be predicted in advance.</w:t>
      </w:r>
    </w:p>
    <w:p>
      <w:pPr>
        <w:pStyle w:val="BodyText"/>
        <w:spacing w:line="480" w:lineRule="auto"/>
        <w:ind w:firstLine="720"/>
      </w:pPr>
      <w:r>
        <w:t xml:space="preserve">This is not a marginal nuisance. It is the dominant one. Atmospheric density modeling is among the largest single sources of uncertainty in any computation that integrates a trajectory through a planetary upper atmosphere. The survey of operations-ready thermospheric density models for drag modeling documents that the principal models in operational use, including the High Accuracy Satellite Drag Model, the Mass Spectrometer and Incoherent Scatter family, the Jacchia-Bowman 2008 model, and the physics-based coupled atmosphere-ionosphere models, disagree with one another and with truth by margins large enough to matter for any application that depends on the density a body passes through</w:t>
      </w:r>
      <w:r>
        <w:t xml:space="preserve"> </w:t>
      </w:r>
      <w:hyperlink w:anchor="ref-1">
        <w:r>
          <w:rPr>
            <w:rStyle w:val="Hyperlink"/>
          </w:rPr>
          <w:t xml:space="preserve">[1]</w:t>
        </w:r>
      </w:hyperlink>
      <w:r>
        <w:t xml:space="preserve">. Precision-orbit-derived density work reaches the same conclusion from the estimation side: atmospheric density modeling is one of the greatest uncertainties in orbit and trajectory propagation, and the residual that remains after the best available model has been applied is still substantial</w:t>
      </w:r>
      <w:r>
        <w:t xml:space="preserve"> </w:t>
      </w:r>
      <w:hyperlink w:anchor="ref-2">
        <w:r>
          <w:rPr>
            <w:rStyle w:val="Hyperlink"/>
          </w:rPr>
          <w:t xml:space="preserve">[2]</w:t>
        </w:r>
      </w:hyperlink>
      <w:r>
        <w:t xml:space="preserve">. More recent uncertainty-quantification work, using generative architectures, confirms that the traditional density models carry uncertainties large enough to justify entirely new modeling families and reframes density prediction as an explicitly probabilistic problem rather than a single point estimate</w:t>
      </w:r>
      <w:r>
        <w:t xml:space="preserve"> </w:t>
      </w:r>
      <w:hyperlink w:anchor="ref-3">
        <w:r>
          <w:rPr>
            <w:rStyle w:val="Hyperlink"/>
          </w:rPr>
          <w:t xml:space="preserve">[3]</w:t>
        </w:r>
      </w:hyperlink>
      <w:r>
        <w:t xml:space="preserve">. The forecast is wrong. The literature knows it is wrong, and it can say by roughly how much.</w:t>
      </w:r>
    </w:p>
    <w:p>
      <w:pPr>
        <w:pStyle w:val="BodyText"/>
        <w:spacing w:line="480" w:lineRule="auto"/>
        <w:ind w:firstLine="720"/>
      </w:pPr>
      <w:r>
        <w:t xml:space="preserve">For NASA and for the Jet Propulsion Laboratory, this is the structural liability that sits beneath the agency’s most visible and least forgiving operations. The Mars entry, descent, and landing problem has been characterized for two decades as a regime in which atmospheric uncertainty drives the achievable landing precision and therefore the achievable science</w:t>
      </w:r>
      <w:r>
        <w:t xml:space="preserve"> </w:t>
      </w:r>
      <w:hyperlink w:anchor="ref-7">
        <w:r>
          <w:rPr>
            <w:rStyle w:val="Hyperlink"/>
          </w:rPr>
          <w:t xml:space="preserve">[7]</w:t>
        </w:r>
      </w:hyperlink>
      <w:r>
        <w:t xml:space="preserve">. Landing-site selection for the Mars Exploration Rovers was constrained in part by the size of the predicted landing ellipse, so that scientifically preferred terrain had to be weighed against whether the vehicle could be confidently placed within it</w:t>
      </w:r>
      <w:r>
        <w:t xml:space="preserve"> </w:t>
      </w:r>
      <w:hyperlink w:anchor="ref-8">
        <w:r>
          <w:rPr>
            <w:rStyle w:val="Hyperlink"/>
          </w:rPr>
          <w:t xml:space="preserve">[8]</w:t>
        </w:r>
      </w:hyperlink>
      <w:r>
        <w:t xml:space="preserve">. The agency’s own account of how it lands on Mars describes a sequence in which the atmosphere is the adversary that the entry system must survive and steer against</w:t>
      </w:r>
      <w:r>
        <w:t xml:space="preserve"> </w:t>
      </w:r>
      <w:hyperlink w:anchor="ref-9">
        <w:r>
          <w:rPr>
            <w:rStyle w:val="Hyperlink"/>
          </w:rPr>
          <w:t xml:space="preserve">[9]</w:t>
        </w:r>
      </w:hyperlink>
      <w:r>
        <w:t xml:space="preserve">. The flight record reinforces the point: accelerometer reconstruction of the atmosphere actually encountered during Mars Pathfinder descent exists precisely because the planned atmosphere and the flown atmosphere differed enough to be worth measuring after the fact</w:t>
      </w:r>
      <w:r>
        <w:t xml:space="preserve"> </w:t>
      </w:r>
      <w:hyperlink w:anchor="ref-12">
        <w:r>
          <w:rPr>
            <w:rStyle w:val="Hyperlink"/>
          </w:rPr>
          <w:t xml:space="preserve">[12]</w:t>
        </w:r>
      </w:hyperlink>
      <w:r>
        <w:t xml:space="preserve">, and post-flight reconstruction of Mars 2020 entry guidance performance is a NASA deliverable because the realized atmosphere is never the forecast atmosphere</w:t>
      </w:r>
      <w:r>
        <w:t xml:space="preserve"> </w:t>
      </w:r>
      <w:hyperlink w:anchor="ref-11">
        <w:r>
          <w:rPr>
            <w:rStyle w:val="Hyperlink"/>
          </w:rPr>
          <w:t xml:space="preserve">[11]</w:t>
        </w:r>
      </w:hyperlink>
      <w:r>
        <w:t xml:space="preserve">. Aerobraking campaigns at Mars Reconnaissance Orbiter likewise relied on accelerometer-derived atmospheric modeling because the density at altitude could not be trusted from a forecast alone</w:t>
      </w:r>
      <w:r>
        <w:t xml:space="preserve"> </w:t>
      </w:r>
      <w:hyperlink w:anchor="ref-10">
        <w:r>
          <w:rPr>
            <w:rStyle w:val="Hyperlink"/>
          </w:rPr>
          <w:t xml:space="preserve">[10]</w:t>
        </w:r>
      </w:hyperlink>
      <w:r>
        <w:t xml:space="preserve">. The historical ledger of landers, from the early Soviet Mars attempts and the Viking landers to Phoenix and Beagle 2, is in part a ledger of how each program contended with an atmosphere it could not fully forecast [13, 14, 15]. The cost of atmospheric uncertainty is therefore not abstract. It is paid. It is paid in landing ellipses that must be drawn larger than a program would like, in candidate sites that must be set aside as too risky, and in the residual probability of an off-nominal landing that every EDL system carries to entry interface.</w:t>
      </w:r>
    </w:p>
    <w:bookmarkEnd w:id="61"/>
    <w:bookmarkStart w:id="62" w:name="X1b3c58e1f47e7d4a0d9aad3c77cb14aa4a54fc7"/>
    <w:p>
      <w:pPr>
        <w:pStyle w:val="Heading2"/>
        <w:spacing w:line="480" w:lineRule="auto"/>
      </w:pPr>
      <w:r>
        <w:t xml:space="preserve">1.2 The Two Postures of the Field, and the Question Between Them</w:t>
      </w:r>
    </w:p>
    <w:p>
      <w:pPr>
        <w:pStyle w:val="FirstParagraph"/>
        <w:spacing w:line="480" w:lineRule="auto"/>
      </w:pPr>
      <w:r>
        <w:t xml:space="preserve">Confronted with an atmosphere it cannot forecast precisely, the field has adopted two distinct postures, and the central question of this dissertation lives in the space between them.</w:t>
      </w:r>
    </w:p>
    <w:p>
      <w:pPr>
        <w:pStyle w:val="BodyText"/>
        <w:spacing w:line="480" w:lineRule="auto"/>
        <w:ind w:firstLine="720"/>
      </w:pPr>
      <w:r>
        <w:t xml:space="preserve">The first posture hardens the controller. The entry-guidance literature has responded to atmospheric uncertainty by designing closed-loop guidance laws that track a reference trajectory in the presence of dispersions in entry state and model error, including the dispersions in drag and lift coefficients that stand in for atmospheric uncertainty</w:t>
      </w:r>
      <w:r>
        <w:t xml:space="preserve"> </w:t>
      </w:r>
      <w:hyperlink w:anchor="ref-4">
        <w:r>
          <w:rPr>
            <w:rStyle w:val="Hyperlink"/>
          </w:rPr>
          <w:t xml:space="preserve">[4]</w:t>
        </w:r>
      </w:hyperlink>
      <w:r>
        <w:t xml:space="preserve">. Robust nonlinear compound controllers for Mars atmospheric entry are constructed explicitly to reject these dispersions [4, 26]. Controlled-reentry guidance for small spacecraft is evaluated on its robustness against model errors in atmospheric density and characteristics</w:t>
      </w:r>
      <w:r>
        <w:t xml:space="preserve"> </w:t>
      </w:r>
      <w:hyperlink w:anchor="ref-5">
        <w:r>
          <w:rPr>
            <w:rStyle w:val="Hyperlink"/>
          </w:rPr>
          <w:t xml:space="preserve">[5]</w:t>
        </w:r>
      </w:hyperlink>
      <w:r>
        <w:t xml:space="preserve">. Robust trajectory optimization under epistemic atmospheric uncertainty, evidence-based and uncertainty-quantified, extends the same instinct upstream into the planning of the reference itself [24, 27]. The governing assumption of this posture is that the atmosphere is poorly known and will remain poorly known, so the rational engineering response is to build a controller that survives the ignorance.</w:t>
      </w:r>
    </w:p>
    <w:p>
      <w:pPr>
        <w:pStyle w:val="BodyText"/>
        <w:spacing w:line="480" w:lineRule="auto"/>
        <w:ind w:firstLine="720"/>
      </w:pPr>
      <w:r>
        <w:t xml:space="preserve">The second posture hardens the forecast. The density-modeling community treats the quality of pre-entry atmospheric knowledge as itself an object of investment and improvement. Better empirical models, machine-learning successors to operational drag models, physics-based data assimilation of recent observations, and generative post-processing of density estimates all represent paths to a more accurate a priori atmosphere [1, 3, 21]. Reducing neutral-density uncertainty for precise orbit determination through physics-based data assimilation is an explicit research program with measurable error reductions</w:t>
      </w:r>
      <w:r>
        <w:t xml:space="preserve"> </w:t>
      </w:r>
      <w:hyperlink w:anchor="ref-21">
        <w:r>
          <w:rPr>
            <w:rStyle w:val="Hyperlink"/>
          </w:rPr>
          <w:t xml:space="preserve">[21]</w:t>
        </w:r>
      </w:hyperlink>
      <w:r>
        <w:t xml:space="preserve">. This posture assumes that the atmosphere can be known better than it is currently known, and that knowing it better is worth the effort.</w:t>
      </w:r>
    </w:p>
    <w:p>
      <w:pPr>
        <w:pStyle w:val="BodyText"/>
        <w:spacing w:line="480" w:lineRule="auto"/>
        <w:ind w:firstLine="720"/>
      </w:pPr>
      <w:r>
        <w:t xml:space="preserve">Each posture is internally coherent, and each is well represented in the retrieved literature. What neither posture supplies is the quantity that would let a program rationally allocate between them. Forecast quality is neither free nor fixed. An EDL program can invest in better pre-entry atmospheric knowledge, through improved models, in-situ precursor measurement, or assimilation of recent observations, and that investment carries a cost in budget, mass, schedule, and operational complexity. The decision-relevant question is whether that investment pays in the only currency EDL ultimately settles in, namely the size of the landed-state dispersion. If better forecasts barely move the landing ellipse, because the closed-loop guidance already absorbs nearly all of the atmospheric uncertainty, then the rational marginal dollar goes to the controller. If better forecasts move the ellipse substantially, then the rational marginal dollar goes to the forecast. The field today proceeds largely on assertion about which regime it occupies. This dissertation proposes to measure it.</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The question above is unanswered not because it is unimportant but because it falls into a seam between two literatures that do not meet. On one side stands the domain literature of atmospheric density and entry guidance. On the other stands the methodological literature of causal estimation, in which the object of interest is a treatment effect or an elasticity recovered from a designed manipulation of an independent variable. The contribution of this dissertation is to weld these two together at the specific point where they are currently disjoint.</w:t>
      </w:r>
    </w:p>
    <w:p>
      <w:pPr>
        <w:pStyle w:val="BodyText"/>
        <w:spacing w:line="480" w:lineRule="auto"/>
        <w:ind w:firstLine="720"/>
      </w:pPr>
      <w:r>
        <w:t xml:space="preserve">Three bodies of domain work bracket the question without closing it. The density-modeling literature quantifies how wrong the forecasts are but stops at the atmosphere. It characterizes density-model error in detail, with named models, named versions, and reported residuals, but it does not propagate that error forward to a landed outcome [1, 2, 3]. The entry-guidance literature propagates atmospheric error all the way to a landed state but treats the magnitude of that error as a fixed adversary to be rejected rather than as a controllable input to be traded against cost [4, 5, 26]. Robustness studies in that literature vary the dispersion bounds incidentally, as a stress test that demonstrates the controller holds up, not as a designed treatment along which a response slope can be estimated [4, 5]. The integrated-modeling literature does couple atmospheric perturbation modeling, uncertainty quantification, and downstream trajectory consequence within a single framework, but it does so for conjunction tracking and catalog maintenance, where the downstream outcome is a collision probability or a re-entry epoch, not the landed-state outcome of an EDL system [6, 17, 19, 29].</w:t>
      </w:r>
    </w:p>
    <w:p>
      <w:pPr>
        <w:pStyle w:val="BodyText"/>
        <w:spacing w:line="480" w:lineRule="auto"/>
        <w:ind w:firstLine="720"/>
      </w:pPr>
      <w:r>
        <w:t xml:space="preserve">The gap is therefore located neither in density science nor in guidance design but at their junction, and it is a methodological gap as much as a domain gap. No retrieved study treats pre-entry density-forecast quality as a continuously varied independent variable and measures the resulting landed-state dispersion as the dependent variable while holding the guidance law and the vehicle constant. The density surveys report error magnitudes but never connect a given error magnitude to a landing-ellipse size</w:t>
      </w:r>
      <w:r>
        <w:t xml:space="preserve"> </w:t>
      </w:r>
      <w:hyperlink w:anchor="ref-1">
        <w:r>
          <w:rPr>
            <w:rStyle w:val="Hyperlink"/>
          </w:rPr>
          <w:t xml:space="preserve">[1]</w:t>
        </w:r>
      </w:hyperlink>
      <w:r>
        <w:t xml:space="preserve">. The guidance studies map a fixed error budget to a landed dispersion but never sweep the error budget as a designed factor [4, 5]. What is missing is the transfer function between the two: the quantitative mapping from a reduction in forecast error to a reduction in landed dispersion, estimated with the controller held fixed so that the mapping isolates the value of knowledge rather than confounding it with the value of control.</w:t>
      </w:r>
    </w:p>
    <w:p>
      <w:pPr>
        <w:pStyle w:val="BodyText"/>
        <w:spacing w:line="480" w:lineRule="auto"/>
        <w:ind w:firstLine="720"/>
      </w:pPr>
      <w:r>
        <w:t xml:space="preserve">This is precisely the shape of object that the econometric method literature exists to estimate, yet that literature has not been brought to bear on this domain. An elasticity, the percentage response of one quantity to a percentage change in another, recovered from a controlled manipulation in which the treatment is set by the experimenter and is not jointly determined with the outcome, is a standard estimand with standard identification conditions and standard inference. The EDL domain has the physics to generate the data and the substantive question that demands the estimand, but it has framed the problem as one of control robustness rather than one of causal response. The method literature has the identification machinery but has not been pointed at atmospheric forecast quality as a treatment. Bringing the controlled-treatment, log-log elasticity framework to bear on EDL dispersion is the conceptual move that closes the seam. It converts a robustness intuition that pervades EDL practice into a quantified, falsifiable slope.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number, estimated precisely and stated so that it can be wrong. It is the elasticity of landed-state dispersion with respect to pre-entry atmospheric density-forecast error, estimated under a fixed guidance law and a fixed vehicle.</w:t>
      </w:r>
    </w:p>
    <w:p>
      <w:pPr>
        <w:pStyle w:val="BodyText"/>
        <w:spacing w:line="480" w:lineRule="auto"/>
        <w:ind w:firstLine="720"/>
      </w:pPr>
      <w:r>
        <w:t xml:space="preserve">Two scalar summaries make the estimand operational. Let</w:t>
      </w:r>
      <w:r>
        <w:t xml:space="preserve"> </w:t>
      </w:r>
      <w:r>
        <w:rPr>
          <w:i/>
          <w:iCs/>
        </w:rPr>
        <w:t xml:space="preserve">D</w:t>
      </w:r>
      <w:r>
        <w:t xml:space="preserve"> </w:t>
      </w:r>
      <w:r>
        <w:t xml:space="preserve">denote a scalar summary of landed-state dispersion, operationalized as the semi-major axis of the 95 percent landing-error ellipse drawn from a Monte Carlo dispersion ensemble. Let</w:t>
      </w:r>
      <w:r>
        <w:t xml:space="preserve"> </w:t>
      </w:r>
      <w:r>
        <w:rPr>
          <w:i/>
          <w:iCs/>
        </w:rPr>
        <w:t xml:space="preserve">U</w:t>
      </w:r>
      <w:r>
        <w:t xml:space="preserve"> </w:t>
      </w:r>
      <w:r>
        <w:t xml:space="preserve">denote a scalar summary of pre-entry density-forecast error, operationalized as the root-mean-square fractional density error of the forecast relative to the realized atmosphere along the entry corridor. The estimand is the elasticity</w:t>
      </w:r>
    </w:p>
    <w:p>
      <w:pPr>
        <w:pStyle w:val="BodyText"/>
        <w:spacing w:line="480" w:lineRule="auto"/>
        <w:ind w:firstLine="720"/>
      </w:pPr>
      <w:r>
        <w:t xml:space="preserve">beta = d(ln</w:t>
      </w:r>
      <w:r>
        <w:t xml:space="preserve"> </w:t>
      </w:r>
      <w:r>
        <w:rPr>
          <w:i/>
          <w:iCs/>
        </w:rPr>
        <w:t xml:space="preserve">D</w:t>
      </w:r>
      <w:r>
        <w:t xml:space="preserve">) / d(ln</w:t>
      </w:r>
      <w:r>
        <w:t xml:space="preserve"> </w:t>
      </w:r>
      <w:r>
        <w:rPr>
          <w:i/>
          <w:iCs/>
        </w:rPr>
        <w:t xml:space="preserve">U</w:t>
      </w:r>
      <w:r>
        <w:t xml:space="preserve">),</w:t>
      </w:r>
    </w:p>
    <w:p>
      <w:pPr>
        <w:pStyle w:val="BodyText"/>
        <w:spacing w:line="480" w:lineRule="auto"/>
        <w:ind w:firstLine="720"/>
      </w:pPr>
      <w:r>
        <w:t xml:space="preserve">the percentage change in landing-ellipse size produced by a one percent change in pre-entry forecast error, with the guidance law and the vehicle held constant.</w:t>
      </w:r>
    </w:p>
    <w:p>
      <w:pPr>
        <w:pStyle w:val="BodyText"/>
        <w:spacing w:line="480" w:lineRule="auto"/>
        <w:ind w:firstLine="720"/>
      </w:pPr>
      <w:r>
        <w:t xml:space="preserve">The hypothesis is stated as a falsifiable pair. The null hypothesis H0 holds that beta equals zero: pre-entry density-forecast quality does not affect landed-state dispersion once a fixed closed-loop entry guidance is in the loop. Under H0 the controller fully absorbs forecast error across the studied range, and investment in better atmospheric knowledge yields no reduction in the landing ellipse. The alternative hypothesis H1 holds that beta is strictly greater than zero: reducing pre-entry density-forecast error reduces landed-state dispersion along a positive and estimable slope, so that atmospheric knowledge has measurable landed value at fixed control authority.</w:t>
      </w:r>
    </w:p>
    <w:p>
      <w:pPr>
        <w:pStyle w:val="BodyText"/>
        <w:spacing w:line="480" w:lineRule="auto"/>
        <w:ind w:firstLine="720"/>
      </w:pPr>
      <w:r>
        <w:t xml:space="preserve">The hypothesis is genuinely falsifiable in both directions, and this symmetry is essential to its value. A confidence interval for beta that contains zero fails to reject H0 and would constitute evidence that, within the studied vehicle and guidance regime, the field is correct to direct its marginal investment toward control rather than toward forecast. A confidence interval bounded away from zero rejects H0 and quantifies, for the first time in the retrieved literature, the landed return on a marginal improvement in atmospheric knowledge. Either outcome is a decision-relevant result, because either outcome tells an EDL program where its next dollar of uncertainty reduction is best spent. The contribution is not the hope that better forecasts help; it is the magnitude and the sign of the slope, reported with an honest interval, so that a program can act on it.</w:t>
      </w:r>
    </w:p>
    <w:p>
      <w:pPr>
        <w:pStyle w:val="BodyText"/>
        <w:spacing w:line="480" w:lineRule="auto"/>
        <w:ind w:firstLine="720"/>
      </w:pPr>
      <w:r>
        <w:t xml:space="preserve">Identification of beta rests on a controlled computational experiment rather than on observation of flight or mission-archive data. Forecast quality is the manipulated treatment, set by the experimenter across a small number of arms indexed by the imposed forecast error</w:t>
      </w:r>
      <w:r>
        <w:t xml:space="preserve"> </w:t>
      </w:r>
      <w:r>
        <w:rPr>
          <w:i/>
          <w:iCs/>
        </w:rPr>
        <w:t xml:space="preserve">U</w:t>
      </w:r>
      <w:r>
        <w:t xml:space="preserve">, while the guidance pipeline, the vehicle aerodynamics, the entry-state covariance, and the realized-atmosphere ensemble are held common across arms. Because</w:t>
      </w:r>
      <w:r>
        <w:t xml:space="preserve"> </w:t>
      </w:r>
      <w:r>
        <w:rPr>
          <w:i/>
          <w:iCs/>
        </w:rPr>
        <w:t xml:space="preserve">U</w:t>
      </w:r>
      <w:r>
        <w:t xml:space="preserve"> </w:t>
      </w:r>
      <w:r>
        <w:t xml:space="preserve">is set by design and is not jointly determined with</w:t>
      </w:r>
      <w:r>
        <w:t xml:space="preserve"> </w:t>
      </w:r>
      <w:r>
        <w:rPr>
          <w:i/>
          <w:iCs/>
        </w:rPr>
        <w:t xml:space="preserve">D</w:t>
      </w:r>
      <w:r>
        <w:t xml:space="preserve">, any systematic change in dispersion across arms is attributable to the change in forecast quality and not to confounding variation in the controller or the vehicle. The estimator is a log-log regression of ensemble dispersion on imposed forecast error, which yields beta directly as the slope and admits a clean test of H0 through the sign and the confidence interval of that slope, with the interval obtained by bootstrap over the Monte Carlo ensembles. The calibration of the realized-atmosphere ensemble and of the forecast-error treatment arms is drawn from the named, published, obtainable density-error statistics of the operations-ready model survey and the precision-orbit-derived density work, so that the simulated atmosphere is no better and no worse known than the real upper atmosphere, and so that every density-error magnitude entering the experiment is traceable to a retrieved document with its model name, version, and reported residual [1, 2, 3]. This design is the methodological core of the dissertation, and the chapters that follow develop, execute, and stress-test it.</w:t>
      </w:r>
    </w:p>
    <w:bookmarkEnd w:id="64"/>
    <w:bookmarkStart w:id="65" w:name="scope-and-boundary-conditions"/>
    <w:p>
      <w:pPr>
        <w:pStyle w:val="Heading2"/>
        <w:spacing w:line="480" w:lineRule="auto"/>
      </w:pPr>
      <w:r>
        <w:t xml:space="preserve">1.5 Scope and Boundary Conditions</w:t>
      </w:r>
    </w:p>
    <w:p>
      <w:pPr>
        <w:pStyle w:val="FirstParagraph"/>
        <w:spacing w:line="480" w:lineRule="auto"/>
      </w:pPr>
      <w:r>
        <w:t xml:space="preserve">Three boundary conditions delimit the claim and are stated here so that the contribution is not read as broader than it is. First, the primary estimate is scoped to the atmosphere whose error statistics are directly sourced from the retrieved corpus, which is dominated by characterizations of Earth’s thermosphere [1, 2, 3]. Cross-atmosphere transfer to the Mars regime, where much of the EDL guidance literature is concentrated [4, 7, 8], is treated as a bounded sensitivity analysis rather than as a headline result, because atmospheres with different scale heights and variability spectra may carry different elasticities. Second, because beta is estimated with the controller held fixed, the estimate is conditional on the chosen guidance pipeline; the dissertation reports beta for more than one published guidance family and states explicitly that the contribution is the conditional elasticity rather than a controller-free constant [4, 5]. Third, the collapse of a landed-state distribution to an ellipse semi-major axis and of a forecast to a single root-mean-square fractional error discards directional and spectral structure that the integrated-modeling literature shows can matter</w:t>
      </w:r>
      <w:r>
        <w:t xml:space="preserve"> </w:t>
      </w:r>
      <w:hyperlink w:anchor="ref-6">
        <w:r>
          <w:rPr>
            <w:rStyle w:val="Hyperlink"/>
          </w:rPr>
          <w:t xml:space="preserve">[6]</w:t>
        </w:r>
      </w:hyperlink>
      <w:r>
        <w:t xml:space="preserve">; the robustness of beta to alternative scalarizations of both</w:t>
      </w:r>
      <w:r>
        <w:t xml:space="preserve"> </w:t>
      </w:r>
      <w:r>
        <w:rPr>
          <w:i/>
          <w:iCs/>
        </w:rPr>
        <w:t xml:space="preserve">D</w:t>
      </w:r>
      <w:r>
        <w:t xml:space="preserve"> </w:t>
      </w:r>
      <w:r>
        <w:t xml:space="preserve">and</w:t>
      </w:r>
      <w:r>
        <w:t xml:space="preserve"> </w:t>
      </w:r>
      <w:r>
        <w:rPr>
          <w:i/>
          <w:iCs/>
        </w:rPr>
        <w:t xml:space="preserve">U</w:t>
      </w:r>
      <w:r>
        <w:t xml:space="preserve"> </w:t>
      </w:r>
      <w:r>
        <w:t xml:space="preserve">is therefore tested rather than assumed. These boundaries do not weaken the contribution. They define the regime within which the single estimated slope is valid and auditable.</w:t>
      </w:r>
    </w:p>
    <w:bookmarkEnd w:id="65"/>
    <w:bookmarkStart w:id="66" w:name="roadmap-of-the-dissertation"/>
    <w:p>
      <w:pPr>
        <w:pStyle w:val="Heading2"/>
        <w:spacing w:line="480" w:lineRule="auto"/>
      </w:pPr>
      <w:r>
        <w:t xml:space="preserve">1.6 Roadmap of the Dissertation</w:t>
      </w:r>
    </w:p>
    <w:p>
      <w:pPr>
        <w:pStyle w:val="FirstParagraph"/>
        <w:spacing w:line="480" w:lineRule="auto"/>
      </w:pPr>
      <w:r>
        <w:t xml:space="preserve">The remainder of the dissertation proceeds as follows. Chapter 2 reviews the three bracketing literatures in depth: the density-modeling and uncertainty-quantification literature that characterizes how wrong pre-entry forecasts are [1, 2, 3], the entry-guidance and robust-trajectory literature that propagates atmospheric error to a landed state while treating it as a fixed adversary [4, 5, 24, 26, 27], and the integrated-modeling literature that couples atmospheric perturbation with downstream consequence for adjacent applications</w:t>
      </w:r>
      <w:r>
        <w:t xml:space="preserve"> </w:t>
      </w:r>
      <w:hyperlink w:anchor="ref-6">
        <w:r>
          <w:rPr>
            <w:rStyle w:val="Hyperlink"/>
          </w:rPr>
          <w:t xml:space="preserve">[6]</w:t>
        </w:r>
      </w:hyperlink>
      <w:r>
        <w:t xml:space="preserve">. The review establishes precisely where each literature stops and why the transfer function between forecast error and landed dispersion remains unestimated.</w:t>
      </w:r>
    </w:p>
    <w:p>
      <w:pPr>
        <w:pStyle w:val="BodyText"/>
        <w:spacing w:line="480" w:lineRule="auto"/>
        <w:ind w:firstLine="720"/>
      </w:pPr>
      <w:r>
        <w:t xml:space="preserve">Chapter 3 develops the formal framework. It defines the dispersion summary</w:t>
      </w:r>
      <w:r>
        <w:t xml:space="preserve"> </w:t>
      </w:r>
      <w:r>
        <w:rPr>
          <w:i/>
          <w:iCs/>
        </w:rPr>
        <w:t xml:space="preserve">D</w:t>
      </w:r>
      <w:r>
        <w:t xml:space="preserve"> </w:t>
      </w:r>
      <w:r>
        <w:t xml:space="preserve">and the forecast-error summary</w:t>
      </w:r>
      <w:r>
        <w:t xml:space="preserve"> </w:t>
      </w:r>
      <w:r>
        <w:rPr>
          <w:i/>
          <w:iCs/>
        </w:rPr>
        <w:t xml:space="preserve">U</w:t>
      </w:r>
      <w:r>
        <w:t xml:space="preserve">, states the elasticity beta and its estimator, and lays out the identification argument that the controlled-treatment design recovers a causal elasticity rather than an observational correlation. It also specifies the preregistered calibration mapping from published density residuals to ensemble parameters, fixed before any dispersion runs, so that the realized-atmosphere ensemble is set by external error statistics and not adjusted to the outcome.</w:t>
      </w:r>
    </w:p>
    <w:p>
      <w:pPr>
        <w:pStyle w:val="BodyText"/>
        <w:spacing w:line="480" w:lineRule="auto"/>
        <w:ind w:firstLine="720"/>
      </w:pPr>
      <w:r>
        <w:t xml:space="preserve">Chapter 4 specifies the computational experiment in detail: the fixed entry-guidance pipeline and vehicle [4, 5], the construction of the realized-atmosphere ensemble from the named model-error statistics [1, 2], the definition of the forecast-quality treatment arms spanning from a poor a priori model to an assimilated or generatively post-processed estimate [3, 21], and the Monte Carlo dispersion procedure that produces</w:t>
      </w:r>
      <w:r>
        <w:t xml:space="preserve"> </w:t>
      </w:r>
      <w:r>
        <w:rPr>
          <w:i/>
          <w:iCs/>
        </w:rPr>
        <w:t xml:space="preserve">D</w:t>
      </w:r>
      <w:r>
        <w:t xml:space="preserve"> </w:t>
      </w:r>
      <w:r>
        <w:t xml:space="preserve">in each arm.</w:t>
      </w:r>
    </w:p>
    <w:p>
      <w:pPr>
        <w:pStyle w:val="BodyText"/>
        <w:spacing w:line="480" w:lineRule="auto"/>
        <w:ind w:firstLine="720"/>
      </w:pPr>
      <w:r>
        <w:t xml:space="preserve">Chapter 5 reports the estimate of beta, its confidence interval, and the test of H0, together with the sensitivity analyses that probe cross-atmosphere transfer, guidance-law dependence, and alternative scalarizations of</w:t>
      </w:r>
      <w:r>
        <w:t xml:space="preserve"> </w:t>
      </w:r>
      <w:r>
        <w:rPr>
          <w:i/>
          <w:iCs/>
        </w:rPr>
        <w:t xml:space="preserve">D</w:t>
      </w:r>
      <w:r>
        <w:t xml:space="preserve"> </w:t>
      </w:r>
      <w:r>
        <w:t xml:space="preserve">and</w:t>
      </w:r>
      <w:r>
        <w:t xml:space="preserve"> </w:t>
      </w:r>
      <w:r>
        <w:rPr>
          <w:i/>
          <w:iCs/>
        </w:rPr>
        <w:t xml:space="preserve">U</w:t>
      </w:r>
      <w:r>
        <w:t xml:space="preserve">. Chapter 6 interprets the estimate as a decision rule for EDL investment allocation and situates it against the flight and mission record [7, 8, 11, 12], and Chapter 7 concludes, states the limits of the claim, and identifies the extensions that would generalize the single slope into a family of slopes across vehicles, atmospheres, and controllers.</w:t>
      </w:r>
    </w:p>
    <w:p>
      <w:pPr>
        <w:pStyle w:val="BodyText"/>
        <w:spacing w:line="480" w:lineRule="auto"/>
        <w:ind w:firstLine="720"/>
      </w:pPr>
      <w:r>
        <w:t xml:space="preserve">The thread that runs through every chapter is the same proposition stated at the outset. The cost of atmospheric uncertainty is real, it is paid in the landing ellipse, and it has never been measured as a slope. This dissertation measures it once, precisely, and in a form that an EDL program can act upon.</w:t>
      </w:r>
    </w:p>
    <w:bookmarkEnd w:id="66"/>
    <w:bookmarkEnd w:id="67"/>
    <w:bookmarkStart w:id="74" w:name="chapter-2.-literature-review"/>
    <w:p>
      <w:pPr>
        <w:pStyle w:val="Heading1"/>
        <w:spacing w:line="480" w:lineRule="auto"/>
      </w:pPr>
      <w:r>
        <w:t xml:space="preserve">Chapter 2. Literature Review</w:t>
      </w:r>
    </w:p>
    <w:bookmarkStart w:id="68" w:name="two-literatures-that-never-met"/>
    <w:p>
      <w:pPr>
        <w:pStyle w:val="Heading2"/>
        <w:spacing w:line="480" w:lineRule="auto"/>
      </w:pPr>
      <w:r>
        <w:t xml:space="preserve">2.1 Two Literatures That Never Met</w:t>
      </w:r>
    </w:p>
    <w:p>
      <w:pPr>
        <w:pStyle w:val="FirstParagraph"/>
        <w:spacing w:line="480" w:lineRule="auto"/>
      </w:pPr>
      <w:r>
        <w:t xml:space="preserve">The question this dissertation poses sits in the seam between two mature bodies of work that have developed, for the most part, in mutual ignorance of one another. The first is the domain technical literature of atmospheric entry, descent, and landing: the physics of deceleration through a planetary atmosphere, the modeling of the density profile a vehicle encounters, and the guidance laws that steer a vehicle to a target while that density departs from forecast. The second is the cliometric and econometric methodology literature: the discipline of extracting a causal slope from a controlled treatment or a confounded historical record, of stating a falsifiable null, and of attaching an honest confidence interval to a single decision-relevant number. The first literature knows everything about how wrong an atmospheric forecast can be and how a controller survives that ignorance. The second literature knows how to turn a manipulated input and a measured output into an estimate of a marginal effect. What neither has done, and what this chapter establishes as the gap, is to treat pre-entry atmospheric knowledge as a quantity whose value can be estimated as an elasticity or a hazard ratio rather than asserted as engineering folklore.</w:t>
      </w:r>
    </w:p>
    <w:p>
      <w:pPr>
        <w:pStyle w:val="BodyText"/>
        <w:spacing w:line="480" w:lineRule="auto"/>
        <w:ind w:firstLine="720"/>
      </w:pPr>
      <w:r>
        <w:t xml:space="preserve">This chapter reviews each literature in turn before joining them. Section 2.2 surveys the density-modeling literature that quantifies how poorly the atmosphere is known. Section 2.3 surveys the entry-guidance and EDL-architecture literature that propagates that ignorance to a landed state and responds by hardening the controller. Section 2.4 surveys the uncertainty-quantification and propagation literature that sits between the two, treating forecast error as a probabilistic object to be carried forward through a trajectory. Section 2.5 turns to the methodological literature, drawing the cliometric and econometric tools that the EDL domain has not borrowed: the controlled treatment design, the cross-sectional regression with confounders held fixed, and the survival-analytic hazard model. Section 2.6 synthesizes the two and states the gap precisely. The synthesis is the foundation for the dissertation’s three empirical attacks on a single proposition: that better pre-entry atmospheric knowledge has measurable landed value, estimable as an elasticity in a controlled Monte Carlo study, as a cross-mission dispersion coefficient, and as a survival hazard ratio.</w:t>
      </w:r>
    </w:p>
    <w:bookmarkEnd w:id="68"/>
    <w:bookmarkStart w:id="69" w:name="Xe7b2149931600fdb43c5b3c3188c044cd75fc3b"/>
    <w:p>
      <w:pPr>
        <w:pStyle w:val="Heading2"/>
        <w:spacing w:line="480" w:lineRule="auto"/>
      </w:pPr>
      <w:r>
        <w:t xml:space="preserve">2.2 The Density-Modeling Literature: How Wrong the Forecast Is</w:t>
      </w:r>
    </w:p>
    <w:p>
      <w:pPr>
        <w:pStyle w:val="FirstParagraph"/>
        <w:spacing w:line="480" w:lineRule="auto"/>
      </w:pPr>
      <w:r>
        <w:t xml:space="preserve">The foundational fact that motivates the entire inquiry is that the atmosphere a vehicle flies through is known only as a forecast, and that the forecast is wrong by margins large enough to matter. The most direct statement of this in the operations-ready literature is the survey of thermospheric density models assembled for drag modeling in low Earth orbit operations</w:t>
      </w:r>
      <w:r>
        <w:t xml:space="preserve"> </w:t>
      </w:r>
      <w:hyperlink w:anchor="ref-1">
        <w:r>
          <w:rPr>
            <w:rStyle w:val="Hyperlink"/>
          </w:rPr>
          <w:t xml:space="preserve">[1]</w:t>
        </w:r>
      </w:hyperlink>
      <w:r>
        <w:t xml:space="preserve">. That survey benchmarks the concrete, downloadable model implementations against one another and against truth, naming the High Accuracy Satellite Drag Model and its machine-learning successor, the empirical NRLMSIS and JB2008 families, the Drag Temperature Model, and the physics-based coupled models such as WAM-IPE and TIE-GCM. Its central finding is that these models disagree with each other and with reality by margins that propagate into any application that integrates a trajectory through the upper atmosphere</w:t>
      </w:r>
      <w:r>
        <w:t xml:space="preserve"> </w:t>
      </w:r>
      <w:hyperlink w:anchor="ref-1">
        <w:r>
          <w:rPr>
            <w:rStyle w:val="Hyperlink"/>
          </w:rPr>
          <w:t xml:space="preserve">[1]</w:t>
        </w:r>
      </w:hyperlink>
      <w:r>
        <w:t xml:space="preserve">. The disagreement is not a small residual to be neglected. It is a first-order term. For an EDL system, whose deceleration physics are dominated by the density profile, that first-order term is the structural liability the entire field is built around.</w:t>
      </w:r>
    </w:p>
    <w:p>
      <w:pPr>
        <w:pStyle w:val="BodyText"/>
        <w:spacing w:line="480" w:lineRule="auto"/>
        <w:ind w:firstLine="720"/>
      </w:pPr>
      <w:r>
        <w:t xml:space="preserve">The estimation-side literature arrives at the same conclusion from a different direction. Precision-orbit-derived density work treats the residual density error remaining after the best available model as a quantity to be estimated and reported rather than assumed away</w:t>
      </w:r>
      <w:r>
        <w:t xml:space="preserve"> </w:t>
      </w:r>
      <w:hyperlink w:anchor="ref-2">
        <w:r>
          <w:rPr>
            <w:rStyle w:val="Hyperlink"/>
          </w:rPr>
          <w:t xml:space="preserve">[2]</w:t>
        </w:r>
      </w:hyperlink>
      <w:r>
        <w:t xml:space="preserve">. The framing there is explicit: atmospheric density modeling is among the greatest uncertainties in orbit and trajectory propagation, and even after applying the best model and anchoring it to precision orbit solutions, the residual is substantial enough to set the floor on what any downstream propagation can achieve</w:t>
      </w:r>
      <w:r>
        <w:t xml:space="preserve"> </w:t>
      </w:r>
      <w:hyperlink w:anchor="ref-2">
        <w:r>
          <w:rPr>
            <w:rStyle w:val="Hyperlink"/>
          </w:rPr>
          <w:t xml:space="preserve">[2]</w:t>
        </w:r>
      </w:hyperlink>
      <w:r>
        <w:t xml:space="preserve">. This matters for the present dissertation because it supplies an observation-anchored lower bound on forecast error: it is the floor below which no amount of modeling improvement currently reaches, and therefore the natural lower end of any treatment range that varies forecast quality as an independent variable.</w:t>
      </w:r>
    </w:p>
    <w:p>
      <w:pPr>
        <w:pStyle w:val="BodyText"/>
        <w:spacing w:line="480" w:lineRule="auto"/>
        <w:ind w:firstLine="720"/>
      </w:pPr>
      <w:r>
        <w:t xml:space="preserve">The most recent strand of the density literature reframes the problem probabilistically. Generative architectures for thermospheric density prediction explicitly abandon the point estimate and treat density as a distribution, motivated by the observation that traditional models carry uncertainties large enough to justify entirely new modeling families</w:t>
      </w:r>
      <w:r>
        <w:t xml:space="preserve"> </w:t>
      </w:r>
      <w:hyperlink w:anchor="ref-3">
        <w:r>
          <w:rPr>
            <w:rStyle w:val="Hyperlink"/>
          </w:rPr>
          <w:t xml:space="preserve">[3]</w:t>
        </w:r>
      </w:hyperlink>
      <w:r>
        <w:t xml:space="preserve">. This reframing is consequential for methodology. If density is a distribution rather than a number, then the forecast handed to an entry guidance is itself a draw from a distribution, and the error between forecast and realized atmosphere has a shape, not just a magnitude. The generative-uncertainty work supplies that shape, and it is what justifies treating the imposed forecast error in a controlled study as a calibrated probabilistic object rather than a single scalar perturbation</w:t>
      </w:r>
      <w:r>
        <w:t xml:space="preserve"> </w:t>
      </w:r>
      <w:hyperlink w:anchor="ref-3">
        <w:r>
          <w:rPr>
            <w:rStyle w:val="Hyperlink"/>
          </w:rPr>
          <w:t xml:space="preserve">[3]</w:t>
        </w:r>
      </w:hyperlink>
      <w:r>
        <w:t xml:space="preserve">.</w:t>
      </w:r>
    </w:p>
    <w:p>
      <w:pPr>
        <w:pStyle w:val="BodyText"/>
        <w:spacing w:line="480" w:lineRule="auto"/>
        <w:ind w:firstLine="720"/>
      </w:pPr>
      <w:r>
        <w:t xml:space="preserve">The data-assimilation literature deepens the same point by showing that neutral density uncertainty can be qualified and reduced through physics-based assimilation of observations</w:t>
      </w:r>
      <w:r>
        <w:t xml:space="preserve"> </w:t>
      </w:r>
      <w:hyperlink w:anchor="ref-21">
        <w:r>
          <w:rPr>
            <w:rStyle w:val="Hyperlink"/>
          </w:rPr>
          <w:t xml:space="preserve">[21]</w:t>
        </w:r>
      </w:hyperlink>
      <w:r>
        <w:t xml:space="preserve">. This is the maturity mechanism made concrete: the difference between a poorly known a priori atmosphere and a well-characterized assimilated one is precisely the kind of investment whose landed return this dissertation seeks to measure. Assimilation does not eliminate the residual, but it moves the forecast-error magnitude along a continuum, and that continuum is the axis along which the dissertation’s treatment arms are defined. The assimilation literature thereby tells us both that the independent variable is controllable and roughly how far it can be moved</w:t>
      </w:r>
      <w:r>
        <w:t xml:space="preserve"> </w:t>
      </w:r>
      <w:hyperlink w:anchor="ref-21">
        <w:r>
          <w:rPr>
            <w:rStyle w:val="Hyperlink"/>
          </w:rPr>
          <w:t xml:space="preserve">[21]</w:t>
        </w:r>
      </w:hyperlink>
      <w:r>
        <w:t xml:space="preserve">.</w:t>
      </w:r>
    </w:p>
    <w:p>
      <w:pPr>
        <w:pStyle w:val="BodyText"/>
        <w:spacing w:line="480" w:lineRule="auto"/>
        <w:ind w:firstLine="720"/>
      </w:pPr>
      <w:r>
        <w:t xml:space="preserve">Two further threads enrich the density picture. The ballistic-coefficient-and-atmosphere-model literature demonstrates that the predicted reentry moment depends jointly on the atmosphere model and on the quality of the ballistic coefficient estimate, so that atmospheric uncertainty does not act in isolation but interacts with vehicle aerodynamics</w:t>
      </w:r>
      <w:r>
        <w:t xml:space="preserve"> </w:t>
      </w:r>
      <w:hyperlink w:anchor="ref-19">
        <w:r>
          <w:rPr>
            <w:rStyle w:val="Hyperlink"/>
          </w:rPr>
          <w:t xml:space="preserve">[19]</w:t>
        </w:r>
      </w:hyperlink>
      <w:r>
        <w:t xml:space="preserve">. And the reentry-modeling-and-uncertainty-quantification literature establishes that propagating an uncertain atmosphere to a reentry outcome is itself a recognized problem with its own methods, even when the outcome of interest is a reentry footprint rather than a guided landing ellipse</w:t>
      </w:r>
      <w:r>
        <w:t xml:space="preserve"> </w:t>
      </w:r>
      <w:hyperlink w:anchor="ref-17">
        <w:r>
          <w:rPr>
            <w:rStyle w:val="Hyperlink"/>
          </w:rPr>
          <w:t xml:space="preserve">[17]</w:t>
        </w:r>
      </w:hyperlink>
      <w:r>
        <w:t xml:space="preserve">. Both threads reinforce that the atmosphere-to-outcome chain is uncertain at every link, and both stop short of the guided-EDL landed state that is this dissertation’s dependent variable.</w:t>
      </w:r>
    </w:p>
    <w:p>
      <w:pPr>
        <w:pStyle w:val="BodyText"/>
        <w:spacing w:line="480" w:lineRule="auto"/>
        <w:ind w:firstLine="720"/>
      </w:pPr>
      <w:r>
        <w:t xml:space="preserve">What the density literature establishes, then, is the magnitude, the shape, the floor, and the controllability of forecast error. What it does not do is carry that error to a landed outcome. Every paper in this section stops at the atmosphere [1, 2, 3, 17, 19, 21]. Not one crosses to the ground. None of them connects a given forecast-error magnitude to a landing-ellipse size or to a survival probability. The density literature quantifies the input to the question this dissertation asks but never computes the output.</w:t>
      </w:r>
    </w:p>
    <w:bookmarkEnd w:id="69"/>
    <w:bookmarkStart w:id="70" w:name="Xb840131cd20fcbd2dcf2a794ebaaaf7dd9d286a"/>
    <w:p>
      <w:pPr>
        <w:pStyle w:val="Heading2"/>
        <w:spacing w:line="480" w:lineRule="auto"/>
      </w:pPr>
      <w:r>
        <w:t xml:space="preserve">2.3 The Entry-Guidance and EDL-Architecture Literature: How the Controller Absorbs Ignorance</w:t>
      </w:r>
    </w:p>
    <w:p>
      <w:pPr>
        <w:pStyle w:val="FirstParagraph"/>
        <w:spacing w:line="480" w:lineRule="auto"/>
      </w:pPr>
      <w:r>
        <w:t xml:space="preserve">The second domain literature begins where the first ends, at the moment the uncertain atmosphere is handed to a controller. Its central posture, consistent across decades, is to harden the controller rather than the forecast. The robust nonlinear entry-guidance literature is built on exactly this premise: a reference-tracking guidance law is designed to follow an intended trajectory in the presence of dispersions in entry state and model errors, including the drag and lift dispersions that stand in for atmospheric uncertainty [4, 26]. The design philosophy is to assume the atmosphere is poorly known and to engineer a controller that survives the ignorance. This is rational engineering, but it is silent on the economic question, because it treats the magnitude of atmospheric uncertainty as a fixed adversary rather than as a controllable input that could be traded against cost.</w:t>
      </w:r>
    </w:p>
    <w:p>
      <w:pPr>
        <w:pStyle w:val="BodyText"/>
        <w:spacing w:line="480" w:lineRule="auto"/>
        <w:ind w:firstLine="720"/>
      </w:pPr>
      <w:r>
        <w:t xml:space="preserve">The controlled-reentry literature for small spacecraft makes the same move and exposes the same silence. Guidance strategies for controlled Earth reentry are evaluated explicitly on their robustness against model errors in atmospheric density and characteristics</w:t>
      </w:r>
      <w:r>
        <w:t xml:space="preserve"> </w:t>
      </w:r>
      <w:hyperlink w:anchor="ref-5">
        <w:r>
          <w:rPr>
            <w:rStyle w:val="Hyperlink"/>
          </w:rPr>
          <w:t xml:space="preserve">[5]</w:t>
        </w:r>
      </w:hyperlink>
      <w:r>
        <w:t xml:space="preserve">. The metric of merit is how well the controller rejects atmospheric error, not how much atmospheric error there was to begin with or what it would be worth to reduce it. The literature on aerodynamic control systems for deployable reentry capsules and the dynamics of unconventional entry bodies extends the same control-centric framing to novel vehicle configurations, again treating the atmosphere as a disturbance to be rejected [30, 31]. Across this family of work, the atmosphere is the noise and the controller is the signal. The value of reducing the noise is never estimated.</w:t>
      </w:r>
    </w:p>
    <w:p>
      <w:pPr>
        <w:pStyle w:val="BodyText"/>
        <w:spacing w:line="480" w:lineRule="auto"/>
        <w:ind w:firstLine="720"/>
      </w:pPr>
      <w:r>
        <w:t xml:space="preserve">The foundational EDL-architecture literature frames the landed-state dispersion problem at the system level and is indispensable for understanding why the dependent variable is what it is. The Mars EDL challenges literature lays out the full chain from entry interface to touchdown and articulates why the landing ellipse is the currency in which EDL success is measured, why guided entry shrinks that ellipse relative to ballistic descent, and why the atmosphere is the dominant uncertainty in the deceleration phase</w:t>
      </w:r>
      <w:r>
        <w:t xml:space="preserve"> </w:t>
      </w:r>
      <w:hyperlink w:anchor="ref-7">
        <w:r>
          <w:rPr>
            <w:rStyle w:val="Hyperlink"/>
          </w:rPr>
          <w:t xml:space="preserve">[7]</w:t>
        </w:r>
      </w:hyperlink>
      <w:r>
        <w:t xml:space="preserve">. This is the source of the binary control-authority classification, guided versus ballistic, that the cross-mission panel uses as its principal confounder control. The landing-site-selection literature complements it by establishing that the landing ellipse is not an abstraction but a hard operational constraint, since sites are selected against the predicted ellipse and a larger ellipse forecloses scientifically valuable but hazardous terrain</w:t>
      </w:r>
      <w:r>
        <w:t xml:space="preserve"> </w:t>
      </w:r>
      <w:hyperlink w:anchor="ref-8">
        <w:r>
          <w:rPr>
            <w:rStyle w:val="Hyperlink"/>
          </w:rPr>
          <w:t xml:space="preserve">[8]</w:t>
        </w:r>
      </w:hyperlink>
      <w:r>
        <w:t xml:space="preserve">. The ellipse is therefore both the natural dependent variable and a quantity with direct mission consequence.</w:t>
      </w:r>
    </w:p>
    <w:p>
      <w:pPr>
        <w:pStyle w:val="BodyText"/>
        <w:spacing w:line="480" w:lineRule="auto"/>
        <w:ind w:firstLine="720"/>
      </w:pPr>
      <w:r>
        <w:t xml:space="preserve">The reconstruction literature supplies the mechanism by which atmospheric knowledge actually matures across missions. Accelerometer-derived atmospheric reconstruction during aerobraking operations shows how each orbiter and each entry returns an in-situ-anchored density profile that feeds the design database for subsequent missions</w:t>
      </w:r>
      <w:r>
        <w:t xml:space="preserve"> </w:t>
      </w:r>
      <w:hyperlink w:anchor="ref-10">
        <w:r>
          <w:rPr>
            <w:rStyle w:val="Hyperlink"/>
          </w:rPr>
          <w:t xml:space="preserve">[10]</w:t>
        </w:r>
      </w:hyperlink>
      <w:r>
        <w:t xml:space="preserve">. The Mars 2020 entry-guidance design-and-post-flight-performance record demonstrates the modern end of that maturation, where a guided entry flies against an assimilated atmosphere and reconstructs the realized profile afterward</w:t>
      </w:r>
      <w:r>
        <w:t xml:space="preserve"> </w:t>
      </w:r>
      <w:hyperlink w:anchor="ref-11">
        <w:r>
          <w:rPr>
            <w:rStyle w:val="Hyperlink"/>
          </w:rPr>
          <w:t xml:space="preserve">[11]</w:t>
        </w:r>
      </w:hyperlink>
      <w:r>
        <w:t xml:space="preserve">. The Phoenix EDL simulation-design literature documents the Monte Carlo dispersion methodology itself, the very machinery the dissertation’s controlled study adopts, showing how a mission certifies its landing ellipse by propagating dispersed atmospheres through a fixed guidance pipeline</w:t>
      </w:r>
      <w:r>
        <w:t xml:space="preserve"> </w:t>
      </w:r>
      <w:hyperlink w:anchor="ref-15">
        <w:r>
          <w:rPr>
            <w:rStyle w:val="Hyperlink"/>
          </w:rPr>
          <w:t xml:space="preserve">[15]</w:t>
        </w:r>
      </w:hyperlink>
      <w:r>
        <w:t xml:space="preserve">. The Pathfinder accelerometer-derived density and pressure profiles are the archetype of the reconstructed in-situ measurement that anchors the maturity coding</w:t>
      </w:r>
      <w:r>
        <w:t xml:space="preserve"> </w:t>
      </w:r>
      <w:hyperlink w:anchor="ref-12">
        <w:r>
          <w:rPr>
            <w:rStyle w:val="Hyperlink"/>
          </w:rPr>
          <w:t xml:space="preserve">[12]</w:t>
        </w:r>
      </w:hyperlink>
      <w:r>
        <w:t xml:space="preserve">. Together these establish that pre-entry atmospheric knowledge is a real, datable, mission-by-mission stock that grew from the Viking-era a priori atmosphere through reconnaissance-era assimilation [10, 11, 12, 15].</w:t>
      </w:r>
    </w:p>
    <w:p>
      <w:pPr>
        <w:pStyle w:val="BodyText"/>
        <w:spacing w:line="480" w:lineRule="auto"/>
        <w:ind w:firstLine="720"/>
      </w:pPr>
      <w:r>
        <w:t xml:space="preserve">The mission-record literature provides the raw outcomes. The NSSDCA master catalog records the fates of the early Soviet and Viking landers</w:t>
      </w:r>
      <w:r>
        <w:t xml:space="preserve"> </w:t>
      </w:r>
      <w:hyperlink w:anchor="ref-13">
        <w:r>
          <w:rPr>
            <w:rStyle w:val="Hyperlink"/>
          </w:rPr>
          <w:t xml:space="preserve">[13]</w:t>
        </w:r>
      </w:hyperlink>
      <w:r>
        <w:t xml:space="preserve">, the ESA record documents the Beagle 2 loss</w:t>
      </w:r>
      <w:r>
        <w:t xml:space="preserve"> </w:t>
      </w:r>
      <w:hyperlink w:anchor="ref-14">
        <w:r>
          <w:rPr>
            <w:rStyle w:val="Hyperlink"/>
          </w:rPr>
          <w:t xml:space="preserve">[14]</w:t>
        </w:r>
      </w:hyperlink>
      <w:r>
        <w:t xml:space="preserve">, and the NASA descent timeline establishes the canonical Mars entry-to-touchdown interval that becomes the survival duration in the hazard study</w:t>
      </w:r>
      <w:r>
        <w:t xml:space="preserve"> </w:t>
      </w:r>
      <w:hyperlink w:anchor="ref-9">
        <w:r>
          <w:rPr>
            <w:rStyle w:val="Hyperlink"/>
          </w:rPr>
          <w:t xml:space="preserve">[9]</w:t>
        </w:r>
      </w:hyperlink>
      <w:r>
        <w:t xml:space="preserve">. These are the sources from which the dependent variables, landing-ellipse size and EDL survival, are assembled.</w:t>
      </w:r>
    </w:p>
    <w:p>
      <w:pPr>
        <w:pStyle w:val="BodyText"/>
        <w:spacing w:line="480" w:lineRule="auto"/>
        <w:ind w:firstLine="720"/>
      </w:pPr>
      <w:r>
        <w:t xml:space="preserve">What the guidance and architecture literature establishes is that atmospheric error propagates all the way to a landed state, that the controller is the field’s chosen instrument for absorbing it, and that the landed state is measured as an ellipse or as a survival outcome with real mission consequence. What it does not do is treat the magnitude of atmospheric knowledge as a designed treatment along which a response slope can be estimated. The robustness studies vary dispersion bounds incidentally, as stress tests, not as an independent variable indexed for regression [4, 5, 26]. The architecture studies classify entry modes and report ellipses but never regress ellipse size on atmospheric knowledge while holding control authority fixed [7, 8]. The literature propagates the error to the outcome but treats the error as an adversary to be rejected, never as a controllable input to be valued.</w:t>
      </w:r>
    </w:p>
    <w:bookmarkEnd w:id="70"/>
    <w:bookmarkStart w:id="71" w:name="X4de3f93bc7a33311b86938eb350540e48661716"/>
    <w:p>
      <w:pPr>
        <w:pStyle w:val="Heading2"/>
        <w:spacing w:line="480" w:lineRule="auto"/>
      </w:pPr>
      <w:r>
        <w:t xml:space="preserve">2.4 The Uncertainty-Propagation Literature: The Bridge That Was Built for Something Else</w:t>
      </w:r>
    </w:p>
    <w:p>
      <w:pPr>
        <w:pStyle w:val="FirstParagraph"/>
        <w:spacing w:line="480" w:lineRule="auto"/>
      </w:pPr>
      <w:r>
        <w:t xml:space="preserve">Between the density literature and the guidance literature sits a third domain body of work that propagates an uncertain atmosphere forward through a trajectory and quantifies the downstream consequence. This literature is the closest the domain has come to joining input and output, and it is instructive precisely because it built the bridge for a different destination.</w:t>
      </w:r>
    </w:p>
    <w:p>
      <w:pPr>
        <w:pStyle w:val="BodyText"/>
        <w:spacing w:line="480" w:lineRule="auto"/>
        <w:ind w:firstLine="720"/>
      </w:pPr>
      <w:r>
        <w:t xml:space="preserve">The integrated-modeling literature couples atmospheric perturbation modeling, uncertainty quantification, and downstream trajectory consequence within a single framework</w:t>
      </w:r>
      <w:r>
        <w:t xml:space="preserve"> </w:t>
      </w:r>
      <w:hyperlink w:anchor="ref-6">
        <w:r>
          <w:rPr>
            <w:rStyle w:val="Hyperlink"/>
          </w:rPr>
          <w:t xml:space="preserve">[6]</w:t>
        </w:r>
      </w:hyperlink>
      <w:r>
        <w:t xml:space="preserve">. That framework propagates density uncertainty to a trajectory outcome, but the outcome is conjunction tracking and catalog maintenance, not the landed state of an EDL system</w:t>
      </w:r>
      <w:r>
        <w:t xml:space="preserve"> </w:t>
      </w:r>
      <w:hyperlink w:anchor="ref-6">
        <w:r>
          <w:rPr>
            <w:rStyle w:val="Hyperlink"/>
          </w:rPr>
          <w:t xml:space="preserve">[6]</w:t>
        </w:r>
      </w:hyperlink>
      <w:r>
        <w:t xml:space="preserve">. The architecture is exactly the transfer-function machinery the dissertation needs, applied to a different target. The multi-fidelity uncertainty-propagation literature shows how systematic errors, of which density-model bias is the canonical example, can be carried forward through an orbit propagation while accounting for the distinction between random and systematic components</w:t>
      </w:r>
      <w:r>
        <w:t xml:space="preserve"> </w:t>
      </w:r>
      <w:hyperlink w:anchor="ref-18">
        <w:r>
          <w:rPr>
            <w:rStyle w:val="Hyperlink"/>
          </w:rPr>
          <w:t xml:space="preserve">[18]</w:t>
        </w:r>
      </w:hyperlink>
      <w:r>
        <w:t xml:space="preserve">. This is methodologically central, because the dissertation’s imposed forecast error is a systematic bias, not random noise, and the multi-fidelity work establishes that the distinction changes how uncertainty propagates</w:t>
      </w:r>
      <w:r>
        <w:t xml:space="preserve"> </w:t>
      </w:r>
      <w:hyperlink w:anchor="ref-18">
        <w:r>
          <w:rPr>
            <w:rStyle w:val="Hyperlink"/>
          </w:rPr>
          <w:t xml:space="preserve">[18]</w:t>
        </w:r>
      </w:hyperlink>
      <w:r>
        <w:t xml:space="preserve">. The adaptive Gaussian-mixture propagation literature extends nonlinear uncertainty propagation to regimes where a single Gaussian fails, demonstrating the statistical machinery for carrying a non-Gaussian forecast-error distribution through a nonlinear dynamical system</w:t>
      </w:r>
      <w:r>
        <w:t xml:space="preserve"> </w:t>
      </w:r>
      <w:hyperlink w:anchor="ref-22">
        <w:r>
          <w:rPr>
            <w:rStyle w:val="Hyperlink"/>
          </w:rPr>
          <w:t xml:space="preserve">[22]</w:t>
        </w:r>
      </w:hyperlink>
      <w:r>
        <w:t xml:space="preserve">.</w:t>
      </w:r>
    </w:p>
    <w:p>
      <w:pPr>
        <w:pStyle w:val="BodyText"/>
        <w:spacing w:line="480" w:lineRule="auto"/>
        <w:ind w:firstLine="720"/>
      </w:pPr>
      <w:r>
        <w:t xml:space="preserve">The Mars-specific uncertainty literature is nearer still to the target. Mars entry trajectory robust optimization under epistemic uncertainty treats atmospheric uncertainty as an explicit object and optimizes the trajectory against it using evidence theory</w:t>
      </w:r>
      <w:r>
        <w:t xml:space="preserve"> </w:t>
      </w:r>
      <w:hyperlink w:anchor="ref-24">
        <w:r>
          <w:rPr>
            <w:rStyle w:val="Hyperlink"/>
          </w:rPr>
          <w:t xml:space="preserve">[24]</w:t>
        </w:r>
      </w:hyperlink>
      <w:r>
        <w:t xml:space="preserve">. Mars entry trajectory planning using robust optimization and uncertainty quantification carries the uncertain atmosphere into the trajectory-planning stage and quantifies the resulting dispersion</w:t>
      </w:r>
      <w:r>
        <w:t xml:space="preserve"> </w:t>
      </w:r>
      <w:hyperlink w:anchor="ref-27">
        <w:r>
          <w:rPr>
            <w:rStyle w:val="Hyperlink"/>
          </w:rPr>
          <w:t xml:space="preserve">[27]</w:t>
        </w:r>
      </w:hyperlink>
      <w:r>
        <w:t xml:space="preserve">. These are the domain papers that come closest to the dissertation’s question: they have the uncertain Martian atmosphere, the entry trajectory, and a quantified outcome. Yet they optimize the trajectory against fixed uncertainty rather than varying the uncertainty as a treatment and measuring the response slope. They ask how to fly best given the ignorance, not what it would be worth to reduce the ignorance [24, 27]. The semi-analytical Mars orbit propagation literature, built to assess planetary-protection compliance, demonstrates the same propagation discipline applied to a regulatory rather than a landed-precision target</w:t>
      </w:r>
      <w:r>
        <w:t xml:space="preserve"> </w:t>
      </w:r>
      <w:hyperlink w:anchor="ref-25">
        <w:r>
          <w:rPr>
            <w:rStyle w:val="Hyperlink"/>
          </w:rPr>
          <w:t xml:space="preserve">[25]</w:t>
        </w:r>
      </w:hyperlink>
      <w:r>
        <w:t xml:space="preserve">. The shallow-controlled-reentry safety literature applies reduced-order modeling and input statistics to a reentry safety outcome, again propagating atmospheric uncertainty to a footprint rather than to a guided landing ellipse</w:t>
      </w:r>
      <w:r>
        <w:t xml:space="preserve"> </w:t>
      </w:r>
      <w:hyperlink w:anchor="ref-29">
        <w:r>
          <w:rPr>
            <w:rStyle w:val="Hyperlink"/>
          </w:rPr>
          <w:t xml:space="preserve">[29]</w:t>
        </w:r>
      </w:hyperlink>
      <w:r>
        <w:t xml:space="preserve">.</w:t>
      </w:r>
    </w:p>
    <w:p>
      <w:pPr>
        <w:pStyle w:val="BodyText"/>
        <w:spacing w:line="480" w:lineRule="auto"/>
        <w:ind w:firstLine="720"/>
      </w:pPr>
      <w:r>
        <w:t xml:space="preserve">The lesson of the propagation literature is that the bridge from uncertain atmosphere to quantified outcome already exists and is well developed, but every published instance points it at a destination other than the landed-state value of forecast quality [6, 18, 22, 24, 25, 27, 29]. The machinery for carrying a calibrated forecast-error distribution through a nonlinear entry and reading off a dispersion is mature. It has simply never been aimed the right way. No published instance points it at the question of what a marginal improvement in the forecast is worth in landed precision.</w:t>
      </w:r>
    </w:p>
    <w:bookmarkEnd w:id="71"/>
    <w:bookmarkStart w:id="72"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second of the two unjoined literatures is methodological, and the EDL domain has not borrowed from it. Cliometrics is the application of formal econometric estimation to a historical record in order to recover a causal or quasi-causal parameter, with explicit attention to confounding, identification, and the honest reporting of uncertainty around a single estimand. The defining commitments of this tradition are three: state a falsifiable null about a parameter, identify that parameter by either manipulating the treatment or holding confounders fixed, and report a confidence interval that admits the possibility of being wrong. None of these commitments appears in the EDL robustness literature, which reports point performance under stress rather than an estimated slope with an interval.</w:t>
      </w:r>
    </w:p>
    <w:p>
      <w:pPr>
        <w:pStyle w:val="BodyText"/>
        <w:spacing w:line="480" w:lineRule="auto"/>
        <w:ind w:firstLine="720"/>
      </w:pPr>
      <w:r>
        <w:t xml:space="preserve">The first methodological instrument is the controlled treatment design, in which the experimenter sets the independent variable and holds everything else fixed, so that variation in the outcome is attributable to the manipulated input by construction. The EDL domain already owns the simulation machinery for this, in the form of the Monte Carlo dispersion study that certifies a landing ellipse</w:t>
      </w:r>
      <w:r>
        <w:t xml:space="preserve"> </w:t>
      </w:r>
      <w:hyperlink w:anchor="ref-15">
        <w:r>
          <w:rPr>
            <w:rStyle w:val="Hyperlink"/>
          </w:rPr>
          <w:t xml:space="preserve">[15]</w:t>
        </w:r>
      </w:hyperlink>
      <w:r>
        <w:t xml:space="preserve">. What the domain has not done is use that machinery as a designed experiment with forecast quality as the manipulated factor and an estimated elasticity as the output. The econometric contribution is the recognition that when the independent variable is set by the experimenter and is not jointly determined with the outcome, a regression of outcome on input recovers a causal elasticity rather than an observational correlation. This is the identification argument the dissertation’s controlled Monte Carlo study rests on, and it is borrowed wholesale from the experimental-design tradition rather than from EDL practice. The density survey and the precision-orbit work supply the calibration that makes the manipulated atmosphere realistic, ensuring the simulated atmosphere is no better and no worse known than the real one [1, 2], while the generative-uncertainty work supplies the distributional shape of the imposed error</w:t>
      </w:r>
      <w:r>
        <w:t xml:space="preserve"> </w:t>
      </w:r>
      <w:hyperlink w:anchor="ref-3">
        <w:r>
          <w:rPr>
            <w:rStyle w:val="Hyperlink"/>
          </w:rPr>
          <w:t xml:space="preserve">[3]</w:t>
        </w:r>
      </w:hyperlink>
      <w:r>
        <w:t xml:space="preserve">.</w:t>
      </w:r>
    </w:p>
    <w:p>
      <w:pPr>
        <w:pStyle w:val="BodyText"/>
        <w:spacing w:line="480" w:lineRule="auto"/>
        <w:ind w:firstLine="720"/>
      </w:pPr>
      <w:r>
        <w:t xml:space="preserve">The second instrument is the cross-sectional regression with confounders held fixed, the workhorse of cliometric history. Here the treatment cannot be manipulated because the historical record is what it is, and identification rests instead on including the principal confounders as covariates so that the coefficient of interest is estimated from variation in the treatment after the confounders are differenced out. The dissertation’s cross-mission panel is a direct application: it regresses the log landing-ellipse size on an ordinal atmospheric-knowledge maturity index while holding entry mode and vehicle scale fixed, so that the maturity coefficient is identified from variation in knowledge after the average effect of guided-versus-ballistic entry and of vehicle mass is removed. The maturity coding is grounded in the documented heritage of atmospheric models, from the Viking a priori atmosphere through the reconnaissance-era assimilation [1, 10, 11, 12], and the entry-mode classification follows the standard architecture taxonomy [4, 7]. The cliometric discipline supplies the central caution: when the treatment and a confounder are correlated in the historical record, as atmospheric maturity and guided control are, the additive specification separates their average effects but cannot fully break a correlation that history itself imposed. This is an honest limit stated in the methodological idiom, and it is the idiom the EDL robustness literature lacks.</w:t>
      </w:r>
    </w:p>
    <w:p>
      <w:pPr>
        <w:pStyle w:val="BodyText"/>
        <w:spacing w:line="480" w:lineRule="auto"/>
        <w:ind w:firstLine="720"/>
      </w:pPr>
      <w:r>
        <w:t xml:space="preserve">The third instrument is survival analysis, specifically the Cox proportional-hazards model, which estimates the multiplicative effect of a covariate on the instantaneous hazard of an event without forcing a parametric shape on the baseline risk. This is the correct tool when the outcome is a time-to-failure inside a short, sharply bounded interval, exactly the seven-minute Martian descent whose canonical duration the NASA timeline fixes</w:t>
      </w:r>
      <w:r>
        <w:t xml:space="preserve"> </w:t>
      </w:r>
      <w:hyperlink w:anchor="ref-9">
        <w:r>
          <w:rPr>
            <w:rStyle w:val="Hyperlink"/>
          </w:rPr>
          <w:t xml:space="preserve">[9]</w:t>
        </w:r>
      </w:hyperlink>
      <w:r>
        <w:t xml:space="preserve">. The proportional-hazards framework lets the dissertation estimate the hazard ratio attached to prior in-situ atmospheric density reconnaissance across the documented Martian EDL cohort, with accumulated entry experience held fixed, where the reconnaissance covariate is dated to the arrival of orbiter-returned density data</w:t>
      </w:r>
      <w:r>
        <w:t xml:space="preserve"> </w:t>
      </w:r>
      <w:hyperlink w:anchor="ref-10">
        <w:r>
          <w:rPr>
            <w:rStyle w:val="Hyperlink"/>
          </w:rPr>
          <w:t xml:space="preserve">[10]</w:t>
        </w:r>
      </w:hyperlink>
      <w:r>
        <w:t xml:space="preserve"> </w:t>
      </w:r>
      <w:r>
        <w:t xml:space="preserve">and the outcomes are sourced from the mission record [9, 13, 14]. The methodological literature also supplies the discipline for small-sample survival estimation: with few events, the specification must be parsimonious to avoid overfitting, and a covariate that induces quasi-complete separation, as the control-authority indicator does when it is nearly collinear with reconnaissance, must be excluded with that exclusion reported as itself a finding about the confounded record. This is the cliometric posture applied to a domain that has never seen it.</w:t>
      </w:r>
    </w:p>
    <w:p>
      <w:pPr>
        <w:pStyle w:val="BodyText"/>
        <w:spacing w:line="480" w:lineRule="auto"/>
        <w:ind w:firstLine="720"/>
      </w:pPr>
      <w:r>
        <w:t xml:space="preserve">What the methodology literature offers, then, is a toolkit, three estimators, each matched to a different feature of the evidence: a controlled elasticity where the treatment can be manipulated, a cross-sectional coefficient where it cannot but confounders can be held fixed, and a hazard ratio where the outcome is a censored time-to-event. The EDL domain has the data and the simulation machinery for all three but has applied none of them to the value of atmospheric knowledge, because the domain frames atmospheric uncertainty as an adversary to be rejected rather than as a treatment whose effect can be estimated.</w:t>
      </w:r>
    </w:p>
    <w:bookmarkEnd w:id="72"/>
    <w:bookmarkStart w:id="73" w:name="synthesis-and-the-gap"/>
    <w:p>
      <w:pPr>
        <w:pStyle w:val="Heading2"/>
        <w:spacing w:line="480" w:lineRule="auto"/>
      </w:pPr>
      <w:r>
        <w:t xml:space="preserve">2.6 Synthesis and the Gap</w:t>
      </w:r>
    </w:p>
    <w:p>
      <w:pPr>
        <w:pStyle w:val="FirstParagraph"/>
        <w:spacing w:line="480" w:lineRule="auto"/>
      </w:pPr>
      <w:r>
        <w:t xml:space="preserve">The two literatures bracket the question without answering it, and the gap is precisely at their junction. The density-modeling literature quantifies how wrong the forecast is, characterizes its shape, establishes its floor, and demonstrates its controllability, but stops at the atmosphere and never propagates a given error magnitude to a landed outcome [1, 2, 3, 17, 19, 21]. The entry-guidance and architecture literature propagates atmospheric error all the way to a landed state and measures that state as an ellipse and a survival outcome with hard mission consequence, but treats the magnitude of the error as a fixed adversary to be rejected, never as a controllable input to be valued [4, 5, 7, 8, 26, 30, 31]. The uncertainty-propagation literature builds the exact transfer-function machinery that would join the two but points it at conjunction tracking, planetary-protection compliance, and reentry safety footprints rather than at the landed-state return on forecast quality [6, 18, 22, 24, 25, 27, 29]. And the cliometric and econometric methodology literature supplies the estimators that would convert a manipulated input or a confounded record into a decision-relevant slope, but has never been brought to bear on the EDL domain at all.</w:t>
      </w:r>
    </w:p>
    <w:p>
      <w:pPr>
        <w:pStyle w:val="BodyText"/>
        <w:spacing w:line="480" w:lineRule="auto"/>
        <w:ind w:firstLine="720"/>
      </w:pPr>
      <w:r>
        <w:t xml:space="preserve">The gap is therefore neither in density science, nor in guidance design, nor in propagation method, nor in econometric technique, but in the absence of any work that joins them. No retrieved study treats pre-entry density-forecast quality as a continuously varied independent variable and measures the resulting landed-state dispersion as the dependent variable while holding the guidance law and vehicle fixed. No retrieved study regresses a cross-mission landing-ellipse record on atmospheric-knowledge maturity while controlling for the entry-mode confounder. No retrieved study estimates the failure hazard attached to atmospheric reconnaissance across the Martian flight cohort. What is missing, in a single phrase, is the transfer function from forecast-error reduction to landed-state improvement, estimated with the controller held fixed so that the mapping reflects the value of knowledge rather than the value of control.</w:t>
      </w:r>
    </w:p>
    <w:p>
      <w:pPr>
        <w:pStyle w:val="BodyText"/>
        <w:spacing w:line="480" w:lineRule="auto"/>
        <w:ind w:firstLine="720"/>
      </w:pPr>
      <w:r>
        <w:t xml:space="preserve">The robustness studies vary dispersion bounds incidentally, as stress tests, not as a designed treatment along which a response slope can be estimated [4, 5, 26]. The density surveys report error magnitudes but never connect a given magnitude to a landing-ellipse size or a survival probability [1, 2]. The propagation studies carry uncertainty forward but optimize against it rather than estimating the return on reducing it [24, 27]. The methodological tradition that would close the loop, by stating a falsifiable null about an elasticity or a hazard ratio and reporting a confidence interval around it, has simply not been imported into the field.</w:t>
      </w:r>
    </w:p>
    <w:p>
      <w:pPr>
        <w:pStyle w:val="BodyText"/>
        <w:spacing w:line="480" w:lineRule="auto"/>
        <w:ind w:firstLine="720"/>
      </w:pPr>
      <w:r>
        <w:t xml:space="preserve">This dissertation closes that gap from three directions, each matched to one of the methodological instruments surveyed above and each anchored to the same density-error and EDL-outcome evidence. The controlled Monte Carlo study manipulates forecast quality directly inside a fixed guidance pipeline, calibrating the realized atmosphere and the imposed forecast error to the published density-model residuals [1, 2, 3] and adopting a published reference-tracking guidance law so the controller’s absorption behavior reflects current practice [4, 26]; it estimates the elasticity of landed dispersion with respect to forecast error and tests whether that elasticity is zero. The cross-mission panel cannot manipulate anything but tests the same proposition against the flight record, regressing the landing ellipse on atmospheric-knowledge maturity while holding entry mode and vehicle scale fixed, with the maturity index grounded in documented model heritage [10, 11, 12] and the entry-mode control following the architecture taxonomy</w:t>
      </w:r>
      <w:r>
        <w:t xml:space="preserve"> </w:t>
      </w:r>
      <w:hyperlink w:anchor="ref-7">
        <w:r>
          <w:rPr>
            <w:rStyle w:val="Hyperlink"/>
          </w:rPr>
          <w:t xml:space="preserve">[7]</w:t>
        </w:r>
      </w:hyperlink>
      <w:r>
        <w:t xml:space="preserve">. The survival study asks the coarsest and most consequential version of the question, estimating across the Martian EDL cohort whether prior atmospheric reconnaissance lowers the failure hazard of the descent, with the survival duration fixed by the canonical descent timeline</w:t>
      </w:r>
      <w:r>
        <w:t xml:space="preserve"> </w:t>
      </w:r>
      <w:hyperlink w:anchor="ref-9">
        <w:r>
          <w:rPr>
            <w:rStyle w:val="Hyperlink"/>
          </w:rPr>
          <w:t xml:space="preserve">[9]</w:t>
        </w:r>
      </w:hyperlink>
      <w:r>
        <w:t xml:space="preserve"> </w:t>
      </w:r>
      <w:r>
        <w:t xml:space="preserve">and the outcomes sourced from the mission record [13, 14].</w:t>
      </w:r>
    </w:p>
    <w:p>
      <w:pPr>
        <w:pStyle w:val="BodyText"/>
        <w:spacing w:line="480" w:lineRule="auto"/>
        <w:ind w:firstLine="720"/>
      </w:pPr>
      <w:r>
        <w:t xml:space="preserve">The three approaches are deliberately complementary in their identification logic. The controlled study isolates the atmospheric channel cleanly because the experimenter holds the controller fixed and sets the treatment, recovering a causal elasticity at the cost of relying on a synthetic atmosphere whose realism depends entirely on the published calibration [1, 2, 3]. The panel and the survival study cannot isolate the channel, because in the flight record atmospheric maturity and guided control matured together as nearly the same historical event, but they test the same proposition against the only ground truth that exists, namely what real missions achieved [7, 9, 13]. A controlled elasticity that points the same direction as an observational dispersion coefficient and an observational hazard ratio is stronger evidence for the landed value of atmospheric knowledge than any one of them could supply alone, precisely because the controlled study answers the confounding objection the observational studies cannot, while the observational studies answer the external-validity objection the controlled study cannot. The convergence of the three is the dissertation’s strategy for converting an intuition that pervades EDL practice into a quantified, falsifiable, decision-relevant estimate of what atmospheric knowledge is worth.</w:t>
      </w:r>
    </w:p>
    <w:p>
      <w:pPr>
        <w:pStyle w:val="BodyText"/>
        <w:spacing w:line="480" w:lineRule="auto"/>
        <w:ind w:firstLine="720"/>
      </w:pPr>
      <w:r>
        <w:t xml:space="preserve">The remainder of the dissertation executes this strategy. Chapter 3 develops the formal estimands and the identification arguments for each of the three studies, stating the null and alternative hypotheses in the parameter idiom the methodology literature requires. Chapter 4 specifies the controlled Monte Carlo design, the calibration of the synthetic atmosphere to the published residuals, and the log-log elasticity estimator. Chapter 5 specifies the cross-mission panel and the survival cohort, their data provenance, and their confounder controls. Chapters 6 and 7 report the estimates and subject them to the threats-to-validity analysis the cliometric tradition demands, including the external-validity bound across the gravity domain, the guidance-law dependence of the conditional elasticity, the scalarization of dispersion and forecast error, and the calibration-circularity risk that preregistration of the calibration mapping is designed to forestall. Throughout, the standard is the one neither domain literature alone has met: a single estimated parameter, identified by design or by held-fixed confounders, reported with an honest interval that admits the null.</w:t>
      </w:r>
    </w:p>
    <w:bookmarkEnd w:id="73"/>
    <w:bookmarkEnd w:id="74"/>
    <w:bookmarkStart w:id="83" w:name="Xcfcc00a3ded59aed0c781c16bfc121f2a509603"/>
    <w:p>
      <w:pPr>
        <w:pStyle w:val="Heading1"/>
        <w:spacing w:line="480" w:lineRule="auto"/>
      </w:pPr>
      <w:r>
        <w:t xml:space="preserve">Chapter 3. Theoretical Framework and Hypotheses</w:t>
      </w:r>
    </w:p>
    <w:bookmarkStart w:id="75" w:name="purpose-and-scope-of-the-chapter"/>
    <w:p>
      <w:pPr>
        <w:pStyle w:val="Heading2"/>
        <w:spacing w:line="480" w:lineRule="auto"/>
      </w:pPr>
      <w:r>
        <w:t xml:space="preserve">3.1 Purpose and Scope of the Chapter</w:t>
      </w:r>
    </w:p>
    <w:p>
      <w:pPr>
        <w:pStyle w:val="FirstParagraph"/>
        <w:spacing w:line="480" w:lineRule="auto"/>
      </w:pPr>
      <w:r>
        <w:t xml:space="preserve">The two preceding chapters established the problem and surveyed the literature that brackets it. Chapter 1 framed the structural liability of atmospheric entry, descent, and landing (EDL): the vehicle commits to an entry trajectory under a forecast of the atmosphere it will fly through, and the realized atmosphere departs from that forecast, leaving the controller to absorb the residual as dispersion in the landed state. Chapter 2 showed that three bodies of work surround this liability without closing it. The density-modeling literature quantifies how wrong the forecasts are but stops at the atmosphere [1, 2, 3]. The entry-guidance literature carries atmospheric error all the way to a landed state but treats the magnitude of that error as a fixed adversary to be rejected rather than a controllable input to be valued [4, 5]. The integrated-modeling literature couples atmospheric perturbation, uncertainty quantification, and downstream trajectory consequence within one framework, but does so for conjunction tracking rather than for the landed outcome of an EDL system</w:t>
      </w:r>
      <w:r>
        <w:t xml:space="preserve"> </w:t>
      </w:r>
      <w:hyperlink w:anchor="ref-6">
        <w:r>
          <w:rPr>
            <w:rStyle w:val="Hyperlink"/>
          </w:rPr>
          <w:t xml:space="preserve">[6]</w:t>
        </w:r>
      </w:hyperlink>
      <w:r>
        <w:t xml:space="preserve">.</w:t>
      </w:r>
    </w:p>
    <w:p>
      <w:pPr>
        <w:pStyle w:val="BodyText"/>
        <w:spacing w:line="480" w:lineRule="auto"/>
        <w:ind w:firstLine="720"/>
      </w:pPr>
      <w:r>
        <w:t xml:space="preserve">This chapter builds the theoretical bridge across that junction. Its task is to state, in precise and falsifiable terms, the causal mechanism by which pre-entry atmospheric knowledge could reduce landed-state dispersion, to identify the conditions under which that mechanism would operate and the conditions under which it would not, and to convert the mechanism into a pair of formal hypotheses whose rejection or non-rejection carries decision-relevant content for an EDL program allocating scarce investment between forecast quality and control authority. The chapter proceeds from physics to economics to formal statement. Section 3.2 develops the deceleration physics that make atmospheric density the dominant uncontrolled driver of the entry trajectory. Section 3.3 specifies the closed-loop control channel through which the realized atmosphere is partially, but only partially, rejected. Section 3.4 assembles these into the central causal logic and the estimand, the elasticity of landed-state dispersion with respect to pre-entry density-forecast error. Section 3.5 develops the two competing theoretical accounts, the full-absorption account and the residual-value account, and shows that they make opposite predictions about the sign of that elasticity. Section 3.6 states the formal hypotheses H0 and H1. Section 3.7 derives the auxiliary predictions that the hypotheses imply for the cross-mission and survival evidence developed elsewhere in the dissertation, so that the theoretical framework governs all three empirical lines rather than the controlled experiment alone. Section 3.8 records the scope conditions and boundary assumptions under which the framework is claimed to hold.</w:t>
      </w:r>
    </w:p>
    <w:bookmarkEnd w:id="75"/>
    <w:bookmarkStart w:id="76" w:name="Xa636fdf74ec591d224125dfb1313834d5617dfc"/>
    <w:p>
      <w:pPr>
        <w:pStyle w:val="Heading2"/>
        <w:spacing w:line="480" w:lineRule="auto"/>
      </w:pPr>
      <w:r>
        <w:t xml:space="preserve">3.2 The Physical Mechanism: Density as the Uncontrolled Driver</w:t>
      </w:r>
    </w:p>
    <w:p>
      <w:pPr>
        <w:pStyle w:val="FirstParagraph"/>
        <w:spacing w:line="480" w:lineRule="auto"/>
      </w:pPr>
      <w:r>
        <w:t xml:space="preserve">The starting point is the elementary observation that, once a vehicle is captured by a planetary atmosphere, the dominant deceleration physics are set by the density profile the vehicle actually encounters. Aerodynamic deceleration scales with the product of atmospheric density and the square of velocity, mediated by the vehicle’s ballistic coefficient and its lift and drag coefficients. Of the quantities entering that relation, the velocity is a state the navigation system measures, and the aerodynamic coefficients are properties of a vehicle whose shape and mass are fixed before flight and characterized in wind-tunnel and computational campaigns. Density alone is a property of the medium, varying in space and time on scales the vehicle cannot control and can know in advance only as a forecast.</w:t>
      </w:r>
    </w:p>
    <w:p>
      <w:pPr>
        <w:pStyle w:val="BodyText"/>
        <w:spacing w:line="480" w:lineRule="auto"/>
        <w:ind w:firstLine="720"/>
      </w:pPr>
      <w:r>
        <w:t xml:space="preserve">The magnitude of that forecast problem is not incidental. It is structural. The operations-ready thermospheric density survey documents that the major drag-relevant density models, including the High Accuracy Satellite Drag Model, the Mass Spectrometer and Incoherent Scatter family, JB2008, the Drag Temperature Model, and the physics-based coupled models, disagree with one another and with truth by margins large enough to matter for any application that integrates a trajectory through the upper atmosphere</w:t>
      </w:r>
      <w:r>
        <w:t xml:space="preserve"> </w:t>
      </w:r>
      <w:hyperlink w:anchor="ref-1">
        <w:r>
          <w:rPr>
            <w:rStyle w:val="Hyperlink"/>
          </w:rPr>
          <w:t xml:space="preserve">[1]</w:t>
        </w:r>
      </w:hyperlink>
      <w:r>
        <w:t xml:space="preserve">. The estimation literature reaches the same conclusion from the opposite direction: precision-orbit-derived density work treats residual density error after the best available model as a first-order term in trajectory propagation rather than a rounding error, and reports that residual as substantial even after the best correction available to it</w:t>
      </w:r>
      <w:r>
        <w:t xml:space="preserve"> </w:t>
      </w:r>
      <w:hyperlink w:anchor="ref-2">
        <w:r>
          <w:rPr>
            <w:rStyle w:val="Hyperlink"/>
          </w:rPr>
          <w:t xml:space="preserve">[2]</w:t>
        </w:r>
      </w:hyperlink>
      <w:r>
        <w:t xml:space="preserve">. The most recent uncertainty-quantification work reframes the problem entirely, treating density prediction as an explicitly probabilistic quantity with a distribution rather than a point estimate, precisely because the point estimate is too uncertain to use as if it were truth</w:t>
      </w:r>
      <w:r>
        <w:t xml:space="preserve"> </w:t>
      </w:r>
      <w:hyperlink w:anchor="ref-3">
        <w:r>
          <w:rPr>
            <w:rStyle w:val="Hyperlink"/>
          </w:rPr>
          <w:t xml:space="preserve">[3]</w:t>
        </w:r>
      </w:hyperlink>
      <w:r>
        <w:t xml:space="preserve">.</w:t>
      </w:r>
    </w:p>
    <w:p>
      <w:pPr>
        <w:pStyle w:val="BodyText"/>
        <w:spacing w:line="480" w:lineRule="auto"/>
        <w:ind w:firstLine="720"/>
      </w:pPr>
      <w:r>
        <w:t xml:space="preserve">Two consequences follow for the entry vehicle. First, density error enters the deceleration profile directly and early. Because deceleration is proportional to density, a fractional error in the forecast density translates, to first order, into a comparable fractional error in the deceleration the vehicle experiences at a given altitude and velocity, and that error accumulates along the trajectory as the integral of the mismodeled drag. A vehicle that commits to an entry under a density forecast biased high will decelerate later and lower than planned; one that commits under a forecast biased low will decelerate earlier and higher. Either way, the altitude, velocity, and downrange position the vehicle reaches at any subsequent trajectory milestone, including the parachute-deploy condition that anchors the terminal phase, depart from the planned values by an amount governed by the forecast error.</w:t>
      </w:r>
    </w:p>
    <w:p>
      <w:pPr>
        <w:pStyle w:val="BodyText"/>
        <w:spacing w:line="480" w:lineRule="auto"/>
        <w:ind w:firstLine="720"/>
      </w:pPr>
      <w:r>
        <w:t xml:space="preserve">Second, the error is committed irreversibly. There is no second entry. The defining feature of atmospheric EDL is that the vehicle cannot revisit the entry decision. Once it is in the atmosphere, the density it encounters is the density it gets, and the trajectory consequence of the forecast error has already begun to accumulate before any measurement of the realized atmosphere can be assimilated. This irreversibility is what distinguishes the EDL forecast problem from an orbital one, where a poorly modeled atmosphere degrades a prediction that can later be corrected by tracking. In EDL there is no later. The forecast error becomes a trajectory error, and the trajectory error becomes a landed-state error, unless something intervenes between the commitment and the touchdown. One thing can intervene. That intervening something is the controller.</w:t>
      </w:r>
    </w:p>
    <w:bookmarkEnd w:id="76"/>
    <w:bookmarkStart w:id="77" w:name="X7f966f196f63fd8d5998d975ffec93536984737"/>
    <w:p>
      <w:pPr>
        <w:pStyle w:val="Heading2"/>
        <w:spacing w:line="480" w:lineRule="auto"/>
      </w:pPr>
      <w:r>
        <w:t xml:space="preserve">3.3 The Control Channel: Partial Rejection of the Realized Atmosphere</w:t>
      </w:r>
    </w:p>
    <w:p>
      <w:pPr>
        <w:pStyle w:val="FirstParagraph"/>
        <w:spacing w:line="480" w:lineRule="auto"/>
      </w:pPr>
      <w:r>
        <w:t xml:space="preserve">The engineering response to the density liability has not been to perfect the forecast but to harden the controller. Robust nonlinear entry-guidance designs are constructed to track a reference trajectory in the presence of dispersions in the entry state and in model parameters, including the drag and lift dispersions that stand in for atmospheric uncertainty</w:t>
      </w:r>
      <w:r>
        <w:t xml:space="preserve"> </w:t>
      </w:r>
      <w:hyperlink w:anchor="ref-4">
        <w:r>
          <w:rPr>
            <w:rStyle w:val="Hyperlink"/>
          </w:rPr>
          <w:t xml:space="preserve">[4]</w:t>
        </w:r>
      </w:hyperlink>
      <w:r>
        <w:t xml:space="preserve">. Controlled-reentry guidance for small spacecraft is likewise evaluated explicitly on its robustness against model errors in atmospheric density and characteristics</w:t>
      </w:r>
      <w:r>
        <w:t xml:space="preserve"> </w:t>
      </w:r>
      <w:hyperlink w:anchor="ref-5">
        <w:r>
          <w:rPr>
            <w:rStyle w:val="Hyperlink"/>
          </w:rPr>
          <w:t xml:space="preserve">[5]</w:t>
        </w:r>
      </w:hyperlink>
      <w:r>
        <w:t xml:space="preserve">. The standard posture of the field, then, is to assume the atmosphere is poorly known and to design a controller that survives the ignorance by commanding bank angle, and in the terminal phase the timing of parachute deploy, so as to drive the realized trajectory back toward the intended one despite the mismodeled drag.</w:t>
      </w:r>
    </w:p>
    <w:p>
      <w:pPr>
        <w:pStyle w:val="BodyText"/>
        <w:spacing w:line="480" w:lineRule="auto"/>
        <w:ind w:firstLine="720"/>
      </w:pPr>
      <w:r>
        <w:t xml:space="preserve">This control channel is the theoretical hinge of the dissertation. The reason is that it is partial. A closed-loop entry guidance does not eliminate the consequence of a density forecast error; it converts some fraction of that consequence into commanded control effort and leaves the remainder as landed dispersion. The fraction it can convert is bounded by the control authority available to it. A lifting entry vehicle modulates its trajectory by reorienting a fixed lift vector through bank-angle commands, and the total trajectory correction it can effect is limited by its lift-to-drag ratio, its bank-rate limits, and the dynamic-pressure envelope within which control is effective. When the forecast error is small relative to that authority, the controller can null most of it, and the realized landed state is close to the intended one. When the forecast error is large relative to that authority, the controller saturates: it commands the maximum available correction and still cannot drive the trajectory fully back to the reference, and the unrejected remainder propagates to the landed state as dispersion.</w:t>
      </w:r>
    </w:p>
    <w:p>
      <w:pPr>
        <w:pStyle w:val="BodyText"/>
        <w:spacing w:line="480" w:lineRule="auto"/>
        <w:ind w:firstLine="720"/>
      </w:pPr>
      <w:r>
        <w:t xml:space="preserve">This is the precise sense in which the field’s posture leaves a question unanswered. The robustness studies demonstrate that a controller can be built to survive a stipulated dispersion envelope [4, 5]; they do not measure how much landed dispersion remains as a function of how large that envelope is, with the controller held fixed. Yet that remaining function is exactly the object an EDL program needs in order to decide whether to invest in a better forecast or a better controller. If, across the realized range of forecast quality, the controller absorbs essentially all of the forecast error so that the residual landed dispersion does not change as the forecast improves, then the rational marginal investment is in control. If, instead, residual landed dispersion falls measurably as the forecast improves, then atmospheric knowledge has landed value at fixed control authority, and the rational marginal investment may be in the forecast. The dissertation’s contribution is to measure which regime the field occupies.</w:t>
      </w:r>
    </w:p>
    <w:bookmarkEnd w:id="77"/>
    <w:bookmarkStart w:id="78" w:name="central-causal-logic-and-the-estimand"/>
    <w:p>
      <w:pPr>
        <w:pStyle w:val="Heading2"/>
        <w:spacing w:line="480" w:lineRule="auto"/>
      </w:pPr>
      <w:r>
        <w:t xml:space="preserve">3.4 Central Causal Logic and the Estimand</w:t>
      </w:r>
    </w:p>
    <w:p>
      <w:pPr>
        <w:pStyle w:val="FirstParagraph"/>
        <w:spacing w:line="480" w:lineRule="auto"/>
      </w:pPr>
      <w:r>
        <w:t xml:space="preserve">The causal logic can now be stated compactly. A pre-entry density forecast of a given quality is handed to a fixed entry-guidance pipeline flying a fixed vehicle. The realized atmosphere departs from the forecast by an amount governed by the forecast quality. The deceleration physics convert that departure into a trajectory error that accumulates from entry to the terminal phase. The closed-loop controller rejects part of the trajectory error, bounded by its fixed control authority, and the unrejected remainder appears as landed-state dispersion. Holding the controller and the vehicle fixed, the only quantity free to vary in this chain is the forecast quality, and therefore any systematic change in landed-state dispersion across forecasts of differing quality is attributable to the change in forecast quality rather than to the controller or the vehicle. This is the identifying logic of the controlled experiment, and it is the reason the framework insists on holding control authority fixed: the object of interest is the value of knowledge, not the value of control, and the two can be separated only by varying one while pinning the other.</w:t>
      </w:r>
    </w:p>
    <w:p>
      <w:pPr>
        <w:pStyle w:val="BodyText"/>
        <w:spacing w:line="480" w:lineRule="auto"/>
        <w:ind w:firstLine="720"/>
      </w:pPr>
      <w:r>
        <w:t xml:space="preserve">To make the logic estimable, the framework defines two scalar summaries. Let D denote a scalar summary of landed-state dispersion, operationalized as the semi-major axis of the ninety-five percent landing-error ellipse produced by a Monte Carlo dispersion ensemble. Let U denote a scalar summary of pre-entry density-forecast error, operationalized as the root-mean-square fractional density error of the forecast relative to the realized atmosphere along the entry corridor. The estimand is the elasticity of landed-state dispersion with respect to forecast error,</w:t>
      </w:r>
    </w:p>
    <w:p>
      <w:pPr>
        <w:pStyle w:val="BodyText"/>
        <w:spacing w:line="480" w:lineRule="auto"/>
        <w:ind w:firstLine="720"/>
      </w:pPr>
      <w:r>
        <w:t xml:space="preserve">beta = d(ln D) / d(ln U),</w:t>
      </w:r>
    </w:p>
    <w:p>
      <w:pPr>
        <w:pStyle w:val="BodyText"/>
        <w:spacing w:line="480" w:lineRule="auto"/>
        <w:ind w:firstLine="720"/>
      </w:pPr>
      <w:r>
        <w:t xml:space="preserve">the percentage change in landing-ellipse size produced by a one percent change in forecast error, with guidance and vehicle held constant. The elasticity is the natural form for the estimand for three reasons. First, both quantities are intrinsically positive scales whose error distributions are right-skewed, so the logarithmic transform stabilizes them and renders the relationship approximately linear over the studied range. Second, the elasticity is dimensionless and therefore comparable across vehicles, atmospheres, and guidance families, which is what a decision-maker needs when reasoning about whether the same investment logic applies to a new mission. Third, the elasticity has a direct economic reading: it is the slope that, multiplied by the fractional cost of a forecast improvement and divided by the marginal value of a fractional reduction in the landing ellipse, determines whether the investment in atmospheric knowledge pays. The estimand is thus chosen to be simultaneously identifiable by the experimental design and interpretable by the decision the dissertation aims to inform.</w:t>
      </w:r>
    </w:p>
    <w:p>
      <w:pPr>
        <w:pStyle w:val="BodyText"/>
        <w:spacing w:line="480" w:lineRule="auto"/>
        <w:ind w:firstLine="720"/>
      </w:pPr>
      <w:r>
        <w:t xml:space="preserve">A note on the structure of beta clarifies what the framework does and does not assume. The framework does not assume beta is constant across the entire conceivable range of forecast error. The deceleration physics and the saturation behavior of the controller together suggest a relationship that may be shallow where the controller has ample authority and steepen as the controller approaches saturation, so that beta is itself a function of U in general. What the framework assumes is the weaker and defensible proposition that beta is well approximated by a single slope over the operationally relevant range of forecast quality, the range spanning a poor a priori model at the high-uncertainty end and an assimilated or generatively post-processed estimate at the low-uncertainty end</w:t>
      </w:r>
      <w:r>
        <w:t xml:space="preserve"> </w:t>
      </w:r>
      <w:hyperlink w:anchor="ref-3">
        <w:r>
          <w:rPr>
            <w:rStyle w:val="Hyperlink"/>
          </w:rPr>
          <w:t xml:space="preserve">[3]</w:t>
        </w:r>
      </w:hyperlink>
      <w:r>
        <w:t xml:space="preserve">. The estimated beta is therefore a local elasticity over that range, reported with the range stated, rather than a universal constant, and the framework’s predictions are scoped accordingly.</w:t>
      </w:r>
    </w:p>
    <w:bookmarkEnd w:id="78"/>
    <w:bookmarkStart w:id="79" w:name="two-competing-theoretical-accounts"/>
    <w:p>
      <w:pPr>
        <w:pStyle w:val="Heading2"/>
        <w:spacing w:line="480" w:lineRule="auto"/>
      </w:pPr>
      <w:r>
        <w:t xml:space="preserve">3.5 Two Competing Theoretical Accounts</w:t>
      </w:r>
    </w:p>
    <w:p>
      <w:pPr>
        <w:pStyle w:val="FirstParagraph"/>
        <w:spacing w:line="480" w:lineRule="auto"/>
      </w:pPr>
      <w:r>
        <w:t xml:space="preserve">The mechanism in Sections 3.2 through 3.4 admits two internally consistent theoretical accounts that make opposite predictions about beta. The framework states both, because the contribution of the dissertation is to discriminate between them empirically rather than to assume one.</w:t>
      </w:r>
    </w:p>
    <w:p>
      <w:pPr>
        <w:pStyle w:val="BodyText"/>
        <w:spacing w:line="480" w:lineRule="auto"/>
        <w:ind w:firstLine="720"/>
      </w:pPr>
      <w:r>
        <w:t xml:space="preserve">The first is the full-absorption account. It holds that modern closed-loop entry guidance possesses sufficient control authority that, across the operationally relevant range of forecast quality, it nulls essentially all of the trajectory error induced by density mismodeling before that error reaches the landed state. Under this account the controller’s reserve of authority is large relative to the forecast errors the realized atmosphere imposes, so improving the forecast frees control effort the controller did not need in the first place, and the landed dispersion is governed by other terms, navigation error, terminal-phase winds, and vehicle dynamics, that the forecast does not touch. The full-absorption account is the implicit premise of the field’s prevailing posture: it is why the robustness literature treats the atmosphere as an adversary to be rejected and reports success when the controller survives a stipulated envelope, rather than asking how landed dispersion scales with the envelope [4, 5]. Under full absorption, beta is zero. Investment in atmospheric knowledge yields no reduction in the landing ellipse, and an EDL program should rationally direct its marginal resources toward control authority and navigation rather than toward the forecast.</w:t>
      </w:r>
    </w:p>
    <w:p>
      <w:pPr>
        <w:pStyle w:val="BodyText"/>
        <w:spacing w:line="480" w:lineRule="auto"/>
        <w:ind w:firstLine="720"/>
      </w:pPr>
      <w:r>
        <w:t xml:space="preserve">The second is the residual-value account. It holds that the control authority of a realistic entry vehicle is finite and is not large relative to the forecast errors the realized atmosphere imposes across the operationally relevant range, so the controller rejects only part of the density-induced trajectory error and the unrejected remainder scales with the forecast quality. Under this account a better forecast hands the controller a trajectory that departs less from the reference to begin with, so the controller has less to correct, saturates less often or less severely, and leaves a smaller residual at touchdown. The residual-value account is consistent with the magnitude of the forecast problem documented in the density literature, where the gap between model and truth is large and historically variable rather than negligible [1, 2, 3], and with the elementary physics that converts that gap directly into deceleration error. Under residual value, beta is strictly positive. Reducing forecast error reduces the landing ellipse, atmospheric knowledge has measurable landed value at fixed control authority, and an EDL program may rationally direct marginal resources toward the forecast.</w:t>
      </w:r>
    </w:p>
    <w:p>
      <w:pPr>
        <w:pStyle w:val="BodyText"/>
        <w:spacing w:line="480" w:lineRule="auto"/>
        <w:ind w:firstLine="720"/>
      </w:pPr>
      <w:r>
        <w:t xml:space="preserve">The two accounts are not merely rhetorical poles; they correspond to physically distinct regimes of the same control system, distinguished by the ratio of available control authority to the trajectory error the forecast quality imposes. The full-absorption account is the high-authority regime, the residual-value account the authority-limited regime. The framework takes no prior position on which regime the field occupies, because that is precisely the empirical question. What the framework asserts is that the sign of beta diagnoses the regime: a beta indistinguishable from zero is evidence for full absorption and for the field’s prevailing posture, while a beta bounded away from zero is evidence for residual value and against the sufficiency of that posture. The estimand was constructed in Section 3.4 so that this diagnosis reduces to a single testable sign.</w:t>
      </w:r>
    </w:p>
    <w:bookmarkEnd w:id="79"/>
    <w:bookmarkStart w:id="80" w:name="formal-hypotheses"/>
    <w:p>
      <w:pPr>
        <w:pStyle w:val="Heading2"/>
        <w:spacing w:line="480" w:lineRule="auto"/>
      </w:pPr>
      <w:r>
        <w:t xml:space="preserve">3.6 Formal Hypotheses</w:t>
      </w:r>
    </w:p>
    <w:p>
      <w:pPr>
        <w:pStyle w:val="FirstParagraph"/>
        <w:spacing w:line="480" w:lineRule="auto"/>
      </w:pPr>
      <w:r>
        <w:t xml:space="preserve">The competing accounts translate directly into a null and an alternative on the sign of the elasticity. Throughout, beta denotes the local elasticity d(ln D)/d(ln U) of landed-state dispersion D with respect to pre-entry density-forecast error U, estimated under a fixed guidance law and a fixed vehicle over the operationally relevant range of forecast quality.</w:t>
      </w:r>
    </w:p>
    <w:p>
      <w:pPr>
        <w:pStyle w:val="BodyText"/>
        <w:spacing w:line="480" w:lineRule="auto"/>
        <w:ind w:firstLine="720"/>
      </w:pPr>
      <w:r>
        <w:rPr>
          <w:b/>
          <w:bCs/>
        </w:rPr>
        <w:t xml:space="preserve">H0 (null): beta = 0.</w:t>
      </w:r>
      <w:r>
        <w:t xml:space="preserve"> </w:t>
      </w:r>
      <w:r>
        <w:t xml:space="preserve">Pre-entry density-forecast quality does not affect landed-state dispersion once a fixed closed-loop entry guidance is in the loop. Under H0 the controller fully absorbs forecast error across the studied range, the landing ellipse is invariant to the quality of the atmospheric forecast, and investment in better atmospheric knowledge yields no reduction in landed dispersion. H0 is the formal statement of the full-absorption account, and it is the hypothesis implicitly endorsed by a field that hardens the controller and treats the atmosphere as a fixed adversary [4, 5].</w:t>
      </w:r>
    </w:p>
    <w:p>
      <w:pPr>
        <w:pStyle w:val="BodyText"/>
        <w:spacing w:line="480" w:lineRule="auto"/>
        <w:ind w:firstLine="720"/>
      </w:pPr>
      <w:r>
        <w:rPr>
          <w:b/>
          <w:bCs/>
        </w:rPr>
        <w:t xml:space="preserve">H1 (alternative): beta &gt; 0.</w:t>
      </w:r>
      <w:r>
        <w:t xml:space="preserve"> </w:t>
      </w:r>
      <w:r>
        <w:t xml:space="preserve">Reducing pre-entry density-forecast error reduces landed-state dispersion, with a strictly positive and estimable slope, so that atmospheric knowledge has measurable landed value at fixed control authority. H1 is the formal statement of the residual-value account.</w:t>
      </w:r>
    </w:p>
    <w:p>
      <w:pPr>
        <w:pStyle w:val="BodyText"/>
        <w:spacing w:line="480" w:lineRule="auto"/>
        <w:ind w:firstLine="720"/>
      </w:pPr>
      <w:r>
        <w:t xml:space="preserve">The directionality of H1 is itself a theoretical commitment and is defended rather than assumed. The deceleration physics admit no mechanism by which a worse forecast would systematically reduce landed dispersion at fixed control authority; a larger gap between the committed trajectory and the realized atmosphere can only give the controller more, not less, to correct. The framework therefore predicts a non-negative elasticity on physical grounds and tests against the directional alternative beta greater than zero, with the understanding that an estimated beta indistinguishable from zero is the empirical signature of H0 and a negative point estimate, were one to occur, would be read as sampling noise around zero rather than as evidence of a perverse mechanism.</w:t>
      </w:r>
    </w:p>
    <w:p>
      <w:pPr>
        <w:pStyle w:val="BodyText"/>
        <w:spacing w:line="480" w:lineRule="auto"/>
        <w:ind w:firstLine="720"/>
      </w:pPr>
      <w:r>
        <w:t xml:space="preserve">The hypothesis pair is falsifiable in both directions, which is the property that makes the test decision-relevant rather than confirmatory. A confidence interval for beta that contains zero fails to reject H0 and constitutes evidence that, within the studied vehicle and guidance regime, the field is correct to invest in control rather than forecast. A confidence interval bounded away from zero rejects H0 and quantifies, as a single slope with an honest interval, the landed return on a marginal improvement in atmospheric knowledge. The framework is constructed so that either outcome is informative: a non-rejection is not a failed study but a positive finding about which regime the field occupies, and the dissertation commits in advance to reporting and interpreting the non-rejection case with the same weight as the rejection case.</w:t>
      </w:r>
    </w:p>
    <w:bookmarkEnd w:id="80"/>
    <w:bookmarkStart w:id="81" w:name="Xd6159f22ce46de4985ebf82d9ea732b5fe193d7"/>
    <w:p>
      <w:pPr>
        <w:pStyle w:val="Heading2"/>
        <w:spacing w:line="480" w:lineRule="auto"/>
      </w:pPr>
      <w:r>
        <w:t xml:space="preserve">3.7 Auxiliary Predictions for the Observational Evidence</w:t>
      </w:r>
    </w:p>
    <w:p>
      <w:pPr>
        <w:pStyle w:val="FirstParagraph"/>
        <w:spacing w:line="480" w:lineRule="auto"/>
      </w:pPr>
      <w:r>
        <w:t xml:space="preserve">The estimand and hypotheses above are stated for the controlled Monte Carlo experiment, in which forecast quality is manipulated directly and the controller is held fixed by construction. The theoretical framework, however, governs the whole dissertation, and the same mechanism implies predictions for the observational evidence developed against the flight record. Stating those auxiliary predictions here ties the framework to all three empirical lines and specifies in advance what convergence or divergence across methods would mean.</w:t>
      </w:r>
    </w:p>
    <w:p>
      <w:pPr>
        <w:pStyle w:val="BodyText"/>
        <w:spacing w:line="480" w:lineRule="auto"/>
        <w:ind w:firstLine="720"/>
      </w:pPr>
      <w:r>
        <w:t xml:space="preserve">The first auxiliary prediction concerns the cross-mission relationship between atmospheric-knowledge maturity and landing-ellipse size. If H1 holds in the controlled experiment, then in the flight record, holding the entry mode and the vehicle scale fixed, missions flown under more mature pre-entry atmospheric knowledge should land inside smaller ellipses, because the same mechanism that converts forecast quality into reduced dispersion in simulation should leave its trace in what real missions achieved as their atmosphere models matured across the era of planetary exploration [1, 2, 3]. The observational analogue of beta is the coefficient on a maturity index in a regression of log-ellipse size on maturity, entry mode, and vehicle scale; the framework predicts that coefficient is negative under H1 and zero under H0. The entry-mode control is essential to the prediction, because the framework distinguishes the value of knowledge from the value of control, and only a maturity effect that survives the inclusion of the guided-versus-ballistic indicator speaks to knowledge rather than control [4, 5].</w:t>
      </w:r>
    </w:p>
    <w:p>
      <w:pPr>
        <w:pStyle w:val="BodyText"/>
        <w:spacing w:line="480" w:lineRule="auto"/>
        <w:ind w:firstLine="720"/>
      </w:pPr>
      <w:r>
        <w:t xml:space="preserve">The second auxiliary prediction concerns survival of the descent itself. If atmospheric ignorance is a live contributor to EDL trajectory error, then a coarser consequence than dispersion should also appear: missions flown with prior in-situ density reconnaissance of the target atmosphere should fail the descent at a lower rate than missions flown without it, because the entry trajectory is committed against a forecast closer to the atmosphere actually encountered</w:t>
      </w:r>
      <w:r>
        <w:t xml:space="preserve"> </w:t>
      </w:r>
      <w:hyperlink w:anchor="ref-2">
        <w:r>
          <w:rPr>
            <w:rStyle w:val="Hyperlink"/>
          </w:rPr>
          <w:t xml:space="preserve">[2]</w:t>
        </w:r>
      </w:hyperlink>
      <w:r>
        <w:t xml:space="preserve">. The observational analogue is the coefficient on a reconnaissance indicator in a proportional-hazards model of the EDL failure event, holding accumulated entry experience fixed; the framework predicts a negative coefficient, a hazard ratio below one, under the residual-value account and a coefficient of zero under full absorption. The framework anticipates that this prediction will be the weakest-powered of the three, because EDL failure is a rare event driven by many mechanisms and atmospheric knowledge cannot insure against the failure modes that lie outside the atmosphere.</w:t>
      </w:r>
    </w:p>
    <w:p>
      <w:pPr>
        <w:pStyle w:val="BodyText"/>
        <w:spacing w:line="480" w:lineRule="auto"/>
        <w:ind w:firstLine="720"/>
      </w:pPr>
      <w:r>
        <w:t xml:space="preserve">The relationship among the three predictions is the methodological core of the dissertation, and the framework specifies it explicitly. The controlled experiment isolates the atmospheric channel by holding the controller fixed and can estimate the elasticity cleanly, but it does so in simulation. The cross-mission and survival analyses cannot hold the controller fixed, because the flight record confounds the arrival of better atmospheric knowledge with the arrival of guided control, but they test the same proposition against the only ground truth that exists, namely what real vehicles achieved and whether they survived. The framework therefore predicts directional convergence, a positive elasticity in simulation, a negative maturity coefficient in the cross-mission panel, and a hazard ratio below one in the survival model, while attributing differing precision across the three to their differing identification. Convergence of a controlled elasticity, an observational slope, and a survival ratio is stronger evidence for the value of atmospheric knowledge than any one could supply alone, and divergence would itself be diagnostic, indicating either that the simulated atmosphere is miscalibrated or that the flight-record effect is carried by control rather than knowledge.</w:t>
      </w:r>
    </w:p>
    <w:bookmarkEnd w:id="81"/>
    <w:bookmarkStart w:id="82" w:name="X6748a4a882d3b0d1c27241879933d23be0335b1"/>
    <w:p>
      <w:pPr>
        <w:pStyle w:val="Heading2"/>
        <w:spacing w:line="480" w:lineRule="auto"/>
      </w:pPr>
      <w:r>
        <w:t xml:space="preserve">3.8 Scope Conditions and Boundary Assumptions</w:t>
      </w:r>
    </w:p>
    <w:p>
      <w:pPr>
        <w:pStyle w:val="FirstParagraph"/>
        <w:spacing w:line="480" w:lineRule="auto"/>
      </w:pPr>
      <w:r>
        <w:t xml:space="preserve">A theoretical framework is only as credible as the boundary it draws around itself, and the framework states its scope conditions explicitly so that the hypotheses are tested where they are claimed to hold rather than where they are not.</w:t>
      </w:r>
    </w:p>
    <w:p>
      <w:pPr>
        <w:pStyle w:val="BodyText"/>
        <w:spacing w:line="480" w:lineRule="auto"/>
        <w:ind w:firstLine="720"/>
      </w:pPr>
      <w:r>
        <w:t xml:space="preserve">The first scope condition is the atmosphere. The strongest density-error characterizations available to the framework are for Earth’s thermosphere, where the operations-ready models and their error statistics are documented and obtainable [1, 2, 3], whereas much EDL practice targets Mars, where the guidance literature is concentrated</w:t>
      </w:r>
      <w:r>
        <w:t xml:space="preserve"> </w:t>
      </w:r>
      <w:hyperlink w:anchor="ref-4">
        <w:r>
          <w:rPr>
            <w:rStyle w:val="Hyperlink"/>
          </w:rPr>
          <w:t xml:space="preserve">[4]</w:t>
        </w:r>
      </w:hyperlink>
      <w:r>
        <w:t xml:space="preserve">. The elasticity estimated under one atmosphere’s error statistics need not transfer to an atmosphere with a different scale height and variability spectrum. The framework therefore scopes its primary claim to the atmosphere whose error statistics directly anchor the calibration and treats cross-atmosphere transfer as a bounded sensitivity question rather than a headline result.</w:t>
      </w:r>
    </w:p>
    <w:p>
      <w:pPr>
        <w:pStyle w:val="BodyText"/>
        <w:spacing w:line="480" w:lineRule="auto"/>
        <w:ind w:firstLine="720"/>
      </w:pPr>
      <w:r>
        <w:t xml:space="preserve">The second scope condition is the controller. Because beta is defined and estimated with the controller held fixed, the estimate is conditional on the chosen guidance pipeline; a more aggressive or more conservative controller could absorb forecast error differently and shift beta along the authority-to-error ratio that distinguishes the two regimes of Section 3.5 [4, 5]. The framework therefore claims a conditional elasticity, not a controller-free constant, and commits to reporting beta for more than one published guidance family so that the conditionality is visible rather than hidden.</w:t>
      </w:r>
    </w:p>
    <w:p>
      <w:pPr>
        <w:pStyle w:val="BodyText"/>
        <w:spacing w:line="480" w:lineRule="auto"/>
        <w:ind w:firstLine="720"/>
      </w:pPr>
      <w:r>
        <w:t xml:space="preserve">The third scope condition is the scalarization. Collapsing a landed-state distribution to an ellipse semi-major axis and a forecast to a single root-mean-square fractional error discards directional and spectral structure that the integrated-modeling literature shows can matter</w:t>
      </w:r>
      <w:r>
        <w:t xml:space="preserve"> </w:t>
      </w:r>
      <w:hyperlink w:anchor="ref-6">
        <w:r>
          <w:rPr>
            <w:rStyle w:val="Hyperlink"/>
          </w:rPr>
          <w:t xml:space="preserve">[6]</w:t>
        </w:r>
      </w:hyperlink>
      <w:r>
        <w:t xml:space="preserve">. The framework claims that the sign and significance of beta are robust to reasonable alternative scalarizations of D and U, and treats that robustness as a testable property of the estimate rather than an assumption to be asserted. The fourth scope condition is the operationally relevant range itself: the framework estimates a local elasticity over the span from a poor a priori model to an assimilated or generatively post-processed estimate</w:t>
      </w:r>
      <w:r>
        <w:t xml:space="preserve"> </w:t>
      </w:r>
      <w:hyperlink w:anchor="ref-3">
        <w:r>
          <w:rPr>
            <w:rStyle w:val="Hyperlink"/>
          </w:rPr>
          <w:t xml:space="preserve">[3]</w:t>
        </w:r>
      </w:hyperlink>
      <w:r>
        <w:t xml:space="preserve">, and makes no claim about behavior outside that span. Within these four boundaries, the framework asserts that the mechanism of Sections 3.2 through 3.4 holds, that the competing accounts of Section 3.5 exhaust the physically consistent possibilities, and that the hypotheses of Section 3.6 discriminate between them. The chapters that follow operationalize this framework into the controlled experiment and the two observational tests, and report the elasticity, the maturity coefficient, and the hazard ratio that the framework predicts.</w:t>
      </w:r>
    </w:p>
    <w:bookmarkEnd w:id="82"/>
    <w:bookmarkEnd w:id="83"/>
    <w:bookmarkStart w:id="96" w:name="chapter-4.-data-and-measurement"/>
    <w:p>
      <w:pPr>
        <w:pStyle w:val="Heading1"/>
        <w:spacing w:line="480" w:lineRule="auto"/>
      </w:pPr>
      <w:r>
        <w:t xml:space="preserve">Chapter 4. Data and Measurement</w:t>
      </w:r>
    </w:p>
    <w:bookmarkStart w:id="84" w:name="purpose-and-scope-of-the-chapter-1"/>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dissertation’s two observational papers rest. It does three things in sequence. It names the datasets each paper uses and the authoritative primary records from which every value is drawn. It fixes the unit of analysis for each paper and defends that choice against the alternatives that a reader might reasonably propose. And it documents, variable by variable, how each measured quantity is constructed from a primary record, including the coding rules, the provenance citation attached to every row, and the small number of cases where an exact value is unrecoverable and is therefore flagged rather than fabricated. The intent is auditability: a reader who follows the citations in this chapter should be able to reconstruct each dataset cell from its source without recourse to the author’s judgment, and where judgment is unavoidable, to see exactly where it enters.</w:t>
      </w:r>
    </w:p>
    <w:p>
      <w:pPr>
        <w:pStyle w:val="BodyText"/>
        <w:spacing w:line="480" w:lineRule="auto"/>
        <w:ind w:firstLine="720"/>
      </w:pPr>
      <w:r>
        <w:t xml:space="preserve">The dissertation makes a single falsifiable claim, that pre-entry atmospheric-knowledge maturity reduces landed-state dispersion at fixed control authority, and tests it across three methods. The controlled Monte Carlo experiment that estimates the dispersion elasticity directly is treated in a later chapter, because its data are synthetic by design and its provenance question is one of calibration rather than collection. The present chapter concerns the two papers that test the same proposition against the flight record, where the data are not manufactured but assembled from the public archival history of atmospheric entry. Paper 1 builds a cross-mission panel of eighteen documented atmospheric-entry missions and regresses landing-ellipse size on an atmospheric-knowledge index. Paper 2 builds a cohort of eighteen documented Martian entry, descent, and landing attempts and fits a survival model of the EDL failure hazard against prior atmospheric reconnaissance. The two datasets overlap in their source archives and in several missions, but they differ in body, in unit of analysis, in outcome construction, and in inclusion rule, and those differences are the substance of this chapter.</w:t>
      </w:r>
    </w:p>
    <w:p>
      <w:pPr>
        <w:pStyle w:val="BodyText"/>
        <w:spacing w:line="480" w:lineRule="auto"/>
        <w:ind w:firstLine="720"/>
      </w:pPr>
      <w:r>
        <w:t xml:space="preserve">A note on the relationship between the two datasets is owed at the outset. They are not twins. They are deliberately not the same panel viewed two ways. Paper 1 spans both Mars and Earth-return entries because its outcome, the landing ellipse, is defined and reported for terrestrial sample-return and lunar-return capsules as well as for Martian landers, which lets the panel buy variation in vehicle scale and entry mode that a Mars-only sample cannot supply. Paper 2 is Mars-only by construction because its outcome, survival through the descent, requires a common atmosphere and a common failure environment to be comparable across rows, and mixing bodies would confound the hazard with cross-gravity differences in scale height and variability. The shared archival backbone is therefore exploited where it helps and deliberately partitioned where pooling would damage identification.</w:t>
      </w:r>
    </w:p>
    <w:bookmarkEnd w:id="84"/>
    <w:bookmarkStart w:id="89" w:name="the-paper-1-cross-mission-panel"/>
    <w:p>
      <w:pPr>
        <w:pStyle w:val="Heading2"/>
        <w:spacing w:line="480" w:lineRule="auto"/>
      </w:pPr>
      <w:r>
        <w:t xml:space="preserve">4.2 The Paper 1 cross-mission panel</w:t>
      </w:r>
    </w:p>
    <w:bookmarkStart w:id="85" w:name="population-frame-and-unit-of-analysis"/>
    <w:p>
      <w:pPr>
        <w:pStyle w:val="Heading3"/>
        <w:spacing w:line="480" w:lineRule="auto"/>
      </w:pPr>
      <w:r>
        <w:t xml:space="preserve">4.2.1 Population, frame, and unit of analysis</w:t>
      </w:r>
    </w:p>
    <w:p>
      <w:pPr>
        <w:pStyle w:val="FirstParagraph"/>
        <w:spacing w:line="480" w:lineRule="auto"/>
      </w:pPr>
      <w:r>
        <w:t xml:space="preserve">The Paper 1 dataset is a cross-mission panel of eighteen documented atmospheric-entry missions spanning 1969 to 2023. The unit of analysis is the mission-vehicle: one row is one vehicle that committed to an atmospheric entry and for which a landing-ellipse outcome is documented or, in the case of the lost ballistic missions, was planned and recorded. The panel covers Mars landers and rovers from the Viking era through Perseverance, the three lost ballistic Mars missions Mars Polar Lander, Beagle 2, and Schiaparelli, and a set of Earth sample-return and lunar-return capsules comprising Apollo, Genesis, Stardust, Hayabusa, and OSIRIS-REx. The body is therefore not held fixed in this paper, and that is by design rather than by oversight: the terrestrial capsules supply the high-maturity, well-characterized-atmosphere observations and the guided high-mass observations that anchor the upper end of both the knowledge index and the vehicle-scale control.</w:t>
      </w:r>
    </w:p>
    <w:p>
      <w:pPr>
        <w:pStyle w:val="BodyText"/>
        <w:spacing w:line="480" w:lineRule="auto"/>
        <w:ind w:firstLine="720"/>
      </w:pPr>
      <w:r>
        <w:t xml:space="preserve">The choice of the mission-vehicle as the unit deserves an explicit defense, because two alternatives are available and both are inferior for this question. The first alternative is the mission-as-program, which would pool, for example, the two Viking landers into a single Viking observation. This is rejected because each lander is a distinct entry event with its own realized atmosphere and its own landed outcome, and pooling would discard genuine within-program dispersion variation and would understate the effective sample. The second alternative is the entry-attempt-second, which is the unit Paper 2 adopts for its survival analysis. That unit is rejected here because Paper 1’s outcome is a terminal dispersion summary, an ellipse measured once per vehicle at the end of descent, not a time-resolved quantity, so expanding to a per-second panel would manufacture rows that carry no independent information about the landing ellipse. The mission-vehicle is the level at which the dependent variable is actually observed in the primary record, and the unit of analysis is set to match the level of observation.</w:t>
      </w:r>
    </w:p>
    <w:p>
      <w:pPr>
        <w:pStyle w:val="BodyText"/>
        <w:spacing w:line="480" w:lineRule="auto"/>
        <w:ind w:firstLine="720"/>
      </w:pPr>
      <w:r>
        <w:t xml:space="preserve">The frame, meaning the rule that determines which entries are eligible for the panel, is documentation rather than success. A mission enters the panel if it committed to an atmospheric entry and if a landing-ellipse value, achieved or planned, is recoverable from a named primary source. This admits the three lost ballistic missions, whose ellipses are planned targets rather than achieved footprints, and that admission is handled transparently in the outcome construction below rather than by silent exclusion. The documentation frame is preferred to a success frame because conditioning inclusion on landing success would induce selection on the dependent variable’s tail and would bias the maturity coefficient toward zero by removing exactly the poorly forecast, widely dispersed, or lost entries that carry the most information about the cost of atmospheric uncertainty.</w:t>
      </w:r>
    </w:p>
    <w:bookmarkEnd w:id="85"/>
    <w:bookmarkStart w:id="86" w:name="X650ac9c3692dd6716e94f69aa7bc03f0ae242a8"/>
    <w:p>
      <w:pPr>
        <w:pStyle w:val="Heading3"/>
        <w:spacing w:line="480" w:lineRule="auto"/>
      </w:pPr>
      <w:r>
        <w:t xml:space="preserve">4.2.2 The dependent variable: landing-ellipse semi-major axis</w:t>
      </w:r>
    </w:p>
    <w:p>
      <w:pPr>
        <w:pStyle w:val="FirstParagraph"/>
        <w:spacing w:line="480" w:lineRule="auto"/>
      </w:pPr>
      <w:r>
        <w:t xml:space="preserve">The dependent variable is the landing-ellipse semi-major axis in kilometers, the standard EDL summary of two-dimensional landed-state dispersion. It is the half-length of the long axis of the targeting ellipse within which the vehicle was expected, or observed, to come to rest, and it is the field’s conventional scalar for the precision of a landing system. The panel’s values range from 3.85 kilometers for Perseverance, the most precisely landed vehicle in the record, to 150 kilometers for the Viking landers, whose pre-reconnaissance atmosphere knowledge and unguided ballistic entry produced the widest documented ellipses. The span is wide by design. This roughly forty-to-one range across the eighteen missions is the variation the regression exploits.</w:t>
      </w:r>
    </w:p>
    <w:p>
      <w:pPr>
        <w:pStyle w:val="BodyText"/>
        <w:spacing w:line="480" w:lineRule="auto"/>
        <w:ind w:firstLine="720"/>
      </w:pPr>
      <w:r>
        <w:t xml:space="preserve">Each ellipse value is sourced to a named primary document, and the source column of the dataset records the citation for every row. The authoritative records fall into four categories. Mission press kits and NASA, ESA, and JAXA landing-site papers supply the design ellipses, with the Mars Exploration Rover landing-site selection work the canonical example of a landing-site paper that reports the targeting ellipse explicitly</w:t>
      </w:r>
      <w:r>
        <w:t xml:space="preserve"> </w:t>
      </w:r>
      <w:hyperlink w:anchor="ref-8">
        <w:r>
          <w:rPr>
            <w:rStyle w:val="Hyperlink"/>
          </w:rPr>
          <w:t xml:space="preserve">[8]</w:t>
        </w:r>
      </w:hyperlink>
      <w:r>
        <w:t xml:space="preserve">. EDL reconstruction reports and post-flight performance papers supply the achieved ellipses for the modern guided missions, with the Mars 2020 entry-guidance design and post-flight performance record the authoritative source for the Perseverance value</w:t>
      </w:r>
      <w:r>
        <w:t xml:space="preserve"> </w:t>
      </w:r>
      <w:hyperlink w:anchor="ref-11">
        <w:r>
          <w:rPr>
            <w:rStyle w:val="Hyperlink"/>
          </w:rPr>
          <w:t xml:space="preserve">[11]</w:t>
        </w:r>
      </w:hyperlink>
      <w:r>
        <w:t xml:space="preserve">. The NASA Mars Exploration Program mission timeline supplies the descent-architecture context that frames each ellipse</w:t>
      </w:r>
      <w:r>
        <w:t xml:space="preserve"> </w:t>
      </w:r>
      <w:hyperlink w:anchor="ref-9">
        <w:r>
          <w:rPr>
            <w:rStyle w:val="Hyperlink"/>
          </w:rPr>
          <w:t xml:space="preserve">[9]</w:t>
        </w:r>
      </w:hyperlink>
      <w:r>
        <w:t xml:space="preserve">. The general EDL-challenges literature supplies the cross-era framing and several of the historical ellipse magnitudes for the Mars landers</w:t>
      </w:r>
      <w:r>
        <w:t xml:space="preserve"> </w:t>
      </w:r>
      <w:hyperlink w:anchor="ref-7">
        <w:r>
          <w:rPr>
            <w:rStyle w:val="Hyperlink"/>
          </w:rPr>
          <w:t xml:space="preserve">[7]</w:t>
        </w:r>
      </w:hyperlink>
      <w:r>
        <w:t xml:space="preserve">. The terrestrial and lunar-return capsule entries draw their recovery-footprint values from the corresponding mission records, with the NSSDCA master catalog serving as the archival backstop for the older capsules</w:t>
      </w:r>
      <w:r>
        <w:t xml:space="preserve"> </w:t>
      </w:r>
      <w:hyperlink w:anchor="ref-13">
        <w:r>
          <w:rPr>
            <w:rStyle w:val="Hyperlink"/>
          </w:rPr>
          <w:t xml:space="preserve">[13]</w:t>
        </w:r>
      </w:hyperlink>
      <w:r>
        <w:t xml:space="preserve">.</w:t>
      </w:r>
    </w:p>
    <w:p>
      <w:pPr>
        <w:pStyle w:val="BodyText"/>
        <w:spacing w:line="480" w:lineRule="auto"/>
        <w:ind w:firstLine="720"/>
      </w:pPr>
      <w:r>
        <w:t xml:space="preserve">Two construction decisions govern this variable. First, because the ellipse sizes are strongly right-skewed, with a long upper tail driven by the early Mars landers and the lost ballistic missions, the regression uses the natural logarithm of the semi-major axis as the response rather than the raw kilometers. This transformation is not cosmetic: it stabilizes the variance across the forty-to-one range, renders the residuals approximately symmetric so that the heteroskedasticity-robust standard errors are well behaved, and makes each coefficient read as an approximate proportional change in ellipse size rather than an additive change in kilometers, which is the economically meaningful quantity for a return-on-knowledge interpretation. Second, where a mission reports a design ellipse and a separately reconstructed achieved ellipse, the panel records the value that the source treats as the mission’s representative landing-precision figure, and the source column names which of the two it is, so that the design-versus-achieved distinction is preserved in the provenance trail rather than collapsed.</w:t>
      </w:r>
    </w:p>
    <w:p>
      <w:pPr>
        <w:pStyle w:val="BodyText"/>
        <w:spacing w:line="480" w:lineRule="auto"/>
        <w:ind w:firstLine="720"/>
      </w:pPr>
      <w:r>
        <w:t xml:space="preserve">A single row carries an explicit provenance caveat. The Hayabusa recovery footprint is marked illustrative in the row source, because a clean, citable landing-ellipse semi-major axis comparable to the other rows is not recoverable from the primary record at the same standard. The value is retained so that the high-maturity terrestrial-return end of the panel is not artificially thinned, but it is flagged in the dataset so that any reader, and any robustness check, can drop it and observe whether the result survives. One row carries a caveat. Every other ellipse value in the panel is sourced to a named document.</w:t>
      </w:r>
    </w:p>
    <w:bookmarkEnd w:id="86"/>
    <w:bookmarkStart w:id="87" w:name="the-atmospheric-knowledge-maturity-index"/>
    <w:p>
      <w:pPr>
        <w:pStyle w:val="Heading3"/>
        <w:spacing w:line="480" w:lineRule="auto"/>
      </w:pPr>
      <w:r>
        <w:t xml:space="preserve">4.2.3 The atmospheric-knowledge maturity index</w:t>
      </w:r>
    </w:p>
    <w:p>
      <w:pPr>
        <w:pStyle w:val="FirstParagraph"/>
        <w:spacing w:line="480" w:lineRule="auto"/>
      </w:pPr>
      <w:r>
        <w:t xml:space="preserve">The first and central regressor is pre-entry atmospheric-knowledge maturity, an ordinal index from one to five that codes the heritage of the atmospheric density model available to the mission at the moment of entry commitment. The index is constructed from documented model heritage, not from a measured forecast-error magnitude, and that is a measurement decision with consequences that are stated plainly in the limitations: the index captures a step across eras of atmospheric knowledge rather than a continuous root-mean-square density error, so the coefficient it identifies is an era-step effect and not the elasticity that the controlled simulation estimates.</w:t>
      </w:r>
    </w:p>
    <w:p>
      <w:pPr>
        <w:pStyle w:val="BodyText"/>
        <w:spacing w:line="480" w:lineRule="auto"/>
        <w:ind w:firstLine="720"/>
      </w:pPr>
      <w:r>
        <w:t xml:space="preserve">The coding rule maps each mission to a rung by the state of Martian or terrestrial atmosphere modeling at its entry epoch, anchored to the operations-ready density-model survey that documents how density knowledge matured across the exploration era</w:t>
      </w:r>
      <w:r>
        <w:t xml:space="preserve"> </w:t>
      </w:r>
      <w:hyperlink w:anchor="ref-1">
        <w:r>
          <w:rPr>
            <w:rStyle w:val="Hyperlink"/>
          </w:rPr>
          <w:t xml:space="preserve">[1]</w:t>
        </w:r>
      </w:hyperlink>
      <w:r>
        <w:t xml:space="preserve">. A Viking-era a priori atmosphere, built before any in-situ density reconstruction of the target, scores one. The pre-reconnaissance era of Pathfinder and Mars Polar Lander, which flew before the orbiter density record matured, scores two. The Mars Global Surveyor and Odyssey density-reconstruction era, in which aerobraking accelerometer data began to anchor the atmosphere model, scores three; the accelerometer-derived density methodology that defines this rung is documented in the Mars Reconnaissance Orbiter aerobraking modeling record</w:t>
      </w:r>
      <w:r>
        <w:t xml:space="preserve"> </w:t>
      </w:r>
      <w:hyperlink w:anchor="ref-10">
        <w:r>
          <w:rPr>
            <w:rStyle w:val="Hyperlink"/>
          </w:rPr>
          <w:t xml:space="preserve">[10]</w:t>
        </w:r>
      </w:hyperlink>
      <w:r>
        <w:t xml:space="preserve">. The Mars Reconnaissance Orbiter assimilation era, in which assimilated orbiter data informed the pre-entry atmosphere, scores four. The top rung, five, is reserved for assimilation paired with best-available per-mission reconstruction, or for a well-characterized terrestrial atmosphere flown with modern reconnaissance, which is the rung the recent Mars guided landers and the terrestrial-return capsules occupy. The estimation-side and probabilistic-forecasting literatures corroborate that this maturation is real and ordered, with precision-orbit-derived density work treating post-model residual error as a first-order and shrinking term</w:t>
      </w:r>
      <w:r>
        <w:t xml:space="preserve"> </w:t>
      </w:r>
      <w:hyperlink w:anchor="ref-2">
        <w:r>
          <w:rPr>
            <w:rStyle w:val="Hyperlink"/>
          </w:rPr>
          <w:t xml:space="preserve">[2]</w:t>
        </w:r>
      </w:hyperlink>
      <w:r>
        <w:t xml:space="preserve"> </w:t>
      </w:r>
      <w:r>
        <w:t xml:space="preserve">and generative uncertainty-quantification work reframing the mature end of the ladder as an explicitly probabilistic forecast</w:t>
      </w:r>
      <w:r>
        <w:t xml:space="preserve"> </w:t>
      </w:r>
      <w:hyperlink w:anchor="ref-3">
        <w:r>
          <w:rPr>
            <w:rStyle w:val="Hyperlink"/>
          </w:rPr>
          <w:t xml:space="preserve">[3]</w:t>
        </w:r>
      </w:hyperlink>
      <w:r>
        <w:t xml:space="preserve">.</w:t>
      </w:r>
    </w:p>
    <w:p>
      <w:pPr>
        <w:pStyle w:val="BodyText"/>
        <w:spacing w:line="480" w:lineRule="auto"/>
        <w:ind w:firstLine="720"/>
      </w:pPr>
      <w:r>
        <w:t xml:space="preserve">The ordinal construction is deliberately coarse, and the coarseness is a defensible choice rather than a shortcut. A finer continuous coding would imply a precision of historical knowledge-error measurement that the archival record does not support for missions flown forty and fifty years ago, and would invite the false comfort of a continuous slope estimated from interpolated rather than observed quantities. The five-rung ladder is auditable: each mission’s rung can be checked against the documented density-model heritage of its epoch, and the source citation for the rung is the density-survey and reconstruction record rather than the author’s recollection. The cost of the coarseness, that the index and the entry-mode indicator are correlated in the historical record because the missions that flew under better atmosphere models also tended to fly guided entries, is a confound that the estimation chapter addresses through the additive specification and that the limitations acknowledge cannot be fully broken in a record history itself produced as a correlated sequence.</w:t>
      </w:r>
    </w:p>
    <w:bookmarkEnd w:id="87"/>
    <w:bookmarkStart w:id="88" w:name="X727e1dd43998714b3331be0ec0ac4bc367bf4da"/>
    <w:p>
      <w:pPr>
        <w:pStyle w:val="Heading3"/>
        <w:spacing w:line="480" w:lineRule="auto"/>
      </w:pPr>
      <w:r>
        <w:t xml:space="preserve">4.2.4 The control regressors: entry mode and vehicle scale</w:t>
      </w:r>
    </w:p>
    <w:p>
      <w:pPr>
        <w:pStyle w:val="FirstParagraph"/>
        <w:spacing w:line="480" w:lineRule="auto"/>
      </w:pPr>
      <w:r>
        <w:t xml:space="preserve">Two control regressors complete the Paper 1 design. The first is a binary indicator recording whether the vehicle flew a controllable guided entry or a ballistic unguided one, coded following the standard EDL-architecture classification that distinguishes closed-loop bank-angle-modulated entries from open-loop ballistic descents</w:t>
      </w:r>
      <w:r>
        <w:t xml:space="preserve"> </w:t>
      </w:r>
      <w:hyperlink w:anchor="ref-7">
        <w:r>
          <w:rPr>
            <w:rStyle w:val="Hyperlink"/>
          </w:rPr>
          <w:t xml:space="preserve">[7]</w:t>
        </w:r>
      </w:hyperlink>
      <w:r>
        <w:t xml:space="preserve">. The guided category contains the modern Mars landers and the actively guided terrestrial returns; the ballistic category contains the Viking-through-Pathfinder Mars landers, the lost ballistic Mars missions, and the unguided capsules. This indicator is the most plausible confounder for the maturity coefficient, because closed-loop guidance is itself a mechanism for absorbing atmospheric uncertainty</w:t>
      </w:r>
      <w:r>
        <w:t xml:space="preserve"> </w:t>
      </w:r>
      <w:hyperlink w:anchor="ref-4">
        <w:r>
          <w:rPr>
            <w:rStyle w:val="Hyperlink"/>
          </w:rPr>
          <w:t xml:space="preserve">[4]</w:t>
        </w:r>
      </w:hyperlink>
      <w:r>
        <w:t xml:space="preserve">, and the robustness of such controllers to density model error is exactly what the guidance literature is built to demonstrate</w:t>
      </w:r>
      <w:r>
        <w:t xml:space="preserve"> </w:t>
      </w:r>
      <w:hyperlink w:anchor="ref-5">
        <w:r>
          <w:rPr>
            <w:rStyle w:val="Hyperlink"/>
          </w:rPr>
          <w:t xml:space="preserve">[5]</w:t>
        </w:r>
      </w:hyperlink>
      <w:r>
        <w:t xml:space="preserve">. Including it as a separate additive term is what allows the maturity coefficient to be read as the value of knowledge net of the value of control.</w:t>
      </w:r>
    </w:p>
    <w:p>
      <w:pPr>
        <w:pStyle w:val="BodyText"/>
        <w:spacing w:line="480" w:lineRule="auto"/>
        <w:ind w:firstLine="720"/>
      </w:pPr>
      <w:r>
        <w:t xml:space="preserve">The second control is entry mass in tonnes, which proxies vehicle scale and, through it, the ballistic coefficient that governs how deeply a vehicle penetrates the atmosphere before decelerating. Entry mass is taken from each mission’s documented entry configuration in its primary record. It is included so that the maturity coefficient is not contaminated by the fact that the most recent, best-forecast missions also tend to be the heaviest, and the findings confirm that once knowledge and entry mode are accounted for, mass carries no independent landed-precision signal in this sample.</w:t>
      </w:r>
    </w:p>
    <w:bookmarkEnd w:id="88"/>
    <w:bookmarkEnd w:id="89"/>
    <w:bookmarkStart w:id="94" w:name="the-paper-2-martian-edl-survival-cohort"/>
    <w:p>
      <w:pPr>
        <w:pStyle w:val="Heading2"/>
        <w:spacing w:line="480" w:lineRule="auto"/>
      </w:pPr>
      <w:r>
        <w:t xml:space="preserve">4.3 The Paper 2 Martian EDL survival cohort</w:t>
      </w:r>
    </w:p>
    <w:bookmarkStart w:id="90" w:name="population-frame-and-unit-of-analysis-1"/>
    <w:p>
      <w:pPr>
        <w:pStyle w:val="Heading3"/>
        <w:spacing w:line="480" w:lineRule="auto"/>
      </w:pPr>
      <w:r>
        <w:t xml:space="preserve">4.3.1 Population, frame, and unit of analysis</w:t>
      </w:r>
    </w:p>
    <w:p>
      <w:pPr>
        <w:pStyle w:val="FirstParagraph"/>
        <w:spacing w:line="480" w:lineRule="auto"/>
      </w:pPr>
      <w:r>
        <w:t xml:space="preserve">The Paper 2 dataset is a cohort of eighteen documented Martian atmospheric entry, descent, and landing attempts spanning the Soviet Mars 2 and Mars 3 descent modules of 1971 through the Tianwen-1 landing of 2021. The unit of analysis is the entry attempt: one row is one vehicle that crossed the Martian atmospheric entry interface and attempted a descent. The cohort is Mars-only by construction, which holds the atmosphere whose error statistics anchor the dissertation fixed and avoids the cross-gravity transfer problem that would arise from pooling bodies with different scale heights and variability spectra.</w:t>
      </w:r>
    </w:p>
    <w:p>
      <w:pPr>
        <w:pStyle w:val="BodyText"/>
        <w:spacing w:line="480" w:lineRule="auto"/>
        <w:ind w:firstLine="720"/>
      </w:pPr>
      <w:r>
        <w:t xml:space="preserve">The inclusion frame is sharper than Paper 1’s and is stated as a positive rule: an attempt enters the cohort if and only if the vehicle crossed the Martian atmospheric entry interface and attempted a descent. Attempts that never reached Mars, or that reached Mars but never entered the atmosphere, are excluded, so the cohort contains only genuine EDL events. This frame is what makes the survival outcome well defined. A vehicle that never entered the atmosphere has no descent time-to-failure and no exposure to the atmospheric hazard the study measures, so including it would inject rows with no risk set, whereas a vehicle that entered and was lost contributes exactly the time-to-failure the proportional-hazards estimator requires. The atmospheric-entry-interface crossing is therefore both the inclusion criterion and the origin of the survival clock.</w:t>
      </w:r>
    </w:p>
    <w:bookmarkEnd w:id="90"/>
    <w:bookmarkStart w:id="91" w:name="Xaa80c037bb34ab07aae65a2abff050c260ac5b0"/>
    <w:p>
      <w:pPr>
        <w:pStyle w:val="Heading3"/>
        <w:spacing w:line="480" w:lineRule="auto"/>
      </w:pPr>
      <w:r>
        <w:t xml:space="preserve">4.3.2 The survival outcome: descent duration and the event indicator</w:t>
      </w:r>
    </w:p>
    <w:p>
      <w:pPr>
        <w:pStyle w:val="FirstParagraph"/>
        <w:spacing w:line="480" w:lineRule="auto"/>
      </w:pPr>
      <w:r>
        <w:t xml:space="preserve">The outcome of Paper 2 is a time-to-event pair: a survival duration and an event indicator, constructed together for each attempt. The survival duration is the elapsed seconds of the EDL sequence the vehicle completed before failure or nominal touchdown. The canonical Mars entry-to-touchdown interval of about 390 seconds, the roughly seven minutes of the descent, is taken from the NASA descent timeline and serves as the completed duration for vehicles that landed successfully</w:t>
      </w:r>
      <w:r>
        <w:t xml:space="preserve"> </w:t>
      </w:r>
      <w:hyperlink w:anchor="ref-9">
        <w:r>
          <w:rPr>
            <w:rStyle w:val="Hyperlink"/>
          </w:rPr>
          <w:t xml:space="preserve">[9]</w:t>
        </w:r>
      </w:hyperlink>
      <w:r>
        <w:t xml:space="preserve">; the same NASA Mars Exploration Program timeline anchors the nominal descent envelope against which failures are timed</w:t>
      </w:r>
      <w:r>
        <w:t xml:space="preserve"> </w:t>
      </w:r>
      <w:hyperlink w:anchor="ref-9">
        <w:r>
          <w:rPr>
            <w:rStyle w:val="Hyperlink"/>
          </w:rPr>
          <w:t xml:space="preserve">[9]</w:t>
        </w:r>
      </w:hyperlink>
      <w:r>
        <w:t xml:space="preserve">. Failed attempts are recorded at the documented number of seconds reached before loss, drawn from the per-mission reconstruction record.</w:t>
      </w:r>
    </w:p>
    <w:p>
      <w:pPr>
        <w:pStyle w:val="BodyText"/>
        <w:spacing w:line="480" w:lineRule="auto"/>
        <w:ind w:firstLine="720"/>
      </w:pPr>
      <w:r>
        <w:t xml:space="preserve">The event indicator marks whether the vehicle was lost during EDL, with a one denoting an EDL failure and a zero denoting a vehicle that completed the descent and is therefore right-censored at its completed duration. The right-censoring of survivors is the methodologically essential construction: a vehicle that lands successfully is not a vehicle with infinite survival but a vehicle observed to survive at least the full descent, and the proportional-hazards estimator treats it accordingly by including it in the risk set up to its censoring time and excluding it from the event count thereafter. Six of the eighteen attempts ended in EDL failure, so the cohort carries six events and twelve censored survivors, and that small event count drives the deliberately parsimonious two-covariate specification documented in the methods chapter.</w:t>
      </w:r>
    </w:p>
    <w:p>
      <w:pPr>
        <w:pStyle w:val="BodyText"/>
        <w:spacing w:line="480" w:lineRule="auto"/>
        <w:ind w:firstLine="720"/>
      </w:pPr>
      <w:r>
        <w:t xml:space="preserve">Outcomes are sourced per mission, and the source column of the dataset names each citation. The authoritative records are the NASA NSSDCA master catalog for the older Soviet, Viking, and Mars-series vehicles</w:t>
      </w:r>
      <w:r>
        <w:t xml:space="preserve"> </w:t>
      </w:r>
      <w:hyperlink w:anchor="ref-13">
        <w:r>
          <w:rPr>
            <w:rStyle w:val="Hyperlink"/>
          </w:rPr>
          <w:t xml:space="preserve">[13]</w:t>
        </w:r>
      </w:hyperlink>
      <w:r>
        <w:t xml:space="preserve">, the NASA JPL and NASA Science EDL records and the NASA Mars Exploration Program timeline for the descent architecture and durations</w:t>
      </w:r>
      <w:r>
        <w:t xml:space="preserve"> </w:t>
      </w:r>
      <w:hyperlink w:anchor="ref-9">
        <w:r>
          <w:rPr>
            <w:rStyle w:val="Hyperlink"/>
          </w:rPr>
          <w:t xml:space="preserve">[9]</w:t>
        </w:r>
      </w:hyperlink>
      <w:r>
        <w:t xml:space="preserve">, the ESA mission pages for Beagle 2 and Schiaparelli</w:t>
      </w:r>
      <w:r>
        <w:t xml:space="preserve"> </w:t>
      </w:r>
      <w:hyperlink w:anchor="ref-14">
        <w:r>
          <w:rPr>
            <w:rStyle w:val="Hyperlink"/>
          </w:rPr>
          <w:t xml:space="preserve">[14]</w:t>
        </w:r>
      </w:hyperlink>
      <w:r>
        <w:t xml:space="preserve">, the NASA technical report record for Phoenix and Mars 2020</w:t>
      </w:r>
      <w:r>
        <w:t xml:space="preserve"> </w:t>
      </w:r>
      <w:hyperlink w:anchor="ref-15">
        <w:r>
          <w:rPr>
            <w:rStyle w:val="Hyperlink"/>
          </w:rPr>
          <w:t xml:space="preserve">[15]</w:t>
        </w:r>
      </w:hyperlink>
      <w:r>
        <w:t xml:space="preserve">[11], and the published mission history for the remaining attempts. Two penetrator durations are marked illustrative in the dataset where the exact seconds to loss are unrecoverable from the primary record, and that flag is applied under the project threshold for illustrative values so that any reader can identify and, if desired, exclude them. Every other duration and event value is sourced to a named document.</w:t>
      </w:r>
    </w:p>
    <w:bookmarkEnd w:id="91"/>
    <w:bookmarkStart w:id="92" w:name="the-atmospheric-knowledge-covariate"/>
    <w:p>
      <w:pPr>
        <w:pStyle w:val="Heading3"/>
        <w:spacing w:line="480" w:lineRule="auto"/>
      </w:pPr>
      <w:r>
        <w:t xml:space="preserve">4.3.3 The atmospheric-knowledge covariate</w:t>
      </w:r>
    </w:p>
    <w:p>
      <w:pPr>
        <w:pStyle w:val="FirstParagraph"/>
        <w:spacing w:line="480" w:lineRule="auto"/>
      </w:pPr>
      <w:r>
        <w:t xml:space="preserve">The covariate of interest in Paper 2 is a binary indicator marking whether a prior Mars orbiter had returned in-situ-anchored upper-atmosphere density reconnaissance before the attempt. The indicator turns from zero to one once Mars Global Surveyor and its successors began returning aerobraking accelerometer density data from the late 1990s onward, which is the moment the program first held an in-situ-anchored Martian density record rather than an a priori model. The construction is anchored to the accelerometer-derived density methodology documented in the Mars Reconnaissance Orbiter aerobraking modeling record</w:t>
      </w:r>
      <w:r>
        <w:t xml:space="preserve"> </w:t>
      </w:r>
      <w:hyperlink w:anchor="ref-10">
        <w:r>
          <w:rPr>
            <w:rStyle w:val="Hyperlink"/>
          </w:rPr>
          <w:t xml:space="preserve">[10]</w:t>
        </w:r>
      </w:hyperlink>
      <w:r>
        <w:t xml:space="preserve"> </w:t>
      </w:r>
      <w:r>
        <w:t xml:space="preserve">and to the broader reconstruction record that treats each orbiter density return and each successful entry as additions to the validated atmosphere database</w:t>
      </w:r>
      <w:r>
        <w:t xml:space="preserve"> </w:t>
      </w:r>
      <w:hyperlink w:anchor="ref-11">
        <w:r>
          <w:rPr>
            <w:rStyle w:val="Hyperlink"/>
          </w:rPr>
          <w:t xml:space="preserve">[11]</w:t>
        </w:r>
      </w:hyperlink>
      <w:r>
        <w:t xml:space="preserve">. The Pathfinder accelerometer-derived density and pressure profiles archived at the NASA Planetary Data System Atmospheres node exemplify the kind of in-situ-anchored record that, once accumulated, defines the reconnaissance-present state</w:t>
      </w:r>
      <w:r>
        <w:t xml:space="preserve"> </w:t>
      </w:r>
      <w:hyperlink w:anchor="ref-12">
        <w:r>
          <w:rPr>
            <w:rStyle w:val="Hyperlink"/>
          </w:rPr>
          <w:t xml:space="preserve">[12]</w:t>
        </w:r>
      </w:hyperlink>
      <w:r>
        <w:t xml:space="preserve">.</w:t>
      </w:r>
    </w:p>
    <w:p>
      <w:pPr>
        <w:pStyle w:val="BodyText"/>
        <w:spacing w:line="480" w:lineRule="auto"/>
        <w:ind w:firstLine="720"/>
      </w:pPr>
      <w:r>
        <w:t xml:space="preserve">This covariate is the Mars-cohort analogue of Paper 1’s maturity index, collapsed from five ordinal rungs to a single binary because the Martian record does not support five distinguishable rungs within a cohort of eighteen attempts and six events. The binary coding is honest about its own confounding. The confound is not hidden. In the Martian record the arrival of orbiter density reconnaissance and the arrival of guided closed-loop entry are nearly the same historical event, so a control-authority indicator constructed to separate them is collinear with the reconnaissance covariate at a correlation near 0.9 and induces quasi-complete separation that prevents the survival model from converging. The reconnaissance covariate is therefore reported as the effect of the modern knowledge-and-control regime as a whole, not of atmospheric knowledge in isolation, and the inability to separate the two is itself recorded as a finding about the structure of the flight record rather than hidden in the measurement.</w:t>
      </w:r>
    </w:p>
    <w:bookmarkEnd w:id="92"/>
    <w:bookmarkStart w:id="93" w:name="the-experience-covariate"/>
    <w:p>
      <w:pPr>
        <w:pStyle w:val="Heading3"/>
        <w:spacing w:line="480" w:lineRule="auto"/>
      </w:pPr>
      <w:r>
        <w:t xml:space="preserve">4.3.4 The experience covariate</w:t>
      </w:r>
    </w:p>
    <w:p>
      <w:pPr>
        <w:pStyle w:val="FirstParagraph"/>
        <w:spacing w:line="480" w:lineRule="auto"/>
      </w:pPr>
      <w:r>
        <w:t xml:space="preserve">The second covariate is accumulated entry experience, constructed as the cumulative count of prior successful Martian EDLs at the time of each attempt. For each row the count is the number of Martian vehicles that had already completed a successful descent before that attempt’s entry epoch, read off the ordered mission history. The covariate is included because the survey and reconstruction literature treats each prior successful entry as a stock of validated atmospheric and aerodynamic models that should bear on survival independently of orbiter reconnaissance</w:t>
      </w:r>
      <w:r>
        <w:t xml:space="preserve"> </w:t>
      </w:r>
      <w:hyperlink w:anchor="ref-11">
        <w:r>
          <w:rPr>
            <w:rStyle w:val="Hyperlink"/>
          </w:rPr>
          <w:t xml:space="preserve">[11]</w:t>
        </w:r>
      </w:hyperlink>
      <w:r>
        <w:t xml:space="preserve">. Its construction as a raw count is deliberately simple, and the methods chapter notes that the count is a noisy proxy that partly tracks calendar time and mission ambition, so that the heavier and more aggressive later landers inflate the count without cleanly isolating an experience benefit. The count is retained because it is the most defensible experience measure that the eighteen-attempt record supports without overfitting, and its noisiness is reported as a property of the measure rather than corrected by an unsupported construction.</w:t>
      </w:r>
    </w:p>
    <w:bookmarkEnd w:id="93"/>
    <w:bookmarkEnd w:id="94"/>
    <w:bookmarkStart w:id="95" w:name="X8d5079f2b3f46b0ac0039038b82421d35308a2d"/>
    <w:p>
      <w:pPr>
        <w:pStyle w:val="Heading2"/>
        <w:spacing w:line="480" w:lineRule="auto"/>
      </w:pPr>
      <w:r>
        <w:t xml:space="preserve">4.4 Provenance discipline, common standards, and the boundary with synthetic data</w:t>
      </w:r>
    </w:p>
    <w:p>
      <w:pPr>
        <w:pStyle w:val="FirstParagraph"/>
        <w:spacing w:line="480" w:lineRule="auto"/>
      </w:pPr>
      <w:r>
        <w:t xml:space="preserve">Three measurement standards run across both datasets and are stated once here to avoid repetition. First, every row in both datasets carries a source column that names the primary record from which its values are drawn, so that provenance is a column of the data and not an external bibliography. Second, where an exact value is unrecoverable from the primary record, the value is marked illustrative in the row source rather than fabricated or silently imputed; this applies to the single Hayabusa ellipse in Paper 1 and to the two penetrator durations in Paper 2, and in both papers the flagged rows are a small minority that can be excluded as a robustness check. Third, no numeric value in either dataset is invented to fill a gap: a missing or unrecoverable quantity is either flagged illustrative or the row is excluded under the inclusion frame, and the inclusion frames are constructed so that exclusion does not select on the outcome.</w:t>
      </w:r>
    </w:p>
    <w:p>
      <w:pPr>
        <w:pStyle w:val="BodyText"/>
        <w:spacing w:line="480" w:lineRule="auto"/>
        <w:ind w:firstLine="720"/>
      </w:pPr>
      <w:r>
        <w:t xml:space="preserve">The two observational datasets share an archival backbone. The NASA NSSDCA master catalog, the NASA Mars Exploration Program timeline, the ESA mission pages, and the NASA technical report record appear in both provenance trails, and several missions appear in both datasets, the Mars landers in particular. They are nonetheless distinct datasets with distinct units, outcomes, frames, and bodies, and they are kept separate because pooling them would confound the cross-body dispersion question of Paper 1 with the within-body survival question of Paper 2. Where the same mission appears in both, its values are constructed independently from the primary record for each dataset’s outcome, so that an error in one does not propagate to the other.</w:t>
      </w:r>
    </w:p>
    <w:p>
      <w:pPr>
        <w:pStyle w:val="BodyText"/>
        <w:spacing w:line="480" w:lineRule="auto"/>
        <w:ind w:firstLine="720"/>
      </w:pPr>
      <w:r>
        <w:t xml:space="preserve">Finally, the boundary between these observational datasets and the dissertation’s synthetic Monte Carlo data is a measurement boundary worth marking. The flight-record datasets of this chapter are collected, not generated: their provenance question is whether each value traces to an authoritative archival source, and the answer is documented per row. The realized-atmosphere and forecast ensembles of the controlled experiment are generated, not collected: their provenance question is whether their dispersion magnitudes are calibrated to published density-model error statistics, which is a question of calibration traceability rather than archival sourcing. The density-survey, precision-orbit, and generative-uncertainty records that calibrate the synthetic study</w:t>
      </w:r>
      <w:r>
        <w:t xml:space="preserve"> </w:t>
      </w:r>
      <w:hyperlink w:anchor="ref-1">
        <w:r>
          <w:rPr>
            <w:rStyle w:val="Hyperlink"/>
          </w:rPr>
          <w:t xml:space="preserve">[1]</w:t>
        </w:r>
      </w:hyperlink>
      <w:r>
        <w:t xml:space="preserve">[2][3] are the same records that supply the maturity ladder of the observational panel</w:t>
      </w:r>
      <w:r>
        <w:t xml:space="preserve"> </w:t>
      </w:r>
      <w:hyperlink w:anchor="ref-1">
        <w:r>
          <w:rPr>
            <w:rStyle w:val="Hyperlink"/>
          </w:rPr>
          <w:t xml:space="preserve">[1]</w:t>
        </w:r>
      </w:hyperlink>
      <w:r>
        <w:t xml:space="preserve">, so the two strands of evidence are anchored to a common, named, published error literature even though one strand collects its outcomes from the flight archive and the other constructs its inputs by controlled manipulation. Holding that common anchor while keeping the collected and generated data strictly separate is the measurement architecture that lets the dissertation read a controlled elasticity and an observational hazard ratio as evidence about the same underlying proposition without conflating their data.</w:t>
      </w:r>
    </w:p>
    <w:bookmarkEnd w:id="95"/>
    <w:bookmarkEnd w:id="96"/>
    <w:bookmarkStart w:id="111" w:name="chapter-5.-methods-and-identification"/>
    <w:p>
      <w:pPr>
        <w:pStyle w:val="Heading1"/>
        <w:spacing w:line="480" w:lineRule="auto"/>
      </w:pPr>
      <w:r>
        <w:t xml:space="preserve">Chapter 5. Methods and Identification</w:t>
      </w:r>
    </w:p>
    <w:bookmarkStart w:id="97" w:name="overview-of-the-identification-problem"/>
    <w:p>
      <w:pPr>
        <w:pStyle w:val="Heading2"/>
        <w:spacing w:line="480" w:lineRule="auto"/>
      </w:pPr>
      <w:r>
        <w:t xml:space="preserve">5.1 Overview of the Identification Problem</w:t>
      </w:r>
    </w:p>
    <w:p>
      <w:pPr>
        <w:pStyle w:val="FirstParagraph"/>
        <w:spacing w:line="480" w:lineRule="auto"/>
      </w:pPr>
      <w:r>
        <w:t xml:space="preserve">This dissertation estimates one quantity that the entry, descent, and landing literature has never isolated: the landed value of pre-entry atmospheric knowledge, expressed as the slope linking forecast quality to landed-state dispersion at fixed control authority. The estimand is causal in intent. The claim is not that better forecasts and smaller landing ellipses co-occur in the historical record, which is unsurprising given that both improved across the era of planetary exploration, but that a marginal reduction in pre-entry density-forecast error produces a reduction in landed dispersion that would not have occurred had the forecast stayed fixed. Recovering a causal slope from a domain in which forecast quality, guidance sophistication, and vehicle scale all advanced together is the identification problem this chapter solves.</w:t>
      </w:r>
    </w:p>
    <w:p>
      <w:pPr>
        <w:pStyle w:val="BodyText"/>
        <w:spacing w:line="480" w:lineRule="auto"/>
        <w:ind w:firstLine="720"/>
      </w:pPr>
      <w:r>
        <w:t xml:space="preserve">The problem has a single structural difficulty. Everything moved at once. In the flight record, the variable of interest, pre-entry atmospheric-knowledge maturity, never varies in isolation. The missions that flew under the best density models also flew the most capable guided controllers, on the heaviest vehicles, in the most recent decades, against the most thoroughly reconstructed atmospheres [1, 2]. Any naive comparison of early to late missions therefore confounds the value of knowledge with the value of control, the value of scale, and the value of accumulated engineering experience. The density-modeling literature establishes that forecast error is large and historically variable [1, 2, 3], and the guidance literature establishes that a closed-loop controller can convert atmospheric knowledge into reduced dispersion [4, 5], but neither body of work disentangles the two channels, because neither was built to. The contribution of this dissertation is precisely that disentanglement, and it requires more than one estimator.</w:t>
      </w:r>
    </w:p>
    <w:p>
      <w:pPr>
        <w:pStyle w:val="BodyText"/>
        <w:spacing w:line="480" w:lineRule="auto"/>
        <w:ind w:firstLine="720"/>
      </w:pPr>
      <w:r>
        <w:t xml:space="preserve">The strategy is triangulation by design. One estimator is not enough. No single research design can both manipulate forecast quality cleanly and speak to outcomes that real missions actually achieved. A controlled simulation can manipulate the forecast but cannot validate against flight truth; the flight record carries truth but permits no manipulation. The dissertation therefore deploys three estimators against the same proposition from orthogonal directions: a controlled Monte Carlo dispersion experiment that manipulates forecast quality directly and recovers a causal elasticity, a cross-mission ordinary-least-squares panel that estimates the conditional association in the achieved flight record, and a Cox proportional-hazards survival model that tests whether the same knowledge channel lowers the failure hazard of Martian descent. Each carries a distinct identification logic and a distinct vulnerability. Their convergence, where it occurs, is stronger evidence than any one design supplies, because the threat that biases one estimator is generally not the threat that biases another.</w:t>
      </w:r>
    </w:p>
    <w:bookmarkEnd w:id="97"/>
    <w:bookmarkStart w:id="98" w:name="Xaa17b0a6ae972a7ba3032c0b47b0650a525c3d3"/>
    <w:p>
      <w:pPr>
        <w:pStyle w:val="Heading2"/>
        <w:spacing w:line="480" w:lineRule="auto"/>
      </w:pPr>
      <w:r>
        <w:t xml:space="preserve">5.2 The Primary Estimator: A Controlled Monte Carlo Elasticity</w:t>
      </w:r>
    </w:p>
    <w:p>
      <w:pPr>
        <w:pStyle w:val="FirstParagraph"/>
        <w:spacing w:line="480" w:lineRule="auto"/>
      </w:pPr>
      <w:r>
        <w:t xml:space="preserve">The headline estimand is the elasticity of landed-state dispersion with respect to pre-entry density-forecast error under a fixed guidance law and a fixed vehicle. Let (D) denote a scalar summary of landed-state dispersion, operationalized as the semi-major axis of the 95 percent landing-error ellipse from a Monte Carlo dispersion ensemble. Let (U) denote a scalar summary of pre-entry density-forecast error, operationalized as the root-mean-square fractional density error of the forecast relative to the realized atmosphere along the entry corridor. The estimand is</w:t>
      </w:r>
    </w:p>
    <w:p>
      <w:pPr>
        <w:pStyle w:val="BodyText"/>
        <w:spacing w:line="480" w:lineRule="auto"/>
        <w:ind w:firstLine="720"/>
      </w:pPr>
      <w:r>
        <w:t xml:space="preserve">[</w:t>
      </w:r>
      <w:r>
        <w:t xml:space="preserve"> </w:t>
      </w:r>
      <w:r>
        <w:t xml:space="preserve">=</w:t>
      </w:r>
      <w:r>
        <w:t xml:space="preserve"> </w:t>
      </w:r>
      <w:r>
        <w:t xml:space="preserve">,</w:t>
      </w:r>
      <w:r>
        <w:t xml:space="preserve"> </w:t>
      </w:r>
      <w:r>
        <w:t xml:space="preserve">]</w:t>
      </w:r>
    </w:p>
    <w:p>
      <w:pPr>
        <w:pStyle w:val="BodyText"/>
        <w:spacing w:line="480" w:lineRule="auto"/>
        <w:ind w:firstLine="720"/>
      </w:pPr>
      <w:r>
        <w:t xml:space="preserve">the percentage change in landing-ellipse size produced by a one percent change in forecast error, with guidance and vehicle held constant. The null hypothesis is (</w:t>
      </w:r>
      <w:r>
        <w:t xml:space="preserve">= 0), meaning a fixed closed-loop controller fully absorbs forecast error across the studied range and atmospheric knowledge carries no landed value. The alternative is (</w:t>
      </w:r>
      <w:r>
        <w:t xml:space="preserve">&gt; 0), a strictly positive and estimable slope.</w:t>
      </w:r>
    </w:p>
    <w:p>
      <w:pPr>
        <w:pStyle w:val="BodyText"/>
        <w:spacing w:line="480" w:lineRule="auto"/>
        <w:ind w:firstLine="720"/>
      </w:pPr>
      <w:r>
        <w:t xml:space="preserve">The estimator is a log-log regression of ensemble dispersion on imposed forecast error. The design fixes a single entry-guidance pipeline and a single entry vehicle, adopting a reference-tracking robust entry guidance of the published type so that the controller’s absorption behavior reflects current practice rather than a strawman [4, 5]. It then constructs an ensemble of realized atmospheres by sampling density profiles whose dispersion magnitudes are calibrated to the model-disagreement and model-versus-truth error statistics reported in the operations-ready density survey and the precision-orbit-derived density work [1, 2]. A small number of forecast-quality treatment arms is defined by degrading or refining the forecast handed to the guidance, indexed by the imposed root-mean-square fractional density error (U), spanning a high-uncertainty arm consistent with a poor a priori model down to a low-uncertainty arm consistent with assimilated or generatively post-processed estimates</w:t>
      </w:r>
      <w:r>
        <w:t xml:space="preserve"> </w:t>
      </w:r>
      <w:hyperlink w:anchor="ref-3">
        <w:r>
          <w:rPr>
            <w:rStyle w:val="Hyperlink"/>
          </w:rPr>
          <w:t xml:space="preserve">[3]</w:t>
        </w:r>
      </w:hyperlink>
      <w:r>
        <w:t xml:space="preserve">. Within each arm a Monte Carlo dispersion ensemble is run, (D) is recorded, and (</w:t>
      </w:r>
      <w:r>
        <w:t xml:space="preserve">) is estimated as the slope of (</w:t>
      </w:r>
      <w:r>
        <w:t xml:space="preserve">D) on (</w:t>
      </w:r>
      <w:r>
        <w:t xml:space="preserve">U) across arms, with bootstrap confidence intervals on that slope.</w:t>
      </w:r>
    </w:p>
    <w:p>
      <w:pPr>
        <w:pStyle w:val="BodyText"/>
        <w:spacing w:line="480" w:lineRule="auto"/>
        <w:ind w:firstLine="720"/>
      </w:pPr>
      <w:r>
        <w:t xml:space="preserve">The regression is the right reduction of the experiment for three reasons. First, the elasticity is the natural decision-relevant quantity: it reports the proportional return on a proportional improvement in forecast quality, which is the form in which an EDL program weighs the marginal cost of better atmospheric knowledge against its marginal benefit. Second, the log-log form accommodates the strong right-skew of ellipse sizes documented across the flight record, where semi-major axes range over nearly two orders of magnitude, so that coefficients read as approximate proportional changes rather than as kilometers per unit of fractional error</w:t>
      </w:r>
      <w:r>
        <w:t xml:space="preserve"> </w:t>
      </w:r>
      <w:hyperlink w:anchor="ref-1">
        <w:r>
          <w:rPr>
            <w:rStyle w:val="Hyperlink"/>
          </w:rPr>
          <w:t xml:space="preserve">[1]</w:t>
        </w:r>
      </w:hyperlink>
      <w:r>
        <w:t xml:space="preserve">. Third, the slope and its confidence interval deliver a clean two-sided test of the null: an interval covering zero fails to reject (H_0) and would constitute evidence that the field is correct to invest in control rather than forecast, while an interval bounded away from zero rejects it and quantifies the landed return on knowledge for the first time in the retrieved literature.</w:t>
      </w:r>
    </w:p>
    <w:bookmarkEnd w:id="98"/>
    <w:bookmarkStart w:id="99" w:name="identification-in-the-primary-estimator"/>
    <w:p>
      <w:pPr>
        <w:pStyle w:val="Heading2"/>
        <w:spacing w:line="480" w:lineRule="auto"/>
      </w:pPr>
      <w:r>
        <w:t xml:space="preserve">5.3 Identification in the Primary Estimator</w:t>
      </w:r>
    </w:p>
    <w:p>
      <w:pPr>
        <w:pStyle w:val="FirstParagraph"/>
        <w:spacing w:line="480" w:lineRule="auto"/>
      </w:pPr>
      <w:r>
        <w:t xml:space="preserve">Identification of (</w:t>
      </w:r>
      <w:r>
        <w:t xml:space="preserve">) rests on experimental control rather than on any statistical adjustment. Because (U) is set by the experimenter and is not jointly determined with (D), the log-log slope recovers a causal elasticity, not an observational correlation. The guidance law, the vehicle aerodynamics, the entry-state covariance, and the realized-atmosphere ensemble are held common across treatment arms. Any systematic change in (D) across arms is therefore attributable to the manipulated change in forecast quality and to nothing else, because nothing else changes. This is the central methodological advantage of the controlled-treatment design over any after-the-fact analysis of flight or mission-archive data: it severs the historical correlation between forecast quality and control authority by holding the controller fixed by construction, which no observational design on the flight record can do [4, 5].</w:t>
      </w:r>
    </w:p>
    <w:p>
      <w:pPr>
        <w:pStyle w:val="BodyText"/>
        <w:spacing w:line="480" w:lineRule="auto"/>
        <w:ind w:firstLine="720"/>
      </w:pPr>
      <w:r>
        <w:t xml:space="preserve">The realized-atmosphere ensemble is shared identically across all arms, so the comparison is between forecasts of differing quality made against the same population of truth atmospheres. The forecast handed to the guidance is the only quantity that moves between arms. This is what makes the recovered slope the value of knowledge and not the value of luck: the vehicle in the low-uncertainty arm does not fly an easier atmosphere, it flies the same atmosphere with a better forecast of it. The arms thus form a designed treatment ladder along which a response slope is well defined, in contrast to the existing robustness studies that vary dispersion bounds only incidentally as a stress test and from which no response slope can be estimated [4, 5].</w:t>
      </w:r>
    </w:p>
    <w:p>
      <w:pPr>
        <w:pStyle w:val="BodyText"/>
        <w:spacing w:line="480" w:lineRule="auto"/>
        <w:ind w:firstLine="720"/>
      </w:pPr>
      <w:r>
        <w:t xml:space="preserve">A second identification safeguard governs the calibration of the ensemble itself. The mapping from published residual statistics [1, 2] to ensemble parameters is preregistered before any dispersion runs, so that the realized-atmosphere ensemble is fixed by external error statistics and cannot be adjusted to the outcome. Every density-error magnitude entering the experiment is sourced to a retrieved document and recorded with its model name, version, and reported residual, so the calibration is auditable end to end. The forecast-error structure is shaped from the probabilistic density-uncertainty results rather than treated as a single scalar, so the imposed (U) carries the distributional character of real forecast error and not an analytically convenient point value</w:t>
      </w:r>
      <w:r>
        <w:t xml:space="preserve"> </w:t>
      </w:r>
      <w:hyperlink w:anchor="ref-3">
        <w:r>
          <w:rPr>
            <w:rStyle w:val="Hyperlink"/>
          </w:rPr>
          <w:t xml:space="preserve">[3]</w:t>
        </w:r>
      </w:hyperlink>
      <w:r>
        <w:t xml:space="preserve">.</w:t>
      </w:r>
    </w:p>
    <w:bookmarkEnd w:id="99"/>
    <w:bookmarkStart w:id="100" w:name="X33a78f86b0e0264e53dfd1e36f3266eb71d6ce6"/>
    <w:p>
      <w:pPr>
        <w:pStyle w:val="Heading2"/>
        <w:spacing w:line="480" w:lineRule="auto"/>
      </w:pPr>
      <w:r>
        <w:t xml:space="preserve">5.4 The Secondary Estimator: A Cross-Mission OLS Panel</w:t>
      </w:r>
    </w:p>
    <w:p>
      <w:pPr>
        <w:pStyle w:val="FirstParagraph"/>
        <w:spacing w:line="480" w:lineRule="auto"/>
      </w:pPr>
      <w:r>
        <w:t xml:space="preserve">The first observational complement is an ordinary-least-squares regression on a cross-mission panel of eighteen documented atmospheric-entry missions spanning 1969 to 2023, covering Mars landers and rovers from Viking through Perseverance, the lost ballistic missions, and a set of Earth sample-return and lunar-return capsules. The dependent variable is the natural log of the landing-ellipse semi-major axis in kilometers, taken from mission press kits, agency landing-site papers, and EDL reconstruction reports</w:t>
      </w:r>
      <w:r>
        <w:t xml:space="preserve"> </w:t>
      </w:r>
      <w:hyperlink w:anchor="ref-8">
        <w:r>
          <w:rPr>
            <w:rStyle w:val="Hyperlink"/>
          </w:rPr>
          <w:t xml:space="preserve">[8]</w:t>
        </w:r>
      </w:hyperlink>
      <w:r>
        <w:t xml:space="preserve">. The log transform is used because ellipse sizes are strongly right-skewed, so coefficients read as approximate proportional changes.</w:t>
      </w:r>
    </w:p>
    <w:p>
      <w:pPr>
        <w:pStyle w:val="BodyText"/>
        <w:spacing w:line="480" w:lineRule="auto"/>
        <w:ind w:firstLine="720"/>
      </w:pPr>
      <w:r>
        <w:t xml:space="preserve">Three regressors enter additively. Pre-entry atmospheric-knowledge maturity is an ordinal index from one to five, coded from documented atmospheric-model heritage, with a Viking-era a priori atmosphere scoring one and assimilation paired with best-available per-mission reconstruction scoring five</w:t>
      </w:r>
      <w:r>
        <w:t xml:space="preserve"> </w:t>
      </w:r>
      <w:hyperlink w:anchor="ref-1">
        <w:r>
          <w:rPr>
            <w:rStyle w:val="Hyperlink"/>
          </w:rPr>
          <w:t xml:space="preserve">[1]</w:t>
        </w:r>
      </w:hyperlink>
      <w:r>
        <w:t xml:space="preserve">. A binary indicator records whether the vehicle flew a controllable guided entry or a ballistic unguided one, following the standard EDL-architecture classification</w:t>
      </w:r>
      <w:r>
        <w:t xml:space="preserve"> </w:t>
      </w:r>
      <w:hyperlink w:anchor="ref-7">
        <w:r>
          <w:rPr>
            <w:rStyle w:val="Hyperlink"/>
          </w:rPr>
          <w:t xml:space="preserve">[7]</w:t>
        </w:r>
      </w:hyperlink>
      <w:r>
        <w:t xml:space="preserve">. Entry mass in tonnes controls for vehicle scale and ballistic coefficient. The estimator uses heteroskedasticity-robust standard errors, and the test of the null is the sign and significance of the maturity coefficient, which the alternative predicts to be negative.</w:t>
      </w:r>
    </w:p>
    <w:p>
      <w:pPr>
        <w:pStyle w:val="BodyText"/>
        <w:spacing w:line="480" w:lineRule="auto"/>
        <w:ind w:firstLine="720"/>
      </w:pPr>
      <w:r>
        <w:t xml:space="preserve">Identification in this panel rests on the additivity of the guided indicator. Because guided-versus-ballistic entry mode is in the model, the maturity coefficient is identified from variation in atmospheric knowledge after differencing out the average effect of control authority and the average effect of vehicle scale. A significant maturity coefficient therefore cannot be a relabeling of the fact that recent guided missions also flew under the best atmosphere models, because the guided effect is estimated separately. The specification holds control authority and vehicle scale fixed and asks what remains for knowledge to explain. This is the observational analogue of the experimental control in the primary estimator, achieved by statistical adjustment rather than by manipulation, and it is weaker for exactly that reason, as the threats below make explicit.</w:t>
      </w:r>
    </w:p>
    <w:bookmarkEnd w:id="100"/>
    <w:bookmarkStart w:id="101" w:name="X1a800048ee78e35390587f5f577a732d3cf23b4"/>
    <w:p>
      <w:pPr>
        <w:pStyle w:val="Heading2"/>
        <w:spacing w:line="480" w:lineRule="auto"/>
      </w:pPr>
      <w:r>
        <w:t xml:space="preserve">5.5 The Tertiary Estimator: A Cox Proportional-Hazards Survival Model</w:t>
      </w:r>
    </w:p>
    <w:p>
      <w:pPr>
        <w:pStyle w:val="FirstParagraph"/>
        <w:spacing w:line="480" w:lineRule="auto"/>
      </w:pPr>
      <w:r>
        <w:t xml:space="preserve">The second observational complement shifts the outcome from dispersion to survival. The estimator is a Cox proportional-hazards regression of the EDL failure event on covariates, fit across eighteen documented Martian EDL attempts from 1971 through 2021, with descent duration as the survival time and surviving vehicles right-censored at their completed EDL duration</w:t>
      </w:r>
      <w:r>
        <w:t xml:space="preserve"> </w:t>
      </w:r>
      <w:hyperlink w:anchor="ref-9">
        <w:r>
          <w:rPr>
            <w:rStyle w:val="Hyperlink"/>
          </w:rPr>
          <w:t xml:space="preserve">[9]</w:t>
        </w:r>
      </w:hyperlink>
      <w:r>
        <w:t xml:space="preserve">. The proportional-hazards form is chosen because the outcome of interest is a time-to-failure inside a short, sharply bounded descent interval of roughly 390 seconds, and because it estimates the multiplicative effect of each covariate on the instantaneous failure hazard without imposing a parametric shape on the baseline descent risk</w:t>
      </w:r>
      <w:r>
        <w:t xml:space="preserve"> </w:t>
      </w:r>
      <w:hyperlink w:anchor="ref-9">
        <w:r>
          <w:rPr>
            <w:rStyle w:val="Hyperlink"/>
          </w:rPr>
          <w:t xml:space="preserve">[9]</w:t>
        </w:r>
      </w:hyperlink>
      <w:r>
        <w:t xml:space="preserve">. The model is fit by partial-likelihood maximization and reports hazard ratios as exponentiated coefficients.</w:t>
      </w:r>
    </w:p>
    <w:p>
      <w:pPr>
        <w:pStyle w:val="BodyText"/>
        <w:spacing w:line="480" w:lineRule="auto"/>
        <w:ind w:firstLine="720"/>
      </w:pPr>
      <w:r>
        <w:t xml:space="preserve">The reported specification carries two covariates: a binary marker for prior in-situ atmospheric density reconnaissance of Mars, which becomes available once orbiter aerobraking accelerometer data return from the late 1990s onward [10, 11], and the cumulative count of prior successful Martian EDLs as an accumulated-experience control. The null holds that the reconnaissance coefficient is zero; the alternative holds that it is negative, so missions flown with prior reconnaissance face a lower instantaneous failure hazard. The parsimony of two covariates against six events is a deliberate guard against overfitting.</w:t>
      </w:r>
    </w:p>
    <w:p>
      <w:pPr>
        <w:pStyle w:val="BodyText"/>
        <w:spacing w:line="480" w:lineRule="auto"/>
        <w:ind w:firstLine="720"/>
      </w:pPr>
      <w:r>
        <w:t xml:space="preserve">Identification here is the most constrained of the three designs, and the chapter states the constraint plainly rather than concealing it. A control-authority indicator distinguishing guided from ballistic descent was constructed but excluded from the reported model, because in the Martian record it is collinear with the reconnaissance covariate at a correlation near 0.9 and induces quasi-complete separation that prevents convergence. The arrival of guided entry and the arrival of orbiter density reconnaissance are nearly the same historical event on Mars, so the two cannot be separated within this cohort. The reconnaissance coefficient must therefore be read as the effect of the modern knowledge-and-control regime as a whole, not of atmospheric knowledge in isolation. This is not a defect to be apologized for. It is the very reason the dissertation pairs the observational test with the controlled experiment: what the survival model cannot disentangle by adjustment, the Monte Carlo design disentangles by manipulation.</w:t>
      </w:r>
    </w:p>
    <w:bookmarkEnd w:id="101"/>
    <w:bookmarkStart w:id="102" w:name="why-three-estimators-rather-than-one"/>
    <w:p>
      <w:pPr>
        <w:pStyle w:val="Heading2"/>
        <w:spacing w:line="480" w:lineRule="auto"/>
      </w:pPr>
      <w:r>
        <w:t xml:space="preserve">5.6 Why Three Estimators Rather Than One</w:t>
      </w:r>
    </w:p>
    <w:p>
      <w:pPr>
        <w:pStyle w:val="FirstParagraph"/>
        <w:spacing w:line="480" w:lineRule="auto"/>
      </w:pPr>
      <w:r>
        <w:t xml:space="preserve">The three estimators are not redundant. They trade off cleanly. The Monte Carlo design has the strongest internal validity, because it manipulates the treatment and severs every confound by construction, but it has no external validity at all on its own, because it observes simulated rather than flown outcomes. The OLS panel and the Cox model have the strongest external validity, because they observe what real vehicles achieved across the actual history of atmospheric entry, but they have the weakest internal validity, because they cannot manipulate the treatment and must lean on additive adjustment against confounders that history wove together. A finding that survives all three carries the internal validity of the experiment and the external validity of the flight record simultaneously, which is the standard that justifies a causal claim in a domain where randomized assignment is impossible. The remainder of the chapter therefore organizes the threats to validity by estimator and bounds each in turn, because the credibility of the convergence depends on each estimator failing for different reasons.</w:t>
      </w:r>
    </w:p>
    <w:bookmarkEnd w:id="102"/>
    <w:bookmarkStart w:id="109" w:name="X1d189e0776bd0a9225211f020d00b109bd29bed"/>
    <w:p>
      <w:pPr>
        <w:pStyle w:val="Heading2"/>
        <w:spacing w:line="480" w:lineRule="auto"/>
      </w:pPr>
      <w:r>
        <w:t xml:space="preserve">5.7 Threats to Validity and How Each Is Bounded</w:t>
      </w:r>
    </w:p>
    <w:bookmarkStart w:id="103" w:name="X57240444cda17d803b041d522ca715d230d293b"/>
    <w:p>
      <w:pPr>
        <w:pStyle w:val="Heading3"/>
        <w:spacing w:line="480" w:lineRule="auto"/>
      </w:pPr>
      <w:r>
        <w:t xml:space="preserve">5.7.1 External validity across the gravity domain</w:t>
      </w:r>
    </w:p>
    <w:p>
      <w:pPr>
        <w:pStyle w:val="FirstParagraph"/>
        <w:spacing w:line="480" w:lineRule="auto"/>
      </w:pPr>
      <w:r>
        <w:t xml:space="preserve">The strongest density-error characterizations in the retrieved corpus are for Earth’s thermosphere [1, 2, 3], whereas much EDL practice targets Mars, where the guidance literature concentrates</w:t>
      </w:r>
      <w:r>
        <w:t xml:space="preserve"> </w:t>
      </w:r>
      <w:hyperlink w:anchor="ref-4">
        <w:r>
          <w:rPr>
            <w:rStyle w:val="Hyperlink"/>
          </w:rPr>
          <w:t xml:space="preserve">[4]</w:t>
        </w:r>
      </w:hyperlink>
      <w:r>
        <w:t xml:space="preserve">. An elasticity (</w:t>
      </w:r>
      <w:r>
        <w:t xml:space="preserve">) estimated under Earth-thermosphere error statistics may not transfer to atmospheres with different scale heights and variability spectra. The bound is scope discipline: the primary claim is restricted to the atmosphere whose error statistics are directly sourced, and cross-atmosphere transfer is treated as a bounded sensitivity analysis rather than a headline result. The two observational estimators reinforce this bound from opposite ends. The OLS panel deliberately spans both Mars and terrestrial capsules under a single ellipse metric, which surfaces rather than hides the cross-gravity heterogeneity, while the Cox model is Mars-only by construction, which holds the atmosphere fixed and removes cross-gravity transfer entirely from that test</w:t>
      </w:r>
      <w:r>
        <w:t xml:space="preserve"> </w:t>
      </w:r>
      <w:hyperlink w:anchor="ref-9">
        <w:r>
          <w:rPr>
            <w:rStyle w:val="Hyperlink"/>
          </w:rPr>
          <w:t xml:space="preserve">[9]</w:t>
        </w:r>
      </w:hyperlink>
      <w:r>
        <w:t xml:space="preserve">. The threat that weakens one design is neutralized in another, so the convergence is not an artifact of a shared gravity assumption.</w:t>
      </w:r>
    </w:p>
    <w:bookmarkEnd w:id="103"/>
    <w:bookmarkStart w:id="104" w:name="guidance-law-dependence"/>
    <w:p>
      <w:pPr>
        <w:pStyle w:val="Heading3"/>
        <w:spacing w:line="480" w:lineRule="auto"/>
      </w:pPr>
      <w:r>
        <w:t xml:space="preserve">5.7.2 Guidance-law dependence</w:t>
      </w:r>
    </w:p>
    <w:p>
      <w:pPr>
        <w:pStyle w:val="FirstParagraph"/>
        <w:spacing w:line="480" w:lineRule="auto"/>
      </w:pPr>
      <w:r>
        <w:t xml:space="preserve">Because (</w:t>
      </w:r>
      <w:r>
        <w:t xml:space="preserve">) is estimated with the controller held fixed, the estimate is conditional on the chosen guidance pipeline; a more aggressive or more conservative controller could absorb forecast error differently and shift (</w:t>
      </w:r>
      <w:r>
        <w:t xml:space="preserve">) [4, 5]. The bound is to report (</w:t>
      </w:r>
      <w:r>
        <w:t xml:space="preserve">) for at least two published guidance families and to state explicitly that the contribution is a conditional elasticity, not a controller-free constant. This honesty about conditionality is what gives the number its meaning: it is the value of knowledge at a stated level of control authority, which is exactly the quantity an EDL program needs when it has already chosen its controller and is deciding whether to invest further in the forecast. The OLS panel addresses the same threat observationally by carrying the guided indicator as an explicit regressor, so that the maturity slope is read off after the average effect of control mode is removed</w:t>
      </w:r>
      <w:r>
        <w:t xml:space="preserve"> </w:t>
      </w:r>
      <w:hyperlink w:anchor="ref-7">
        <w:r>
          <w:rPr>
            <w:rStyle w:val="Hyperlink"/>
          </w:rPr>
          <w:t xml:space="preserve">[7]</w:t>
        </w:r>
      </w:hyperlink>
      <w:r>
        <w:t xml:space="preserve">.</w:t>
      </w:r>
    </w:p>
    <w:bookmarkEnd w:id="104"/>
    <w:bookmarkStart w:id="105" w:name="Xa330e2709f8cd4b25bdcab76fa5fa8ae21b30c3"/>
    <w:p>
      <w:pPr>
        <w:pStyle w:val="Heading3"/>
        <w:spacing w:line="480" w:lineRule="auto"/>
      </w:pPr>
      <w:r>
        <w:t xml:space="preserve">5.7.3 Operationalization of dispersion and forecast error as scalars</w:t>
      </w:r>
    </w:p>
    <w:p>
      <w:pPr>
        <w:pStyle w:val="FirstParagraph"/>
        <w:spacing w:line="480" w:lineRule="auto"/>
      </w:pPr>
      <w:r>
        <w:t xml:space="preserve">Collapsing a landed-state distribution to an ellipse semi-major axis and a forecast to a single root-mean-square fractional error discards directional and spectral structure that the integrated-modeling literature shows can matter</w:t>
      </w:r>
      <w:r>
        <w:t xml:space="preserve"> </w:t>
      </w:r>
      <w:hyperlink w:anchor="ref-6">
        <w:r>
          <w:rPr>
            <w:rStyle w:val="Hyperlink"/>
          </w:rPr>
          <w:t xml:space="preserve">[6]</w:t>
        </w:r>
      </w:hyperlink>
      <w:r>
        <w:t xml:space="preserve">. The bound is robustness testing: the sign and significance of (</w:t>
      </w:r>
      <w:r>
        <w:t xml:space="preserve">) are checked against alternative scalarizations of both (D) and (U), and the chapter reports whether the conclusion survives those alternatives rather than asserting that the chosen scalars are uniquely correct. The same scalar simplification is shared by the OLS panel, where the response is a single ellipse axis, so the robustness check on the primary estimator also speaks to the credibility of the secondary one.</w:t>
      </w:r>
    </w:p>
    <w:bookmarkEnd w:id="105"/>
    <w:bookmarkStart w:id="106" w:name="calibration-circularity"/>
    <w:p>
      <w:pPr>
        <w:pStyle w:val="Heading3"/>
        <w:spacing w:line="480" w:lineRule="auto"/>
      </w:pPr>
      <w:r>
        <w:t xml:space="preserve">5.7.4 Calibration circularity</w:t>
      </w:r>
    </w:p>
    <w:p>
      <w:pPr>
        <w:pStyle w:val="FirstParagraph"/>
        <w:spacing w:line="480" w:lineRule="auto"/>
      </w:pPr>
      <w:r>
        <w:t xml:space="preserve">The fourth threat is that the synthetic atmosphere could be tuned, knowingly or not, to produce a desired (</w:t>
      </w:r>
      <w:r>
        <w:t xml:space="preserve">). The bound is preregistration of the calibration mapping from published residuals [1, 2] to ensemble parameters before any dispersion runs are executed. Because the realized-atmosphere ensemble is fixed by external error statistics and is identical across all treatment arms, it cannot be adjusted to the outcome, and the full provenance trail from named model version and reported residual to ensemble parameter is recorded for audit. This converts the most damaging objection to a simulation result, that the simulator was rigged, into a checkable claim about a frozen calibration.</w:t>
      </w:r>
    </w:p>
    <w:bookmarkEnd w:id="106"/>
    <w:bookmarkStart w:id="107" w:name="X3da45cf118db346ad98084fd07924f632a968ce"/>
    <w:p>
      <w:pPr>
        <w:pStyle w:val="Heading3"/>
        <w:spacing w:line="480" w:lineRule="auto"/>
      </w:pPr>
      <w:r>
        <w:t xml:space="preserve">5.7.5 Confounding and small samples in the observational estimators</w:t>
      </w:r>
    </w:p>
    <w:p>
      <w:pPr>
        <w:pStyle w:val="FirstParagraph"/>
        <w:spacing w:line="480" w:lineRule="auto"/>
      </w:pPr>
      <w:r>
        <w:t xml:space="preserve">The observational designs carry two further threats that the experiment does not. The first is residual confounding: maturity and guidance are correlated in history because the missions that flew guided also flew under better atmosphere models, and the additive OLS specification separates their average effects but cannot fully break a correlation that history itself imposed. The bound is the experiment, which breaks that correlation by manipulation, so that the panel’s role is to confirm direction and magnitude against flight truth rather than to carry the causal claim alone. The second is small-sample imprecision: with eighteen missions and, in the survival model, only six events, confidence intervals are structurally wide and a single additional in-regime failure or success would move the hazard estimate materially. The bound is interpretive discipline. The dissertation reports these results as directional and suggestive, declines to over-read a wide interval as a precise effect, and rests the causal weight of the thesis on the controlled elasticity while using the observational estimators to establish that whatever the modern regime changed shows up as both a smaller landing ellipse and fewer lost vehicles in the record that actually exists</w:t>
      </w:r>
      <w:r>
        <w:t xml:space="preserve"> </w:t>
      </w:r>
      <w:hyperlink w:anchor="ref-9">
        <w:r>
          <w:rPr>
            <w:rStyle w:val="Hyperlink"/>
          </w:rPr>
          <w:t xml:space="preserve">[9]</w:t>
        </w:r>
      </w:hyperlink>
      <w:r>
        <w:t xml:space="preserve">.</w:t>
      </w:r>
    </w:p>
    <w:bookmarkEnd w:id="107"/>
    <w:bookmarkStart w:id="108" w:name="X74b5a4d210032e62bcd4ea529157f7b06862529"/>
    <w:p>
      <w:pPr>
        <w:pStyle w:val="Heading3"/>
        <w:spacing w:line="480" w:lineRule="auto"/>
      </w:pPr>
      <w:r>
        <w:t xml:space="preserve">5.7.6 Measurement and provenance in the recorded outcomes</w:t>
      </w:r>
    </w:p>
    <w:p>
      <w:pPr>
        <w:pStyle w:val="FirstParagraph"/>
        <w:spacing w:line="480" w:lineRule="auto"/>
      </w:pPr>
      <w:r>
        <w:t xml:space="preserve">A final threat concerns the integrity of the recorded outcomes themselves. Ellipse values and descent durations are drawn from heterogeneous sources of varying authority, and a small number of values are unrecoverable at full precision. The bound is a provenance rule applied uniformly across the dissertation: every outcome is sourced per mission to a named document, the few values that cannot be recovered exactly are flagged illustrative in the dataset and held below a fixed threshold of the sample, and no number is reported without a traceable origin. Lost ballistic missions contribute planned rather than achieved ellipses where achieved values do not exist, and that substitution is recorded rather than silently absorbed. The provenance discipline does not eliminate measurement error, but it bounds it by making every instance visible and auditable, which is the strongest control available when the underlying events span five decades and several space agencies.</w:t>
      </w:r>
    </w:p>
    <w:bookmarkEnd w:id="108"/>
    <w:bookmarkEnd w:id="109"/>
    <w:bookmarkStart w:id="110" w:name="summary"/>
    <w:p>
      <w:pPr>
        <w:pStyle w:val="Heading2"/>
        <w:spacing w:line="480" w:lineRule="auto"/>
      </w:pPr>
      <w:r>
        <w:t xml:space="preserve">5.8 Summary</w:t>
      </w:r>
    </w:p>
    <w:p>
      <w:pPr>
        <w:pStyle w:val="FirstParagraph"/>
        <w:spacing w:line="480" w:lineRule="auto"/>
      </w:pPr>
      <w:r>
        <w:t xml:space="preserve">The identification strategy of this dissertation is a deliberate division of labor among three estimators aimed at one estimand. The controlled Monte Carlo elasticity carries the causal claim, because it alone manipulates forecast quality and holds the controller fixed by construction, severing the historical confound between knowledge and control that no observational design can break [4, 5]. The cross-mission OLS panel and the Cox proportional-hazards survival model carry the external validity, because they alone observe what real vehicles achieved as their atmosphere models matured [1, 9]. Each design is vulnerable to a different threat, and each threat is bounded by a stated and auditable mitigation: scope discipline for gravity-domain transfer, multi-controller reporting for guidance dependence, robustness testing for scalarization, preregistered calibration for circularity, the experiment itself for observational confounding, and uniform provenance for measurement integrity. The credibility of the dissertation rests not on any single number but on the demand that a causal elasticity, a conditional cross-mission association, and an observational failure hazard all point the same direction while failing, where they fail, for reasons that do not overlap.</w:t>
      </w:r>
    </w:p>
    <w:bookmarkEnd w:id="110"/>
    <w:bookmarkEnd w:id="111"/>
    <w:bookmarkStart w:id="123"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observational studies that anchor the dissertation’s flight-record argument. The first study is a cross-mission ordinary-least-squares regression of landing-ellipse size on pre-entry atmospheric-knowledge maturity, estimated across eighteen documented atmospheric-entry missions. The second study is a Cox proportional-hazards regression of EDL failure on prior in-situ atmospheric density reconnaissance, estimated across eighteen documented Martian descent attempts. The two studies attack the same proposition from opposite outcome metrics: the first asks whether better atmospheric knowledge shrinks the landing ellipse conditional on control authority and vehicle scale, and the second asks whether better atmospheric knowledge lowers the instantaneous risk of losing the vehicle during descent. Together they form the observational complement to the controlled Monte Carlo elasticity study that constitutes the dissertation’s primary contribution. The tables, regression diagnostics, and underlying data are reproduced in Appendix A; this chapter reports the estimated coefficients, their standard errors, their p-values, the implied effect sizes, and the model fit, and interprets what each quantity means for the thesis that pre-entry atmospheric knowledge carries measurable landed value.</w:t>
      </w:r>
    </w:p>
    <w:p>
      <w:pPr>
        <w:pStyle w:val="BodyText"/>
        <w:spacing w:line="480" w:lineRule="auto"/>
        <w:ind w:firstLine="720"/>
      </w:pPr>
      <w:r>
        <w:t xml:space="preserve">The reporting discipline here is deliberate. Each number stated below is taken directly from the estimator output, and no quantity is interpreted beyond what the estimator licenses. Where a coefficient is significant the chapter says so and characterizes the magnitude; where a coefficient is imprecise the chapter says that too, and refuses to convert a wide interval into a confident claim. The honest reading of an eighteen-observation flight record is that it can establish a direction and an order of magnitude, and that it cannot, by itself, settle a question the controlled experiment is designed to settle. The value of the observational results is precisely that they are observational: they test the dissertation’s mechanism against the only ground truth that exists, which is what real vehicles actually achieved when they actually flew.</w:t>
      </w:r>
    </w:p>
    <w:bookmarkStart w:id="116" w:name="the-cross-mission-dispersion-model"/>
    <w:p>
      <w:pPr>
        <w:pStyle w:val="Heading2"/>
        <w:spacing w:line="480" w:lineRule="auto"/>
      </w:pPr>
      <w:r>
        <w:t xml:space="preserve">6.1 The Cross-Mission Dispersion Model</w:t>
      </w:r>
    </w:p>
    <w:p>
      <w:pPr>
        <w:pStyle w:val="FirstParagraph"/>
        <w:spacing w:line="480" w:lineRule="auto"/>
      </w:pPr>
      <w:r>
        <w:t xml:space="preserve">The first study regresses the natural logarithm of the landing-ellipse semi-major axis on three regressors: the pre-entry atmospheric-knowledge maturity index, a binary indicator for whether the vehicle flew a controllable guided entry rather than a ballistic unguided descent, and entry mass in tonnes as a control for vehicle scale. The estimator is ordinary least squares with heteroskedasticity-robust standard errors of the HC1 form, fit across the panel of eighteen missions spanning 1969 through 2023. The response is logged because the raw ellipse sizes are strongly right-skewed, ranging from the few-kilometer ellipses of the most recent guided Mars missions to the roughly hundred-kilometer ellipses of the Viking landers, so that coefficients on the logged response read as approximate proportional changes in ellipse size per unit change in the regressor.</w:t>
      </w:r>
    </w:p>
    <w:bookmarkStart w:id="112" w:name="overall-fit"/>
    <w:p>
      <w:pPr>
        <w:pStyle w:val="Heading3"/>
        <w:spacing w:line="480" w:lineRule="auto"/>
      </w:pPr>
      <w:r>
        <w:t xml:space="preserve">6.1.1 Overall Fit</w:t>
      </w:r>
    </w:p>
    <w:p>
      <w:pPr>
        <w:pStyle w:val="FirstParagraph"/>
        <w:spacing w:line="480" w:lineRule="auto"/>
      </w:pPr>
      <w:r>
        <w:t xml:space="preserve">The model fits the cross-mission record well. The coefficient of determination is 0.7792, so the three regressors jointly account for roughly seventy-eight percent of the variance in the log of the landing-ellipse semi-major axis across the eighteen missions. The adjusted coefficient of determination, which penalizes the model for the three estimated slopes and the intercept against the modest sample size, is 0.7319, a decline of only about five percentage points from the unadjusted figure. That small gap between the raw and adjusted statistics is itself informative: it indicates that the explanatory power is not an artifact of overfitting a small sample with too many regressors, because stripping out the degrees-of-freedom inflation leaves the great majority of the explained variance intact. The overall F-statistic for the joint null that all three slopes are zero is 67.68, with an associated p-value of 1.42e-08. That joint p-value is roughly eight orders of magnitude below the conventional five-percent threshold, so the hypothesis that none of the three regressors carries any explanatory power for landing-ellipse size is rejected decisively. The model as a whole is not capturing noise. It is tracking something real. The combination of atmospheric maturity, entry mode, and vehicle scale tracks the historical landing ellipse closely.</w:t>
      </w:r>
    </w:p>
    <w:p>
      <w:pPr>
        <w:pStyle w:val="BodyText"/>
        <w:spacing w:line="480" w:lineRule="auto"/>
        <w:ind w:firstLine="720"/>
      </w:pPr>
      <w:r>
        <w:t xml:space="preserve">This fit is strong for an observational cross-mission panel, and it is worth stating plainly why that strength is credible rather than suspicious in a sample of eighteen. The landing-ellipse outcome is a quantity that engineering practice has driven down by orders of magnitude over five decades, from the Viking-era ellipses to the few-kilometer ellipses of the most recent guided missions</w:t>
      </w:r>
      <w:r>
        <w:t xml:space="preserve"> </w:t>
      </w:r>
      <w:hyperlink w:anchor="ref-4">
        <w:r>
          <w:rPr>
            <w:rStyle w:val="Hyperlink"/>
          </w:rPr>
          <w:t xml:space="preserve">[4]</w:t>
        </w:r>
      </w:hyperlink>
      <w:r>
        <w:t xml:space="preserve">. A dataset that spans that entire historical sweep contains enormous variance in the response, and the regressors chosen are precisely the variables that the EDL literature identifies as the drivers of that historical improvement: the maturation of atmospheric models [1, 2, 3] and the transition from ballistic to guided entry [4, 5]. A high coefficient of determination is the expected signature of regressing a quantity on its genuine historical drivers across the full range over which those drivers moved. The analytical task is therefore not to be impressed by the fit but to ask which of the regressors carries the explained variance once the others are held fixed, because the dissertation’s claim is specifically about atmospheric knowledge net of control authority and vehicle scale.</w:t>
      </w:r>
    </w:p>
    <w:bookmarkEnd w:id="112"/>
    <w:bookmarkStart w:id="113" w:name="the-maturity-coefficient"/>
    <w:p>
      <w:pPr>
        <w:pStyle w:val="Heading3"/>
        <w:spacing w:line="480" w:lineRule="auto"/>
      </w:pPr>
      <w:r>
        <w:t xml:space="preserve">6.1.2 The Maturity Coefficient</w:t>
      </w:r>
    </w:p>
    <w:p>
      <w:pPr>
        <w:pStyle w:val="FirstParagraph"/>
        <w:spacing w:line="480" w:lineRule="auto"/>
      </w:pPr>
      <w:r>
        <w:t xml:space="preserve">The central result of the first study is the coefficient on the pre-entry atmospheric-knowledge maturity index. That coefficient is -0.5298, with a robust standard error of 0.1922, a corresponding t-statistic of approximately -2.76, and a p-value of 0.0059. The coefficient is negative, as the alternative hypothesis predicts, and its p-value sits below the one-percent threshold, so the null that pre-entry atmospheric-knowledge maturity has no effect on landing-ellipse size, once entry mode and vehicle scale are held fixed, is rejected at conventional significance. This is the cleanest single rejection in either observational study, and it is the result on which the chapter’s affirmative reading of the thesis principally rests.</w:t>
      </w:r>
    </w:p>
    <w:p>
      <w:pPr>
        <w:pStyle w:val="BodyText"/>
        <w:spacing w:line="480" w:lineRule="auto"/>
        <w:ind w:firstLine="720"/>
      </w:pPr>
      <w:r>
        <w:t xml:space="preserve">The magnitude requires careful translation because the response is logged. A coefficient of -0.5298 on the log of the ellipse semi-major axis means that each one-step gain on the five-point maturity ladder is associated with a reduction of 0.5298 in the log of the ellipse. Exponentiating, the multiplicative factor on the ellipse for a one-rung improvement is e raised to -0.5298, which is approximately 0.589. In proportional terms, a single step up the maturity ladder is associated with a landing ellipse roughly forty-one percent smaller, at fixed entry mode and fixed vehicle scale. The effect compounds across rungs in the multiplicative sense, so a move of two steps along the index corresponds to a factor of roughly 0.589 squared, a little under 0.35, an ellipse roughly two-thirds smaller. Across the full historical span of the index, from the Viking-era a priori atmosphere at the bottom rung to the modern assimilation-plus-reconstruction regime at the top, the cumulative implied reduction is large, which is consistent with the order-of-magnitude shrinkage of the landing ellipse that the flight record actually exhibits.</w:t>
      </w:r>
    </w:p>
    <w:p>
      <w:pPr>
        <w:pStyle w:val="BodyText"/>
        <w:spacing w:line="480" w:lineRule="auto"/>
        <w:ind w:firstLine="720"/>
      </w:pPr>
      <w:r>
        <w:t xml:space="preserve">The standard error of 0.1922 governs how seriously to take that point estimate. A symmetric ninety-five-percent confidence interval on the maturity coefficient, formed as the estimate plus or minus roughly 1.96 standard errors, runs from approximately -0.907 to -0.153 in log units. The interval excludes zero across its entire length, which is the formal content of the rejection at the one-percent level. Translated to proportional terms, the conservative end of the interval, a log coefficient of about -0.153, corresponds to a per-rung ellipse reduction of roughly fourteen percent, while the optimistic end, about -0.907, corresponds to a per-rung reduction of roughly sixty percent. Even the conservative end of the interval is a non-trivial improvement in landed precision per era of atmospheric knowledge, and the interval nowhere admits the possibility that atmospheric maturity is irrelevant. The substantive reading is that the data are consistent with a wide range of effect sizes, all of them favorable to the thesis, and inconsistent with no effect at all.</w:t>
      </w:r>
    </w:p>
    <w:bookmarkEnd w:id="113"/>
    <w:bookmarkStart w:id="114" w:name="the-control-coefficients"/>
    <w:p>
      <w:pPr>
        <w:pStyle w:val="Heading3"/>
        <w:spacing w:line="480" w:lineRule="auto"/>
      </w:pPr>
      <w:r>
        <w:t xml:space="preserve">6.1.3 The Control Coefficients</w:t>
      </w:r>
    </w:p>
    <w:p>
      <w:pPr>
        <w:pStyle w:val="FirstParagraph"/>
        <w:spacing w:line="480" w:lineRule="auto"/>
      </w:pPr>
      <w:r>
        <w:t xml:space="preserve">The two control regressors behave as the theory predicts in sign while carrying weaker statistical support in this sample, and the contrast between their imprecision and the maturity coefficient’s significance is the heart of what the first study establishes. The guided-entry indicator carries a coefficient of -1.0466, with a robust standard error of 0.6447 and a p-value of 0.1045. The point estimate is large and negative: a log coefficient of -1.0466 exponentiates to a multiplicative factor of approximately 0.351, so flying a guided rather than a ballistic entry is associated, on the point estimate, with an ellipse roughly sixty-five percent smaller. That is a substantial effect in the expected direction, and it accords with the engineering intuition that closed-loop control is the dominant historical lever on landing precision. But the p-value of 0.1045 does not clear the conventional five-percent threshold, and a ninety-five-percent confidence interval formed around the estimate, running from roughly -2.31 to roughly 0.22 in log units, crosses zero at its upper end. The guided indicator therefore cannot be distinguished from zero at conventional significance on this eighteen-mission sample, even though its point estimate is the largest in absolute magnitude of any regressor in the model.</w:t>
      </w:r>
    </w:p>
    <w:p>
      <w:pPr>
        <w:pStyle w:val="BodyText"/>
        <w:spacing w:line="480" w:lineRule="auto"/>
        <w:ind w:firstLine="720"/>
      </w:pPr>
      <w:r>
        <w:t xml:space="preserve">The interpretive weight of that contrast is considerable. The most plausible confounder for the maturity result is that the missions which flew under the best atmosphere models were also the missions that flew guided entries, so that a naive analysis might credit atmospheric knowledge with what is really the value of control. The additive specification is designed to defeat exactly that confound by estimating the guided effect separately, and the estimator output shows that when the two are estimated jointly, it is the maturity coefficient and not the guided coefficient that separates cleanly from zero. The maturity coefficient’s p-value of 0.0059 is roughly an order of magnitude smaller than the guided coefficient’s p-value of 0.1045. This does not mean guidance is unimportant; the large negative point estimate and the historical record both argue that it is. It means that in this sample, after differencing out the average effect of control authority, atmospheric knowledge retains an identifiable and statistically resolved association with landing precision, whereas the guided indicator, once atmospheric knowledge is also in the model, no longer resolves cleanly. The variance that the panel can attribute uniquely to one variable or the other lands on knowledge.</w:t>
      </w:r>
    </w:p>
    <w:p>
      <w:pPr>
        <w:pStyle w:val="BodyText"/>
        <w:spacing w:line="480" w:lineRule="auto"/>
        <w:ind w:firstLine="720"/>
      </w:pPr>
      <w:r>
        <w:t xml:space="preserve">The entry-mass control is effectively flat. Its coefficient is -0.0612 per tonne, with a robust standard error of 0.1161 and a p-value of 0.5983. The point estimate is small and negative, implying a barely perceptible reduction in ellipse size per additional tonne of entry mass, and the p-value near 0.60 places it well inside the range consistent with no effect at all. The standard error of 0.1161 is nearly twice the magnitude of the coefficient itself, so the sign of the estimate is not even reliably determined. The substantive reading is that once atmospheric knowledge and entry mode are accounted for, vehicle scale carries no independent association with landing precision: the heavier guided vehicles are not landing more precisely because they are heavy, but because of the knowledge-and-control regime under which they flew. This is the expected and desirable behavior of a control variable that is doing its job, namely absorbing any scale-driven variance so that it cannot contaminate the maturity estimate, while itself contributing nothing spurious to the headline result.</w:t>
      </w:r>
    </w:p>
    <w:bookmarkEnd w:id="114"/>
    <w:bookmarkStart w:id="115" w:name="what-the-first-study-establishes"/>
    <w:p>
      <w:pPr>
        <w:pStyle w:val="Heading3"/>
        <w:spacing w:line="480" w:lineRule="auto"/>
      </w:pPr>
      <w:r>
        <w:t xml:space="preserve">6.1.4 What the First Study Establishes</w:t>
      </w:r>
    </w:p>
    <w:p>
      <w:pPr>
        <w:pStyle w:val="FirstParagraph"/>
        <w:spacing w:line="480" w:lineRule="auto"/>
      </w:pPr>
      <w:r>
        <w:t xml:space="preserve">Taken together, the first study yields a clear and defensible finding. The model explains roughly seventy-eight percent of the cross-mission variance in log-ellipse size with a jointly decisive fit, and within that model the atmospheric-knowledge maturity index is the regressor that separates from zero, with a coefficient of -0.5298, a p-value of 0.0059, and a confidence interval bounded away from zero across its full length. The implied effect size, a landing ellipse roughly forty-one percent smaller per era of atmospheric-knowledge maturity at fixed entry mode and vehicle scale, converts a working intuition of EDL practice into a quantified slope. The guided indicator and the entry-mass control behave as theory predicts in sign but do not resolve to significance in this sample, and the fact that maturity resolves while the most plausible confounder does not is the strongest internal evidence that the maturity result is not a relabeling of the value of control. The study cannot manipulate anything, and it cannot fully break the historical correlation between knowledge and guidance, but it places the dissertation’s mechanism in contact with the flight record and finds it confirmed in sign, magnitude, and significance.</w:t>
      </w:r>
    </w:p>
    <w:bookmarkEnd w:id="115"/>
    <w:bookmarkEnd w:id="116"/>
    <w:bookmarkStart w:id="121" w:name="the-martian-survival-model"/>
    <w:p>
      <w:pPr>
        <w:pStyle w:val="Heading2"/>
        <w:spacing w:line="480" w:lineRule="auto"/>
      </w:pPr>
      <w:r>
        <w:t xml:space="preserve">6.2 The Martian Survival Model</w:t>
      </w:r>
    </w:p>
    <w:p>
      <w:pPr>
        <w:pStyle w:val="FirstParagraph"/>
        <w:spacing w:line="480" w:lineRule="auto"/>
      </w:pPr>
      <w:r>
        <w:t xml:space="preserve">The second study moves from the size of the landing ellipse to the survival of the vehicle. It asks whether prior in-situ atmospheric density reconnaissance of Mars lowers the instantaneous hazard of losing a vehicle during descent. The estimator is a Cox proportional-hazards regression of the EDL failure event on two covariates, fit across eighteen documented Martian descent attempts spanning the Soviet Mars 2 and Mars 3 modules of 1971 through the Tianwen-1 landing of 2021. The survival time is the elapsed seconds of the descent sequence completed before failure or nominal touchdown, surviving vehicles are right-censored at their completed descent duration, and the model is fit by partial-likelihood maximization. The two covariates are a binary indicator for whether a prior orbiter had returned in-situ-anchored upper-atmosphere density reconnaissance before the attempt, and the cumulative count of prior successful Martian EDLs as a measure of accumulated entry experience. The proportional-hazards form is appropriate because the outcome is a time-to-failure inside a short and sharply bounded descent window, and because it estimates the multiplicative effect of each covariate on the instantaneous failure hazard without imposing a parametric shape on the baseline descent risk.</w:t>
      </w:r>
    </w:p>
    <w:p>
      <w:pPr>
        <w:pStyle w:val="BodyText"/>
        <w:spacing w:line="480" w:lineRule="auto"/>
        <w:ind w:firstLine="720"/>
      </w:pPr>
      <w:r>
        <w:t xml:space="preserve">The structural fact governing this study is its event count. The cohort holds eighteen attempts, but only six of those attempts ended in EDL failure. The estimator is fit on those eighteen observations and six events, and every inference below is conditioned by that scarcity. Six events is a small number of failures to support even a parsimonious two-covariate hazard model, and this is the reason the specification was deliberately held to two covariates and the reason the confidence intervals are wide. The wide interval is structural, a consequence of the flight record containing only six Martian EDL losses, and not a defect of the method to be explained away.</w:t>
      </w:r>
    </w:p>
    <w:bookmarkStart w:id="117" w:name="the-reconnaissance-coefficient"/>
    <w:p>
      <w:pPr>
        <w:pStyle w:val="Heading3"/>
        <w:spacing w:line="480" w:lineRule="auto"/>
      </w:pPr>
      <w:r>
        <w:t xml:space="preserve">6.2.1 The Reconnaissance Coefficient</w:t>
      </w:r>
    </w:p>
    <w:p>
      <w:pPr>
        <w:pStyle w:val="FirstParagraph"/>
        <w:spacing w:line="480" w:lineRule="auto"/>
      </w:pPr>
      <w:r>
        <w:t xml:space="preserve">The reconnaissance covariate carries a coefficient of -3.4213, with a standard error of 2.0216, a z-statistic of approximately -1.69, and a p-value of 0.0906. The coefficient is negative, as the alternative hypothesis predicts, meaning that prior in-situ atmospheric density reconnaissance is associated with a reduced instantaneous failure hazard during Martian descent. Because the Cox model reports the multiplicative effect on the hazard as the exponentiated coefficient, the corresponding hazard ratio is e raised to -3.4213, which is approximately 0.033. Read directly, missions flown with prior in-situ atmospheric density reconnaissance of Mars face an estimated instantaneous EDL failure hazard about ninety-seven percent lower than missions flown without it, holding accumulated entry experience fixed. The effect is large. Its sign matches the dissertation’s thesis.</w:t>
      </w:r>
    </w:p>
    <w:p>
      <w:pPr>
        <w:pStyle w:val="BodyText"/>
        <w:spacing w:line="480" w:lineRule="auto"/>
        <w:ind w:firstLine="720"/>
      </w:pPr>
      <w:r>
        <w:t xml:space="preserve">The standard error of 2.0216 is what tempers that striking point estimate. A confidence interval on the coefficient, formed as the estimate plus or minus roughly 1.96 standard errors, runs from approximately -7.38 to approximately 0.54 in log-hazard units. The interval is enormous on the hazard-ratio scale: its lower end exponentiates to a hazard ratio near 0.0006, a reduction in hazard of more than ninety-nine percent, while its upper end exponentiates to a hazard ratio near 1.7, which would correspond to a modest increase in hazard. The interval crosses zero at its upper end, which is to say it crosses a hazard ratio of one, the value at which reconnaissance has no effect. The p-value of 0.0906 makes the same point in the language of significance: it clears the conventional ten-percent threshold but not the five-percent threshold. The null that reconnaissance does not move the failure hazard therefore cannot be rejected at the five-percent level on this sample. The honest reading is suggestive directional support for the thesis, with a large and favorable point estimate, but not a decisive rejection of the null.</w:t>
      </w:r>
    </w:p>
    <w:p>
      <w:pPr>
        <w:pStyle w:val="BodyText"/>
        <w:spacing w:line="480" w:lineRule="auto"/>
        <w:ind w:firstLine="720"/>
      </w:pPr>
      <w:r>
        <w:t xml:space="preserve">It is essential to read the reconnaissance coefficient with the confound that the second study cannot escape. In the Martian flight record, the arrival of guided closed-loop entry and the arrival of orbiter density reconnaissance are very nearly the same historical event; a control-authority indicator distinguishing guided from ballistic descent was constructed and examined but had to be excluded from the reported model because it is collinear with the reconnaissance covariate at a correlation near 0.9, severe enough to induce quasi-complete separation and prevent the partial likelihood from converging. The reported coefficient on reconnaissance therefore should not be read as the effect of atmospheric knowledge in isolation. It is the effect of the modern Martian knowledge-and-control regime taken as a whole, within which density reconnaissance and guided entry arrived together and cannot be separated by this sample. The exclusion is itself a finding about the structure of the flight record rather than a modeling convenience: history did not run the experiment that would let an analyst attribute the survival gain to the forecast alone, which is precisely why the dissertation pairs this observational hazard with the controlled Monte Carlo experiment that can hold the controller fixed by construction.</w:t>
      </w:r>
    </w:p>
    <w:bookmarkEnd w:id="117"/>
    <w:bookmarkStart w:id="118" w:name="the-experience-coefficient"/>
    <w:p>
      <w:pPr>
        <w:pStyle w:val="Heading3"/>
        <w:spacing w:line="480" w:lineRule="auto"/>
      </w:pPr>
      <w:r>
        <w:t xml:space="preserve">6.2.2 The Experience Coefficient</w:t>
      </w:r>
    </w:p>
    <w:p>
      <w:pPr>
        <w:pStyle w:val="FirstParagraph"/>
        <w:spacing w:line="480" w:lineRule="auto"/>
      </w:pPr>
      <w:r>
        <w:t xml:space="preserve">The accumulated-experience covariate carries a coefficient of 0.2661, with a standard error of 0.2728, a z-statistic of approximately 0.98, and a p-value of 0.3295. The exponentiated coefficient is a hazard ratio of approximately 1.30, which on its face would say that each additional prior successful Martian EDL is associated with a thirty-percent higher instantaneous failure hazard. That positive sign runs counter to the intuition that a stock of prior successes ought to lower rather than raise the failure hazard, but the statistics forbid taking it seriously as a real positive effect. The standard error of 0.2728 is larger than the coefficient of 0.2661, so the sign is not reliably determined; a confidence interval on the coefficient runs from roughly -0.27 to roughly 0.80 in log-hazard units, comfortably spanning zero, and the p-value of 0.3295 is far from any conventional significance threshold. The point estimate is statistically indistinguishable from zero. The count carries no signal here.</w:t>
      </w:r>
    </w:p>
    <w:p>
      <w:pPr>
        <w:pStyle w:val="BodyText"/>
        <w:spacing w:line="480" w:lineRule="auto"/>
        <w:ind w:firstLine="720"/>
      </w:pPr>
      <w:r>
        <w:t xml:space="preserve">The most defensible reading is that the raw count of prior successes is a noisy proxy that partly tracks calendar time and mission ambition. Later missions flown in the high-success era were also the heaviest and most aggressive landers attempting the most demanding descents, so the cumulative-success count does not isolate a clean experience benefit once reconnaissance is already in the model; whatever protective effect accumulated experience may carry is confounded in this sample with the escalating difficulty of the missions that the experienced era attempted. The experience covariate is best understood here as a control whose own coefficient is uninterpretable but whose presence guards the reconnaissance estimate against the most obvious alternative story, that survival improved simply because programs got more practice. With experience held in the model, the reconnaissance coefficient retains its large negative magnitude, which is the inference the covariate exists to protect.</w:t>
      </w:r>
    </w:p>
    <w:bookmarkEnd w:id="118"/>
    <w:bookmarkStart w:id="119" w:name="the-pattern-in-the-underlying-record"/>
    <w:p>
      <w:pPr>
        <w:pStyle w:val="Heading3"/>
        <w:spacing w:line="480" w:lineRule="auto"/>
      </w:pPr>
      <w:r>
        <w:t xml:space="preserve">6.2.3 The Pattern in the Underlying Record</w:t>
      </w:r>
    </w:p>
    <w:p>
      <w:pPr>
        <w:pStyle w:val="FirstParagraph"/>
        <w:spacing w:line="480" w:lineRule="auto"/>
      </w:pPr>
      <w:r>
        <w:t xml:space="preserve">The estimated sign is consistent with the raw pattern of failures in the cohort, which is worth reporting because it makes the hazard estimate legible without leaning on the model. Of the nine attempts flown without prior density reconnaissance, five ended in EDL failure. Of the nine attempts flown with reconnaissance, only one failed. That single in-regime failure, Schiaparelli, traced to an inertial-measurement saturation that drove an erroneous altitude estimate rather than to an atmospheric-forecast error, which is to say it was a failure of a mechanism the atmosphere does not touch. The five-of-nine failure rate without reconnaissance against one-of-nine with reconnaissance is the empirical content behind the hazard ratio of 0.033, and the contrast is stark even before any model is fit. It is precisely this single in-regime failure that widens the confidence interval and holds the result short of the five-percent threshold: with six total events, one failure landing on the favored side of the treatment is enough to keep the partial likelihood from resolving the coefficient cleanly away from zero. The Schiaparelli case is also a substantive reminder embedded in the data, that atmospheric knowledge cannot insure against failure modes that lie outside the atmosphere, and that the most a survival benefit of this kind can promise is a reduction in the atmosphere-driven component of EDL risk.</w:t>
      </w:r>
    </w:p>
    <w:bookmarkEnd w:id="119"/>
    <w:bookmarkStart w:id="120" w:name="what-the-second-study-establishes"/>
    <w:p>
      <w:pPr>
        <w:pStyle w:val="Heading3"/>
        <w:spacing w:line="480" w:lineRule="auto"/>
      </w:pPr>
      <w:r>
        <w:t xml:space="preserve">6.2.4 What the Second Study Establishes</w:t>
      </w:r>
    </w:p>
    <w:p>
      <w:pPr>
        <w:pStyle w:val="FirstParagraph"/>
        <w:spacing w:line="480" w:lineRule="auto"/>
      </w:pPr>
      <w:r>
        <w:t xml:space="preserve">The second study converts a piece of EDL folklore into a measured, if imprecise, hazard ratio. The flight record is consistent with a large survival benefit to flying Martian EDL with prior in-situ atmospheric density reconnaissance, on the order of a ninety-seven-percent reduction in the instantaneous failure hazard, with a reconnaissance coefficient of -3.4213 and a hazard ratio of 0.033. But the eighteen-attempt cohort with six events supports that benefit only at the ten-percent level, the p-value of 0.0906 falling short of five percent, and the collinearity between reconnaissance and guided control means the coefficient captures the modern regime as a whole rather than atmospheric knowledge in isolation. The experience covariate is statistically inert, its coefficient of 0.2661 indistinguishable from zero. The correct reading is that the study supplies suggestive directional confirmation rather than a decisive result, and that its imprecision is structural to a flight record that contains only six Martian EDL losses across the entire history of the enterprise.</w:t>
      </w:r>
    </w:p>
    <w:bookmarkEnd w:id="120"/>
    <w:bookmarkEnd w:id="121"/>
    <w:bookmarkStart w:id="122" w:name="X550e5a3b33ef8d140029255b4960ec8c67fb213"/>
    <w:p>
      <w:pPr>
        <w:pStyle w:val="Heading2"/>
        <w:spacing w:line="480" w:lineRule="auto"/>
      </w:pPr>
      <w:r>
        <w:t xml:space="preserve">6.3 Convergence and the Boundary of the Observational Evidence</w:t>
      </w:r>
    </w:p>
    <w:p>
      <w:pPr>
        <w:pStyle w:val="FirstParagraph"/>
        <w:spacing w:line="480" w:lineRule="auto"/>
      </w:pPr>
      <w:r>
        <w:t xml:space="preserve">The two studies agree. They point the same direction from opposite outcome metrics. The cross-mission dispersion model finds a landing ellipse roughly forty-one percent smaller per era of atmospheric-knowledge maturity, significant at the one-percent level with a coefficient of -0.5298 and a confidence interval bounded away from zero. The Martian survival model finds an instantaneous failure hazard roughly ninety-seven percent lower under prior density reconnaissance, suggestive at the ten-percent level with a coefficient of -3.4213 and a hazard ratio of 0.033. One result concerns how precisely surviving vehicles landed and resolves cleanly; the other concerns whether vehicles survived at all and resolves only directionally. That a dispersion outcome and a survival outcome both move in the direction the thesis predicts, estimated on overlapping but distinct flight records with different dependent variables and different estimators, is stronger joint evidence for the value of pre-entry atmospheric knowledge than either could supply alone, because the two outcomes fail in different ways and a spurious common cause would have to corrupt both a continuous precision metric and a binary survival metric simultaneously.</w:t>
      </w:r>
    </w:p>
    <w:p>
      <w:pPr>
        <w:pStyle w:val="BodyText"/>
        <w:spacing w:line="480" w:lineRule="auto"/>
        <w:ind w:firstLine="720"/>
      </w:pPr>
      <w:r>
        <w:t xml:space="preserve">The boundary of what the observational evidence can claim is equally important to state, because the dissertation’s discipline depends on not overreading these two models. Neither study manipulates anything. The first study cannot fully break the historical correlation between atmospheric maturity and guided entry, though its additive specification separates their average effects and finds that maturity, not guidance, is the variable that resolves to significance. The second study cannot break that correlation at all, because reconnaissance and guidance are collinear at near 0.9 in the Martian record and the control-authority indicator had to be dropped to achieve convergence, so its coefficient is explicitly the effect of the modern regime rather than of the forecast alone. Both studies are bounded to the atmospheres their data cover, the cross-mission panel mixing Mars and terrestrial capsules under a single ellipse metric and the survival cohort confined to Mars by construction. These limits are not defects to be apologized for; they are the reason the dissertation does not rest its primary contribution on observational data. The flight record can establish that the dissertation’s mechanism is visible in what real missions achieved, in sign, in magnitude, and, for the dispersion study, in significance. It cannot isolate the atmospheric channel from the control channel, and it cannot deliver the controlled elasticity. That isolation is the task of the Monte Carlo dispersion experiment, which holds the guidance law and vehicle fixed by construction and which the next chapter takes up. The role of the two observational studies reported here is to confirm, against the only ground truth that exists, that the quantity the controlled experiment manipulates is a quantity the flight record responds to.</w:t>
      </w:r>
    </w:p>
    <w:bookmarkEnd w:id="122"/>
    <w:bookmarkEnd w:id="123"/>
    <w:bookmarkStart w:id="130" w:name="X21322cb5e29cbf4eb576afddcad42f86ace4e0d"/>
    <w:p>
      <w:pPr>
        <w:pStyle w:val="Heading1"/>
        <w:spacing w:line="480" w:lineRule="auto"/>
      </w:pPr>
      <w:r>
        <w:t xml:space="preserve">Chapter 7. Discussion and Governance Implications</w:t>
      </w:r>
    </w:p>
    <w:bookmarkStart w:id="124" w:name="what-the-findings-mean-taken-together"/>
    <w:p>
      <w:pPr>
        <w:pStyle w:val="Heading2"/>
        <w:spacing w:line="480" w:lineRule="auto"/>
      </w:pPr>
      <w:r>
        <w:t xml:space="preserve">7.1 What the Findings Mean Taken Together</w:t>
      </w:r>
    </w:p>
    <w:p>
      <w:pPr>
        <w:pStyle w:val="FirstParagraph"/>
        <w:spacing w:line="480" w:lineRule="auto"/>
      </w:pPr>
      <w:r>
        <w:t xml:space="preserve">This dissertation set out to convert a working intuition of entry, descent, and landing practice into a measured quantity. The intuition is that knowing the atmosphere better before commitment ought to land a vehicle more precisely and more reliably, and the practice has nonetheless proceeded for decades on the opposite operational bet, hardening the controller against atmospheric ignorance rather than retiring the ignorance itself [4, 5]. The three empirical efforts assembled here approach that intuition from three directions and arrive at a consistent answer. The controlled Monte Carlo dispersion study isolated the atmospheric channel by holding the guidance law and the vehicle fixed and varying only the imposed pre-entry density-forecast error, and recovered a strictly positive elasticity of landed-state dispersion with respect to forecast error. The cross-mission panel regression took the flight record at face value and found that each one-step gain in pre-entry atmospheric-knowledge maturity is associated with a 0.530 reduction in the log landing-ellipse semi-major axis, roughly a 41 percent smaller ellipse, with a coefficient bounded away from zero at the one percent level even after the move from ballistic to guided entry is separately controlled. The Cox proportional-hazards survival analysis of the Martian cohort estimated that flying with prior in-situ atmospheric density reconnaissance is associated with an instantaneous EDL failure hazard roughly 97 percent lower, a large effect that clears the ten percent significance threshold but not the five percent threshold on eighteen attempts with six events.</w:t>
      </w:r>
    </w:p>
    <w:p>
      <w:pPr>
        <w:pStyle w:val="BodyText"/>
        <w:spacing w:line="480" w:lineRule="auto"/>
        <w:ind w:firstLine="720"/>
      </w:pPr>
      <w:r>
        <w:t xml:space="preserve">The convergence is the central result. It is more persuasive than any one estimate in isolation precisely because the three methods fail in different ways. The simulation isolates causation but is synthetic, calibrated to published density-error statistics rather than flown [1, 2, 3]. The panel is real but observational, and cannot fully separate the maturation of atmospheric knowledge from the contemporaneous maturation of guidance, because history advanced both together. The survival study is also real and also confounded, to the point that the guided-versus-ballistic indicator could not be separated from the reconnaissance indicator at all and had to be dropped for collinearity near 0.9. Three flawed instruments that share no common flaw, pointing the same direction, constitute a more credible body of evidence than a single clean estimate would, because the artifact that would have to be invoked to explain away the convergence would have to operate through a causal channel, a calendar correlation, and a synthetic calibration simultaneously. No single nuisance hypothesis does all three at once.</w:t>
      </w:r>
    </w:p>
    <w:p>
      <w:pPr>
        <w:pStyle w:val="BodyText"/>
        <w:spacing w:line="480" w:lineRule="auto"/>
        <w:ind w:firstLine="720"/>
      </w:pPr>
      <w:r>
        <w:t xml:space="preserve">What the convergence does not license is a claim that atmospheric knowledge alone, stripped of the closed-loop control that arrived alongside it, carries the entire effect. The panel separates the average effect of guided entry and finds knowledge still significant, which is the strongest single piece of evidence that the atmospheric channel is real and not a relabeling of control</w:t>
      </w:r>
      <w:r>
        <w:t xml:space="preserve"> </w:t>
      </w:r>
      <w:hyperlink w:anchor="ref-4">
        <w:r>
          <w:rPr>
            <w:rStyle w:val="Hyperlink"/>
          </w:rPr>
          <w:t xml:space="preserve">[4]</w:t>
        </w:r>
      </w:hyperlink>
      <w:r>
        <w:t xml:space="preserve">. But the Martian survival cohort shows the limiting case directly: there, the arrival of guided entry and the arrival of orbiter density reconnaissance are very nearly the same historical event, and the data refuse to tell them apart. The honest synthesis is that the modern knowledge-and-control regime as a whole delivers a large and measurable improvement in landed precision and survival, that the atmospheric-knowledge component of that regime carries identifiable independent value where the data are rich enough to isolate it, and that on the single body where the question matters most for near-term program decisions the two channels remain fused. That is a more useful finding for a program manager than a falsely clean attribution, because it tells the manager where the leverage is without pretending the historical record can adjudicate a counterfactual it never ran.</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is that pre-entry atmospheric knowledge should be treated as a fundable line item in the EDL margin budget rather than as an inherited boundary condition. EDL margin has traditionally been carried in the controller and the structure: bank-angle authority, parachute sizing, propellant for the powered phase, and timeline margin against the canonical roughly 390-second Martian descent</w:t>
      </w:r>
      <w:r>
        <w:t xml:space="preserve"> </w:t>
      </w:r>
      <w:hyperlink w:anchor="ref-9">
        <w:r>
          <w:rPr>
            <w:rStyle w:val="Hyperlink"/>
          </w:rPr>
          <w:t xml:space="preserve">[9]</w:t>
        </w:r>
      </w:hyperlink>
      <w:r>
        <w:t xml:space="preserve">. The findings here argue that a comparable margin can be bought upstream, in the atmosphere model, and that the upstream purchase has shown a measurable return in the flight record. A program manager allocating a fixed reserve across the EDL chain now has a quantitative basis, rather than an assertion, for diverting some fraction of that reserve to atmospheric reconnaissance, density assimilation, or generative post-processing of the a priori model</w:t>
      </w:r>
      <w:r>
        <w:t xml:space="preserve"> </w:t>
      </w:r>
      <w:hyperlink w:anchor="ref-3">
        <w:r>
          <w:rPr>
            <w:rStyle w:val="Hyperlink"/>
          </w:rPr>
          <w:t xml:space="preserve">[3]</w:t>
        </w:r>
      </w:hyperlink>
      <w:r>
        <w:t xml:space="preserve">. The panel slope gives the manager a first-order conversion factor: a single rung up the maturity ladder, the kind of step that separates a pre-reconnaissance era from an assimilation era, has historically been worth on the order of a two-fifths reduction in the landing ellipse. That is a number a manager can put against the cost of an orbiter aerobraking campaign or a precursor measurement and decide whether the trade closes.</w:t>
      </w:r>
    </w:p>
    <w:p>
      <w:pPr>
        <w:pStyle w:val="BodyText"/>
        <w:spacing w:line="480" w:lineRule="auto"/>
        <w:ind w:firstLine="720"/>
      </w:pPr>
      <w:r>
        <w:t xml:space="preserve">The second implication concerns how NASA values its orbiter assets. The Martian survival result rests on the fact that Mars Global Surveyor and its successors returned aerobraking accelerometer density data that anchored the upper-atmosphere model for every lander that followed</w:t>
      </w:r>
      <w:r>
        <w:t xml:space="preserve"> </w:t>
      </w:r>
      <w:hyperlink w:anchor="ref-10">
        <w:r>
          <w:rPr>
            <w:rStyle w:val="Hyperlink"/>
          </w:rPr>
          <w:t xml:space="preserve">[10]</w:t>
        </w:r>
      </w:hyperlink>
      <w:r>
        <w:t xml:space="preserve">. The aerobraking density product was, in the era it was collected, a byproduct of orbit insertion rather than a planned reconnaissance deliverable. The findings reframe that byproduct as a primary EDL enabler whose value is now estimable. For program management this argues that the atmospheric-characterization output of every orbiter should be costed, scheduled, and defended as a deliverable in its own right, with explicit traceability from the orbiter’s density product to the landing ellipse of the missions that will inherit it. An orbiter campaign that returns a per-mission reconstructed atmosphere is not merely doing science; it is retiring EDL risk for a downstream lander, and the program portfolio should account for that cross-mission transfer of value rather than letting it fall between project boundaries.</w:t>
      </w:r>
    </w:p>
    <w:p>
      <w:pPr>
        <w:pStyle w:val="BodyText"/>
        <w:spacing w:line="480" w:lineRule="auto"/>
        <w:ind w:firstLine="720"/>
      </w:pPr>
      <w:r>
        <w:t xml:space="preserve">The third implication is about the design database. The accumulated-experience covariate in the survival study behaved counterintuitively, carrying a small positive and statistically insignificant coefficient, which the most plausible reading attributes to the raw count of prior successes acting as a noisy proxy for calendar time and mission ambition rather than as a clean stock of validated models. This is a caution for program management, not a refutation of institutional learning. It says that simply having flown more missions does not, by itself, lower the next mission’s failure hazard in a way the data can detect, once the atmospheric-knowledge regime is accounted for. The lesson is that experience must be deliberately converted into a validated, reusable atmospheric and aerodynamic model database to pay off, in the manner that reconstruction and assimilation work has done [2, 10], and that a program cannot bank on tacit heritage. Heritage is not automatic. The value sits in the reconstructed product, not in the flight count.</w:t>
      </w:r>
    </w:p>
    <w:p>
      <w:pPr>
        <w:pStyle w:val="BodyText"/>
        <w:spacing w:line="480" w:lineRule="auto"/>
        <w:ind w:firstLine="720"/>
      </w:pPr>
      <w:r>
        <w:t xml:space="preserve">The fourth implication is a reframing of the build-versus-buy decision that EDL programs face implicitly at every step. The standing engineering posture has been to assume the atmosphere is poorly known and to design a controller that survives the ignorance [4, 5]. The findings do not overturn that posture, because a robust controller remains necessary, but they bound it. If a program is operating in a regime where the controller already absorbs most of the realized atmospheric variation, the marginal reserve dollar is better spent on control authority and timeline margin. If it is operating in a regime where forecast error still propagates to the ellipse, the marginal dollar is better spent on the forecast. The controlled study’s elasticity is exactly the diagnostic a program needs to locate itself on that spectrum, because it answers, for a fixed controller, how much of an incremental forecast improvement survives to the landed state. A program that runs its own guidance pipeline through the dissertation’s experimental design before committing its reserve allocation would be making the build-versus-buy decision on evidence rather than on doctrine.</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For JPL specifically, the institution that has landed more vehicles on Mars than any other and that owns the controlling guidance heritage, the findings carry a sharper edge. JPL’s EDL practice has been validated by an unbroken recent run of successes, from the guided entries that shrank the landing ellipse from the 150-kilometer scale of the Viking era to the 3.85-kilometer scale of Perseverance. That success creates a natural institutional confidence that the controller is the answer, because the controller is what JPL builds and what visibly improved. The panel result complicates that narrative in a productive way. It shows that across the same record, atmospheric-knowledge maturity carries a coefficient that separates cleanly from zero while the guided indicator, large in point estimate, does not clear conventional significance at the eighteen-mission scale. A reasonable institutional reading is not that guidance does not matter, which would contradict the engineering physics, but that the flight record cannot credit guidance alone for the improvement, and that the atmosphere model JPL flew against was improving in lockstep and carrying part of the load. For JPL’s internal allocation of EDL investment, this argues against treating the atmosphere model as a settled input handed to the guidance team and in favor of treating it as a co-equal design variable with its own margin and its own owner.</w:t>
      </w:r>
    </w:p>
    <w:p>
      <w:pPr>
        <w:pStyle w:val="BodyText"/>
        <w:spacing w:line="480" w:lineRule="auto"/>
        <w:ind w:firstLine="720"/>
      </w:pPr>
      <w:r>
        <w:t xml:space="preserve">The second JPL-specific implication concerns post-flight reconstruction discipline. The McGrew post-flight performance analysis of the Mars 2020 entry guidance demonstrates the value of closing the loop between flown atmosphere and design database</w:t>
      </w:r>
      <w:r>
        <w:t xml:space="preserve"> </w:t>
      </w:r>
      <w:hyperlink w:anchor="ref-11">
        <w:r>
          <w:rPr>
            <w:rStyle w:val="Hyperlink"/>
          </w:rPr>
          <w:t xml:space="preserve">[11]</w:t>
        </w:r>
      </w:hyperlink>
      <w:r>
        <w:t xml:space="preserve">, and the Mars Reconnaissance Orbiter aerobraking density work shows the upstream half of the same loop</w:t>
      </w:r>
      <w:r>
        <w:t xml:space="preserve"> </w:t>
      </w:r>
      <w:hyperlink w:anchor="ref-10">
        <w:r>
          <w:rPr>
            <w:rStyle w:val="Hyperlink"/>
          </w:rPr>
          <w:t xml:space="preserve">[10]</w:t>
        </w:r>
      </w:hyperlink>
      <w:r>
        <w:t xml:space="preserve">. The findings here quantify why that discipline pays: each maturation step in the atmosphere model has been worth roughly two-fifths of the ellipse. JPL’s institutional advantage is that it holds both the orbiter density products and the lander reconstructions, and is therefore uniquely positioned to compound atmospheric knowledge across missions in a way no single project can. The decision implication is to invest in the cross-project atmospheric reconstruction pipeline as durable institutional infrastructure rather than as per-mission overhead, because the return accrues to the next lander and the one after, not to the mission that paid for the reconstruction.</w:t>
      </w:r>
    </w:p>
    <w:p>
      <w:pPr>
        <w:pStyle w:val="BodyText"/>
        <w:spacing w:line="480" w:lineRule="auto"/>
        <w:ind w:firstLine="720"/>
      </w:pPr>
      <w:r>
        <w:t xml:space="preserve">The third implication for JPL is about risk communication to mission principals and to the agency. The survival study offers a defensible quantitative statement that JPL can carry into a mission review: of the nine documented Martian attempts flown without prior density reconnaissance, five ended in EDL failure, whereas of the nine flown with reconnaissance, only Schiaparelli failed, and that loss traced to an inertial-measurement saturation that drove an erroneous altitude rather than to an atmospheric forecast error. This is a clean, communicable contrast that supports the case for reconnaissance without overstating it, because the single in-regime failure is itself the honest reminder that atmospheric knowledge cannot insure against failure modes outside the atmosphere. JPL can use this to argue for reconnaissance investment while simultaneously cautioning against the false security that a good atmosphere model might breed about non-atmospheric subsystems. That dual message, that knowledge helps measurably but does not make the descent safe, is exactly the message a landing-risk owner should carry.</w:t>
      </w:r>
    </w:p>
    <w:bookmarkEnd w:id="126"/>
    <w:bookmarkStart w:id="127" w:name="limitations"/>
    <w:p>
      <w:pPr>
        <w:pStyle w:val="Heading2"/>
        <w:spacing w:line="480" w:lineRule="auto"/>
      </w:pPr>
      <w:r>
        <w:t xml:space="preserve">7.4 Limitations</w:t>
      </w:r>
    </w:p>
    <w:p>
      <w:pPr>
        <w:pStyle w:val="FirstParagraph"/>
        <w:spacing w:line="480" w:lineRule="auto"/>
      </w:pPr>
      <w:r>
        <w:t xml:space="preserve">The limitations of this work are structural. They have been stated honestly throughout, but they bear consolidation here because they bound every governance implication above.</w:t>
      </w:r>
    </w:p>
    <w:p>
      <w:pPr>
        <w:pStyle w:val="BodyText"/>
        <w:spacing w:line="480" w:lineRule="auto"/>
        <w:ind w:firstLine="720"/>
      </w:pPr>
      <w:r>
        <w:t xml:space="preserve">The first limitation is sample size in the observational arms. The panel and the survival cohort each rest on eighteen events, and the survival cohort has only six failures. With six events the survival model is deliberately parsimonious at two covariates, and a single additional in-regime failure or an additional out-of-regime success would move the hazard ratio materially. The wide confidence interval on the reconnaissance coefficient, from -7.38 to 0.54, is therefore a structural feature of the flight record’s scarcity rather than a defect of method, and the honest reading of the 0.091 p-value is suggestive directional support, not a decisive rejection of the null. No analytic technique recovers statistical power the historical record does not contain; only more flights, or a richer cross-body cohort, would tighten the interval.</w:t>
      </w:r>
    </w:p>
    <w:p>
      <w:pPr>
        <w:pStyle w:val="BodyText"/>
        <w:spacing w:line="480" w:lineRule="auto"/>
        <w:ind w:firstLine="720"/>
      </w:pPr>
      <w:r>
        <w:t xml:space="preserve">The second limitation is confounding between knowledge and control. In the historical record the missions that flew guided entries also tended to fly under the best atmosphere models, because both matured across the same decades. The panel’s additive specification separates the average effects and finds knowledge significant, but it cannot fully break a correlation that history itself imposed. The survival study cannot break it at all, and openly reports that the guided indicator and the reconnaissance indicator are collinear near 0.9, so the reported coefficient should be read as the effect of the modern knowledge-and-control regime rather than of atmospheric knowledge alone. This is the central reason the dissertation pairs the observational tests with the controlled Monte Carlo experiment, which manipulates forecast quality directly and holds the controller fixed by construction. The triangulation mitigates the confound but does not eliminate it from the observational estimates themselves.</w:t>
      </w:r>
    </w:p>
    <w:p>
      <w:pPr>
        <w:pStyle w:val="BodyText"/>
        <w:spacing w:line="480" w:lineRule="auto"/>
        <w:ind w:firstLine="720"/>
      </w:pPr>
      <w:r>
        <w:t xml:space="preserve">The third limitation is the operationalization of the key constructs as scalars and ordinals. Landed-state dispersion is collapsed to an ellipse semi-major axis, forecast quality is collapsed in the controlled study to a single root-mean-square fractional density error, and atmospheric-knowledge maturity is collapsed in the panel to an ordinal index from one to five coded from documented model heritage. Each collapse discards structure that the integrated-modeling literature shows can matter, including the directional and spectral content of both the atmospheric perturbation and the resulting dispersion</w:t>
      </w:r>
      <w:r>
        <w:t xml:space="preserve"> </w:t>
      </w:r>
      <w:hyperlink w:anchor="ref-6">
        <w:r>
          <w:rPr>
            <w:rStyle w:val="Hyperlink"/>
          </w:rPr>
          <w:t xml:space="preserve">[6]</w:t>
        </w:r>
      </w:hyperlink>
      <w:r>
        <w:t xml:space="preserve">. The maturity index in particular measures a step across eras rather than a continuous forecast-error magnitude, so the panel slope is a categorical step effect and not the same quantity as the controlled study’s elasticity, even though the two are consistent in sign. A program adopting the maturity ladder as a planning tool should treat it as an ordinal heuristic, not as a calibrated continuous predictor.</w:t>
      </w:r>
    </w:p>
    <w:p>
      <w:pPr>
        <w:pStyle w:val="BodyText"/>
        <w:spacing w:line="480" w:lineRule="auto"/>
        <w:ind w:firstLine="720"/>
      </w:pPr>
      <w:r>
        <w:t xml:space="preserve">The fourth limitation is external validity across the gravity domain. The strongest density-error characterizations available are for Earth’s thermosphere [1, 2, 3], while much EDL practice and the cleaner of the two observational cohorts target Mars, whose scale height and variability spectrum differ. The panel mixes terrestrial sample-return and lunar-return capsules with Mars landers under a single ellipse metric but not a single atmosphere, and the survival study is Mars-only by construction precisely to avoid that mixing. The elasticity estimated under one atmosphere’s error statistics and one family of guidance laws should not be assumed to transfer to another atmosphere without a bounded sensitivity analysis, and the governance implications above are strongest for the Martian case where the cohort is homogeneous and weakest for any cross-body extrapolation.</w:t>
      </w:r>
    </w:p>
    <w:p>
      <w:pPr>
        <w:pStyle w:val="BodyText"/>
        <w:spacing w:line="480" w:lineRule="auto"/>
        <w:ind w:firstLine="720"/>
      </w:pPr>
      <w:r>
        <w:t xml:space="preserve">The fifth limitation is data provenance heterogeneity. Ellipse values are drawn from press kits, landing-site papers, and reconstruction reports of varying rigor</w:t>
      </w:r>
      <w:r>
        <w:t xml:space="preserve"> </w:t>
      </w:r>
      <w:hyperlink w:anchor="ref-8">
        <w:r>
          <w:rPr>
            <w:rStyle w:val="Hyperlink"/>
          </w:rPr>
          <w:t xml:space="preserve">[8]</w:t>
        </w:r>
      </w:hyperlink>
      <w:r>
        <w:t xml:space="preserve">, some lost ballistic missions contribute planned rather than achieved ellipses [13, 14], and a small number of values, including the Hayabusa recovery footprint and two penetrator durations, are flagged illustrative where the exact figure is unrecoverable. These were marked rather than fabricated, in keeping with the project’s threshold for illustrative values, but their presence means the observational estimates carry measurement error in the dependent variable that the robust standard errors only partly accommodate. The calibration of the synthetic atmosphere in the controlled study mitigates this on its own terms, because it is traceable end to end to named, published, obtainable model-error statistics [1, 2], but the observational arms inherit the messiness of the historical archive.</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Several lines of work would directly extend and sharpen what this dissertation establishes.</w:t>
      </w:r>
    </w:p>
    <w:p>
      <w:pPr>
        <w:pStyle w:val="BodyText"/>
        <w:spacing w:line="480" w:lineRule="auto"/>
        <w:ind w:firstLine="720"/>
      </w:pPr>
      <w:r>
        <w:t xml:space="preserve">The most consequential extension is to break the knowledge-control confound that the observational arms cannot. The controlled Monte Carlo design already holds the controller fixed and varies forecast quality, but a more ambitious campaign would cross at least two published guidance families [24, 26] against the full forecast-quality treatment range, estimating the elasticity separately under each controller. That two-by-N design would answer not only whether forecast quality moves the ellipse but how the controller modulates that sensitivity, which is the precise quantity a program needs to locate itself on the build-versus-buy spectrum. A finding that the elasticity shrinks under a more aggressive controller would tell programs in that regime to spend on control; a finding that it persists would tell them to spend on the forecast.</w:t>
      </w:r>
    </w:p>
    <w:p>
      <w:pPr>
        <w:pStyle w:val="BodyText"/>
        <w:spacing w:line="480" w:lineRule="auto"/>
        <w:ind w:firstLine="720"/>
      </w:pPr>
      <w:r>
        <w:t xml:space="preserve">A second line is to replace the ordinal maturity index with a continuous, physically grounded forecast-error magnitude reconstructed per mission. The reconstruction and assimilation literature provides the raw material: accelerometer-derived density profiles from Pathfinder and the aerobraking campaigns can be differenced against the a priori model each mission actually flew to recover an approximate per-mission root-mean-square density error [7, 10, 12]. Substituting that continuous regressor for the five-step ladder would let the panel estimate a true elasticity directly from the flight record, comparable to the controlled study’s slope, and would convert the categorical step effect into the calibrated planning predictor that a margin budget actually needs.</w:t>
      </w:r>
    </w:p>
    <w:p>
      <w:pPr>
        <w:pStyle w:val="BodyText"/>
        <w:spacing w:line="480" w:lineRule="auto"/>
        <w:ind w:firstLine="720"/>
      </w:pPr>
      <w:r>
        <w:t xml:space="preserve">A third line is cross-body generalization conducted deliberately rather than incidentally. The data-assimilation work on neutral-density uncertainty for Earth</w:t>
      </w:r>
      <w:r>
        <w:t xml:space="preserve"> </w:t>
      </w:r>
      <w:hyperlink w:anchor="ref-21">
        <w:r>
          <w:rPr>
            <w:rStyle w:val="Hyperlink"/>
          </w:rPr>
          <w:t xml:space="preserve">[21]</w:t>
        </w:r>
      </w:hyperlink>
      <w:r>
        <w:t xml:space="preserve"> </w:t>
      </w:r>
      <w:r>
        <w:t xml:space="preserve">and the uncertainty-propagation methods developed for cislunar and conjunction applications [18, 22] suggest that the transfer function from forecast error to terminal dispersion is itself a function of atmospheric scale height and variability spectrum. A future study could parameterize the controlled experiment by scale height and variability and map how the elasticity changes across a synthetic family of atmospheres spanning Earth, Mars, Titan, and Venus, producing a transferable surface rather than a single-atmosphere point estimate. That would let a program targeting a new body read off an expected elasticity rather than assuming the Martian or terrestrial value carries over.</w:t>
      </w:r>
    </w:p>
    <w:p>
      <w:pPr>
        <w:pStyle w:val="BodyText"/>
        <w:spacing w:line="480" w:lineRule="auto"/>
        <w:ind w:firstLine="720"/>
      </w:pPr>
      <w:r>
        <w:t xml:space="preserve">A fourth line addresses the scalarization limitation by propagating the directional and spectral structure that the present operationalization discards. The integrated-modeling framework for atmospheric perturbations</w:t>
      </w:r>
      <w:r>
        <w:t xml:space="preserve"> </w:t>
      </w:r>
      <w:hyperlink w:anchor="ref-6">
        <w:r>
          <w:rPr>
            <w:rStyle w:val="Hyperlink"/>
          </w:rPr>
          <w:t xml:space="preserve">[6]</w:t>
        </w:r>
      </w:hyperlink>
      <w:r>
        <w:t xml:space="preserve"> </w:t>
      </w:r>
      <w:r>
        <w:t xml:space="preserve">and the reduced-order and statistical methods developed for re-entry safety analysis [17, 29] provide machinery for carrying a structured atmospheric uncertainty, rather than a single scalar, through to a structured landed-state distribution. A study that estimated the dispersion response to spectrally resolved forecast error would test whether the sign and magnitude of the present result survive a richer representation, and would identify which components of atmospheric uncertainty most strongly drive terminal dispersion, information that would let reconnaissance investment target the most consequential part of the spectrum rather than reducing a scalar error uniformly.</w:t>
      </w:r>
    </w:p>
    <w:p>
      <w:pPr>
        <w:pStyle w:val="BodyText"/>
        <w:spacing w:line="480" w:lineRule="auto"/>
        <w:ind w:firstLine="720"/>
      </w:pPr>
      <w:r>
        <w:t xml:space="preserve">A fifth line is to fold the survival and dispersion questions into a single decision-analytic framework that a program office could use directly. The robust-optimization and epistemic-uncertainty work on Mars entry trajectories [24, 27] and the planetary-protection-driven propagation work</w:t>
      </w:r>
      <w:r>
        <w:t xml:space="preserve"> </w:t>
      </w:r>
      <w:hyperlink w:anchor="ref-25">
        <w:r>
          <w:rPr>
            <w:rStyle w:val="Hyperlink"/>
          </w:rPr>
          <w:t xml:space="preserve">[25]</w:t>
        </w:r>
      </w:hyperlink>
      <w:r>
        <w:t xml:space="preserve"> </w:t>
      </w:r>
      <w:r>
        <w:t xml:space="preserve">show that entry design is already posed as an optimization under uncertainty. Embedding the dissertation’s two empirical findings, the elasticity of dispersion and the hazard ratio of survival, as the response surfaces in such an optimization would let a program compute the reserve allocation across controller margin and forecast investment that minimizes expected landed risk for a given mission, closing the loop from this dissertation’s measured slopes to an actionable allocation rule. That is the form in which the present findings would most directly enter NASA and JPL decision-making, and building it is the natural next step.</w:t>
      </w:r>
    </w:p>
    <w:bookmarkEnd w:id="128"/>
    <w:bookmarkStart w:id="129" w:name="concluding-statement"/>
    <w:p>
      <w:pPr>
        <w:pStyle w:val="Heading2"/>
        <w:spacing w:line="480" w:lineRule="auto"/>
      </w:pPr>
      <w:r>
        <w:t xml:space="preserve">7.6 Concluding Statement</w:t>
      </w:r>
    </w:p>
    <w:p>
      <w:pPr>
        <w:pStyle w:val="FirstParagraph"/>
        <w:spacing w:line="480" w:lineRule="auto"/>
      </w:pPr>
      <w:r>
        <w:t xml:space="preserve">The dissertation asked whether pre-entry atmospheric knowledge reduces landed-state dispersion, and answered, across three methods that fail in different ways and agree in direction, that it does. The controlled experiment recovered a positive elasticity of dispersion with respect to forecast error at fixed control authority. The cross-mission panel found a roughly two-fifths smaller landing ellipse for each step up the maturity ladder, significant after the entry-mode control that is the most plausible confounder. The Martian survival cohort found a large, directionally consistent reduction in failure hazard for missions flown with prior density reconnaissance, suggestive at the ten percent level and limited by the scarcity of the flight record. The governance message that follows is measured but actionable: atmospheric knowledge is a fundable component of the EDL margin budget, its return is estimable and has been positive in the regime the record covers, and the decision of whether to spend the marginal reserve on the controller or on the forecast can now be made on evidence. The confounds and the small samples are real and have been reported without softening, and they define exactly the experiments that would convert this body of suggestive and convergent evidence into a calibrated planning tool. The field has long hardened the controller against an atmosphere it chose not to know better. This work shows that choosing to know it better has paid, and gives program management a first quantified basis for deciding how much that choice is worth.</w:t>
      </w:r>
    </w:p>
    <w:bookmarkEnd w:id="129"/>
    <w:bookmarkEnd w:id="130"/>
    <w:bookmarkStart w:id="184" w:name="chapter-8.-conclusion"/>
    <w:p>
      <w:pPr>
        <w:pStyle w:val="Heading1"/>
        <w:spacing w:line="480" w:lineRule="auto"/>
      </w:pPr>
      <w:r>
        <w:t xml:space="preserve">Chapter 8. Conclusion</w:t>
      </w:r>
    </w:p>
    <w:bookmarkStart w:id="131" w:name="the-argument-in-one-line"/>
    <w:p>
      <w:pPr>
        <w:pStyle w:val="Heading2"/>
        <w:spacing w:line="480" w:lineRule="auto"/>
      </w:pPr>
      <w:r>
        <w:t xml:space="preserve">8.1 The Argument in One Line</w:t>
      </w:r>
    </w:p>
    <w:p>
      <w:pPr>
        <w:pStyle w:val="FirstParagraph"/>
        <w:spacing w:line="480" w:lineRule="auto"/>
      </w:pPr>
      <w:r>
        <w:t xml:space="preserve">This dissertation set out to answer a question that pervades the practice of atmospheric entry, descent, and landing but had never been measured: does pre-entry atmospheric knowledge reduce landed-state dispersion, and is the relationship strong enough to justify the cost of better forecasts. The answer this work returns is yes, with a quantified slope and a candid accounting of where the estimate is firm and where it is provisional. Across three independent lines of evidence, a controlled computational experiment, a cross-mission panel of flown vehicles, and a survival analysis of the Martian flight record, the same direction emerges: reducing pre-entry atmospheric density uncertainty reduces the dispersion of the landed state, and the modern regime of orbiter reconnaissance and assimilation that improved that knowledge coincides with a measurable drop in lost vehicles. The contribution is not that the intuition was confirmed. It runs deeper. The intuition was converted into numbers that a program office can weigh against a budget line.</w:t>
      </w:r>
    </w:p>
    <w:bookmarkEnd w:id="131"/>
    <w:bookmarkStart w:id="132" w:name="synthesis-of-the-three-tests"/>
    <w:p>
      <w:pPr>
        <w:pStyle w:val="Heading2"/>
        <w:spacing w:line="480" w:lineRule="auto"/>
      </w:pPr>
      <w:r>
        <w:t xml:space="preserve">8.2 Synthesis of the Three Tests</w:t>
      </w:r>
    </w:p>
    <w:p>
      <w:pPr>
        <w:pStyle w:val="FirstParagraph"/>
        <w:spacing w:line="480" w:lineRule="auto"/>
      </w:pPr>
      <w:r>
        <w:t xml:space="preserve">The dissertation rests on a deliberate methodological triangulation, and the strength of the conclusion comes from the convergence of methods that fail in different ways. No single one of the three studies could carry the claim alone. Together they bracket it. Each covers the others’ blind spot.</w:t>
      </w:r>
    </w:p>
    <w:p>
      <w:pPr>
        <w:pStyle w:val="BodyText"/>
        <w:spacing w:line="480" w:lineRule="auto"/>
        <w:ind w:firstLine="720"/>
      </w:pPr>
      <w:r>
        <w:t xml:space="preserve">The controlled Monte Carlo study is the core of the work and the only one of the three that can speak to causation cleanly. By fixing the entry-guidance pipeline and the vehicle, calibrating the realized-atmosphere ensemble to the published model-disagreement and model-versus-truth residual statistics of the operations-ready density survey</w:t>
      </w:r>
      <w:r>
        <w:t xml:space="preserve"> </w:t>
      </w:r>
      <w:hyperlink w:anchor="ref-1">
        <w:r>
          <w:rPr>
            <w:rStyle w:val="Hyperlink"/>
          </w:rPr>
          <w:t xml:space="preserve">[1]</w:t>
        </w:r>
      </w:hyperlink>
      <w:r>
        <w:t xml:space="preserve"> </w:t>
      </w:r>
      <w:r>
        <w:t xml:space="preserve">and the precision-orbit-derived density work</w:t>
      </w:r>
      <w:r>
        <w:t xml:space="preserve"> </w:t>
      </w:r>
      <w:hyperlink w:anchor="ref-2">
        <w:r>
          <w:rPr>
            <w:rStyle w:val="Hyperlink"/>
          </w:rPr>
          <w:t xml:space="preserve">[2]</w:t>
        </w:r>
      </w:hyperlink>
      <w:r>
        <w:t xml:space="preserve">, and shaping the imposed forecast-error distribution from the probabilistic structure documented in the generative density uncertainty-quantification literature</w:t>
      </w:r>
      <w:r>
        <w:t xml:space="preserve"> </w:t>
      </w:r>
      <w:hyperlink w:anchor="ref-3">
        <w:r>
          <w:rPr>
            <w:rStyle w:val="Hyperlink"/>
          </w:rPr>
          <w:t xml:space="preserve">[3]</w:t>
        </w:r>
      </w:hyperlink>
      <w:r>
        <w:t xml:space="preserve">, the experiment isolated forecast quality as the manipulated treatment. Because the imposed root-mean-square fractional density error was set by the experimenter and was not jointly determined with the landed dispersion, the log-log regression of ellipse size on forecast error recovered a causal elasticity rather than an observational correlation. The estimand, the elasticity of landed-state dispersion with respect to pre-entry density-forecast error at fixed control authority, is the transfer function that the density-modeling and entry-guidance literatures had each approached from opposite sides without ever joining. The density surveys reported how wrong the forecasts are but stopped at the atmosphere [1, 2, 3]; the robust-guidance studies propagated atmospheric error all the way to a landed state but treated its magnitude as a fixed adversary to be rejected rather than a controllable input to be priced [4, 5]; the integrated-modeling work coupled perturbation modeling and downstream consequence but for conjunction tracking, not for a landed outcome</w:t>
      </w:r>
      <w:r>
        <w:t xml:space="preserve"> </w:t>
      </w:r>
      <w:hyperlink w:anchor="ref-6">
        <w:r>
          <w:rPr>
            <w:rStyle w:val="Hyperlink"/>
          </w:rPr>
          <w:t xml:space="preserve">[6]</w:t>
        </w:r>
      </w:hyperlink>
      <w:r>
        <w:t xml:space="preserve">. The Monte Carlo study supplied the missing mapping.</w:t>
      </w:r>
    </w:p>
    <w:p>
      <w:pPr>
        <w:pStyle w:val="BodyText"/>
        <w:spacing w:line="480" w:lineRule="auto"/>
        <w:ind w:firstLine="720"/>
      </w:pPr>
      <w:r>
        <w:t xml:space="preserve">The cross-mission panel regression complements the simulation by testing the same proposition against the only ground truth that exists, the dispersions that real vehicles actually achieved as their atmosphere models matured. Where the simulation manipulates and cannot observe history, the panel observes history and cannot manipulate. Regressing the log landing-ellipse semi-major axis on an ordinal atmospheric-knowledge maturity index, a guided-versus-ballistic entry indicator drawn from the standard EDL-architecture classification</w:t>
      </w:r>
      <w:r>
        <w:t xml:space="preserve"> </w:t>
      </w:r>
      <w:hyperlink w:anchor="ref-7">
        <w:r>
          <w:rPr>
            <w:rStyle w:val="Hyperlink"/>
          </w:rPr>
          <w:t xml:space="preserve">[7]</w:t>
        </w:r>
      </w:hyperlink>
      <w:r>
        <w:t xml:space="preserve">, and entry mass as a scale control, the analysis found a negative and significant maturity coefficient that survived the inclusion of the entry-mode control, the most plausible confounder. Each step up the maturity ladder was associated with a landing ellipse roughly two-fifths smaller at fixed entry mode and vehicle scale. The decisive feature of that result is that the knowledge coefficient, not the control coefficient, separated cleanly from zero. The value the record attributes to atmospheric knowledge is not merely a relabeling of the value of closed-loop control, because the guided indicator was estimated separately and absorbed its own average effect. The maturity coding was anchored to documented model heritage, from the Viking-era a priori atmosphere through the reconstruction era of the Mars Global Surveyor and Odyssey campaigns, the assimilation era enabled by Mars Reconnaissance Orbiter aerobraking density retrieval</w:t>
      </w:r>
      <w:r>
        <w:t xml:space="preserve"> </w:t>
      </w:r>
      <w:hyperlink w:anchor="ref-10">
        <w:r>
          <w:rPr>
            <w:rStyle w:val="Hyperlink"/>
          </w:rPr>
          <w:t xml:space="preserve">[10]</w:t>
        </w:r>
      </w:hyperlink>
      <w:r>
        <w:t xml:space="preserve">, and the modern pairing of assimilation with per-mission reconstruction reflected in the Mars 2020 entry-guidance reconstruction record</w:t>
      </w:r>
      <w:r>
        <w:t xml:space="preserve"> </w:t>
      </w:r>
      <w:hyperlink w:anchor="ref-11">
        <w:r>
          <w:rPr>
            <w:rStyle w:val="Hyperlink"/>
          </w:rPr>
          <w:t xml:space="preserve">[11]</w:t>
        </w:r>
      </w:hyperlink>
      <w:r>
        <w:t xml:space="preserve">. The ellipse values themselves were sourced to mission landing-site documentation of the kind exemplified by the Mars Exploration Rover site-selection record</w:t>
      </w:r>
      <w:r>
        <w:t xml:space="preserve"> </w:t>
      </w:r>
      <w:hyperlink w:anchor="ref-8">
        <w:r>
          <w:rPr>
            <w:rStyle w:val="Hyperlink"/>
          </w:rPr>
          <w:t xml:space="preserve">[8]</w:t>
        </w:r>
      </w:hyperlink>
      <w:r>
        <w:t xml:space="preserve">, the NASA descent timeline</w:t>
      </w:r>
      <w:r>
        <w:t xml:space="preserve"> </w:t>
      </w:r>
      <w:hyperlink w:anchor="ref-9">
        <w:r>
          <w:rPr>
            <w:rStyle w:val="Hyperlink"/>
          </w:rPr>
          <w:t xml:space="preserve">[9]</w:t>
        </w:r>
      </w:hyperlink>
      <w:r>
        <w:t xml:space="preserve">, and the per-mission archive entries [12, 13, 14, 15].</w:t>
      </w:r>
    </w:p>
    <w:p>
      <w:pPr>
        <w:pStyle w:val="BodyText"/>
        <w:spacing w:line="480" w:lineRule="auto"/>
        <w:ind w:firstLine="720"/>
      </w:pPr>
      <w:r>
        <w:t xml:space="preserve">The proportional-hazards survival study addresses the coarsest and most consequential outcome of all, whether vehicles flown with better atmospheric knowledge survive the descent. Restricting the cohort to genuine Martian EDL attempts holds the atmosphere fixed and avoids cross-gravity transfer, and the Cox regression of the failure event on prior in-situ density reconnaissance and accumulated entry experience returned a large negative reconnaissance coefficient. The implied hazard ratio places the instantaneous failure risk of a reconnaissance-flown mission far below that of a mission flown without it, holding experience fixed. The underlying record is consistent with the estimated sign: of the attempts flown without prior density reconnaissance, the majority ended in EDL failure, while among the reconnaissance-flown attempts only Schiaparelli failed, and that loss traced to an inertial-measurement saturation that drove an erroneous altitude rather than to an atmospheric-forecast error. That single in-regime failure is a reminder embedded in the data itself that atmospheric knowledge cannot insure against failure modes the atmosphere does not touch.</w:t>
      </w:r>
    </w:p>
    <w:p>
      <w:pPr>
        <w:pStyle w:val="BodyText"/>
        <w:spacing w:line="480" w:lineRule="auto"/>
        <w:ind w:firstLine="720"/>
      </w:pPr>
      <w:r>
        <w:t xml:space="preserve">The three results do not merely agree in slogan. The agreement is specific and demanding. The simulation isolates the atmospheric channel and prices the elasticity of dispersion; the panel confirms that the same channel left a negative, significant footprint on real landing ellipses across half a century of flight; and the survival study confirms that whatever the modern knowledge-and-control regime changed, the change registered as fewer lost vehicles. A simulation that moved a landing ellipse could have coexisted with a flat failure record if real losses were dominated by non-atmospheric mechanisms; a survival benefit could have appeared without any dispersion effect if the benefit ran through some other feature of the modern era. Neither escape route is open. All three tests point the same way.</w:t>
      </w:r>
    </w:p>
    <w:bookmarkEnd w:id="132"/>
    <w:bookmarkStart w:id="133" w:name="the-contribution-to-knowledge"/>
    <w:p>
      <w:pPr>
        <w:pStyle w:val="Heading2"/>
        <w:spacing w:line="480" w:lineRule="auto"/>
      </w:pPr>
      <w:r>
        <w:t xml:space="preserve">8.3 The Contribution to Knowledge</w:t>
      </w:r>
    </w:p>
    <w:p>
      <w:pPr>
        <w:pStyle w:val="FirstParagraph"/>
        <w:spacing w:line="480" w:lineRule="auto"/>
      </w:pPr>
      <w:r>
        <w:t xml:space="preserve">The primary contribution is a single falsifiable estimate where the field previously had only assertion: the elasticity of landed-state dispersion with respect to pre-entry density-forecast error, identified under a fixed guidance law and a fixed vehicle, reported with an honest confidence interval and a preregistered calibration that forecloses the circularity of tuning the synthetic atmosphere to the desired answer. This is the number the EDL community needs to make the investment decision that its current posture leaves implicit. If the elasticity had been indistinguishable from zero, the rational program would have invested in the controller, accepting that closed-loop guidance already absorbs forecast error across the operational range [4, 5]. Because the elasticity is positive and bounded away from zero, the rational program has a defensible basis to invest in the forecast, through improved models, precursor measurement, or assimilation of recent observations. The dissertation does not tell any particular program which side of that line it sits on for its own vehicle and guidance law, because the elasticity is conditional on the controller. It supplies the method to find out and a first calibrated value of the slope.</w:t>
      </w:r>
    </w:p>
    <w:p>
      <w:pPr>
        <w:pStyle w:val="BodyText"/>
        <w:spacing w:line="480" w:lineRule="auto"/>
        <w:ind w:firstLine="720"/>
      </w:pPr>
      <w:r>
        <w:t xml:space="preserve">The second contribution is methodological. By pairing a controlled experiment that can manipulate forecast quality but not observe flight with two observational designs that observe flight but cannot manipulate, the work demonstrates a template for resolving questions in EDL that neither simulation nor flight history can settle in isolation. The flight record is too small and too confounded to identify a clean causal effect; on Mars, the arrival of guided entry and the arrival of orbiter density reconnaissance are very nearly the same historical event, so collinearity prevents the survival model from separating knowledge from control, and the panel can only difference their average effects rather than break a correlation that history imposed. The simulation has no such confound but pays for its cleanliness with synthetic atmospheres whose realism depends entirely on the fidelity of the published error statistics used to calibrate them [1, 2, 3]. Each design’s weakness is the other’s strength. The convergence of a controlled elasticity, an observational panel slope, and an observational hazard ratio is stronger evidence than any one of them, and the dissertation’s lasting methodological claim is that this kind of triangulation, not any single heroic study, is the right epistemic posture for a field where the population of relevant events is measured in dozens and where the controlled experiments are necessarily simulated.</w:t>
      </w:r>
    </w:p>
    <w:p>
      <w:pPr>
        <w:pStyle w:val="BodyText"/>
        <w:spacing w:line="480" w:lineRule="auto"/>
        <w:ind w:firstLine="720"/>
      </w:pPr>
      <w:r>
        <w:t xml:space="preserve">The third contribution is the assembled, sourced, and auditable evidence base itself. The cross-mission panel of documented entry vehicles and the cohort of Martian EDL attempts, each row carrying its measured quantities and a named source, with illustrative values flagged where exact figures are unrecoverable, constitute a reusable dataset for any future analyst who wishes to extend the maturity index to a continuous forecast-error magnitude, add missions as they fly, or re-estimate the hazard ratio when the cohort grows. The provenance discipline applied throughout, sourcing every density-error magnitude to a retrieved document with model name, version, and reported residual, and every ellipse and outcome to a named archive entry [8, 9, 11, 12, 13, 14, 15], means the calibration is traceable end to end and the results are reproducible rather than merely asserted.</w:t>
      </w:r>
    </w:p>
    <w:bookmarkEnd w:id="133"/>
    <w:bookmarkStart w:id="134" w:name="limits-held-in-view"/>
    <w:p>
      <w:pPr>
        <w:pStyle w:val="Heading2"/>
        <w:spacing w:line="480" w:lineRule="auto"/>
      </w:pPr>
      <w:r>
        <w:t xml:space="preserve">8.4 Limits Held in View</w:t>
      </w:r>
    </w:p>
    <w:p>
      <w:pPr>
        <w:pStyle w:val="FirstParagraph"/>
        <w:spacing w:line="480" w:lineRule="auto"/>
      </w:pPr>
      <w:r>
        <w:t xml:space="preserve">The conclusion is stated with its boundaries because the boundaries are not defects to be explained away but the honest shape of an inference drawn from a small and confounded record. The strongest density-error characterizations available are for the terrestrial thermosphere [1, 2, 3], while much of the guidance and flight evidence is Martian [4, 7], so the elasticity estimated under one atmosphere’s error statistics and another’s guidance law transfers across scale heights and variability spectra only as a bounded sensitivity analysis, not as a headline result. The elasticity is conditional on the chosen guidance pipeline, so it is the value of knowledge at a fixed control authority, not a controller-free constant. The survival result clears the conventional ten percent threshold but not the five percent threshold on an eighteen-attempt cohort with six events, and a single additional in-regime failure or success would move it materially; its wide interval is structural. The panel’s maturity index is an ordinal step effect across eras rather than the continuous elasticity the simulation estimates, and its guided and maturity regressors remain partly correlated because history made them so. None of these reverses the central finding. The Monte Carlo elasticity is positive at fixed control, the panel maturity coefficient is negative and significant after controlling for entry mode, and the survival coefficient is negative and large with directional support. The limits constrain how far the numbers travel; they do not unseat the sign.</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Every EDL system makes an irreversible commitment under a forecast of an atmosphere it has not yet flown, and the controller absorbs the residual as dispersion in the landed state. The field has long answered that liability by hardening the controller and treating the forecast as a fixed adversary. This dissertation asked whether the forecast deserves to be treated as a variable worth investing in, and across a controlled elasticity, a cross-mission slope, and a survival hazard, it found that pre-entry atmospheric knowledge carries measurable landed value that is not merely a restatement of the value of control. The estimate is conditional, the flight record is small, and the cross-atmosphere transfer remains open work. But the question that opened this study, whether better atmospheric knowledge moves the landing ellipse, no longer rests on assertion. It rests on a slope with a confidence interval, corroborated by the only flight history that exists. The cost of atmospheric uncertainty is real, it is quantifiable, and on the evidence assembled here, it is worth paying to reduce.</w:t>
      </w:r>
    </w:p>
    <w:bookmarkEnd w:id="135"/>
    <w:bookmarkStart w:id="183" w:name="references"/>
    <w:p>
      <w:pPr>
        <w:pStyle w:val="Heading2"/>
        <w:spacing w:line="480" w:lineRule="auto"/>
      </w:pPr>
      <w:r>
        <w:t xml:space="preserve">References</w:t>
      </w:r>
    </w:p>
    <w:p>
      <w:pPr>
        <w:pStyle w:val="FirstParagraph"/>
        <w:spacing w:line="480" w:lineRule="auto"/>
      </w:pPr>
      <w:bookmarkStart w:id="136" w:name="ref-1"/>
      <w:bookmarkEnd w:id="136"/>
      <w:r>
        <w:t xml:space="preserve">1. S. Mutschler, W. K. Tobiska, M. Pilinski, S. Bruinsma, E. Sutton, D. Knipp, V. Mallik, B. Jagatia, M. Siegers, T.-W. Fang, T. Fuller-Rowell, B. diLorenzo, S. Casali, C. Siemes, and K. Wahl,</w:t>
      </w:r>
      <w:r>
        <w:t xml:space="preserve"> </w:t>
      </w:r>
      <w:r>
        <w:t xml:space="preserve">“A Survey of Current Operations-Ready Thermospheric Density Models for Drag Modeling in LEO Operations,”</w:t>
      </w:r>
      <w:r>
        <w:t xml:space="preserve"> </w:t>
      </w:r>
      <w:r>
        <w:t xml:space="preserve">Proc. Advanced Maui Optical and Space Surveillance Technologies (AMOS) Conference, 2023. doi:</w:t>
      </w:r>
      <w:r>
        <w:t xml:space="preserve"> </w:t>
      </w:r>
      <w:hyperlink r:id="rId137">
        <w:r>
          <w:rPr>
            <w:rStyle w:val="Hyperlink"/>
          </w:rPr>
          <w:t xml:space="preserve">10.64861/PFPI7186</w:t>
        </w:r>
      </w:hyperlink>
      <w:r>
        <w:t xml:space="preserve">.</w:t>
      </w:r>
    </w:p>
    <w:p>
      <w:pPr>
        <w:pStyle w:val="BodyText"/>
        <w:spacing w:line="480" w:lineRule="auto"/>
        <w:ind w:firstLine="720"/>
      </w:pPr>
      <w:bookmarkStart w:id="138" w:name="ref-2"/>
      <w:bookmarkEnd w:id="138"/>
      <w:r>
        <w:t xml:space="preserve">2. C. A. McLaughlin, A. Hiatt, D. Mysore Krishna, T. Lechtenberg, E. Fattig, and P. M. Mehta,</w:t>
      </w:r>
      <w:r>
        <w:t xml:space="preserve"> </w:t>
      </w:r>
      <w:r>
        <w:t xml:space="preserve">“Precision Orbit Derived Atmospheric Density: Development and Performance,”</w:t>
      </w:r>
      <w:r>
        <w:t xml:space="preserve"> </w:t>
      </w:r>
      <w:r>
        <w:t xml:space="preserve">Proc. Advanced Maui Optical and Space Surveillance Technologies (AMOS) Conference, 2012.</w:t>
      </w:r>
    </w:p>
    <w:p>
      <w:pPr>
        <w:pStyle w:val="BodyText"/>
        <w:spacing w:line="480" w:lineRule="auto"/>
        <w:ind w:firstLine="720"/>
      </w:pPr>
      <w:bookmarkStart w:id="139" w:name="ref-3"/>
      <w:bookmarkEnd w:id="139"/>
      <w:r>
        <w:t xml:space="preserve">3. B. Joshi, S. Majumder, T. Ansari, and T. Ahmed,</w:t>
      </w:r>
      <w:r>
        <w:t xml:space="preserve"> </w:t>
      </w:r>
      <w:r>
        <w:t xml:space="preserve">“Thermospheric Density Prediction and Uncertainty Quantification through Generative AI-based Architectures,”</w:t>
      </w:r>
      <w:r>
        <w:t xml:space="preserve"> </w:t>
      </w:r>
      <w:r>
        <w:t xml:space="preserve">Proc. Advanced Maui Optical and Space Surveillance Technologies (AMOS) Conference, 2025. doi:</w:t>
      </w:r>
      <w:r>
        <w:t xml:space="preserve"> </w:t>
      </w:r>
      <w:hyperlink r:id="rId140">
        <w:r>
          <w:rPr>
            <w:rStyle w:val="Hyperlink"/>
          </w:rPr>
          <w:t xml:space="preserve">10.64861/KLIJ1542</w:t>
        </w:r>
      </w:hyperlink>
      <w:r>
        <w:t xml:space="preserve">.</w:t>
      </w:r>
    </w:p>
    <w:p>
      <w:pPr>
        <w:pStyle w:val="BodyText"/>
        <w:spacing w:line="480" w:lineRule="auto"/>
        <w:ind w:firstLine="720"/>
      </w:pPr>
      <w:bookmarkStart w:id="141" w:name="ref-4"/>
      <w:bookmarkEnd w:id="141"/>
      <w:r>
        <w:t xml:space="preserve">4. J. Dai, A. Gao, and Y. Xia,</w:t>
      </w:r>
      <w:r>
        <w:t xml:space="preserve"> </w:t>
      </w:r>
      <w:r>
        <w:t xml:space="preserve">“Mars atmospheric entry guidance for reference trajectory tracking based on robust nonlinear compound controller,”</w:t>
      </w:r>
      <w:r>
        <w:t xml:space="preserve"> </w:t>
      </w:r>
      <w:r>
        <w:t xml:space="preserve">Acta Astronautica, vol. 132, 2016. doi:</w:t>
      </w:r>
      <w:r>
        <w:t xml:space="preserve"> </w:t>
      </w:r>
      <w:hyperlink r:id="rId142">
        <w:r>
          <w:rPr>
            <w:rStyle w:val="Hyperlink"/>
          </w:rPr>
          <w:t xml:space="preserve">10.1016/j.actaastro.2016.12.013</w:t>
        </w:r>
      </w:hyperlink>
      <w:r>
        <w:t xml:space="preserve">.</w:t>
      </w:r>
    </w:p>
    <w:p>
      <w:pPr>
        <w:pStyle w:val="BodyText"/>
        <w:spacing w:line="480" w:lineRule="auto"/>
        <w:ind w:firstLine="720"/>
      </w:pPr>
      <w:bookmarkStart w:id="143" w:name="ref-5"/>
      <w:bookmarkEnd w:id="143"/>
      <w:r>
        <w:t xml:space="preserve">5. T. Saito, T. Kuwahara, Y. Saito, and Y. Sato,</w:t>
      </w:r>
      <w:r>
        <w:t xml:space="preserve"> </w:t>
      </w:r>
      <w:r>
        <w:t xml:space="preserve">“Guidance strategies for controlled Earth reentry of small spacecraft in low Earth orbit,”</w:t>
      </w:r>
      <w:r>
        <w:t xml:space="preserve"> </w:t>
      </w:r>
      <w:r>
        <w:t xml:space="preserve">Acta Astronautica, vol. 229, 2024. doi:</w:t>
      </w:r>
      <w:r>
        <w:t xml:space="preserve"> </w:t>
      </w:r>
      <w:hyperlink r:id="rId144">
        <w:r>
          <w:rPr>
            <w:rStyle w:val="Hyperlink"/>
          </w:rPr>
          <w:t xml:space="preserve">10.1016/j.actaastro.2024.12.054</w:t>
        </w:r>
      </w:hyperlink>
      <w:r>
        <w:t xml:space="preserve">.</w:t>
      </w:r>
    </w:p>
    <w:p>
      <w:pPr>
        <w:pStyle w:val="BodyText"/>
        <w:spacing w:line="480" w:lineRule="auto"/>
        <w:ind w:firstLine="720"/>
      </w:pPr>
      <w:bookmarkStart w:id="145" w:name="ref-6"/>
      <w:bookmarkEnd w:id="145"/>
      <w:r>
        <w:t xml:space="preserve">6. J. Koller, S. M. Brennan, H. C. Godinez Vazquez, D. M. Higdon, A. V. Klimenko, B. A. Larsen, E. C. Lawrence, R. Linares, P. Mehta, D. Palmer, M. A. Shoemaker, D. C. Walker Thompson, A. C. Walker, B. E. Wohlberg, M. Jah, E. Sutton, T. Kelecy, A. Ridley, and C. McLaughlin,</w:t>
      </w:r>
      <w:r>
        <w:t xml:space="preserve"> </w:t>
      </w:r>
      <w:r>
        <w:t xml:space="preserve">“IMPACT - Integrated Modeling of Perturbations in Atmospheres for Conjunction Tracking,”</w:t>
      </w:r>
      <w:r>
        <w:t xml:space="preserve"> </w:t>
      </w:r>
      <w:r>
        <w:t xml:space="preserve">Proc. Advanced Maui Optical and Space Surveillance Technologies (AMOS) Conference, 2013.</w:t>
      </w:r>
    </w:p>
    <w:p>
      <w:pPr>
        <w:pStyle w:val="BodyText"/>
        <w:spacing w:line="480" w:lineRule="auto"/>
        <w:ind w:firstLine="720"/>
      </w:pPr>
      <w:bookmarkStart w:id="146" w:name="ref-7"/>
      <w:bookmarkEnd w:id="146"/>
      <w:r>
        <w:t xml:space="preserve">7. R. D. Braun and R. M. Manning,</w:t>
      </w:r>
      <w:r>
        <w:t xml:space="preserve"> </w:t>
      </w:r>
      <w:r>
        <w:t xml:space="preserve">“Mars Exploration Entry, Descent, and Landing Challenges,”</w:t>
      </w:r>
      <w:r>
        <w:t xml:space="preserve"> </w:t>
      </w:r>
      <w:r>
        <w:t xml:space="preserve">Journal of Spacecraft and Rockets, vol. 44, no. 2, 2007. doi:</w:t>
      </w:r>
      <w:r>
        <w:t xml:space="preserve"> </w:t>
      </w:r>
      <w:hyperlink r:id="rId147">
        <w:r>
          <w:rPr>
            <w:rStyle w:val="Hyperlink"/>
          </w:rPr>
          <w:t xml:space="preserve">10.2514/1.25116</w:t>
        </w:r>
      </w:hyperlink>
      <w:r>
        <w:t xml:space="preserve">.</w:t>
      </w:r>
    </w:p>
    <w:p>
      <w:pPr>
        <w:pStyle w:val="BodyText"/>
        <w:spacing w:line="480" w:lineRule="auto"/>
        <w:ind w:firstLine="720"/>
      </w:pPr>
      <w:bookmarkStart w:id="148" w:name="ref-8"/>
      <w:bookmarkEnd w:id="148"/>
      <w:r>
        <w:t xml:space="preserve">8. M. Golombek, J. Grant, D. Kipp, A. Vasavada, R. Kirk, R. Fergason, P. Bellutta, F. Calef, K. Larsen, Y. Katayama, A. Huertas, R. Beyer, A. Chen, T. Parker, B. Pollard, S. Lee, Y. Sun, R. Hoover, H. Sladek, J. Grotzinger, R. Welch, E. Noe Dobrea, J. Michalski, and M. Watkins,</w:t>
      </w:r>
      <w:r>
        <w:t xml:space="preserve"> </w:t>
      </w:r>
      <w:r>
        <w:t xml:space="preserve">“Selection of the Mars Exploration Rover landing sites,”</w:t>
      </w:r>
      <w:r>
        <w:t xml:space="preserve"> </w:t>
      </w:r>
      <w:r>
        <w:t xml:space="preserve">Journal of Geophysical Research: Planets, vol. 108, no. E12, 2003. doi:</w:t>
      </w:r>
      <w:r>
        <w:t xml:space="preserve"> </w:t>
      </w:r>
      <w:hyperlink r:id="rId149">
        <w:r>
          <w:rPr>
            <w:rStyle w:val="Hyperlink"/>
          </w:rPr>
          <w:t xml:space="preserve">10.1029/2003JE002074</w:t>
        </w:r>
      </w:hyperlink>
      <w:r>
        <w:t xml:space="preserve">.</w:t>
      </w:r>
    </w:p>
    <w:p>
      <w:pPr>
        <w:pStyle w:val="BodyText"/>
        <w:spacing w:line="480" w:lineRule="auto"/>
        <w:ind w:firstLine="720"/>
      </w:pPr>
      <w:bookmarkStart w:id="150" w:name="ref-9"/>
      <w:bookmarkEnd w:id="150"/>
      <w:r>
        <w:t xml:space="preserve">9. How We Land on Mars, NASA Science, Mars Exploration Program mission timeline. https://science.nasa.gov/planetary-science/programs/mars-exploration/mission-timeline/how-we-land-on-mars/</w:t>
      </w:r>
    </w:p>
    <w:p>
      <w:pPr>
        <w:pStyle w:val="BodyText"/>
        <w:spacing w:line="480" w:lineRule="auto"/>
        <w:ind w:firstLine="720"/>
      </w:pPr>
      <w:bookmarkStart w:id="151" w:name="ref-10"/>
      <w:bookmarkEnd w:id="151"/>
      <w:r>
        <w:t xml:space="preserve">10. R. H. Tolson et al., Atmospheric Modeling Using Accelerometer Data During Mars Reconnaissance Orbiter Aerobraking Operations, Journal of Spacecraft and Rockets, AIAA. https://arc.aiaa.org/doi/10.2514/1.34301</w:t>
      </w:r>
    </w:p>
    <w:p>
      <w:pPr>
        <w:pStyle w:val="BodyText"/>
        <w:spacing w:line="480" w:lineRule="auto"/>
        <w:ind w:firstLine="720"/>
      </w:pPr>
      <w:bookmarkStart w:id="152" w:name="ref-11"/>
      <w:bookmarkEnd w:id="152"/>
      <w:r>
        <w:t xml:space="preserve">11. J. M. McGrew et al., Entry Guidance Design and Post-Flight Performance of the Mars 2020 Mission, NASA Technical Reports Server, 20240015538, 2025. https://ntrs.nasa.gov/citations/20240015538</w:t>
      </w:r>
    </w:p>
    <w:p>
      <w:pPr>
        <w:pStyle w:val="BodyText"/>
        <w:spacing w:line="480" w:lineRule="auto"/>
        <w:ind w:firstLine="720"/>
      </w:pPr>
      <w:bookmarkStart w:id="153" w:name="ref-12"/>
      <w:bookmarkEnd w:id="153"/>
      <w:r>
        <w:t xml:space="preserve">12. Mars Pathfinder EDL Accelerometer-Derived Atmospheric Density and Pressure Profiles, NASA Planetary Data System Atmospheres node. https://atmos.nmsu.edu/data_and_services/atmospheres_data/MARS/pathfinder/mars_edl.html</w:t>
      </w:r>
    </w:p>
    <w:p>
      <w:pPr>
        <w:pStyle w:val="BodyText"/>
        <w:spacing w:line="480" w:lineRule="auto"/>
        <w:ind w:firstLine="720"/>
      </w:pPr>
      <w:bookmarkStart w:id="154" w:name="ref-13"/>
      <w:bookmarkEnd w:id="154"/>
      <w:r>
        <w:t xml:space="preserve">13. R. W. Williams, NASA Space Science Data Coordinated Archive (NSSDCA) master catalog, Mars 2, Mars 3, Mars 6, Viking 1, and Viking 2 lander records. https://nssdc.gsfc.nasa.gov/nmc/</w:t>
      </w:r>
    </w:p>
    <w:p>
      <w:pPr>
        <w:pStyle w:val="BodyText"/>
        <w:spacing w:line="480" w:lineRule="auto"/>
        <w:ind w:firstLine="720"/>
      </w:pPr>
      <w:bookmarkStart w:id="155" w:name="ref-14"/>
      <w:bookmarkEnd w:id="155"/>
      <w:r>
        <w:t xml:space="preserve">14. Beagle 2 lander, ESA Mars Express, European Space Agency. https://www.esa.int/Science_Exploration/Space_Science/Mars_Express/Beagle_2_lander</w:t>
      </w:r>
    </w:p>
    <w:p>
      <w:pPr>
        <w:pStyle w:val="BodyText"/>
        <w:spacing w:line="480" w:lineRule="auto"/>
        <w:ind w:firstLine="720"/>
      </w:pPr>
      <w:bookmarkStart w:id="156" w:name="ref-15"/>
      <w:bookmarkEnd w:id="156"/>
      <w:r>
        <w:t xml:space="preserve">15. P. N. Desai et al., Mars Phoenix Entry, Descent, and Landing Simulation Design, NASA Technical Reports Server, 20080033126, 2008. https://ntrs.nasa.gov/api/citations/20080033126/downloads/20080033126.pdf</w:t>
      </w:r>
    </w:p>
    <w:p>
      <w:pPr>
        <w:pStyle w:val="BodyText"/>
        <w:spacing w:line="480" w:lineRule="auto"/>
        <w:ind w:firstLine="720"/>
      </w:pPr>
      <w:bookmarkStart w:id="157" w:name="ref-16"/>
      <w:bookmarkEnd w:id="157"/>
      <w:r>
        <w:t xml:space="preserve">16. Phil Bland, Curtin University; Greg Madsen, Lockheed Martin Space; Matthew Bold, Lockheed Martin Advanced Technology Center; Robert Howie, Curtin University; Ben Hartig, Curtin University; Trent Jansen-Sturgeon, Curtin University; James Mason, Lockheed Martin Advanced Technology Center; Dane McCormack, Lockheed Martin Space; Rod Drury, Lockheed Martin Space. FireOPAL: Toward a Low-Cost, Global, Coordinated Network of Optical Sensors for SSA (2018).</w:t>
      </w:r>
    </w:p>
    <w:p>
      <w:pPr>
        <w:pStyle w:val="BodyText"/>
        <w:spacing w:line="480" w:lineRule="auto"/>
        <w:ind w:firstLine="720"/>
      </w:pPr>
      <w:bookmarkStart w:id="158" w:name="ref-17"/>
      <w:bookmarkEnd w:id="158"/>
      <w:r>
        <w:t xml:space="preserve">17. Matthew Horsley (Lawrence Livermore National Laboratory). Satellite Re-entry Modeling and Uncertainty Quantification (2012).</w:t>
      </w:r>
    </w:p>
    <w:p>
      <w:pPr>
        <w:pStyle w:val="BodyText"/>
        <w:spacing w:line="480" w:lineRule="auto"/>
        <w:ind w:firstLine="720"/>
      </w:pPr>
      <w:bookmarkStart w:id="159" w:name="ref-18"/>
      <w:bookmarkEnd w:id="159"/>
      <w:r>
        <w:t xml:space="preserve">18. Brandon Jones, University of Texas at Austin; Emmanuel Delande, The University of Texas at Austin; Enrico Zucchelli, University of Texas at Austin; Moriba Jah, University of Texas at Austin. Multi-Fidelity Orbit Uncertainty Propagation with Systematic Errors (2019).</w:t>
      </w:r>
    </w:p>
    <w:p>
      <w:pPr>
        <w:pStyle w:val="BodyText"/>
        <w:spacing w:line="480" w:lineRule="auto"/>
        <w:ind w:firstLine="720"/>
      </w:pPr>
      <w:bookmarkStart w:id="160" w:name="ref-19"/>
      <w:bookmarkEnd w:id="160"/>
      <w:r>
        <w:t xml:space="preserve">19. Mikolaj Kruzynski, Polish Space Agency; Zygmunt Anio?, Polish Space Agency; Krzysztof Armiski, Polish Space Agency; Dorota Mieczkowska, Polish Space Agency; Marcin Teofilewicz, Polish Space Agency; Edwin Wnuk, Polish Space Agency; Tomasz Zubowicz, Polish Space Agency; Justyna Golebiewska, Astronomical Observatory Institute, Faculty of Physics, A.Mickiewicz University; Monika K. Kaminska, Astronomical Observatory Institute, Faculty of Physics, A.Mickiewicz University; Julia Pietrzak, Astronomical Observatory Institute, Faculty of Physics, A. Mickiewicz University; Marek Poleski, Faculty of Power and Aeronautical Engineering, Warsaw University of Technology. Influence of the atmosphere model and the quality of the ballistic coefficient (BC) estimation on the prediction of the re-entry moment (2023). doi:</w:t>
      </w:r>
      <w:r>
        <w:t xml:space="preserve"> </w:t>
      </w:r>
      <w:hyperlink r:id="rId161">
        <w:r>
          <w:rPr>
            <w:rStyle w:val="Hyperlink"/>
          </w:rPr>
          <w:t xml:space="preserve">10.64861/UJOZ7658</w:t>
        </w:r>
      </w:hyperlink>
    </w:p>
    <w:p>
      <w:pPr>
        <w:pStyle w:val="BodyText"/>
        <w:spacing w:line="480" w:lineRule="auto"/>
        <w:ind w:firstLine="720"/>
      </w:pPr>
      <w:bookmarkStart w:id="162" w:name="ref-20"/>
      <w:bookmarkEnd w:id="162"/>
      <w:r>
        <w:t xml:space="preserve">20. Christopher Valicka, Sandia National Laboratories, Deanna Garcia, Sandia National Laboratories, Andrea Staid, Sandia National Laboratories, Jean-Paul Watson, Sandia National Laboratories, Mark D. Rintoul, Sandia National Laboratories, Gabriel Hackebeil, University of Michigan, Lewis Ntaimo, Texas A&amp;M University. Space Surveillance Network Scheduling Under Uncertainty: Models and Benefits (2016).</w:t>
      </w:r>
    </w:p>
    <w:p>
      <w:pPr>
        <w:pStyle w:val="BodyText"/>
        <w:spacing w:line="480" w:lineRule="auto"/>
        <w:ind w:firstLine="720"/>
      </w:pPr>
      <w:bookmarkStart w:id="163" w:name="ref-21"/>
      <w:bookmarkEnd w:id="163"/>
      <w:r>
        <w:t xml:space="preserve">21. Nicholas Dietrich, University of Colorado Boulder; Tomoko Matsuo, University of Colorado Boulder; Chih-Ting Hsu, High Altitude Observatory, NCAR. Qualifying and Reducing Neutral Density Uncertainty for Precise Orbit Determination using Physics-Based Data Assimilations (2021).</w:t>
      </w:r>
    </w:p>
    <w:p>
      <w:pPr>
        <w:pStyle w:val="BodyText"/>
        <w:spacing w:line="480" w:lineRule="auto"/>
        <w:ind w:firstLine="720"/>
      </w:pPr>
      <w:bookmarkStart w:id="164" w:name="ref-22"/>
      <w:bookmarkEnd w:id="164"/>
      <w:r>
        <w:t xml:space="preserve">22. John Gaebler, KBR; Juan Gutierrez, KBR; Paul Billings, KBR; Christopher Craft, KBR; Charles J. Wetterer, KBR; Jason Baldwin, Complex Futures; Micah Dilley, KBR; Jill Bruer, AFRL. Application of Uncertainty Propagation with Adaptive Gaussian Mixture Models for Cislunar Objects (2025). doi:</w:t>
      </w:r>
      <w:r>
        <w:t xml:space="preserve"> </w:t>
      </w:r>
      <w:hyperlink r:id="rId165">
        <w:r>
          <w:rPr>
            <w:rStyle w:val="Hyperlink"/>
          </w:rPr>
          <w:t xml:space="preserve">10.64861/CMFX7334</w:t>
        </w:r>
      </w:hyperlink>
    </w:p>
    <w:p>
      <w:pPr>
        <w:pStyle w:val="BodyText"/>
        <w:spacing w:line="480" w:lineRule="auto"/>
        <w:ind w:firstLine="720"/>
      </w:pPr>
      <w:bookmarkStart w:id="166" w:name="ref-23"/>
      <w:bookmarkEnd w:id="166"/>
      <w:r>
        <w:t xml:space="preserve">23. Jason Boyd, Ball Aerospace; Tony Ly, Ball Aerospace; Ian Gravseth, Ball Aerospace. SDA GEO Location in a GPS Denied Environment (2023). doi:</w:t>
      </w:r>
      <w:r>
        <w:t xml:space="preserve"> </w:t>
      </w:r>
      <w:hyperlink r:id="rId167">
        <w:r>
          <w:rPr>
            <w:rStyle w:val="Hyperlink"/>
          </w:rPr>
          <w:t xml:space="preserve">10.64861/TVOK4375</w:t>
        </w:r>
      </w:hyperlink>
    </w:p>
    <w:p>
      <w:pPr>
        <w:pStyle w:val="BodyText"/>
        <w:spacing w:line="480" w:lineRule="auto"/>
        <w:ind w:firstLine="720"/>
      </w:pPr>
      <w:bookmarkStart w:id="168" w:name="ref-24"/>
      <w:bookmarkEnd w:id="168"/>
      <w:r>
        <w:t xml:space="preserve">24. Yuechen Huang; Haiyang Li; Xin Du; Xiangyue He. Mars entry trajectory robust optimization based on evidence under epistemic uncertainty (2019). doi:</w:t>
      </w:r>
      <w:r>
        <w:t xml:space="preserve"> </w:t>
      </w:r>
      <w:hyperlink r:id="rId169">
        <w:r>
          <w:rPr>
            <w:rStyle w:val="Hyperlink"/>
          </w:rPr>
          <w:t xml:space="preserve">10.1016/j.actaastro.2019.01.034</w:t>
        </w:r>
      </w:hyperlink>
    </w:p>
    <w:p>
      <w:pPr>
        <w:pStyle w:val="BodyText"/>
        <w:spacing w:line="480" w:lineRule="auto"/>
        <w:ind w:firstLine="720"/>
      </w:pPr>
      <w:bookmarkStart w:id="170" w:name="ref-25"/>
      <w:bookmarkEnd w:id="170"/>
      <w:r>
        <w:t xml:space="preserve">25. Hugo Lévy; Éric Joffre; Stéphanie Lizy-Destrez; Mattia Zamaro. STORM: A semi-analytical orbit propagator for assessing the compliance with Mars Planetary Protection Requirements (2021). doi:</w:t>
      </w:r>
      <w:r>
        <w:t xml:space="preserve"> </w:t>
      </w:r>
      <w:hyperlink r:id="rId171">
        <w:r>
          <w:rPr>
            <w:rStyle w:val="Hyperlink"/>
          </w:rPr>
          <w:t xml:space="preserve">10.1016/j.actaastro.2021.09.027</w:t>
        </w:r>
      </w:hyperlink>
    </w:p>
    <w:p>
      <w:pPr>
        <w:pStyle w:val="BodyText"/>
        <w:spacing w:line="480" w:lineRule="auto"/>
        <w:ind w:firstLine="720"/>
      </w:pPr>
      <w:bookmarkStart w:id="172" w:name="ref-26"/>
      <w:bookmarkEnd w:id="172"/>
      <w:r>
        <w:t xml:space="preserve">26. Juan Dai; Ai Gao; Yuanqing Xia. Mars atmospheric entry guidance for reference trajectory tracking based on robust nonlinear compound controller (2016). doi:</w:t>
      </w:r>
      <w:r>
        <w:t xml:space="preserve"> </w:t>
      </w:r>
      <w:hyperlink r:id="rId142">
        <w:r>
          <w:rPr>
            <w:rStyle w:val="Hyperlink"/>
          </w:rPr>
          <w:t xml:space="preserve">10.1016/j.actaastro.2016.12.013</w:t>
        </w:r>
      </w:hyperlink>
    </w:p>
    <w:p>
      <w:pPr>
        <w:pStyle w:val="BodyText"/>
        <w:spacing w:line="480" w:lineRule="auto"/>
        <w:ind w:firstLine="720"/>
      </w:pPr>
      <w:bookmarkStart w:id="173" w:name="ref-27"/>
      <w:bookmarkEnd w:id="173"/>
      <w:r>
        <w:t xml:space="preserve">27. Xiuqiang Jiang; Shuang Li. Mars entry trajectory planning using robust optimization and uncertainty quantification (2019). doi:</w:t>
      </w:r>
      <w:r>
        <w:t xml:space="preserve"> </w:t>
      </w:r>
      <w:hyperlink r:id="rId174">
        <w:r>
          <w:rPr>
            <w:rStyle w:val="Hyperlink"/>
          </w:rPr>
          <w:t xml:space="preserve">10.1016/j.actaastro.2019.05.033</w:t>
        </w:r>
      </w:hyperlink>
    </w:p>
    <w:p>
      <w:pPr>
        <w:pStyle w:val="BodyText"/>
        <w:spacing w:line="480" w:lineRule="auto"/>
        <w:ind w:firstLine="720"/>
      </w:pPr>
      <w:bookmarkStart w:id="175" w:name="ref-28"/>
      <w:bookmarkEnd w:id="175"/>
      <w:r>
        <w:t xml:space="preserve">28. Juan Francisco Amieva; Christian Ayala; Mikel Galar. A deep learning approach to jointly super-resolve and despeckle Sentinel-1 imagery (2025). doi:</w:t>
      </w:r>
      <w:r>
        <w:t xml:space="preserve"> </w:t>
      </w:r>
      <w:hyperlink r:id="rId176">
        <w:r>
          <w:rPr>
            <w:rStyle w:val="Hyperlink"/>
          </w:rPr>
          <w:t xml:space="preserve">10.1016/j.actaastro.2025.07.071</w:t>
        </w:r>
      </w:hyperlink>
    </w:p>
    <w:p>
      <w:pPr>
        <w:pStyle w:val="BodyText"/>
        <w:spacing w:line="480" w:lineRule="auto"/>
        <w:ind w:firstLine="720"/>
      </w:pPr>
      <w:bookmarkStart w:id="177" w:name="ref-29"/>
      <w:bookmarkEnd w:id="177"/>
      <w:r>
        <w:t xml:space="preserve">29. S. F. Rafano Carnà; Sanny Omar; David Guglielmo; Riccardo Bevilacqua. Safety analysis for shallow controlled re-entries through reduced order modeling and inputs’ statistics method (2018). doi:</w:t>
      </w:r>
      <w:r>
        <w:t xml:space="preserve"> </w:t>
      </w:r>
      <w:hyperlink r:id="rId178">
        <w:r>
          <w:rPr>
            <w:rStyle w:val="Hyperlink"/>
          </w:rPr>
          <w:t xml:space="preserve">10.1016/j.actaastro.2018.10.015</w:t>
        </w:r>
      </w:hyperlink>
    </w:p>
    <w:p>
      <w:pPr>
        <w:pStyle w:val="BodyText"/>
        <w:spacing w:line="480" w:lineRule="auto"/>
        <w:ind w:firstLine="720"/>
      </w:pPr>
      <w:bookmarkStart w:id="179" w:name="ref-30"/>
      <w:bookmarkEnd w:id="179"/>
      <w:r>
        <w:t xml:space="preserve">30. Alberto Fedele; Salvatore Carannante; Michele Grassi; Raffaele Savino. Aerodynamic Control System for a Deployable Re-entry Capsule (2020). doi:</w:t>
      </w:r>
      <w:r>
        <w:t xml:space="preserve"> </w:t>
      </w:r>
      <w:hyperlink r:id="rId180">
        <w:r>
          <w:rPr>
            <w:rStyle w:val="Hyperlink"/>
          </w:rPr>
          <w:t xml:space="preserve">10.1016/j.actaastro.2020.05.049</w:t>
        </w:r>
      </w:hyperlink>
    </w:p>
    <w:p>
      <w:pPr>
        <w:pStyle w:val="BodyText"/>
        <w:spacing w:line="480" w:lineRule="auto"/>
        <w:ind w:firstLine="720"/>
      </w:pPr>
      <w:bookmarkStart w:id="181" w:name="ref-31"/>
      <w:bookmarkEnd w:id="181"/>
      <w:r>
        <w:t xml:space="preserve">31. Maximilien Berthet; Kojiro Suzuki. Study on the dynamics of an origami space plane during Earth atmospheric entry (2025). doi:</w:t>
      </w:r>
      <w:r>
        <w:t xml:space="preserve"> </w:t>
      </w:r>
      <w:hyperlink r:id="rId182">
        <w:r>
          <w:rPr>
            <w:rStyle w:val="Hyperlink"/>
          </w:rPr>
          <w:t xml:space="preserve">10.1016/j.actaastro.2025.06.052</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5810fc5b2b070c795fb4a26fb9dab1f8a7997ca"/>
    <w:p>
      <w:pPr>
        <w:pStyle w:val="Heading2"/>
        <w:spacing w:line="480" w:lineRule="auto"/>
      </w:pPr>
      <w:r>
        <w:t xml:space="preserve">A.1 The Landed Value of Atmospheric Knowledge: A Cross-Mission Test of Pre-Entry Atmospheric Maturity and Landed-State Dispersion in Atmospheric EDL</w:t>
      </w:r>
    </w:p>
    <w:p>
      <w:pPr>
        <w:pStyle w:val="FirstParagraph"/>
        <w:spacing w:line="480" w:lineRule="auto"/>
      </w:pPr>
      <m:oMathPara>
        <m:oMathParaPr>
          <m:jc m:val="center"/>
        </m:oMathParaPr>
        <m:oMath>
          <m:r>
            <m:rPr>
              <m:sty m:val="p"/>
            </m:rPr>
            <m:t>ln</m:t>
          </m:r>
          <m:r>
            <m:rPr>
              <m:sty m:val="p"/>
            </m:rPr>
            <m:t>(</m:t>
          </m:r>
          <m:sSub>
            <m:e>
              <m:r>
                <m:t>D</m:t>
              </m:r>
            </m:e>
            <m:sub>
              <m:r>
                <m:t>i</m:t>
              </m:r>
            </m:sub>
          </m:sSub>
          <m:r>
            <m:rPr>
              <m:sty m:val="p"/>
            </m:rPr>
            <m:t>)</m:t>
          </m:r>
          <m:r>
            <m:rPr>
              <m:sty m:val="p"/>
            </m:rPr>
            <m:t>=</m:t>
          </m:r>
          <m:sSub>
            <m:e>
              <m:r>
                <m:t>β</m:t>
              </m:r>
            </m:e>
            <m:sub>
              <m:r>
                <m:t>0</m:t>
              </m:r>
            </m:sub>
          </m:sSub>
          <m:r>
            <m:rPr>
              <m:sty m:val="p"/>
            </m:rPr>
            <m:t>+</m:t>
          </m:r>
          <m:sSub>
            <m:e>
              <m:r>
                <m:t>β</m:t>
              </m:r>
            </m:e>
            <m:sub>
              <m:r>
                <m:t>1</m:t>
              </m:r>
            </m:sub>
          </m:sSub>
          <m:sSub>
            <m:e>
              <m:r>
                <m:t>K</m:t>
              </m:r>
            </m:e>
            <m:sub>
              <m:r>
                <m:t>i</m:t>
              </m:r>
            </m:sub>
          </m:sSub>
          <m:r>
            <m:rPr>
              <m:sty m:val="p"/>
            </m:rPr>
            <m:t>+</m:t>
          </m:r>
          <m:sSub>
            <m:e>
              <m:r>
                <m:t>β</m:t>
              </m:r>
            </m:e>
            <m:sub>
              <m:r>
                <m:t>2</m:t>
              </m:r>
            </m:sub>
          </m:sSub>
          <m:sSub>
            <m:e>
              <m:r>
                <m:t>G</m:t>
              </m:r>
            </m:e>
            <m:sub>
              <m:r>
                <m:t>i</m:t>
              </m:r>
            </m:sub>
          </m:sSub>
          <m:r>
            <m:rPr>
              <m:sty m:val="p"/>
            </m:rPr>
            <m:t>+</m:t>
          </m:r>
          <m:sSub>
            <m:e>
              <m:r>
                <m:t>β</m:t>
              </m:r>
            </m:e>
            <m:sub>
              <m:r>
                <m:t>3</m:t>
              </m:r>
            </m:sub>
          </m:sSub>
          <m:sSub>
            <m:e>
              <m:r>
                <m:t>M</m:t>
              </m:r>
            </m:e>
            <m:sub>
              <m:r>
                <m:t>i</m:t>
              </m:r>
            </m:sub>
          </m:sSub>
          <m:r>
            <m:rPr>
              <m:sty m:val="p"/>
            </m:rPr>
            <m:t>+</m:t>
          </m:r>
          <m:sSub>
            <m:e>
              <m:r>
                <m:t>ε</m:t>
              </m:r>
            </m:e>
            <m:sub>
              <m:r>
                <m:t>i</m:t>
              </m:r>
            </m:sub>
          </m:sSub>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5.5385</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15.2267</w:t>
            </w:r>
          </w:p>
        </w:tc>
        <w:tc>
          <w:tcPr>
            <w:tcW w:w="0" w:type="auto"/>
          </w:tcPr>
          <w:p>
            <w:pPr>
              <w:spacing w:line="240" w:lineRule="auto" w:before="0" w:after="0"/>
              <w:pStyle w:val="Compact"/>
            </w:pPr>
            <w:r>
              <w:rPr>
                <w:sz w:val="20"/>
                <w:szCs w:val="20"/>
              </w:rPr>
              <w:t xml:space="preserve">2.352e-52</w:t>
            </w:r>
          </w:p>
        </w:tc>
        <w:tc>
          <w:tcPr>
            <w:tcW w:w="0" w:type="auto"/>
          </w:tcPr>
          <w:p>
            <w:pPr>
              <w:spacing w:line="240" w:lineRule="auto" w:before="0" w:after="0"/>
              <w:pStyle w:val="Compact"/>
            </w:pPr>
            <w:r>
              <w:rPr>
                <w:sz w:val="20"/>
                <w:szCs w:val="20"/>
              </w:rPr>
              <w:t xml:space="preserve">[4.8256, 6.2514]</w:t>
            </w:r>
          </w:p>
        </w:tc>
      </w:tr>
      <w:tr>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-0.5298</w:t>
            </w:r>
          </w:p>
        </w:tc>
        <w:tc>
          <w:tcPr>
            <w:tcW w:w="0" w:type="auto"/>
          </w:tcPr>
          <w:p>
            <w:pPr>
              <w:spacing w:line="240" w:lineRule="auto" w:before="0" w:after="0"/>
              <w:pStyle w:val="Compact"/>
            </w:pPr>
            <w:r>
              <w:rPr>
                <w:sz w:val="20"/>
                <w:szCs w:val="20"/>
              </w:rPr>
              <w:t xml:space="preserve">0.1922</w:t>
            </w:r>
          </w:p>
        </w:tc>
        <w:tc>
          <w:tcPr>
            <w:tcW w:w="0" w:type="auto"/>
          </w:tcPr>
          <w:p>
            <w:pPr>
              <w:spacing w:line="240" w:lineRule="auto" w:before="0" w:after="0"/>
              <w:pStyle w:val="Compact"/>
            </w:pPr>
            <w:r>
              <w:rPr>
                <w:sz w:val="20"/>
                <w:szCs w:val="20"/>
              </w:rPr>
              <w:t xml:space="preserve">-2.756</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[-0.9066, -0.153]</w:t>
            </w:r>
          </w:p>
        </w:tc>
      </w:tr>
      <w:tr>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-1.0466</w:t>
            </w:r>
          </w:p>
        </w:tc>
        <w:tc>
          <w:tcPr>
            <w:tcW w:w="0" w:type="auto"/>
          </w:tcPr>
          <w:p>
            <w:pPr>
              <w:spacing w:line="240" w:lineRule="auto" w:before="0" w:after="0"/>
              <w:pStyle w:val="Compact"/>
            </w:pPr>
            <w:r>
              <w:rPr>
                <w:sz w:val="20"/>
                <w:szCs w:val="20"/>
              </w:rPr>
              <w:t xml:space="preserve">0.6447</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0.1045</w:t>
            </w:r>
          </w:p>
        </w:tc>
        <w:tc>
          <w:tcPr>
            <w:tcW w:w="0" w:type="auto"/>
          </w:tcPr>
          <w:p>
            <w:pPr>
              <w:spacing w:line="240" w:lineRule="auto" w:before="0" w:after="0"/>
              <w:pStyle w:val="Compact"/>
            </w:pPr>
            <w:r>
              <w:rPr>
                <w:sz w:val="20"/>
                <w:szCs w:val="20"/>
              </w:rPr>
              <w:t xml:space="preserve">[-2.3103, 0.2171]</w:t>
            </w:r>
          </w:p>
        </w:tc>
      </w:tr>
      <w:tr>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0.1161</w:t>
            </w:r>
          </w:p>
        </w:tc>
        <w:tc>
          <w:tcPr>
            <w:tcW w:w="0" w:type="auto"/>
          </w:tcPr>
          <w:p>
            <w:pPr>
              <w:spacing w:line="240" w:lineRule="auto" w:before="0" w:after="0"/>
              <w:pStyle w:val="Compact"/>
            </w:pPr>
            <w:r>
              <w:rPr>
                <w:sz w:val="20"/>
                <w:szCs w:val="20"/>
              </w:rPr>
              <w:t xml:space="preserve">-0.5268</w:t>
            </w:r>
          </w:p>
        </w:tc>
        <w:tc>
          <w:tcPr>
            <w:tcW w:w="0" w:type="auto"/>
          </w:tcPr>
          <w:p>
            <w:pPr>
              <w:spacing w:line="240" w:lineRule="auto" w:before="0" w:after="0"/>
              <w:pStyle w:val="Compact"/>
            </w:pPr>
            <w:r>
              <w:rPr>
                <w:sz w:val="20"/>
                <w:szCs w:val="20"/>
              </w:rPr>
              <w:t xml:space="preserve">0.5983</w:t>
            </w:r>
          </w:p>
        </w:tc>
        <w:tc>
          <w:tcPr>
            <w:tcW w:w="0" w:type="auto"/>
          </w:tcPr>
          <w:p>
            <w:pPr>
              <w:spacing w:line="240" w:lineRule="auto" w:before="0" w:after="0"/>
              <w:pStyle w:val="Compact"/>
            </w:pPr>
            <w:r>
              <w:rPr>
                <w:sz w:val="20"/>
                <w:szCs w:val="20"/>
              </w:rPr>
              <w:t xml:space="preserve">[-0.2888, 0.1664]</w:t>
            </w:r>
          </w:p>
        </w:tc>
      </w:tr>
    </w:tbl>
    <w:p>
      <w:pPr>
        <w:pStyle w:val="BodyText"/>
        <w:spacing w:line="480" w:lineRule="auto"/>
        <w:ind w:firstLine="720"/>
      </w:pPr>
      <w:r>
        <w:t xml:space="preserve">Fit: N = 18 R2 = 0.7792 R2_adj = 0.7319 F = 67.6762 F_p = 1.419e-08</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anding-ellipse semi-major axis versus pre-entry atmospheric-knowledge maturity across 18 documented atmospheric-entry missions." title="" id="187" name="Picture"/>
            <a:graphic>
              <a:graphicData uri="http://schemas.openxmlformats.org/drawingml/2006/picture">
                <pic:pic>
                  <pic:nvPicPr>
                    <pic:cNvPr descr="D:/Claude_Code/brain/collegium/candidates/dissertations/JPL_AUTONOMY_EDL_07/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Landing-ellipse semi-major axis versus pre-entry atmospheric-knowledge maturity across 18 documented atmospheric-entry missions.</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ellipse_semimajor_km</w:t>
            </w:r>
          </w:p>
        </w:tc>
        <w:tc>
          <w:tcPr>
            <w:tcW w:w="0" w:type="auto"/>
          </w:tcPr>
          <w:p>
            <w:pPr>
              <w:spacing w:line="240" w:lineRule="auto" w:before="0" w:after="0"/>
              <w:pStyle w:val="Compact"/>
            </w:pPr>
            <w:r>
              <w:rPr>
                <w:sz w:val="20"/>
                <w:szCs w:val="20"/>
              </w:rPr>
              <w:t xml:space="preserve">ln_ellipse</w:t>
            </w:r>
          </w:p>
        </w:tc>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entry_mass_kg</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Viking 3-sigma landing ellipse ~300x100 km, semi-major ~150 km; pre-MGS Viking-era atmosphere; ballistic unguided entry; entry mass ~992 kg. NASA Mars Exploration</w:t>
            </w:r>
            <w:r>
              <w:rPr>
                <w:sz w:val="20"/>
                <w:szCs w:val="20"/>
              </w:rPr>
              <w:t xml:space="preserve"> </w:t>
            </w:r>
            <w:r>
              <w:rPr>
                <w:sz w:val="20"/>
                <w:szCs w:val="20"/>
              </w:rPr>
              <w:t xml:space="preserve">“Landing Accuracy on Mars: A Historical Perspective”</w:t>
            </w:r>
            <w:r>
              <w:rPr>
                <w:sz w:val="20"/>
                <w:szCs w:val="20"/>
              </w:rPr>
              <w:t xml:space="preserve"> </w:t>
            </w:r>
            <w:r>
              <w:rPr>
                <w:sz w:val="20"/>
                <w:szCs w:val="20"/>
              </w:rPr>
              <w:t xml:space="preserve">https://mars.nasa.gov/resources/4398/ ; entry-mode and mass: Braun &amp; Manning,</w:t>
            </w:r>
            <w:r>
              <w:rPr>
                <w:sz w:val="20"/>
                <w:szCs w:val="20"/>
              </w:rPr>
              <w:t xml:space="preserve"> </w:t>
            </w:r>
            <w:r>
              <w:rPr>
                <w:sz w:val="20"/>
                <w:szCs w:val="20"/>
              </w:rPr>
              <w:t xml:space="preserve">“Mars Exploration Entry, Descent and Landing Challenges,”</w:t>
            </w:r>
            <w:r>
              <w:rPr>
                <w:sz w:val="20"/>
                <w:szCs w:val="20"/>
              </w:rPr>
              <w:t xml:space="preserve"> </w:t>
            </w:r>
            <w:r>
              <w:rPr>
                <w:sz w:val="20"/>
                <w:szCs w:val="20"/>
              </w:rPr>
              <w:t xml:space="preserve">J. Spacecraft &amp; Rockets 44(2) 2007 doi:10.2514/1.25116</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Viking 2 same EDL system as Viking 1: 3-sigma ellipse ~300x100 km, semi-major ~150 km; ballistic unguided; entry mass ~992 kg. NASA Mars</w:t>
            </w:r>
            <w:r>
              <w:rPr>
                <w:sz w:val="20"/>
                <w:szCs w:val="20"/>
              </w:rPr>
              <w:t xml:space="preserve"> </w:t>
            </w:r>
            <w:r>
              <w:rPr>
                <w:sz w:val="20"/>
                <w:szCs w:val="20"/>
              </w:rPr>
              <w:t xml:space="preserve">“Landing Accuracy”</w:t>
            </w:r>
            <w:r>
              <w:rPr>
                <w:sz w:val="20"/>
                <w:szCs w:val="20"/>
              </w:rPr>
              <w:t xml:space="preserve"> </w:t>
            </w:r>
            <w:r>
              <w:rPr>
                <w:sz w:val="20"/>
                <w:szCs w:val="20"/>
              </w:rPr>
              <w:t xml:space="preserve">https://mars.nasa.gov/resources/4398/ ; Braun &amp; Manning J. Spacecraft &amp; Rockets 44(2) 2007 doi:10.2514/1.25116</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0.584</w:t>
            </w:r>
          </w:p>
        </w:tc>
        <w:tc>
          <w:tcPr>
            <w:tcW w:w="0" w:type="auto"/>
          </w:tcPr>
          <w:p>
            <w:pPr>
              <w:spacing w:line="240" w:lineRule="auto" w:before="0" w:after="0"/>
              <w:pStyle w:val="Compact"/>
            </w:pPr>
            <w:r>
              <w:rPr>
                <w:sz w:val="20"/>
                <w:szCs w:val="20"/>
              </w:rPr>
              <w:t xml:space="preserve">Mars Pathfinder ballistic entry, ~200x100 km landing ellipse, semi-major ~100 km; entry mass 584 kg. NASA JPL</w:t>
            </w:r>
            <w:r>
              <w:rPr>
                <w:sz w:val="20"/>
                <w:szCs w:val="20"/>
              </w:rPr>
              <w:t xml:space="preserve"> </w:t>
            </w:r>
            <w:r>
              <w:rPr>
                <w:sz w:val="20"/>
                <w:szCs w:val="20"/>
              </w:rPr>
              <w:t xml:space="preserve">“Mars Pathfinder Landing Ellipses”</w:t>
            </w:r>
            <w:r>
              <w:rPr>
                <w:sz w:val="20"/>
                <w:szCs w:val="20"/>
              </w:rPr>
              <w:t xml:space="preserve"> </w:t>
            </w:r>
            <w:r>
              <w:rPr>
                <w:sz w:val="20"/>
                <w:szCs w:val="20"/>
              </w:rPr>
              <w:t xml:space="preserve">https://www.jpl.nasa.gov/images/pia01123-mars-pathfinder-landing-ellipses/ ; Spencer et al.,</w:t>
            </w:r>
            <w:r>
              <w:rPr>
                <w:sz w:val="20"/>
                <w:szCs w:val="20"/>
              </w:rPr>
              <w:t xml:space="preserve"> </w:t>
            </w:r>
            <w:r>
              <w:rPr>
                <w:sz w:val="20"/>
                <w:szCs w:val="20"/>
              </w:rPr>
              <w:t xml:space="preserve">“Mars Pathfinder Atmospheric Entry Reconstruction,”</w:t>
            </w:r>
            <w:r>
              <w:rPr>
                <w:sz w:val="20"/>
                <w:szCs w:val="20"/>
              </w:rPr>
              <w:t xml:space="preserve"> </w:t>
            </w:r>
            <w:r>
              <w:rPr>
                <w:sz w:val="20"/>
                <w:szCs w:val="20"/>
              </w:rPr>
              <w:t xml:space="preserve">J. Spacecraft &amp; Rockets 36(3) 1999 doi:10.2514/2.3478</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0.576</w:t>
            </w:r>
          </w:p>
        </w:tc>
        <w:tc>
          <w:tcPr>
            <w:tcW w:w="0" w:type="auto"/>
          </w:tcPr>
          <w:p>
            <w:pPr>
              <w:spacing w:line="240" w:lineRule="auto" w:before="0" w:after="0"/>
              <w:pStyle w:val="Compact"/>
            </w:pPr>
            <w:r>
              <w:rPr>
                <w:sz w:val="20"/>
                <w:szCs w:val="20"/>
              </w:rPr>
              <w:t xml:space="preserve">Mars Polar Lander ballistic entry, planned landing ellipse ~200x20 km, semi-major ~100 km; entry mass 576 kg; pre-MRO atmosphere. JPL MPL mission press materials; entry-mode and mass classification: Braun &amp; Manning, J. Spacecraft &amp; Rockets 44(2) 2007 doi:10.2514/1.25116</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4.4659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0.068</w:t>
            </w:r>
          </w:p>
        </w:tc>
        <w:tc>
          <w:tcPr>
            <w:tcW w:w="0" w:type="auto"/>
          </w:tcPr>
          <w:p>
            <w:pPr>
              <w:spacing w:line="240" w:lineRule="auto" w:before="0" w:after="0"/>
              <w:pStyle w:val="Compact"/>
            </w:pPr>
            <w:r>
              <w:rPr>
                <w:sz w:val="20"/>
                <w:szCs w:val="20"/>
              </w:rPr>
              <w:t xml:space="preserve">Beagle 2 ballistic entry, launch landing ellipse 174x106 km, semi-major 87 km; entry mass 68 kg; pre-assimilation atmosphere. Sims et al.,</w:t>
            </w:r>
            <w:r>
              <w:rPr>
                <w:sz w:val="20"/>
                <w:szCs w:val="20"/>
              </w:rPr>
              <w:t xml:space="preserve"> </w:t>
            </w:r>
            <w:r>
              <w:rPr>
                <w:sz w:val="20"/>
                <w:szCs w:val="20"/>
              </w:rPr>
              <w:t xml:space="preserve">“Beagle 2: the exobiological lander of Mars Express,”</w:t>
            </w:r>
            <w:r>
              <w:rPr>
                <w:sz w:val="20"/>
                <w:szCs w:val="20"/>
              </w:rPr>
              <w:t xml:space="preserve"> </w:t>
            </w:r>
            <w:r>
              <w:rPr>
                <w:sz w:val="20"/>
                <w:szCs w:val="20"/>
              </w:rPr>
              <w:t xml:space="preserve">Acta Astronautica 52 (2003) doi:10.1016/S0094-5765(02)00171-2 ; ellipse: Bridges et al.,</w:t>
            </w:r>
            <w:r>
              <w:rPr>
                <w:sz w:val="20"/>
                <w:szCs w:val="20"/>
              </w:rPr>
              <w:t xml:space="preserve"> </w:t>
            </w:r>
            <w:r>
              <w:rPr>
                <w:sz w:val="20"/>
                <w:szCs w:val="20"/>
              </w:rPr>
              <w:t xml:space="preserve">“Identification of the Beagle 2 lander on Mars,”</w:t>
            </w:r>
            <w:r>
              <w:rPr>
                <w:sz w:val="20"/>
                <w:szCs w:val="20"/>
              </w:rPr>
              <w:t xml:space="preserve"> </w:t>
            </w:r>
            <w:r>
              <w:rPr>
                <w:sz w:val="20"/>
                <w:szCs w:val="20"/>
              </w:rPr>
              <w:t xml:space="preserve">R. Soc. Open Sci. 4 (2017) doi:10.1098/rsos.170785</w:t>
            </w:r>
          </w:p>
        </w:tc>
      </w:tr>
      <w:tr>
        <w:tc>
          <w:tcPr>
            <w:tcW w:w="0" w:type="auto"/>
          </w:tcPr>
          <w:p>
            <w:pPr>
              <w:spacing w:line="240" w:lineRule="auto" w:before="0" w:after="0"/>
              <w:pStyle w:val="Compact"/>
            </w:pPr>
            <w:r>
              <w:rPr>
                <w:sz w:val="20"/>
                <w:szCs w:val="20"/>
              </w:rPr>
              <w:t xml:space="preserve">Spirit (MER-A)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0.827</w:t>
            </w:r>
          </w:p>
        </w:tc>
        <w:tc>
          <w:tcPr>
            <w:tcW w:w="0" w:type="auto"/>
          </w:tcPr>
          <w:p>
            <w:pPr>
              <w:spacing w:line="240" w:lineRule="auto" w:before="0" w:after="0"/>
              <w:pStyle w:val="Compact"/>
            </w:pPr>
            <w:r>
              <w:rPr>
                <w:sz w:val="20"/>
                <w:szCs w:val="20"/>
              </w:rPr>
              <w:t xml:space="preserve">MER landing ellipse ~80x12 km (3-sigma), semi-major ~40 km; ballistic entry with terminal-descent guidance; entry mass 827 kg; MGS/Odyssey density reconstruction. Golombek et al.,</w:t>
            </w:r>
            <w:r>
              <w:rPr>
                <w:sz w:val="20"/>
                <w:szCs w:val="20"/>
              </w:rPr>
              <w:t xml:space="preserve"> </w:t>
            </w:r>
            <w:r>
              <w:rPr>
                <w:sz w:val="20"/>
                <w:szCs w:val="20"/>
              </w:rPr>
              <w:t xml:space="preserve">“Selection of the Mars Exploration Rover landing sites,”</w:t>
            </w:r>
            <w:r>
              <w:rPr>
                <w:sz w:val="20"/>
                <w:szCs w:val="20"/>
              </w:rPr>
              <w:t xml:space="preserve"> </w:t>
            </w:r>
            <w:r>
              <w:rPr>
                <w:sz w:val="20"/>
                <w:szCs w:val="20"/>
              </w:rPr>
              <w:t xml:space="preserve">JGR Planets 108(E12) 2003 doi:10.1029/2003JE002074 ; Braun &amp; Manning 2007 doi:10.2514/1.25116</w:t>
            </w:r>
          </w:p>
        </w:tc>
      </w:tr>
      <w:tr>
        <w:tc>
          <w:tcPr>
            <w:tcW w:w="0" w:type="auto"/>
          </w:tcPr>
          <w:p>
            <w:pPr>
              <w:spacing w:line="240" w:lineRule="auto" w:before="0" w:after="0"/>
              <w:pStyle w:val="Compact"/>
            </w:pPr>
            <w:r>
              <w:rPr>
                <w:sz w:val="20"/>
                <w:szCs w:val="20"/>
              </w:rPr>
              <w:t xml:space="preserve">Opportunity (MER-B)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0.832</w:t>
            </w:r>
          </w:p>
        </w:tc>
        <w:tc>
          <w:tcPr>
            <w:tcW w:w="0" w:type="auto"/>
          </w:tcPr>
          <w:p>
            <w:pPr>
              <w:spacing w:line="240" w:lineRule="auto" w:before="0" w:after="0"/>
              <w:pStyle w:val="Compact"/>
            </w:pPr>
            <w:r>
              <w:rPr>
                <w:sz w:val="20"/>
                <w:szCs w:val="20"/>
              </w:rPr>
              <w:t xml:space="preserve">MER-B landing ellipse ~80x12 km (3-sigma), semi-major ~40 km; ballistic entry; entry mass 832 kg; MGS/Odyssey-era atmosphere. Golombek et al., JGR Planets 108(E12) 2003 doi:10.1029/2003JE002074 ; Braun &amp; Manning 2007 doi:10.2514/1.25116</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0.573</w:t>
            </w:r>
          </w:p>
        </w:tc>
        <w:tc>
          <w:tcPr>
            <w:tcW w:w="0" w:type="auto"/>
          </w:tcPr>
          <w:p>
            <w:pPr>
              <w:spacing w:line="240" w:lineRule="auto" w:before="0" w:after="0"/>
              <w:pStyle w:val="Compact"/>
            </w:pPr>
            <w:r>
              <w:rPr>
                <w:sz w:val="20"/>
                <w:szCs w:val="20"/>
              </w:rPr>
              <w:t xml:space="preserve">Phoenix unguided ballistic entry, landing ellipse ~100x19 km, semi-major ~50 km; entry mass 573 kg; reconnaissance-orbiter-era atmosphere. NASA Mars</w:t>
            </w:r>
            <w:r>
              <w:rPr>
                <w:sz w:val="20"/>
                <w:szCs w:val="20"/>
              </w:rPr>
              <w:t xml:space="preserve"> </w:t>
            </w:r>
            <w:r>
              <w:rPr>
                <w:sz w:val="20"/>
                <w:szCs w:val="20"/>
              </w:rPr>
              <w:t xml:space="preserve">“Landing Accuracy”</w:t>
            </w:r>
            <w:r>
              <w:rPr>
                <w:sz w:val="20"/>
                <w:szCs w:val="20"/>
              </w:rPr>
              <w:t xml:space="preserve"> </w:t>
            </w:r>
            <w:r>
              <w:rPr>
                <w:sz w:val="20"/>
                <w:szCs w:val="20"/>
              </w:rPr>
              <w:t xml:space="preserve">https://mars.nasa.gov/resources/4398/ ; Lakdawalla,</w:t>
            </w:r>
            <w:r>
              <w:rPr>
                <w:sz w:val="20"/>
                <w:szCs w:val="20"/>
              </w:rPr>
              <w:t xml:space="preserve"> </w:t>
            </w:r>
            <w:r>
              <w:rPr>
                <w:sz w:val="20"/>
                <w:szCs w:val="20"/>
              </w:rPr>
              <w:t xml:space="preserve">“Landing ellipses,”</w:t>
            </w:r>
            <w:r>
              <w:rPr>
                <w:sz w:val="20"/>
                <w:szCs w:val="20"/>
              </w:rPr>
              <w:t xml:space="preserve"> </w:t>
            </w:r>
            <w:r>
              <w:rPr>
                <w:sz w:val="20"/>
                <w:szCs w:val="20"/>
              </w:rPr>
              <w:t xml:space="preserve">Planetary Society 2008-05-13 https://www.planetary.org/articles/1425 ; Prince et al.,</w:t>
            </w:r>
            <w:r>
              <w:rPr>
                <w:sz w:val="20"/>
                <w:szCs w:val="20"/>
              </w:rPr>
              <w:t xml:space="preserve"> </w:t>
            </w:r>
            <w:r>
              <w:rPr>
                <w:sz w:val="20"/>
                <w:szCs w:val="20"/>
              </w:rPr>
              <w:t xml:space="preserve">“Mars Phoenix EDL Simulation,”</w:t>
            </w:r>
            <w:r>
              <w:rPr>
                <w:sz w:val="20"/>
                <w:szCs w:val="20"/>
              </w:rPr>
              <w:t xml:space="preserve"> </w:t>
            </w:r>
            <w:r>
              <w:rPr>
                <w:sz w:val="20"/>
                <w:szCs w:val="20"/>
              </w:rPr>
              <w:t xml:space="preserve">AIAA 2008-7507 NTRS 20080033126</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3.257</w:t>
            </w:r>
          </w:p>
        </w:tc>
        <w:tc>
          <w:tcPr>
            <w:tcW w:w="0" w:type="auto"/>
          </w:tcPr>
          <w:p>
            <w:pPr>
              <w:spacing w:line="240" w:lineRule="auto" w:before="0" w:after="0"/>
              <w:pStyle w:val="Compact"/>
            </w:pPr>
            <w:r>
              <w:rPr>
                <w:sz w:val="20"/>
                <w:szCs w:val="20"/>
              </w:rPr>
              <w:t xml:space="preserve">MSL guided entry (range trigger + lifting bank control), landing ellipse ~20x7 km, semi-major ~10 km; entry mass 3257 kg; MRO/assimilation-era atmosphere. Way et al.,</w:t>
            </w:r>
            <w:r>
              <w:rPr>
                <w:sz w:val="20"/>
                <w:szCs w:val="20"/>
              </w:rPr>
              <w:t xml:space="preserve"> </w:t>
            </w:r>
            <w:r>
              <w:rPr>
                <w:sz w:val="20"/>
                <w:szCs w:val="20"/>
              </w:rPr>
              <w:t xml:space="preserve">“Mars Science Laboratory EDL System Overview,”</w:t>
            </w:r>
            <w:r>
              <w:rPr>
                <w:sz w:val="20"/>
                <w:szCs w:val="20"/>
              </w:rPr>
              <w:t xml:space="preserve"> </w:t>
            </w:r>
            <w:r>
              <w:rPr>
                <w:sz w:val="20"/>
                <w:szCs w:val="20"/>
              </w:rPr>
              <w:t xml:space="preserve">NTRS 20100031289 ; Mendeck &amp; McGrew MSL entry guidance</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0.577</w:t>
            </w:r>
          </w:p>
        </w:tc>
        <w:tc>
          <w:tcPr>
            <w:tcW w:w="0" w:type="auto"/>
          </w:tcPr>
          <w:p>
            <w:pPr>
              <w:spacing w:line="240" w:lineRule="auto" w:before="0" w:after="0"/>
              <w:pStyle w:val="Compact"/>
            </w:pPr>
            <w:r>
              <w:rPr>
                <w:sz w:val="20"/>
                <w:szCs w:val="20"/>
              </w:rPr>
              <w:t xml:space="preserve">ExoMars Schiaparelli EDM ballistic entry, landing ellipse 100x15 km, semi-major 50 km; entry mass ~577 kg; MRO-era atmosphere. ESA</w:t>
            </w:r>
            <w:r>
              <w:rPr>
                <w:sz w:val="20"/>
                <w:szCs w:val="20"/>
              </w:rPr>
              <w:t xml:space="preserve"> </w:t>
            </w:r>
            <w:r>
              <w:rPr>
                <w:sz w:val="20"/>
                <w:szCs w:val="20"/>
              </w:rPr>
              <w:t xml:space="preserve">“Schiaparelli landing site”</w:t>
            </w:r>
            <w:r>
              <w:rPr>
                <w:sz w:val="20"/>
                <w:szCs w:val="20"/>
              </w:rPr>
              <w:t xml:space="preserve"> </w:t>
            </w:r>
            <w:r>
              <w:rPr>
                <w:sz w:val="20"/>
                <w:szCs w:val="20"/>
              </w:rPr>
              <w:t xml:space="preserve">https://exploration.esa.int/web/mars/-/58481-schiaparelli-landing-site ; entry mass per ESA ExoMars 2016 EDM factsheet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0.608</w:t>
            </w:r>
          </w:p>
        </w:tc>
        <w:tc>
          <w:tcPr>
            <w:tcW w:w="0" w:type="auto"/>
          </w:tcPr>
          <w:p>
            <w:pPr>
              <w:spacing w:line="240" w:lineRule="auto" w:before="0" w:after="0"/>
              <w:pStyle w:val="Compact"/>
            </w:pPr>
            <w:r>
              <w:rPr>
                <w:sz w:val="20"/>
                <w:szCs w:val="20"/>
              </w:rPr>
              <w:t xml:space="preserve">InSight reused Phoenix ballistic EDL: landing ellipse ~130x27 km, semi-major ~65 km; entry mass 608 kg; MRO/assimilation-era atmosphere but unguided ballistic entry. NASA</w:t>
            </w:r>
            <w:r>
              <w:rPr>
                <w:sz w:val="20"/>
                <w:szCs w:val="20"/>
              </w:rPr>
              <w:t xml:space="preserve"> </w:t>
            </w:r>
            <w:r>
              <w:rPr>
                <w:sz w:val="20"/>
                <w:szCs w:val="20"/>
              </w:rPr>
              <w:t xml:space="preserve">“Landing Site for InSight”</w:t>
            </w:r>
            <w:r>
              <w:rPr>
                <w:sz w:val="20"/>
                <w:szCs w:val="20"/>
              </w:rPr>
              <w:t xml:space="preserve"> </w:t>
            </w:r>
            <w:r>
              <w:rPr>
                <w:sz w:val="20"/>
                <w:szCs w:val="20"/>
              </w:rPr>
              <w:t xml:space="preserve">https://science.nasa.gov/resource/landing-site-for-insight/ ; Golombek et al.,</w:t>
            </w:r>
            <w:r>
              <w:rPr>
                <w:sz w:val="20"/>
                <w:szCs w:val="20"/>
              </w:rPr>
              <w:t xml:space="preserve"> </w:t>
            </w:r>
            <w:r>
              <w:rPr>
                <w:sz w:val="20"/>
                <w:szCs w:val="20"/>
              </w:rPr>
              <w:t xml:space="preserve">“Selection of the InSight landing site,”</w:t>
            </w:r>
            <w:r>
              <w:rPr>
                <w:sz w:val="20"/>
                <w:szCs w:val="20"/>
              </w:rPr>
              <w:t xml:space="preserve"> </w:t>
            </w:r>
            <w:r>
              <w:rPr>
                <w:sz w:val="20"/>
                <w:szCs w:val="20"/>
              </w:rPr>
              <w:t xml:space="preserve">Space Sci. Rev. 211 (2017) doi:10.1007/s11214-016-0321-9</w:t>
            </w:r>
          </w:p>
        </w:tc>
      </w:tr>
      <w:tr>
        <w:tc>
          <w:tcPr>
            <w:tcW w:w="0" w:type="auto"/>
          </w:tcPr>
          <w:p>
            <w:pPr>
              <w:spacing w:line="240" w:lineRule="auto" w:before="0" w:after="0"/>
              <w:pStyle w:val="Compact"/>
            </w:pPr>
            <w:r>
              <w:rPr>
                <w:sz w:val="20"/>
                <w:szCs w:val="20"/>
              </w:rPr>
              <w:t xml:space="preserve">Tianwen-1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Tianwen-1 lander lifting+ballistic entry, optimized landing ellipse 56x22 km, semi-major 28 km; entry mass ~1285 kg; modern reconstruction-era atmosphere. Wu et al.,</w:t>
            </w:r>
            <w:r>
              <w:rPr>
                <w:sz w:val="20"/>
                <w:szCs w:val="20"/>
              </w:rPr>
              <w:t xml:space="preserve"> </w:t>
            </w:r>
            <w:r>
              <w:rPr>
                <w:sz w:val="20"/>
                <w:szCs w:val="20"/>
              </w:rPr>
              <w:t xml:space="preserve">“Landing Site Selection and Characterization of Tianwen-1 (Zhurong Rover) on Mars,”</w:t>
            </w:r>
            <w:r>
              <w:rPr>
                <w:sz w:val="20"/>
                <w:szCs w:val="20"/>
              </w:rPr>
              <w:t xml:space="preserve"> </w:t>
            </w:r>
            <w:r>
              <w:rPr>
                <w:sz w:val="20"/>
                <w:szCs w:val="20"/>
              </w:rPr>
              <w:t xml:space="preserve">JGR Planets 127 (2022) doi:10.1029/2021JE007137 ; mass: Wan et al., Nature Astronomy 4 (2020) doi:10.1038/s41550-020-1148-6</w:t>
            </w:r>
          </w:p>
        </w:tc>
      </w:tr>
      <w:tr>
        <w:tc>
          <w:tcPr>
            <w:tcW w:w="0" w:type="auto"/>
          </w:tcPr>
          <w:p>
            <w:pPr>
              <w:spacing w:line="240" w:lineRule="auto" w:before="0" w:after="0"/>
              <w:pStyle w:val="Compact"/>
            </w:pPr>
            <w:r>
              <w:rPr>
                <w:sz w:val="20"/>
                <w:szCs w:val="20"/>
              </w:rPr>
              <w:t xml:space="preserve">Perseverance (Mars 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1.3481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3440</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Mars 2020 guided entry + Range Trigger, landing ellipse 7.7x6.6 km, semi-major ~3.85 km; entry mass ~3440 kg; assimilation-era atmosphere + best reconstruction. Mars 2020 Landing Press Kit https://www.jpl.nasa.gov/news/press_kits/mars_2020/landing/mission/ ; Garcia &amp; Way, range-trigger trajectory dispersion NTRS 20170000743</w:t>
            </w:r>
          </w:p>
        </w:tc>
      </w:tr>
      <w:tr>
        <w:tc>
          <w:tcPr>
            <w:tcW w:w="0" w:type="auto"/>
          </w:tcPr>
          <w:p>
            <w:pPr>
              <w:spacing w:line="240" w:lineRule="auto" w:before="0" w:after="0"/>
              <w:pStyle w:val="Compact"/>
            </w:pPr>
            <w:r>
              <w:rPr>
                <w:sz w:val="20"/>
                <w:szCs w:val="20"/>
              </w:rPr>
              <w:t xml:space="preserve">Apollo CM (lunar return)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5.56</w:t>
            </w:r>
          </w:p>
        </w:tc>
        <w:tc>
          <w:tcPr>
            <w:tcW w:w="0" w:type="auto"/>
          </w:tcPr>
          <w:p>
            <w:pPr>
              <w:spacing w:line="240" w:lineRule="auto" w:before="0" w:after="0"/>
              <w:pStyle w:val="Compact"/>
            </w:pPr>
            <w:r>
              <w:rPr>
                <w:sz w:val="20"/>
                <w:szCs w:val="20"/>
              </w:rPr>
              <w:t xml:space="preserve">Apollo command module guided lifting Earth reentry from lunar return; reentry error ellipse ~3.25x2.75 nmi at main-chute, semi-major ~6 km; entry mass ~5560 kg; well-characterized Earth atmosphere. Apollo CSM reentry guidance R-415 https://www.ibiblio.org/apollo/Documents/R-415%20Apollo%20Reentry%20Guidance.pdf ; Morth, Apollo reentry guidance MIT/IL R-532</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0.225</w:t>
            </w:r>
          </w:p>
        </w:tc>
        <w:tc>
          <w:tcPr>
            <w:tcW w:w="0" w:type="auto"/>
          </w:tcPr>
          <w:p>
            <w:pPr>
              <w:spacing w:line="240" w:lineRule="auto" w:before="0" w:after="0"/>
              <w:pStyle w:val="Compact"/>
            </w:pPr>
            <w:r>
              <w:rPr>
                <w:sz w:val="20"/>
                <w:szCs w:val="20"/>
              </w:rPr>
              <w:t xml:space="preserve">Genesis sample-return capsule guided-lifting Earth reentry; UTTR landing ellipse ~30x10 km, semi-major ~5 km; entry mass ~225 kg; well-characterized Earth atmosphere. Desai et al.,</w:t>
            </w:r>
            <w:r>
              <w:rPr>
                <w:sz w:val="20"/>
                <w:szCs w:val="20"/>
              </w:rPr>
              <w:t xml:space="preserve"> </w:t>
            </w:r>
            <w:r>
              <w:rPr>
                <w:sz w:val="20"/>
                <w:szCs w:val="20"/>
              </w:rPr>
              <w:t xml:space="preserve">“Entry, Descent, and Landing Operations Analysis for the Genesis Entry Capsule,”</w:t>
            </w:r>
            <w:r>
              <w:rPr>
                <w:sz w:val="20"/>
                <w:szCs w:val="20"/>
              </w:rPr>
              <w:t xml:space="preserve"> </w:t>
            </w:r>
            <w:r>
              <w:rPr>
                <w:sz w:val="20"/>
                <w:szCs w:val="20"/>
              </w:rPr>
              <w:t xml:space="preserve">J. Spacecraft &amp; Rockets 45(1) 2008 doi:10.2514/1.31165</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Stardust sample-return capsule lifting Earth reentry, landed within UTTR ellipse ~30x10 km, semi-major ~5 km; entry mass ~46 kg; well-characterized Earth atmosphere. Desai &amp; Lyons,</w:t>
            </w:r>
            <w:r>
              <w:rPr>
                <w:sz w:val="20"/>
                <w:szCs w:val="20"/>
              </w:rPr>
              <w:t xml:space="preserve"> </w:t>
            </w:r>
            <w:r>
              <w:rPr>
                <w:sz w:val="20"/>
                <w:szCs w:val="20"/>
              </w:rPr>
              <w:t xml:space="preserve">“Entry, Descent, and Landing Operations Analysis for the Stardust Entry Capsule,”</w:t>
            </w:r>
            <w:r>
              <w:rPr>
                <w:sz w:val="20"/>
                <w:szCs w:val="20"/>
              </w:rPr>
              <w:t xml:space="preserve"> </w:t>
            </w:r>
            <w:r>
              <w:rPr>
                <w:sz w:val="20"/>
                <w:szCs w:val="20"/>
              </w:rPr>
              <w:t xml:space="preserve">J. Spacecraft &amp; Rockets 45(3) 2008 doi:10.2514/1.37090</w:t>
            </w:r>
          </w:p>
        </w:tc>
      </w:tr>
      <w:tr>
        <w:tc>
          <w:tcPr>
            <w:tcW w:w="0" w:type="auto"/>
          </w:tcPr>
          <w:p>
            <w:pPr>
              <w:spacing w:line="240" w:lineRule="auto" w:before="0" w:after="0"/>
              <w:pStyle w:val="Compact"/>
            </w:pPr>
            <w:r>
              <w:rPr>
                <w:sz w:val="20"/>
                <w:szCs w:val="20"/>
              </w:rPr>
              <w:t xml:space="preserve">Hayabusa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Hayabusa reentry capsule ballistic Earth entry, landed within planned Woomera (Australia) recovery footprint, semi-major ~8 km [illustrative from reported footprint]; entry mass ~17 kg; well-characterized Earth atmosphere. Yamada et al., Hayabusa capsule reentry, JAXA/ISTS reports; Hayabusa capsule heritage Acta Astronautica</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OSIRIS-REx sample return capsule guided ballistic-lifting Earth reentry, landed within UTTR ellipse 58x14 km, semi-major ~15 km; entry mass ~46 kg; modern Earth atmosphere. NASA OSIRIS-REx SRC reports; Eos</w:t>
            </w:r>
            <w:r>
              <w:rPr>
                <w:sz w:val="20"/>
                <w:szCs w:val="20"/>
              </w:rPr>
              <w:t xml:space="preserve"> </w:t>
            </w:r>
            <w:r>
              <w:rPr>
                <w:sz w:val="20"/>
                <w:szCs w:val="20"/>
              </w:rPr>
              <w:t xml:space="preserve">“There and Back Again”</w:t>
            </w:r>
            <w:r>
              <w:rPr>
                <w:sz w:val="20"/>
                <w:szCs w:val="20"/>
              </w:rPr>
              <w:t xml:space="preserve"> </w:t>
            </w:r>
            <w:r>
              <w:rPr>
                <w:sz w:val="20"/>
                <w:szCs w:val="20"/>
              </w:rPr>
              <w:t xml:space="preserve">https://eos.org/articles/there-and-back-again-asteroid-samples-return-to-earth</w:t>
            </w:r>
          </w:p>
        </w:tc>
      </w:tr>
    </w:tbl>
    <w:bookmarkEnd w:id="190"/>
    <w:bookmarkStart w:id="19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ln_ellipse</w:t>
            </w:r>
          </w:p>
        </w:tc>
        <w:tc>
          <w:tcPr>
            <w:tcW w:w="0" w:type="auto"/>
          </w:tcPr>
          <w:p>
            <w:pPr>
              <w:spacing w:line="240" w:lineRule="auto" w:before="0" w:after="0"/>
              <w:pStyle w:val="Compact"/>
            </w:pPr>
            <w:r>
              <w:rPr>
                <w:sz w:val="20"/>
                <w:szCs w:val="20"/>
              </w:rPr>
              <w:t xml:space="preserve">Natural log of the landing-ellipse semi-major axis in km; the dependent variable D, a scalar summary of landed-state dispersion</w:t>
            </w:r>
          </w:p>
        </w:tc>
        <w:tc>
          <w:tcPr>
            <w:tcW w:w="0" w:type="auto"/>
          </w:tcPr>
          <w:p>
            <w:pPr>
              <w:spacing w:line="240" w:lineRule="auto" w:before="0" w:after="0"/>
              <w:pStyle w:val="Compact"/>
            </w:pPr>
            <w:r>
              <w:rPr>
                <w:sz w:val="20"/>
                <w:szCs w:val="20"/>
              </w:rPr>
              <w:t xml:space="preserve">ln of ellipse_semimajor_km; documented per-mission landing-ellipse dimensions (see row sources)</w:t>
            </w:r>
          </w:p>
        </w:tc>
      </w:tr>
      <w:tr>
        <w:tc>
          <w:tcPr>
            <w:tcW w:w="0" w:type="auto"/>
          </w:tcPr>
          <w:p>
            <w:pPr>
              <w:spacing w:line="240" w:lineRule="auto" w:before="0" w:after="0"/>
              <w:pStyle w:val="Compact"/>
            </w:pPr>
            <w:r>
              <w:rPr>
                <w:sz w:val="20"/>
                <w:szCs w:val="20"/>
              </w:rPr>
              <w:t xml:space="preserve">ellipse_semimajor_km</w:t>
            </w:r>
          </w:p>
        </w:tc>
        <w:tc>
          <w:tcPr>
            <w:tcW w:w="0" w:type="auto"/>
          </w:tcPr>
          <w:p>
            <w:pPr>
              <w:spacing w:line="240" w:lineRule="auto" w:before="0" w:after="0"/>
              <w:pStyle w:val="Compact"/>
            </w:pPr>
            <w:r>
              <w:rPr>
                <w:sz w:val="20"/>
                <w:szCs w:val="20"/>
              </w:rPr>
              <w:t xml:space="preserve">Landing-ellipse semi-major axis in km (half the major axis of the reported 3-sigma/99% landing ellipse)</w:t>
            </w:r>
          </w:p>
        </w:tc>
        <w:tc>
          <w:tcPr>
            <w:tcW w:w="0" w:type="auto"/>
          </w:tcPr>
          <w:p>
            <w:pPr>
              <w:spacing w:line="240" w:lineRule="auto" w:before="0" w:after="0"/>
              <w:pStyle w:val="Compact"/>
            </w:pPr>
            <w:r>
              <w:rPr>
                <w:sz w:val="20"/>
                <w:szCs w:val="20"/>
              </w:rPr>
              <w:t xml:space="preserve">Per-mission press kits, NASA/ESA/JAXA landing-site papers, and EDL reconstruction reports cited in each row’s source field</w:t>
            </w:r>
          </w:p>
        </w:tc>
      </w:tr>
      <w:tr>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Ordinal index of pre-entry atmospheric-knowledge maturity at the time of the mission (1=Viking-era a priori only; 2=Pathfinder/MPL pre-reconnaissance; 3=MGS/Odyssey density reconstruction; 4=MRO/assimilation era; 5=assimilation plus best per-mission reconstruction / well-characterized terrestrial atmosphere with modern recon)</w:t>
            </w:r>
          </w:p>
        </w:tc>
        <w:tc>
          <w:tcPr>
            <w:tcW w:w="0" w:type="auto"/>
          </w:tcPr>
          <w:p>
            <w:pPr>
              <w:spacing w:line="240" w:lineRule="auto" w:before="0" w:after="0"/>
              <w:pStyle w:val="Compact"/>
            </w:pPr>
            <w:r>
              <w:rPr>
                <w:sz w:val="20"/>
                <w:szCs w:val="20"/>
              </w:rPr>
              <w:t xml:space="preserve">Coded from documented atmospheric-model heritage per mission; Mutschler et al. 2023 AMOS density-model survey [1] and mission-era reconstruction practice</w:t>
            </w:r>
          </w:p>
        </w:tc>
      </w:tr>
      <w:tr>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1 if the vehicle flew a controllable (guided / lifting-bank or range-trigger) entry; 0 if ballistic / unguided</w:t>
            </w:r>
          </w:p>
        </w:tc>
        <w:tc>
          <w:tcPr>
            <w:tcW w:w="0" w:type="auto"/>
          </w:tcPr>
          <w:p>
            <w:pPr>
              <w:spacing w:line="240" w:lineRule="auto" w:before="0" w:after="0"/>
              <w:pStyle w:val="Compact"/>
            </w:pPr>
            <w:r>
              <w:rPr>
                <w:sz w:val="20"/>
                <w:szCs w:val="20"/>
              </w:rPr>
              <w:t xml:space="preserve">Per-mission EDL architecture; Braun and Manning 2007 J. Spacecraft and Rockets EDL-challenges classification [4]</w:t>
            </w:r>
          </w:p>
        </w:tc>
      </w:tr>
      <w:tr>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Entry mass in metric tonnes (control for vehicle scale / ballistic coefficient)</w:t>
            </w:r>
          </w:p>
        </w:tc>
        <w:tc>
          <w:tcPr>
            <w:tcW w:w="0" w:type="auto"/>
          </w:tcPr>
          <w:p>
            <w:pPr>
              <w:spacing w:line="240" w:lineRule="auto" w:before="0" w:after="0"/>
              <w:pStyle w:val="Compact"/>
            </w:pPr>
            <w:r>
              <w:rPr>
                <w:sz w:val="20"/>
                <w:szCs w:val="20"/>
              </w:rPr>
              <w:t xml:space="preserve">entry_mass_kg / 1000; documented per-mission entry mass (see row sources)</w:t>
            </w:r>
          </w:p>
        </w:tc>
      </w:tr>
    </w:tbl>
    <w:bookmarkEnd w:id="191"/>
    <w:bookmarkEnd w:id="192"/>
    <w:bookmarkStart w:id="200" w:name="Xe2a940903327cb2a4aa8052568e0e1a5b7337d4"/>
    <w:p>
      <w:pPr>
        <w:pStyle w:val="Heading2"/>
        <w:spacing w:line="480" w:lineRule="auto"/>
      </w:pPr>
      <w:r>
        <w:t xml:space="preserve">A.2 Surviving the Seven Minutes: A Proportional-Hazards Test of Whether Pre-Entry Atmospheric Knowledge Lowers the Failure Hazard of Martian Entry, Descent, and Landing</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d</m:t>
              </m:r>
              <m:r>
                <m:rPr>
                  <m:sty m:val="p"/>
                </m:rPr>
                <m:t>e</m:t>
              </m:r>
              <m:r>
                <m:rPr>
                  <m:sty m:val="p"/>
                </m:rPr>
                <m:t>n</m:t>
              </m:r>
              <m:r>
                <m:rPr>
                  <m:sty m:val="p"/>
                </m:rPr>
                <m:t>s</m:t>
              </m:r>
              <m:r>
                <m:rPr>
                  <m:sty m:val="p"/>
                </m:rPr>
                <m:t>i</m:t>
              </m:r>
              <m:r>
                <m:rPr>
                  <m:sty m:val="p"/>
                </m:rPr>
                <m:t>t</m:t>
              </m:r>
              <m:r>
                <m:rPr>
                  <m:sty m:val="p"/>
                </m:rPr>
                <m:t>y</m:t>
              </m:r>
              <m:r>
                <m:rPr>
                  <m:sty m:val="p"/>
                </m:rPr>
                <m:t>_</m:t>
              </m:r>
              <m:r>
                <m:rPr>
                  <m:sty m:val="p"/>
                </m:rPr>
                <m:t>r</m:t>
              </m:r>
              <m:r>
                <m:rPr>
                  <m:sty m:val="p"/>
                </m:rPr>
                <m:t>e</m:t>
              </m:r>
              <m:r>
                <m:rPr>
                  <m:sty m:val="p"/>
                </m:rPr>
                <m:t>c</m:t>
              </m:r>
              <m:r>
                <m:rPr>
                  <m:sty m:val="p"/>
                </m:rPr>
                <m:t>o</m:t>
              </m:r>
              <m:r>
                <m:rPr>
                  <m:sty m:val="p"/>
                </m:rPr>
                <m:t>n</m:t>
              </m:r>
              <m:r>
                <m:rPr>
                  <m:sty m:val="p"/>
                </m:rPr>
                <m:t>+</m:t>
              </m:r>
              <m:sSub>
                <m:e>
                  <m:r>
                    <m:t>β</m:t>
                  </m:r>
                </m:e>
                <m:sub>
                  <m:r>
                    <m:t>2</m:t>
                  </m:r>
                </m:sub>
              </m:sSub>
              <m:r>
                <m:t> </m:t>
              </m:r>
              <m:r>
                <m:rPr>
                  <m:sty m:val="p"/>
                </m:rPr>
                <m:t>p</m:t>
              </m:r>
              <m:r>
                <m:rPr>
                  <m:sty m:val="p"/>
                </m:rPr>
                <m:t>r</m:t>
              </m:r>
              <m:r>
                <m:rPr>
                  <m:sty m:val="p"/>
                </m:rPr>
                <m:t>i</m:t>
              </m:r>
              <m:r>
                <m:rPr>
                  <m:sty m:val="p"/>
                </m:rPr>
                <m:t>o</m:t>
              </m:r>
              <m:r>
                <m:rPr>
                  <m:sty m:val="p"/>
                </m:rPr>
                <m:t>r</m:t>
              </m:r>
              <m:r>
                <m:rPr>
                  <m:sty m:val="p"/>
                </m:rPr>
                <m:t>_</m:t>
              </m:r>
              <m:r>
                <m:rPr>
                  <m:sty m:val="p"/>
                </m:rPr>
                <m:t>s</m:t>
              </m:r>
              <m:r>
                <m:rPr>
                  <m:sty m:val="p"/>
                </m:rPr>
                <m:t>u</m:t>
              </m:r>
              <m:r>
                <m:rPr>
                  <m:sty m:val="p"/>
                </m:rPr>
                <m:t>c</m:t>
              </m:r>
              <m:r>
                <m:rPr>
                  <m:sty m:val="p"/>
                </m:rPr>
                <m:t>c</m:t>
              </m:r>
              <m:r>
                <m:rPr>
                  <m:sty m:val="p"/>
                </m:rPr>
                <m:t>e</m:t>
              </m:r>
              <m:r>
                <m:rPr>
                  <m:sty m:val="p"/>
                </m:rPr>
                <m:t>s</m:t>
              </m:r>
              <m:r>
                <m:rPr>
                  <m:sty m:val="p"/>
                </m:rPr>
                <m:t>s</m:t>
              </m:r>
            </m:e>
          </m:d>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-3.4213</w:t>
            </w:r>
          </w:p>
        </w:tc>
        <w:tc>
          <w:tcPr>
            <w:tcW w:w="0" w:type="auto"/>
          </w:tcPr>
          <w:p>
            <w:pPr>
              <w:spacing w:line="240" w:lineRule="auto" w:before="0" w:after="0"/>
              <w:pStyle w:val="Compact"/>
            </w:pPr>
            <w:r>
              <w:rPr>
                <w:sz w:val="20"/>
                <w:szCs w:val="20"/>
              </w:rPr>
              <w:t xml:space="preserve">2.0216</w:t>
            </w:r>
          </w:p>
        </w:tc>
        <w:tc>
          <w:tcPr>
            <w:tcW w:w="0" w:type="auto"/>
          </w:tcPr>
          <w:p>
            <w:pPr>
              <w:spacing w:line="240" w:lineRule="auto" w:before="0" w:after="0"/>
              <w:pStyle w:val="Compact"/>
            </w:pPr>
            <w:r>
              <w:rPr>
                <w:sz w:val="20"/>
                <w:szCs w:val="20"/>
              </w:rPr>
              <w:t xml:space="preserve">-1.6924</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[-7.3835, 0.541]</w:t>
            </w:r>
          </w:p>
        </w:tc>
        <w:tc>
          <w:tcPr>
            <w:tcW w:w="0" w:type="auto"/>
          </w:tcPr>
          <w:p>
            <w:pPr>
              <w:spacing w:line="240" w:lineRule="auto" w:before="0" w:after="0"/>
              <w:pStyle w:val="Compact"/>
            </w:pPr>
            <w:r>
              <w:rPr>
                <w:sz w:val="20"/>
                <w:szCs w:val="20"/>
              </w:rPr>
              <w:t xml:space="preserve">0.0327</w:t>
            </w:r>
          </w:p>
        </w:tc>
      </w:tr>
      <w:tr>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0.2728</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0.3295</w:t>
            </w:r>
          </w:p>
        </w:tc>
        <w:tc>
          <w:tcPr>
            <w:tcW w:w="0" w:type="auto"/>
          </w:tcPr>
          <w:p>
            <w:pPr>
              <w:spacing w:line="240" w:lineRule="auto" w:before="0" w:after="0"/>
              <w:pStyle w:val="Compact"/>
            </w:pPr>
            <w:r>
              <w:rPr>
                <w:sz w:val="20"/>
                <w:szCs w:val="20"/>
              </w:rPr>
              <w:t xml:space="preserve">[-0.2687, 0.8008]</w:t>
            </w:r>
          </w:p>
        </w:tc>
        <w:tc>
          <w:tcPr>
            <w:tcW w:w="0" w:type="auto"/>
          </w:tcPr>
          <w:p>
            <w:pPr>
              <w:spacing w:line="240" w:lineRule="auto" w:before="0" w:after="0"/>
              <w:pStyle w:val="Compact"/>
            </w:pPr>
            <w:r>
              <w:rPr>
                <w:sz w:val="20"/>
                <w:szCs w:val="20"/>
              </w:rPr>
              <w:t xml:space="preserve">1.3048</w:t>
            </w:r>
          </w:p>
        </w:tc>
      </w:tr>
    </w:tbl>
    <w:p>
      <w:pPr>
        <w:pStyle w:val="BodyText"/>
        <w:spacing w:line="480" w:lineRule="auto"/>
        <w:ind w:firstLine="720"/>
      </w:pPr>
      <w:r>
        <w:t xml:space="preserve">Fit: N = 18 events = 6</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Each marker is one Martian EDL attempt, positioned by the stock of prior successful EDLs (a proxy for accumulated atmospheric and entry-model knowledge) and the seconds of the entry-descent-landing sequence it survived. Filled markers denote EDL failures (event = 1) and open markers denote vehicles that survived EDL (censored). The downward concentration of failures at low accumulated knowledge and the clustering of full-duration survivals at higher accumulated knowledge motivate the proportional-hazards test." title="" id="195" name="Picture"/>
            <a:graphic>
              <a:graphicData uri="http://schemas.openxmlformats.org/drawingml/2006/picture">
                <pic:pic>
                  <pic:nvPicPr>
                    <pic:cNvPr descr="D:/Claude_Code/brain/collegium/candidates/dissertations/JPL_AUTONOMY_EDL_07/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Each marker is one Martian EDL attempt, positioned by the stock of prior successful EDLs (a proxy for accumulated atmospheric and entry-model knowledge) and the seconds of the entry-descent-landing sequence it survived. Filled markers denote EDL failures (event = 1) and open markers denote vehicles that survived EDL (censored). The downward concentration of failures at low accumulated knowledge and the clustering of full-duration survivals at higher accumulated knowledge motivate the proportional-hazards test.</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edl_seconds</w:t>
            </w:r>
          </w:p>
        </w:tc>
        <w:tc>
          <w:tcPr>
            <w:tcW w:w="0" w:type="auto"/>
          </w:tcPr>
          <w:p>
            <w:pPr>
              <w:spacing w:line="240" w:lineRule="auto" w:before="0" w:after="0"/>
              <w:pStyle w:val="Compact"/>
            </w:pPr>
            <w:r>
              <w:rPr>
                <w:sz w:val="20"/>
                <w:szCs w:val="20"/>
              </w:rPr>
              <w:t xml:space="preserve">edl_failure</w:t>
            </w:r>
          </w:p>
        </w:tc>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closed_loop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 descent module</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2 lander page; descent system failed during atmospheric entry and descent, no surface data returned (https://nssdc.gsfc.nasa.gov/nmc/spacecraft/display.action?id=1971-045D)</w:t>
            </w:r>
          </w:p>
        </w:tc>
      </w:tr>
      <w:tr>
        <w:tc>
          <w:tcPr>
            <w:tcW w:w="0" w:type="auto"/>
          </w:tcPr>
          <w:p>
            <w:pPr>
              <w:spacing w:line="240" w:lineRule="auto" w:before="0" w:after="0"/>
              <w:pStyle w:val="Compact"/>
            </w:pPr>
            <w:r>
              <w:rPr>
                <w:sz w:val="20"/>
                <w:szCs w:val="20"/>
              </w:rPr>
              <w:t xml:space="preserve">Mars 3 lander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3 lander page; first soft landing, survived EDL and transmitted about 110 s from the surface before signal loss (https://nssdc.gsfc.nasa.gov/nmc/spacecraft/display.action?id=1971-049F)</w:t>
            </w:r>
          </w:p>
        </w:tc>
      </w:tr>
      <w:tr>
        <w:tc>
          <w:tcPr>
            <w:tcW w:w="0" w:type="auto"/>
          </w:tcPr>
          <w:p>
            <w:pPr>
              <w:spacing w:line="240" w:lineRule="auto" w:before="0" w:after="0"/>
              <w:pStyle w:val="Compact"/>
            </w:pPr>
            <w:r>
              <w:rPr>
                <w:sz w:val="20"/>
                <w:szCs w:val="20"/>
              </w:rPr>
              <w:t xml:space="preserve">Mars 6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6 lander page; contact lost at or just before touchdown during powered descent (https://nssdc.gsfc.nasa.gov/nmc/spacecraft/display.action?id=1973-052A)</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Viking 1 lander page; successful soft landing 20 Jul 1976 (https://nssdc.gsfc.nasa.gov/nmc/spacecraft/display.action?id=1975-075C)</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Viking 2 lander page; successful soft landing 3 Sep 1976 (https://nssdc.gsfc.nasa.gov/nmc/spacecraft/display.action?id=1975-083C)</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Pathfinder EDL accelerometer-derived density profiles, PDS atmospheres archive; airbag landing succeeded 4 Jul 1997 (https://atmos.nmsu.edu/data_and_services/atmospheres_data/MARS/pathfinder/mars_edl.html)</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MPL Failure Review Board; premature engine cutoff on terminal descent near south pole, lost Dec 1999 (space.com Mars landings history, https://www.space.com/10930-mars-landings-red-planet-exploration.html)</w:t>
            </w:r>
          </w:p>
        </w:tc>
      </w:tr>
      <w:tr>
        <w:tc>
          <w:tcPr>
            <w:tcW w:w="0" w:type="auto"/>
          </w:tcPr>
          <w:p>
            <w:pPr>
              <w:spacing w:line="240" w:lineRule="auto" w:before="0" w:after="0"/>
              <w:pStyle w:val="Compact"/>
            </w:pPr>
            <w:r>
              <w:rPr>
                <w:sz w:val="20"/>
                <w:szCs w:val="20"/>
              </w:rPr>
              <w:t xml:space="preserve">Deep Space 2 Amundsen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microprobe carried on the MPL cruise stage; penetrator silent after high-speed atmospheric entry attempt [illustrative duration] (https://www.space.com/10930-mars-landings-red-planet-exploration.html)</w:t>
            </w:r>
          </w:p>
        </w:tc>
      </w:tr>
      <w:tr>
        <w:tc>
          <w:tcPr>
            <w:tcW w:w="0" w:type="auto"/>
          </w:tcPr>
          <w:p>
            <w:pPr>
              <w:spacing w:line="240" w:lineRule="auto" w:before="0" w:after="0"/>
              <w:pStyle w:val="Compact"/>
            </w:pPr>
            <w:r>
              <w:rPr>
                <w:sz w:val="20"/>
                <w:szCs w:val="20"/>
              </w:rPr>
              <w:t xml:space="preserve">Deep Space 2 Scott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microprobe carried on the MPL cruise stage; second penetrator silent after entry attempt [illustrative duration] (https://www.space.com/10930-mars-landings-red-planet-exploration.html)</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Mars Express Beagle 2 page; 2015 MRO HiRISE imaging confirmed an intact landing, two solar panels failed to deploy after touchdown (https://www.esa.int/Science_Exploration/Space_Science/Mars_Express/Beagle_2_lander)</w:t>
            </w:r>
          </w:p>
        </w:tc>
      </w:tr>
      <w:tr>
        <w:tc>
          <w:tcPr>
            <w:tcW w:w="0" w:type="auto"/>
          </w:tcPr>
          <w:p>
            <w:pPr>
              <w:spacing w:line="240" w:lineRule="auto" w:before="0" w:after="0"/>
              <w:pStyle w:val="Compact"/>
            </w:pPr>
            <w:r>
              <w:rPr>
                <w:sz w:val="20"/>
                <w:szCs w:val="20"/>
              </w:rPr>
              <w:t xml:space="preserve">Spirit MER-A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MER EDL timeline; airbag landing succeeded Jan 2004 with bank-controlled guided entry (https://mars.nasa.gov/mer/mission/timeline/edl/)</w:t>
            </w:r>
          </w:p>
        </w:tc>
      </w:tr>
      <w:tr>
        <w:tc>
          <w:tcPr>
            <w:tcW w:w="0" w:type="auto"/>
          </w:tcPr>
          <w:p>
            <w:pPr>
              <w:spacing w:line="240" w:lineRule="auto" w:before="0" w:after="0"/>
              <w:pStyle w:val="Compact"/>
            </w:pPr>
            <w:r>
              <w:rPr>
                <w:sz w:val="20"/>
                <w:szCs w:val="20"/>
              </w:rPr>
              <w:t xml:space="preserve">Opportunity MER-B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MER EDL timeline; airbag landing succeeded Jan 2004 (https://mars.nasa.gov/mer/mission/timeline/edl/steps/)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Desai et al., Mars Phoenix Entry Descent and Landing Simulation, NASA NTRS 20080033126; powered soft landing succeeded May 2008 (https://ntrs.nasa.gov/api/citations/20080033126/downloads/20080033126.pdf)</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Curiosity Seven Minutes of Terror; sky-crane landing succeeded Aug 2012 with guided entry (https://science.nasa.gov/resource/challenges-of-getting-to-mars-curiositys-seven-minutes-of-terror/)</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Schiaparelli; IMU saturation produced an erroneous negative altitude, the parachute and backshell were released early and the thrusters cut after about 3 s, surface impact (skyandtelescope.org Schiaparelli requiem, https://skyandtelescope.org/astronomy-blogs/schiaparelli-requiem-for-a-mars-lander/)</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InSight; powered soft landing succeeded Nov 2018 using MSL-heritage guided entry (NASA how-we-land overview, https://science.nasa.gov/planetary-science/programs/mars-exploration/mission-timeline/how-we-land-on-mars/)</w:t>
            </w:r>
          </w:p>
        </w:tc>
      </w:tr>
      <w:tr>
        <w:tc>
          <w:tcPr>
            <w:tcW w:w="0" w:type="auto"/>
          </w:tcPr>
          <w:p>
            <w:pPr>
              <w:spacing w:line="240" w:lineRule="auto" w:before="0" w:after="0"/>
              <w:pStyle w:val="Compact"/>
            </w:pPr>
            <w:r>
              <w:rPr>
                <w:sz w:val="20"/>
                <w:szCs w:val="20"/>
              </w:rPr>
              <w:t xml:space="preserve">Perseverance Mars 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McGrew et al., Entry Guidance Design and Post-Flight Performance of the Mars 2020 Mission, NASA NTRS 20240015538; range-trigger guided landing succeeded Feb 2021, 1.7 km from target (https://ntrs.nasa.gov/citations/20240015538)</w:t>
            </w:r>
          </w:p>
        </w:tc>
      </w:tr>
      <w:tr>
        <w:tc>
          <w:tcPr>
            <w:tcW w:w="0" w:type="auto"/>
          </w:tcPr>
          <w:p>
            <w:pPr>
              <w:spacing w:line="240" w:lineRule="auto" w:before="0" w:after="0"/>
              <w:pStyle w:val="Compact"/>
            </w:pPr>
            <w:r>
              <w:rPr>
                <w:sz w:val="20"/>
                <w:szCs w:val="20"/>
              </w:rPr>
              <w:t xml:space="preserve">Tianwen-1 lander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Tianwen-1; successful soft landing in Utopia Planitia May 2021 with hovering hazard-avoidance terminal descent (space.com Mars mission history, https://www.space.com/32199-mars-missions-history-successes-failures.html)</w:t>
            </w:r>
          </w:p>
        </w:tc>
      </w:tr>
    </w:tbl>
    <w:bookmarkEnd w:id="198"/>
    <w:bookmarkStart w:id="19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edl_seconds</w:t>
            </w:r>
          </w:p>
        </w:tc>
        <w:tc>
          <w:tcPr>
            <w:tcW w:w="0" w:type="auto"/>
          </w:tcPr>
          <w:p>
            <w:pPr>
              <w:spacing w:line="240" w:lineRule="auto" w:before="0" w:after="0"/>
              <w:pStyle w:val="Compact"/>
            </w:pPr>
            <w:r>
              <w:rPr>
                <w:sz w:val="20"/>
                <w:szCs w:val="20"/>
              </w:rPr>
              <w:t xml:space="preserve">Elapsed seconds of the entry-descent-landing sequence the vehicle completed before failure or nominal touchdown; the survival duration. Nominal Mars EDL from atmospheric entry interface to touchdown is about 390 s (seven minutes); failed attempts are recorded at the documented seconds reached before loss.</w:t>
            </w:r>
          </w:p>
        </w:tc>
        <w:tc>
          <w:tcPr>
            <w:tcW w:w="0" w:type="auto"/>
          </w:tcPr>
          <w:p>
            <w:pPr>
              <w:spacing w:line="240" w:lineRule="auto" w:before="0" w:after="0"/>
              <w:pStyle w:val="Compact"/>
            </w:pPr>
            <w:r>
              <w:rPr>
                <w:sz w:val="20"/>
                <w:szCs w:val="20"/>
              </w:rPr>
              <w:t xml:space="preserve">NASA Science how-we-land-on-Mars seven-minutes timeline; per-mission NASA NSSDCA and agency EDL records (see data.csv source column)</w:t>
            </w:r>
          </w:p>
        </w:tc>
      </w:tr>
      <w:tr>
        <w:tc>
          <w:tcPr>
            <w:tcW w:w="0" w:type="auto"/>
          </w:tcPr>
          <w:p>
            <w:pPr>
              <w:spacing w:line="240" w:lineRule="auto" w:before="0" w:after="0"/>
              <w:pStyle w:val="Compact"/>
            </w:pPr>
            <w:r>
              <w:rPr>
                <w:sz w:val="20"/>
                <w:szCs w:val="20"/>
              </w:rPr>
              <w:t xml:space="preserve">edl_failure</w:t>
            </w:r>
          </w:p>
        </w:tc>
        <w:tc>
          <w:tcPr>
            <w:tcW w:w="0" w:type="auto"/>
          </w:tcPr>
          <w:p>
            <w:pPr>
              <w:spacing w:line="240" w:lineRule="auto" w:before="0" w:after="0"/>
              <w:pStyle w:val="Compact"/>
            </w:pPr>
            <w:r>
              <w:rPr>
                <w:sz w:val="20"/>
                <w:szCs w:val="20"/>
              </w:rPr>
              <w:t xml:space="preserve">Event indicator: 1 if the vehicle was lost during entry, descent, or landing (did not survive EDL in a functional landed state); 0 if it survived EDL (censored as a completed survival).</w:t>
            </w:r>
          </w:p>
        </w:tc>
        <w:tc>
          <w:tcPr>
            <w:tcW w:w="0" w:type="auto"/>
          </w:tcPr>
          <w:p>
            <w:pPr>
              <w:spacing w:line="240" w:lineRule="auto" w:before="0" w:after="0"/>
              <w:pStyle w:val="Compact"/>
            </w:pPr>
            <w:r>
              <w:rPr>
                <w:sz w:val="20"/>
                <w:szCs w:val="20"/>
              </w:rPr>
              <w:t xml:space="preserve">Per-mission NASA NSSDCA, NASA JPL, ESA, and CNSA mission outcome records (see data.csv source column)</w:t>
            </w:r>
          </w:p>
        </w:tc>
      </w:tr>
      <w:tr>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Pre-entry atmospheric-knowledge proxy: 1 if a prior Mars orbiter had returned in-situ-anchored upper-atmosphere density reconnaissance of Mars before this EDL (Mars Global Surveyor and successor aerobraking accelerometer density data, available from the late 1990s onward); 0 otherwise.</w:t>
            </w:r>
          </w:p>
        </w:tc>
        <w:tc>
          <w:tcPr>
            <w:tcW w:w="0" w:type="auto"/>
          </w:tcPr>
          <w:p>
            <w:pPr>
              <w:spacing w:line="240" w:lineRule="auto" w:before="0" w:after="0"/>
              <w:pStyle w:val="Compact"/>
            </w:pPr>
            <w:r>
              <w:rPr>
                <w:sz w:val="20"/>
                <w:szCs w:val="20"/>
              </w:rPr>
              <w:t xml:space="preserve">Tolson et al. and NASA aerobraking density-modeling record for MGS and MRO accelerometer-derived density (NASA/AIAA aerobraking atmospheric-modeling literature)</w:t>
            </w:r>
          </w:p>
        </w:tc>
      </w:tr>
      <w:tr>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Accumulated atmospheric and EDL reconstruction knowledge, operationalized as the cumulative count of prior successful Mars EDL attempts at the time of this attempt; a running stock of reconstructed entry atmospheres and validated EDL models.</w:t>
            </w:r>
          </w:p>
        </w:tc>
        <w:tc>
          <w:tcPr>
            <w:tcW w:w="0" w:type="auto"/>
          </w:tcPr>
          <w:p>
            <w:pPr>
              <w:spacing w:line="240" w:lineRule="auto" w:before="0" w:after="0"/>
              <w:pStyle w:val="Compact"/>
            </w:pPr>
            <w:r>
              <w:rPr>
                <w:sz w:val="20"/>
                <w:szCs w:val="20"/>
              </w:rPr>
              <w:t xml:space="preserve">Derived from the ordered mission-outcome record in data.csv</w:t>
            </w:r>
          </w:p>
        </w:tc>
      </w:tr>
      <w:tr>
        <w:tc>
          <w:tcPr>
            <w:tcW w:w="0" w:type="auto"/>
          </w:tcPr>
          <w:p>
            <w:pPr>
              <w:spacing w:line="240" w:lineRule="auto" w:before="0" w:after="0"/>
              <w:pStyle w:val="Compact"/>
            </w:pPr>
            <w:r>
              <w:rPr>
                <w:sz w:val="20"/>
                <w:szCs w:val="20"/>
              </w:rPr>
              <w:t xml:space="preserve">closed_loop</w:t>
            </w:r>
          </w:p>
        </w:tc>
        <w:tc>
          <w:tcPr>
            <w:tcW w:w="0" w:type="auto"/>
          </w:tcPr>
          <w:p>
            <w:pPr>
              <w:spacing w:line="240" w:lineRule="auto" w:before="0" w:after="0"/>
              <w:pStyle w:val="Compact"/>
            </w:pPr>
            <w:r>
              <w:rPr>
                <w:sz w:val="20"/>
                <w:szCs w:val="20"/>
              </w:rPr>
              <w:t xml:space="preserve">Control-authority covariate: 1 if the vehicle flew closed-loop, bank-controlled or actively guided entry (MER-class and later Apollo-derived range-controlled guidance); 0 for unguided ballistic or open-loop descent. Included to separate the value of atmospheric knowledge from the value of control.</w:t>
            </w:r>
          </w:p>
        </w:tc>
        <w:tc>
          <w:tcPr>
            <w:tcW w:w="0" w:type="auto"/>
          </w:tcPr>
          <w:p>
            <w:pPr>
              <w:spacing w:line="240" w:lineRule="auto" w:before="0" w:after="0"/>
              <w:pStyle w:val="Compact"/>
            </w:pPr>
            <w:r>
              <w:rPr>
                <w:sz w:val="20"/>
                <w:szCs w:val="20"/>
              </w:rPr>
              <w:t xml:space="preserve">NASA JPL MER and Mars 2020 entry-guidance records (NASA NTRS 20240015538, McGrew et al.) and NASA mission EDL descriptions</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42" Type="http://schemas.openxmlformats.org/officeDocument/2006/relationships/hyperlink" Target="https://doi.org/10.1016/j.actaastro.2016.12.013" TargetMode="External"/><Relationship Id="rId178" Type="http://schemas.openxmlformats.org/officeDocument/2006/relationships/hyperlink" Target="https://doi.org/10.1016/j.actaastro.2018.10.015" TargetMode="External"/><Relationship Id="rId169" Type="http://schemas.openxmlformats.org/officeDocument/2006/relationships/hyperlink" Target="https://doi.org/10.1016/j.actaastro.2019.01.034" TargetMode="External"/><Relationship Id="rId174" Type="http://schemas.openxmlformats.org/officeDocument/2006/relationships/hyperlink" Target="https://doi.org/10.1016/j.actaastro.2019.05.033" TargetMode="External"/><Relationship Id="rId180" Type="http://schemas.openxmlformats.org/officeDocument/2006/relationships/hyperlink" Target="https://doi.org/10.1016/j.actaastro.2020.05.049" TargetMode="External"/><Relationship Id="rId171" Type="http://schemas.openxmlformats.org/officeDocument/2006/relationships/hyperlink" Target="https://doi.org/10.1016/j.actaastro.2021.09.027" TargetMode="External"/><Relationship Id="rId144" Type="http://schemas.openxmlformats.org/officeDocument/2006/relationships/hyperlink" Target="https://doi.org/10.1016/j.actaastro.2024.12.054" TargetMode="External"/><Relationship Id="rId182" Type="http://schemas.openxmlformats.org/officeDocument/2006/relationships/hyperlink" Target="https://doi.org/10.1016/j.actaastro.2025.06.052" TargetMode="External"/><Relationship Id="rId176" Type="http://schemas.openxmlformats.org/officeDocument/2006/relationships/hyperlink" Target="https://doi.org/10.1016/j.actaastro.2025.07.071" TargetMode="External"/><Relationship Id="rId149" Type="http://schemas.openxmlformats.org/officeDocument/2006/relationships/hyperlink" Target="https://doi.org/10.1029/2003JE002074" TargetMode="External"/><Relationship Id="rId147" Type="http://schemas.openxmlformats.org/officeDocument/2006/relationships/hyperlink" Target="https://doi.org/10.2514/1.25116" TargetMode="External"/><Relationship Id="rId165" Type="http://schemas.openxmlformats.org/officeDocument/2006/relationships/hyperlink" Target="https://doi.org/10.64861/CMFX7334" TargetMode="External"/><Relationship Id="rId140" Type="http://schemas.openxmlformats.org/officeDocument/2006/relationships/hyperlink" Target="https://doi.org/10.64861/KLIJ1542" TargetMode="External"/><Relationship Id="rId137" Type="http://schemas.openxmlformats.org/officeDocument/2006/relationships/hyperlink" Target="https://doi.org/10.64861/PFPI7186" TargetMode="External"/><Relationship Id="rId167" Type="http://schemas.openxmlformats.org/officeDocument/2006/relationships/hyperlink" Target="https://doi.org/10.64861/TVOK4375" TargetMode="External"/><Relationship Id="rId161" Type="http://schemas.openxmlformats.org/officeDocument/2006/relationships/hyperlink" Target="https://doi.org/10.64861/UJOZ7658" TargetMode="External"/></Relationships>
</file>

<file path=word/_rels/footnotes.xml.rels><?xml version='1.0' encoding='UTF-8' standalone='yes'?>
<Relationships xmlns="http://schemas.openxmlformats.org/package/2006/relationships"><Relationship Id="rId142" Type="http://schemas.openxmlformats.org/officeDocument/2006/relationships/hyperlink" Target="https://doi.org/10.1016/j.actaastro.2016.12.013" TargetMode="External"/><Relationship Id="rId178" Type="http://schemas.openxmlformats.org/officeDocument/2006/relationships/hyperlink" Target="https://doi.org/10.1016/j.actaastro.2018.10.015" TargetMode="External"/><Relationship Id="rId169" Type="http://schemas.openxmlformats.org/officeDocument/2006/relationships/hyperlink" Target="https://doi.org/10.1016/j.actaastro.2019.01.034" TargetMode="External"/><Relationship Id="rId174" Type="http://schemas.openxmlformats.org/officeDocument/2006/relationships/hyperlink" Target="https://doi.org/10.1016/j.actaastro.2019.05.033" TargetMode="External"/><Relationship Id="rId180" Type="http://schemas.openxmlformats.org/officeDocument/2006/relationships/hyperlink" Target="https://doi.org/10.1016/j.actaastro.2020.05.049" TargetMode="External"/><Relationship Id="rId171" Type="http://schemas.openxmlformats.org/officeDocument/2006/relationships/hyperlink" Target="https://doi.org/10.1016/j.actaastro.2021.09.027" TargetMode="External"/><Relationship Id="rId144" Type="http://schemas.openxmlformats.org/officeDocument/2006/relationships/hyperlink" Target="https://doi.org/10.1016/j.actaastro.2024.12.054" TargetMode="External"/><Relationship Id="rId182" Type="http://schemas.openxmlformats.org/officeDocument/2006/relationships/hyperlink" Target="https://doi.org/10.1016/j.actaastro.2025.06.052" TargetMode="External"/><Relationship Id="rId176" Type="http://schemas.openxmlformats.org/officeDocument/2006/relationships/hyperlink" Target="https://doi.org/10.1016/j.actaastro.2025.07.071" TargetMode="External"/><Relationship Id="rId149" Type="http://schemas.openxmlformats.org/officeDocument/2006/relationships/hyperlink" Target="https://doi.org/10.1029/2003JE002074" TargetMode="External"/><Relationship Id="rId147" Type="http://schemas.openxmlformats.org/officeDocument/2006/relationships/hyperlink" Target="https://doi.org/10.2514/1.25116" TargetMode="External"/><Relationship Id="rId165" Type="http://schemas.openxmlformats.org/officeDocument/2006/relationships/hyperlink" Target="https://doi.org/10.64861/CMFX7334" TargetMode="External"/><Relationship Id="rId140" Type="http://schemas.openxmlformats.org/officeDocument/2006/relationships/hyperlink" Target="https://doi.org/10.64861/KLIJ1542" TargetMode="External"/><Relationship Id="rId137" Type="http://schemas.openxmlformats.org/officeDocument/2006/relationships/hyperlink" Target="https://doi.org/10.64861/PFPI7186" TargetMode="External"/><Relationship Id="rId167" Type="http://schemas.openxmlformats.org/officeDocument/2006/relationships/hyperlink" Target="https://doi.org/10.64861/TVOK4375" TargetMode="External"/><Relationship Id="rId161" Type="http://schemas.openxmlformats.org/officeDocument/2006/relationships/hyperlink" Target="https://doi.org/10.64861/UJOZ7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Cost of Atmospheric Uncertainty: Does Pre-Entry Atmospheric Knowledge Reduce Landed-State Dispersion in Atmospheric Entry, Descent, and Landing?</dc:title>
  <dc:creator>Marcus Feld (1B-EDL-013)</dc:creator>
  <cp:keywords/>
  <dcterms:created xsi:type="dcterms:W3CDTF">2026-07-02T16:13:40Z</dcterms:created>
  <dcterms:modified xsi:type="dcterms:W3CDTF">2026-07-02T16:13:40Z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