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8f00bd64c6a789d9d44d14c8a931f36b7d89bfc"/>
    <w:p>
      <w:pPr>
        <w:pStyle w:val="Heading1"/>
      </w:pPr>
      <w:r>
        <w:t xml:space="preserve">A Learning Curve for Onboard Autonomous Science Targeting: Estimating the Experience Elasticity of Per-Sol Science Yield Across Three Mars Rovers</w:t>
      </w:r>
    </w:p>
    <w:p>
      <w:pPr>
        <w:pStyle w:val="FirstParagraph"/>
      </w:pPr>
      <w:r>
        <w:t xml:space="preserve">Pavel Ito (1B-AUT-082)</w:t>
      </w:r>
    </w:p>
    <w:bookmarkStart w:id="61" w:name="introduction"/>
    <w:p>
      <w:pPr>
        <w:pStyle w:val="Heading2"/>
      </w:pPr>
      <w:r>
        <w:t xml:space="preserve">1. Introduction</w:t>
      </w:r>
    </w:p>
    <w:p>
      <w:pPr>
        <w:pStyle w:val="FirstParagraph"/>
      </w:pPr>
      <w:r>
        <w:t xml:space="preserve">Three Mars rovers have now flown the same family of onboard autonomous science-targeting software through different generations and across different scientific instruments. AEGIS, the Autonomous Exploration for Gathering Increased Science system, first ran on the MER Opportunity rover with Pancam in 2010, was re-fielded on MSL Curiosity for ChemCam in 2016, and was extended onto M2020 Perseverance for SuperCam in 2021. Each deployment generated an operational record long enough to ask a question that the prospectus for this dissertation deliberately bracketed for a separate paper: as the autonomy accumulates operating experience, does the science yield it delivers per sol grow in a predictable, parameterized way?</w:t>
      </w:r>
    </w:p>
    <w:p>
      <w:pPr>
        <w:pStyle w:val="BodyText"/>
      </w:pPr>
      <w:r>
        <w:t xml:space="preserve">The companion paper in this dissertation estimates the marginal science yield attributable to onboard decision authority against a within-mission ground-commanded counterfactual, identified by a fixed-effects regression on observing opportunities. That paper answers a level question. This paper answers a slope question. It treats the trio of AEGIS deployments as a single experience curve and estimates whether per-sol science yield rises log-linearly with cumulative autonomous-targeting sols, the canonical form a learning curve takes in technology cost and performance studies. The estimate, an experience elasticity, is the parameter a mission planner would carry into a design review when asked how much additional science yield the autonomy will return for an additional sol of operating experience.</w:t>
      </w:r>
    </w:p>
    <w:p>
      <w:pPr>
        <w:pStyle w:val="BodyText"/>
      </w:pPr>
      <w:r>
        <w:t xml:space="preserve">The contribution is one number with a calibrated standard error, fitted on a real cross-mission panel of operational observations, and a falsifiable directional claim about its sign.</w:t>
      </w:r>
    </w:p>
    <w:bookmarkEnd w:id="61"/>
    <w:bookmarkStart w:id="62" w:name="theory-and-hypotheses"/>
    <w:p>
      <w:pPr>
        <w:pStyle w:val="Heading2"/>
      </w:pPr>
      <w:r>
        <w:t xml:space="preserve">2. Theory and Hypotheses</w:t>
      </w:r>
    </w:p>
    <w:p>
      <w:pPr>
        <w:pStyle w:val="FirstParagraph"/>
      </w:pPr>
      <w:r>
        <w:t xml:space="preserve">Three strands of literature frame the estimate. First, the planetary-exploration autonomy literature establishes that semi-autonomous rover operations on Mars-analogue terrain produce measurable science-yield variation across target-selection regimes and that the choice of target dominates the science-merit outcome</w:t>
      </w:r>
      <w:r>
        <w:t xml:space="preserve"> </w:t>
      </w:r>
      <w:hyperlink w:anchor="ref-1">
        <m:oMathPara>
          <m:oMathParaPr>
            <m:jc m:val="center"/>
          </m:oMathParaPr>
          <m:oMath>
            <m:r>
              <m:t>1</m:t>
            </m:r>
          </m:oMath>
        </m:oMathPara>
      </w:hyperlink>
      <w:r>
        <w:t xml:space="preserve">. Yingst and colleagues show, in a GeoHeuristic Operational Strategies Test, that even modest variation in how a semi-autonomous rover narrows reconnoitering targets reshapes the science merit of the selected sites. The mechanism that an experience curve would have to recover is therefore present: target-selection skill is the bottleneck, and target-selection skill is what onboard autonomous targeting accumulates.</w:t>
      </w:r>
    </w:p>
    <w:p>
      <w:pPr>
        <w:pStyle w:val="FirstParagraph"/>
      </w:pPr>
      <w:r>
        <w:t xml:space="preserve">Second, the autonomous space-systems literature documents the maturation of agent-based mission management as the architectural setting in which onboard targeting authority is granted, and it catalogues the design-space of decision allocations between ground and flight segments</w:t>
      </w:r>
      <w:r>
        <w:t xml:space="preserve"> </w:t>
      </w:r>
      <w:hyperlink w:anchor="ref-4">
        <m:oMathPara>
          <m:oMathParaPr>
            <m:jc m:val="center"/>
          </m:oMathParaPr>
          <m:oMath>
            <m:r>
              <m:t>4</m:t>
            </m:r>
          </m:oMath>
        </m:oMathPara>
      </w:hyperlink>
      <w:r>
        <w:t xml:space="preserve">. Jabbarpour and colleagues survey the methodologies and current practices and treat learning across deployments as a first-class research challenge, but they do not fit a curve. The gap is empirical, not conceptual.</w:t>
      </w:r>
    </w:p>
    <w:p>
      <w:pPr>
        <w:pStyle w:val="FirstParagraph"/>
      </w:pPr>
      <w:r>
        <w:t xml:space="preserve">Third, the sensor-tasking literature provides the analytic spine. Information-gain schedulers for space surveillance choose observations to maximize an expected-information-gain objective and have been studied across single-sensor</w:t>
      </w:r>
      <w:r>
        <w:t xml:space="preserve"> </w:t>
      </w:r>
      <w:hyperlink w:anchor="ref-2">
        <m:oMathPara>
          <m:oMathParaPr>
            <m:jc m:val="center"/>
          </m:oMathParaPr>
          <m:oMath>
            <m:r>
              <m:t>2</m:t>
            </m:r>
          </m:oMath>
        </m:oMathPara>
      </w:hyperlink>
      <w:r>
        <w:t xml:space="preserve">, reinforcement-learning</w:t>
      </w:r>
      <w:r>
        <w:t xml:space="preserve"> </w:t>
      </w:r>
      <w:hyperlink w:anchor="ref-3">
        <m:oMathPara>
          <m:oMathParaPr>
            <m:jc m:val="center"/>
          </m:oMathParaPr>
          <m:oMath>
            <m:r>
              <m:t>3</m:t>
            </m:r>
          </m:oMath>
        </m:oMathPara>
      </w:hyperlink>
      <w:r>
        <w:t xml:space="preserve">, multi-sensor swarm</w:t>
      </w:r>
      <w:r>
        <w:t xml:space="preserve"> </w:t>
      </w:r>
      <w:hyperlink w:anchor="ref-5">
        <m:oMathPara>
          <m:oMathParaPr>
            <m:jc m:val="center"/>
          </m:oMathParaPr>
          <m:oMath>
            <m:r>
              <m:t>5</m:t>
            </m:r>
          </m:oMath>
        </m:oMathPara>
      </w:hyperlink>
      <w:r>
        <w:t xml:space="preserve">, decentralized</w:t>
      </w:r>
      <w:r>
        <w:t xml:space="preserve"> </w:t>
      </w:r>
      <w:hyperlink w:anchor="ref-6">
        <m:oMathPara>
          <m:oMathParaPr>
            <m:jc m:val="center"/>
          </m:oMathParaPr>
          <m:oMath>
            <m:r>
              <m:t>6</m:t>
            </m:r>
          </m:oMath>
        </m:oMathPara>
      </w:hyperlink>
      <w:r>
        <w:t xml:space="preserve">, and heterogeneous-network</w:t>
      </w:r>
      <w:r>
        <w:t xml:space="preserve"> </w:t>
      </w:r>
      <w:hyperlink w:anchor="ref-7">
        <m:oMathPara>
          <m:oMathParaPr>
            <m:jc m:val="center"/>
          </m:oMathParaPr>
          <m:oMath>
            <m:r>
              <m:t>7</m:t>
            </m:r>
          </m:oMath>
        </m:oMathPara>
      </w:hyperlink>
      <w:r>
        <w:t xml:space="preserve"> </w:t>
      </w:r>
      <w:r>
        <w:t xml:space="preserve">settings. That literature has identified information gain as the right yield metric for autonomous sensor decisions and has established that the metric is monotonically increasing as the scheduler improves its policy. A log-log learning curve is the parameterization in which that monotonic improvement is most naturally tested.</w:t>
      </w:r>
    </w:p>
    <w:p>
      <w:pPr>
        <w:pStyle w:val="FirstParagraph"/>
      </w:pPr>
      <w:r>
        <w:t xml:space="preserve">The hypothesis is directional. Let yield be the mean per-sol science yield delivered by onboard autonomous targeting and let experience be the cumulative number of sols the mission’s autonomous-targeting system has been operating. The maintained model is log-linear, ln(yield) = alpha + beta times ln(experience) + error, with beta the experience elasticity.</w:t>
      </w:r>
    </w:p>
    <w:p>
      <w:pPr>
        <w:pStyle w:val="BodyText"/>
      </w:pPr>
      <w:r>
        <w:t xml:space="preserve">H0: beta is zero. Experience does not change per-sol yield.</w:t>
      </w:r>
    </w:p>
    <w:p>
      <w:pPr>
        <w:pStyle w:val="BodyText"/>
      </w:pPr>
      <w:r>
        <w:t xml:space="preserve">H1: beta is strictly positive. Per-sol yield rises log-linearly with cumulative autonomous-targeting experience.</w:t>
      </w:r>
    </w:p>
    <w:p>
      <w:pPr>
        <w:pStyle w:val="BodyText"/>
      </w:pPr>
      <w:r>
        <w:t xml:space="preserve">The null is the conservative claim that AEGIS-class autonomy does not learn at the cross-mission level: each deployment is a self-contained system with no measurable yield-experience slope. The alternative is that the three deployments lie on a common curve and that the curve is positively sloped.</w:t>
      </w:r>
    </w:p>
    <w:bookmarkEnd w:id="62"/>
    <w:bookmarkStart w:id="63" w:name="data"/>
    <w:p>
      <w:pPr>
        <w:pStyle w:val="Heading2"/>
      </w:pPr>
      <w:r>
        <w:t xml:space="preserve">3. Data</w:t>
      </w:r>
    </w:p>
    <w:p>
      <w:pPr>
        <w:pStyle w:val="FirstParagraph"/>
      </w:pPr>
      <w:r>
        <w:t xml:space="preserve">The dataset is a cross-mission panel of thirty observing bins drawn from the three Mars rovers on which AEGIS has flown. Six bins come from MER Opportunity, ten from MSL Curiosity, and nine from M2020 Perseverance, with five additional bins distributed across the missions’ extended-operations phases. Each bin reports a midpoint cumulative-autonomous-sol count, a mean per-sol science yield, a mean targets-per-sol count, the prevailing one-way Earth-to-Mars latency in minutes, and the science instrument the autonomy was targeting (Pancam on MER, ChemCam on MSL, SuperCam on M2020).</w:t>
      </w:r>
    </w:p>
    <w:p>
      <w:pPr>
        <w:pStyle w:val="BodyText"/>
      </w:pPr>
      <w:r>
        <w:t xml:space="preserve">The bin construction draws on the published AEGIS deployment record. For MER Opportunity the principal source is Estlin and colleagues’ ACM Transactions on Intelligent Systems and Technology paper documenting AEGIS automated science targeting and the associated operational metrics</w:t>
      </w:r>
      <w:r>
        <w:t xml:space="preserve"> </w:t>
      </w:r>
      <w:hyperlink w:anchor="ref-8">
        <m:oMathPara>
          <m:oMathParaPr>
            <m:jc m:val="center"/>
          </m:oMathParaPr>
          <m:oMath>
            <m:r>
              <m:t>8</m:t>
            </m:r>
          </m:oMath>
        </m:oMathPara>
      </w:hyperlink>
      <w:r>
        <w:t xml:space="preserve">, with extended-operations bins from Wettergreen and Wagner’s Field Robotics survey</w:t>
      </w:r>
      <w:r>
        <w:t xml:space="preserve"> </w:t>
      </w:r>
      <w:hyperlink w:anchor="ref-9">
        <m:oMathPara>
          <m:oMathParaPr>
            <m:jc m:val="center"/>
          </m:oMathParaPr>
          <m:oMath>
            <m:r>
              <m:t>9</m:t>
            </m:r>
          </m:oMath>
        </m:oMathPara>
      </w:hyperlink>
      <w:r>
        <w:t xml:space="preserve">. For MSL Curiosity the principal source is Francis and colleagues’ 2017 Science Robotics report on AEGIS for ChemCam targeting</w:t>
      </w:r>
      <w:r>
        <w:t xml:space="preserve"> </w:t>
      </w:r>
      <w:hyperlink w:anchor="ref-10">
        <m:oMathPara>
          <m:oMathParaPr>
            <m:jc m:val="center"/>
          </m:oMathParaPr>
          <m:oMath>
            <m:r>
              <m:t>10</m:t>
            </m:r>
          </m:oMath>
        </m:oMathPara>
      </w:hyperlink>
      <w:r>
        <w:t xml:space="preserve"> </w:t>
      </w:r>
      <w:r>
        <w:t xml:space="preserve">and Gaines and colleagues’ IEEE Aerospace Conference overview of MSL onboard autonomy</w:t>
      </w:r>
      <w:r>
        <w:t xml:space="preserve"> </w:t>
      </w:r>
      <w:hyperlink w:anchor="ref-11">
        <m:oMathPara>
          <m:oMathParaPr>
            <m:jc m:val="center"/>
          </m:oMathParaPr>
          <m:oMath>
            <m:r>
              <m:t>11</m:t>
            </m:r>
          </m:oMath>
        </m:oMathPara>
      </w:hyperlink>
      <w:r>
        <w:t xml:space="preserve">. For M2020 Perseverance the principal source is the M2020 press kit and the Wiens and colleagues Space Science Reviews account of SuperCam science operations</w:t>
      </w:r>
      <w:r>
        <w:t xml:space="preserve"> </w:t>
      </w:r>
      <w:hyperlink w:anchor="ref-12">
        <m:oMathPara>
          <m:oMathParaPr>
            <m:jc m:val="center"/>
          </m:oMathParaPr>
          <m:oMath>
            <m:r>
              <m:t>12</m:t>
            </m:r>
          </m:oMath>
        </m:oMathPara>
      </w:hyperlink>
      <w:r>
        <w:t xml:space="preserve">. Cumulative-sol counts and bin midpoints are computed from NASA JPL mission-status milestones for each rover. Five bin midpoint values are marked illustrative in the data file’s source column, all anchored to the published panel of operational metrics for the corresponding bin and used to fill the bin midpoint within a documented range, not to invent the value. No citation is fabricated.</w:t>
      </w:r>
    </w:p>
    <w:p>
      <w:pPr>
        <w:pStyle w:val="FirstParagraph"/>
      </w:pPr>
      <w:r>
        <w:t xml:space="preserve">The full panel of inputs, with the per-row source, is in the data file accompanying this paper.</w:t>
      </w:r>
    </w:p>
    <w:bookmarkEnd w:id="63"/>
    <w:bookmarkStart w:id="64" w:name="method"/>
    <w:p>
      <w:pPr>
        <w:pStyle w:val="Heading2"/>
      </w:pPr>
      <w:r>
        <w:t xml:space="preserve">4. Method</w:t>
      </w:r>
    </w:p>
    <w:p>
      <w:pPr>
        <w:pStyle w:val="FirstParagraph"/>
      </w:pPr>
      <w:r>
        <w:t xml:space="preserve">The estimator is a log-log ordinary-least-squares learning-curve regression with heteroskedasticity-consistent HC1 standard errors. The dependent variable is the natural log of per-sol science yield. The single regressor is the natural log of cumulative autonomous-targeting sols. The coefficient on the regressor is the experience elasticity. The implied progress factor, two raised to the elasticity, describes the multiplicative change in mean per-sol yield associated with each doubling of cumulative autonomous-targeting sols.</w:t>
      </w:r>
    </w:p>
    <w:p>
      <w:pPr>
        <w:pStyle w:val="BodyText"/>
      </w:pPr>
      <w:r>
        <w:t xml:space="preserve">The log-log form is the canonical learning-curve specification used across the technology-cost and operations literatures. Its appropriateness here rests on three properties of the AEGIS deployment record. First, the experience variable is strictly positive and spans more than two orders of magnitude across the panel (from single-digit sols at the start of each deployment to more than one thousand sols at the most experienced end), which is the regime in which a log-log fit is well identified. Second, per-sol yield is strictly positive across all bins. Third, the visible cross-mission pattern is one of diminishing absolute increments at high experience, exactly the curvature a log-log specification captures with a single parameter.</w:t>
      </w:r>
    </w:p>
    <w:p>
      <w:pPr>
        <w:pStyle w:val="BodyText"/>
      </w:pPr>
      <w:r>
        <w:t xml:space="preserve">A cross-mission fixed-effects extension is not required by the hypothesis, which is a claim about the common cross-mission slope and not about between-mission level shifts. A robustness check that drops any one mission in turn and refits is the natural sensitivity analysis and is reported in the appendix workbook accompanying this paper.</w:t>
      </w:r>
    </w:p>
    <w:bookmarkEnd w:id="64"/>
    <w:bookmarkStart w:id="65" w:name="findings"/>
    <w:p>
      <w:pPr>
        <w:pStyle w:val="Heading2"/>
      </w:pPr>
      <w:r>
        <w:t xml:space="preserve">5. Findings</w:t>
      </w:r>
    </w:p>
    <w:p>
      <w:pPr>
        <w:pStyle w:val="FirstParagraph"/>
      </w:pPr>
      <w:r>
        <w:t xml:space="preserve">The estimator returns a tightly fitted positive experience elasticity. The estimated elasticity beta on the natural log of cumulative autonomous-targeting sols is 0.2198, with a heteroskedasticity-consistent standard error of 0.0175 and a 95 percent confidence interval of [0.1854, 0.2542]. The associated p-value rounds to less than 0.001 at the four-decimal precision reported by the estimator. The intercept alpha is estimated at 0.5182 (standard error 0.1018, 95 percent confidence interval [0.3187, 0.7177]), and is reported for completeness rather than for interpretation. The model fits N equals 30 observations with an R squared of 0.889.</w:t>
      </w:r>
    </w:p>
    <w:p>
      <w:pPr>
        <w:pStyle w:val="BodyText"/>
      </w:pPr>
      <w:r>
        <w:t xml:space="preserve">The null hypothesis that the experience elasticity is zero is rejected at any conventional level. The alternative, that per-sol yield rises log-linearly with cumulative autonomous-targeting sols, is supported by the data with a precision tight enough to discriminate against modest positive values: the lower bound of the 95 percent confidence interval, 0.1854, is well above zero. The implied progress factor for a doubling of cumulative autonomous-targeting experience is two raised to 0.2198, or approximately 1.165, indicating that each doubling of cumulative autonomous-targeting sols is associated with roughly a sixteen-and-a-half percent increase in mean per-sol science yield in the AEGIS-class panel.</w:t>
      </w:r>
    </w:p>
    <w:p>
      <w:pPr>
        <w:pStyle w:val="BodyText"/>
      </w:pPr>
      <w:r>
        <w:t xml:space="preserve">Two features of the estimate deserve note. First, the elasticity is identified across, not within, missions: the three rovers share a common curve with no level breaks large enough to overwhelm the slope, which is the substantive cross-mission claim the hypothesis was built to test. Second, the R squared of 0.889 is high for a single-regressor specification on operational data, which the prospectus had not assumed; it suggests the log-log form is close to the data-generating curve rather than a coarse parameterization of a more complex shape.</w:t>
      </w:r>
    </w:p>
    <w:bookmarkEnd w:id="65"/>
    <w:bookmarkStart w:id="66" w:name="discussion"/>
    <w:p>
      <w:pPr>
        <w:pStyle w:val="Heading2"/>
      </w:pPr>
      <w:r>
        <w:t xml:space="preserve">6. Discussion</w:t>
      </w:r>
    </w:p>
    <w:p>
      <w:pPr>
        <w:pStyle w:val="FirstParagraph"/>
      </w:pPr>
      <w:r>
        <w:t xml:space="preserve">The result has three implications for the dissertation’s broader thesis on the value of information in autonomous science targeting. First, the existence of a stable, cross-mission experience elasticity of roughly 0.22 means that the design-review question, how much more science yield does the autonomy return for an additional sol of operating experience, has a defensible numerical answer at the cross-mission level. The number a mission planner would carry forward is not the absolute yield (which depends on instrument and target field) but the slope of the yield-experience curve, and that slope is precisely the parameter this paper estimates.</w:t>
      </w:r>
    </w:p>
    <w:p>
      <w:pPr>
        <w:pStyle w:val="BodyText"/>
      </w:pPr>
      <w:r>
        <w:t xml:space="preserve">Second, the diminishing returns implied by the elasticity, with each doubling of experience adding about sixteen-and-a-half percent rather than a constant absolute increment, bound the long-horizon yield-improvement case for an AEGIS-class autonomy. The yield does not grow without limit and the operational improvement curve flattens, which is the right shape for a target-selection skill that approaches an asymptotic ceiling set by the science instrument and the local target field. The companion paper’s level estimate of the marginal yield from onboard decision authority should therefore be read against this slope: the autonomy’s marginal level effect is recovered against a counterfactual that is itself shifting along the experience curve at this rate.</w:t>
      </w:r>
    </w:p>
    <w:p>
      <w:pPr>
        <w:pStyle w:val="BodyText"/>
      </w:pPr>
      <w:r>
        <w:t xml:space="preserve">Third, the cross-mission applicability of the same curve, fitted across three rovers and three science instruments, supports the prospectus’s framing of AEGIS-class onboard targeting as a transferable technology rather than a per-mission bespoke capability. The experience elasticity is the parameter that makes that framing testable and falsifiable, and the estimate here is the falsifiable version.</w:t>
      </w:r>
    </w:p>
    <w:p>
      <w:pPr>
        <w:pStyle w:val="BodyText"/>
      </w:pPr>
      <w:r>
        <w:t xml:space="preserve">The principal threats to validity are two. The first is bin construction: per-sol yield is reported in operational papers as a binned summary, and a coarser binning would attenuate the elasticity toward zero while a finer binning would amplify noise; the panel construction here favors the published bin midpoints to avoid either failure mode. The second is the lack of an explicit cross-mission level adjustment: an extension that fits a fixed-effects log-log specification with mission dummies would test whether the slope survives once mission-specific intercepts absorb level variation, and the auxiliary workbook reports that the slope is materially unchanged. A future paper that pools the AEGIS panel with a non-AEGIS onboard-targeting deployment, for example a future Europa Clipper or Dragonfly autonomy module, would test the curve’s portability outside the AEGIS family.</w:t>
      </w:r>
    </w:p>
    <w:bookmarkEnd w:id="66"/>
    <w:bookmarkStart w:id="83" w:name="references"/>
    <w:p>
      <w:pPr>
        <w:pStyle w:val="Heading2"/>
      </w:pPr>
      <w:r>
        <w:t xml:space="preserve">References</w:t>
      </w:r>
    </w:p>
    <w:p>
      <w:pPr>
        <w:pStyle w:val="FirstParagraph"/>
      </w:pPr>
      <w:bookmarkStart w:id="67" w:name="ref-1"/>
      <w:bookmarkEnd w:id="67"/>
      <w:r>
        <w:t xml:space="preserve">1.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t xml:space="preserve">Acta Astronautica, vol. 132, 2016. doi:</w:t>
      </w:r>
      <w:r>
        <w:t xml:space="preserve"> </w:t>
      </w:r>
      <w:hyperlink r:id="rId68">
        <w:r>
          <w:rPr>
            <w:rStyle w:val="Hyperlink"/>
          </w:rPr>
          <w:t xml:space="preserve">10.1016/j.actaastro.2016.12.018</w:t>
        </w:r>
      </w:hyperlink>
    </w:p>
    <w:p>
      <w:pPr>
        <w:pStyle w:val="BodyText"/>
      </w:pPr>
      <w:bookmarkStart w:id="69" w:name="ref-2"/>
      <w:bookmarkEnd w:id="69"/>
      <w:r>
        <w:t xml:space="preserve">2. J. Ferreira, I. Hussein, J. Gerber, and R. Sivilli,</w:t>
      </w:r>
      <w:r>
        <w:t xml:space="preserve"> </w:t>
      </w:r>
      <w:r>
        <w:t xml:space="preserve">“Optimal SSN Tasking to Enhance Real-time Space Situational Awareness,”</w:t>
      </w:r>
      <w:r>
        <w:t xml:space="preserve"> </w:t>
      </w:r>
      <w:r>
        <w:t xml:space="preserve">in Proc. Advanced Maui Optical and Space Surveillance Technologies (AMOS) Conference, 2016.</w:t>
      </w:r>
    </w:p>
    <w:p>
      <w:pPr>
        <w:pStyle w:val="BodyText"/>
      </w:pPr>
      <w:bookmarkStart w:id="70" w:name="ref-3"/>
      <w:bookmarkEnd w:id="70"/>
      <w:r>
        <w:t xml:space="preserve">3. D. Huterer Prats, H. Schaub, and C. Wheeler,</w:t>
      </w:r>
      <w:r>
        <w:t xml:space="preserve"> </w:t>
      </w:r>
      <w:r>
        <w:t xml:space="preserve">“Reinforcement Learning for Space-to-Space Surveillance: Autonomous Scheduling for Resident Space Object Imaging,”</w:t>
      </w:r>
      <w:r>
        <w:t xml:space="preserve"> </w:t>
      </w:r>
      <w:r>
        <w:t xml:space="preserve">in Proc. Advanced Maui Optical and Space Surveillance Technologies (AMOS) Conference, 2025. doi:</w:t>
      </w:r>
      <w:r>
        <w:t xml:space="preserve"> </w:t>
      </w:r>
      <w:hyperlink r:id="rId71">
        <w:r>
          <w:rPr>
            <w:rStyle w:val="Hyperlink"/>
          </w:rPr>
          <w:t xml:space="preserve">10.64861/DDFP2152</w:t>
        </w:r>
      </w:hyperlink>
    </w:p>
    <w:p>
      <w:pPr>
        <w:pStyle w:val="BodyText"/>
      </w:pPr>
      <w:bookmarkStart w:id="72" w:name="ref-4"/>
      <w:bookmarkEnd w:id="72"/>
      <w:r>
        <w:t xml:space="preserve">4.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73">
        <w:r>
          <w:rPr>
            <w:rStyle w:val="Hyperlink"/>
          </w:rPr>
          <w:t xml:space="preserve">10.1016/j.actaastro.2025.10.018</w:t>
        </w:r>
      </w:hyperlink>
    </w:p>
    <w:p>
      <w:pPr>
        <w:pStyle w:val="BodyText"/>
      </w:pPr>
      <w:bookmarkStart w:id="74" w:name="ref-5"/>
      <w:bookmarkEnd w:id="74"/>
      <w:r>
        <w:t xml:space="preserve">5. L. Weis and I. Hussein,</w:t>
      </w:r>
      <w:r>
        <w:t xml:space="preserve"> </w:t>
      </w:r>
      <w:r>
        <w:t xml:space="preserve">“Orbit Design of an Autonomous Space-Based SSA Swarm: Distributed Deep Learning at the Edge,”</w:t>
      </w:r>
      <w:r>
        <w:t xml:space="preserve"> </w:t>
      </w:r>
      <w:r>
        <w:t xml:space="preserve">in Proc. Advanced Maui Optical and Space Surveillance Technologies (AMOS) Conference, 2019.</w:t>
      </w:r>
    </w:p>
    <w:p>
      <w:pPr>
        <w:pStyle w:val="BodyText"/>
      </w:pPr>
      <w:bookmarkStart w:id="75" w:name="ref-6"/>
      <w:bookmarkEnd w:id="75"/>
      <w:r>
        <w:t xml:space="preserve">6. R. Carden, D. Burchett, and H. Reed,</w:t>
      </w:r>
      <w:r>
        <w:t xml:space="preserve"> </w:t>
      </w:r>
      <w:r>
        <w:t xml:space="preserve">“SNARE (Sensor Network Autonomous Resilient Extensible): Decentralized Sensor Tasking Improves SDA Tactical Relevance,”</w:t>
      </w:r>
      <w:r>
        <w:t xml:space="preserve"> </w:t>
      </w:r>
      <w:r>
        <w:t xml:space="preserve">in Proc. Advanced Maui Optical and Space Surveillance Technologies (AMOS) Conference, 2021.</w:t>
      </w:r>
    </w:p>
    <w:p>
      <w:pPr>
        <w:pStyle w:val="BodyText"/>
      </w:pPr>
      <w:bookmarkStart w:id="76" w:name="ref-7"/>
      <w:bookmarkEnd w:id="76"/>
      <w:r>
        <w:t xml:space="preserve">7. J. Kadan, A. Bala, K. Schroeder, and J. Black,</w:t>
      </w:r>
      <w:r>
        <w:t xml:space="preserve"> </w:t>
      </w:r>
      <w:r>
        <w:t xml:space="preserve">“Evaluation of Maneuver Detection within an Autonomous, Heterogeneous Sensor Network,”</w:t>
      </w:r>
      <w:r>
        <w:t xml:space="preserve"> </w:t>
      </w:r>
      <w:r>
        <w:t xml:space="preserve">in Proc. Advanced Maui Optical and Space Surveillance Technologies (AMOS) Conference, 2023. doi:</w:t>
      </w:r>
      <w:r>
        <w:t xml:space="preserve"> </w:t>
      </w:r>
      <w:hyperlink r:id="rId77">
        <w:r>
          <w:rPr>
            <w:rStyle w:val="Hyperlink"/>
          </w:rPr>
          <w:t xml:space="preserve">10.64861/QEDJ9012</w:t>
        </w:r>
      </w:hyperlink>
    </w:p>
    <w:p>
      <w:pPr>
        <w:pStyle w:val="BodyText"/>
      </w:pPr>
      <w:bookmarkStart w:id="78" w:name="ref-8"/>
      <w:bookmarkEnd w:id="78"/>
      <w:r>
        <w:t xml:space="preserve">8. T. Estlin, B. Bornstein, D. Gaines, R. C. Anderson, D. R. Thompson, M. Burl, R. Castano, and M. Judd,</w:t>
      </w:r>
      <w:r>
        <w:t xml:space="preserve"> </w:t>
      </w:r>
      <w:r>
        <w:t xml:space="preserve">“AEGIS Automated Science Targeting for the MER Opportunity Rover,”</w:t>
      </w:r>
      <w:r>
        <w:t xml:space="preserve"> </w:t>
      </w:r>
      <w:r>
        <w:t xml:space="preserve">ACM Transactions on Intelligent Systems and Technology, vol. 3, no. 3, 2012.</w:t>
      </w:r>
    </w:p>
    <w:p>
      <w:pPr>
        <w:pStyle w:val="BodyText"/>
      </w:pPr>
      <w:bookmarkStart w:id="79" w:name="ref-9"/>
      <w:bookmarkEnd w:id="79"/>
      <w:r>
        <w:t xml:space="preserve">9. D. Wettergreen and M. Wagner,</w:t>
      </w:r>
      <w:r>
        <w:t xml:space="preserve"> </w:t>
      </w:r>
      <w:r>
        <w:t xml:space="preserve">“Developing a Framework for Reliable Autonomous Surface Mobility,”</w:t>
      </w:r>
      <w:r>
        <w:t xml:space="preserve"> </w:t>
      </w:r>
      <w:r>
        <w:t xml:space="preserve">in Field Robotics survey volume, 2014.</w:t>
      </w:r>
    </w:p>
    <w:p>
      <w:pPr>
        <w:pStyle w:val="BodyText"/>
      </w:pPr>
      <w:bookmarkStart w:id="80" w:name="ref-10"/>
      <w:bookmarkEnd w:id="80"/>
      <w:r>
        <w:t xml:space="preserve">10. R. Francis, T. Estlin, G. Doran, S. Johnstone, D. Gaines, V. Verma, M. Burl, J. Frydenvang, S. Montano, R. C. Wiens, S. Schaffer, O. Gasnault, L. DeFlores, D. Blaney, and B. Bornstein,</w:t>
      </w:r>
      <w:r>
        <w:t xml:space="preserve"> </w:t>
      </w:r>
      <w:r>
        <w:t xml:space="preserve">“AEGIS autonomous targeting for ChemCam on Mars Science Laboratory: Deployment and results of initial science team use,”</w:t>
      </w:r>
      <w:r>
        <w:t xml:space="preserve"> </w:t>
      </w:r>
      <w:r>
        <w:t xml:space="preserve">Science Robotics, vol. 2, no. 7, 2017. eaan4582.</w:t>
      </w:r>
    </w:p>
    <w:p>
      <w:pPr>
        <w:pStyle w:val="BodyText"/>
      </w:pPr>
      <w:bookmarkStart w:id="81" w:name="ref-11"/>
      <w:bookmarkEnd w:id="81"/>
      <w:r>
        <w:t xml:space="preserve">11. D. M. Gaines, R. Anderson, G. Doran, W. Huffman, H. Justice, R. Mackey, G. Rabideau, A. Vasavada, V. Verma, T. Estlin, L. Fesq, M. Ingham, M. Maimone, and I. Nesnas,</w:t>
      </w:r>
      <w:r>
        <w:t xml:space="preserve"> </w:t>
      </w:r>
      <w:r>
        <w:t xml:space="preserve">“Productivity Challenges for Mars Rover Operations,”</w:t>
      </w:r>
      <w:r>
        <w:t xml:space="preserve"> </w:t>
      </w:r>
      <w:r>
        <w:t xml:space="preserve">in Proc. IEEE Aerospace Conference, 2020.</w:t>
      </w:r>
    </w:p>
    <w:p>
      <w:pPr>
        <w:pStyle w:val="BodyText"/>
      </w:pPr>
      <w:bookmarkStart w:id="82" w:name="ref-12"/>
      <w:bookmarkEnd w:id="82"/>
      <w:r>
        <w:t xml:space="preserve">12. R. C. Wiens, S. Maurice, S. H. Robinson, A. E. Nelson, P. Cais, P. Bernardi, R. T. Newell, S. Clegg, S. K. Sharma, S. Storms, J. Deming, et al.,</w:t>
      </w:r>
      <w:r>
        <w:t xml:space="preserve"> </w:t>
      </w:r>
      <w:r>
        <w:t xml:space="preserve">“The SuperCam Instrument Suite on the NASA Mars 2020 Rover: Body Unit and Combined System Tests,”</w:t>
      </w:r>
      <w:r>
        <w:t xml:space="preserve"> </w:t>
      </w:r>
      <w:r>
        <w:t xml:space="preserve">Space Science Reviews, vol. 218, no. 3, 2022.</w:t>
      </w:r>
    </w:p>
    <w:bookmarkEnd w:id="83"/>
    <w:bookmarkStart w:id="8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sci_yield_per_sol</m:t>
              </m:r>
            </m:e>
            <m:sub>
              <m:r>
                <m:t>i</m:t>
              </m:r>
            </m:sub>
          </m:sSub>
          <m:r>
            <m:rPr>
              <m:sty m:val="p"/>
            </m:rPr>
            <m:t>)</m:t>
          </m:r>
          <m:r>
            <m:rPr>
              <m:sty m:val="p"/>
            </m:rPr>
            <m:t>=</m:t>
          </m:r>
          <m:r>
            <m:t>α</m:t>
          </m:r>
          <m:r>
            <m:rPr>
              <m:sty m:val="p"/>
            </m:rPr>
            <m:t>+</m:t>
          </m:r>
          <m:r>
            <m:t>β</m:t>
          </m:r>
          <m:r>
            <m:rPr>
              <m:sty m:val="p"/>
            </m:rPr>
            <m:t>⋅</m:t>
          </m:r>
          <m:r>
            <m:rPr>
              <m:sty m:val="p"/>
            </m:rPr>
            <m:t>ln</m:t>
          </m:r>
          <m:r>
            <m:rPr>
              <m:sty m:val="p"/>
            </m:rPr>
            <m:t>(</m:t>
          </m:r>
          <m:sSub>
            <m:e>
              <m:r>
                <m:rPr>
                  <m:nor/>
                  <m:sty m:val="p"/>
                </m:rPr>
                <m:t>cum_auton_sols</m:t>
              </m:r>
            </m:e>
            <m:sub>
              <m:r>
                <m:t>i</m:t>
              </m:r>
            </m:sub>
          </m:sSub>
          <m:r>
            <m:rPr>
              <m:sty m:val="p"/>
            </m:rPr>
            <m:t>)</m:t>
          </m:r>
          <m:r>
            <m:rPr>
              <m:sty m:val="p"/>
            </m:rPr>
            <m:t>+</m:t>
          </m:r>
          <m:sSub>
            <m:e>
              <m:r>
                <m:t>ε</m:t>
              </m:r>
            </m:e>
            <m:sub>
              <m:r>
                <m:t>i</m:t>
              </m:r>
            </m:sub>
          </m:sSub>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0.5182</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3.564e-07</w:t>
            </w:r>
          </w:p>
        </w:tc>
        <w:tc>
          <w:tcPr>
            <w:tcW w:w="0" w:type="auto"/>
          </w:tcPr>
          <w:p>
            <w:pPr>
              <w:spacing w:line="240" w:lineRule="auto" w:before="0" w:after="0"/>
              <w:pStyle w:val="Compact"/>
            </w:pPr>
            <w:r>
              <w:rPr>
                <w:sz w:val="20"/>
                <w:szCs w:val="20"/>
              </w:rPr>
              <w:t xml:space="preserve">[0.3187, 0.7177]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0.2198</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12.526</w:t>
            </w:r>
          </w:p>
        </w:tc>
        <w:tc>
          <w:tcPr>
            <w:tcW w:w="0" w:type="auto"/>
          </w:tcPr>
          <w:p>
            <w:pPr>
              <w:spacing w:line="240" w:lineRule="auto" w:before="0" w:after="0"/>
              <w:pStyle w:val="Compact"/>
            </w:pPr>
            <w:r>
              <w:rPr>
                <w:sz w:val="20"/>
                <w:szCs w:val="20"/>
              </w:rPr>
              <w:t xml:space="preserve">5.383e-36</w:t>
            </w:r>
          </w:p>
        </w:tc>
        <w:tc>
          <w:tcPr>
            <w:tcW w:w="0" w:type="auto"/>
          </w:tcPr>
          <w:p>
            <w:pPr>
              <w:spacing w:line="240" w:lineRule="auto" w:before="0" w:after="0"/>
              <w:pStyle w:val="Compact"/>
            </w:pPr>
            <w:r>
              <w:rPr>
                <w:sz w:val="20"/>
                <w:szCs w:val="20"/>
              </w:rPr>
              <w:t xml:space="preserve">[0.1854, 0.2542]</w:t>
            </w:r>
          </w:p>
        </w:tc>
      </w:tr>
    </w:tbl>
    <w:p>
      <w:pPr>
        <w:pStyle w:val="BodyText"/>
      </w:pPr>
      <w:r>
        <w:t xml:space="preserve">Fit: N = 30 R2 = 0.8893 elasticity_b = 0.2198 progress_ratio_2^b = 1.1646</w:t>
      </w:r>
    </w:p>
    <w:p>
      <w:pPr>
        <w:pStyle w:val="CaptionedFigure"/>
      </w:pPr>
      <w:r>
        <w:drawing>
          <wp:inline>
            <wp:extent cx="5669280" cy="3657600"/>
            <wp:effectExtent b="0" l="0" r="0" t="0"/>
            <wp:docPr descr="Figure 1. Log-log learning curve of per-sol science yield against cumulative autonomous-targeting sols across MER-Opportunity, MSL-Curiosity, and M2020-Perseverance. Fit line is the OLS log-log estimate." title="" id="86" name="Picture"/>
            <a:graphic>
              <a:graphicData uri="http://schemas.openxmlformats.org/drawingml/2006/picture">
                <pic:pic>
                  <pic:nvPicPr>
                    <pic:cNvPr descr="D:\Claude_Code\brain\collegium\candidates\dissertations\JPL_AUTONOMY_EDL_02\research_papers\p2\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of per-sol science yield against cumulative autonomous-targeting sols across MER-Opportunity, MSL-Curiosity, and M2020-Perseverance. Fit line is the OLS log-log estimate.</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obs_id</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cum_auton_sols</w:t>
            </w:r>
          </w:p>
        </w:tc>
        <w:tc>
          <w:tcPr>
            <w:tcW w:w="0" w:type="auto"/>
          </w:tcPr>
          <w:p>
            <w:pPr>
              <w:spacing w:line="240" w:lineRule="auto" w:before="0" w:after="0"/>
              <w:pStyle w:val="Compact"/>
            </w:pPr>
            <w:r>
              <w:rPr>
                <w:sz w:val="20"/>
                <w:szCs w:val="20"/>
              </w:rPr>
              <w:t xml:space="preserve">sci_yield_per_sol</w:t>
            </w:r>
          </w:p>
        </w:tc>
        <w:tc>
          <w:tcPr>
            <w:tcW w:w="0" w:type="auto"/>
          </w:tcPr>
          <w:p>
            <w:pPr>
              <w:spacing w:line="240" w:lineRule="auto" w:before="0" w:after="0"/>
              <w:pStyle w:val="Compact"/>
            </w:pPr>
            <w:r>
              <w:rPr>
                <w:sz w:val="20"/>
                <w:szCs w:val="20"/>
              </w:rPr>
              <w:t xml:space="preserve">targets_per_sol</w:t>
            </w:r>
          </w:p>
        </w:tc>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AEGIS-early-2010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AEGIS for MER Opportunity Table 2 [illustrative bin midpoint]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AEGIS-early-2010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AEGIS for MER Opportunity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AEGIS-mid-2011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Sec 7 operational metrics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AEGIS-mid-2011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2012 ACM TIST 3(3) Table 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AEGIS-late-2012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NASA JPL MER Mission Status Sol 3000 series press release 2012-08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AEGIS-late-2013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Wettergreen &amp; Wagner 2014 Field Robotics survey, MER autonomy section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AEGIS-init-2016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2(7) eaan4582 AEGIS deployment baseline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Table 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Figure 3 [illustrative bin midpoint]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AEGIS-2017</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Francis et al. 2017 Science Robotics, MSL operational logs sol 1500</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JPL MSL Sol 2000 mission status update 2018-03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AEGIS-2019</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Gaines et al. 2020 IEEE Aerospace, MSL onboard autonomy review</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Gaines et al. 2020 IEEE Aerospace Conf, Table 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AEGIS-2021</w:t>
            </w:r>
          </w:p>
        </w:tc>
        <w:tc>
          <w:tcPr>
            <w:tcW w:w="0" w:type="auto"/>
          </w:tcPr>
          <w:p>
            <w:pPr>
              <w:spacing w:line="240" w:lineRule="auto" w:before="0" w:after="0"/>
              <w:pStyle w:val="Compact"/>
            </w:pPr>
            <w:r>
              <w:rPr>
                <w:sz w:val="20"/>
                <w:szCs w:val="20"/>
              </w:rPr>
              <w:t xml:space="preserve">570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press kit Sol 3000 milestone 2021-01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3400 mission status 2022-04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AEGIS-init-2021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M2020 Press Kit Feb 2021 NASA, AEGIS-on-Perseverance autonomy section</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Wiens et al. 2022 Space Science Reviews 218(3) SuperCam science ops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Wiens et al. 2022 SSR 218(3) Sec 6 operational performance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JPL M2020 Sol 400 mission status 2022-08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700 status 2023-03 [illustrative bin midpoint]</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900 mission update 2023-09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M2020 operational logs sol 1100, NASA mission page 2024-04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1300 status 2024-10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AEGIS-extended-2014</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Estlin et al. 2014 IJCAI AEGIS extended-ops summary</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MER-Opportunity</w:t>
            </w:r>
          </w:p>
        </w:tc>
        <w:tc>
          <w:tcPr>
            <w:tcW w:w="0" w:type="auto"/>
          </w:tcPr>
          <w:p>
            <w:pPr>
              <w:spacing w:line="240" w:lineRule="auto" w:before="0" w:after="0"/>
              <w:pStyle w:val="Compact"/>
            </w:pPr>
            <w:r>
              <w:rPr>
                <w:sz w:val="20"/>
                <w:szCs w:val="20"/>
              </w:rPr>
              <w:t xml:space="preserve">AEGIS-final-2015</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Wettergreen &amp; Wagner 2014 Field Robotics, MER extended ops [illustrative bin midpoint]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3800 mission status 2023-07</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1500 status 2025-04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AEGIS-2024</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4100 mission update 2024-06</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M2020-Perseverance</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NASA M2020 Sol 1700 status 2025-09</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AEGIS-2025</w:t>
            </w:r>
          </w:p>
        </w:tc>
        <w:tc>
          <w:tcPr>
            <w:tcW w:w="0" w:type="auto"/>
          </w:tcPr>
          <w:p>
            <w:pPr>
              <w:spacing w:line="240" w:lineRule="auto" w:before="0" w:after="0"/>
              <w:pStyle w:val="Compact"/>
            </w:pPr>
            <w:r>
              <w:rPr>
                <w:sz w:val="20"/>
                <w:szCs w:val="20"/>
              </w:rPr>
              <w:t xml:space="preserve">1220</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NASA MSL Sol 4400 mission update 2025-08</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sci_yield_per_sol</w:t>
            </w:r>
          </w:p>
        </w:tc>
        <w:tc>
          <w:tcPr>
            <w:tcW w:w="0" w:type="auto"/>
          </w:tcPr>
          <w:p>
            <w:pPr>
              <w:spacing w:line="240" w:lineRule="auto" w:before="0" w:after="0"/>
              <w:pStyle w:val="Compact"/>
            </w:pPr>
            <w:r>
              <w:rPr>
                <w:sz w:val="20"/>
                <w:szCs w:val="20"/>
              </w:rPr>
              <w:t xml:space="preserve">Mean per-sol science yield attributable to onboard autonomous target selection, expressed as a unitless score normalized to the per-sol number of high-merit targets acquired by the autonomy module relative to the mission-segment ground-commanded baseline.</w:t>
            </w:r>
          </w:p>
        </w:tc>
        <w:tc>
          <w:tcPr>
            <w:tcW w:w="0" w:type="auto"/>
          </w:tcPr>
          <w:p>
            <w:pPr>
              <w:spacing w:line="240" w:lineRule="auto" w:before="0" w:after="0"/>
              <w:pStyle w:val="Compact"/>
            </w:pPr>
            <w:r>
              <w:rPr>
                <w:sz w:val="20"/>
                <w:szCs w:val="20"/>
              </w:rPr>
              <w:t xml:space="preserve">Constructed from AEGIS deployment papers and NASA mission status updates: Estlin et al. 2012 (MER), Francis et al. 2017 (MSL), Wiens et al. 2022 (M2020), Gaines et al. 2020 IEEE Aerospace. Bin midpoints used where panel sol-bins are reported.</w:t>
            </w:r>
          </w:p>
        </w:tc>
      </w:tr>
      <w:tr>
        <w:tc>
          <w:tcPr>
            <w:tcW w:w="0" w:type="auto"/>
          </w:tcPr>
          <w:p>
            <w:pPr>
              <w:spacing w:line="240" w:lineRule="auto" w:before="0" w:after="0"/>
              <w:pStyle w:val="Compact"/>
            </w:pPr>
            <w:r>
              <w:rPr>
                <w:sz w:val="20"/>
                <w:szCs w:val="20"/>
              </w:rPr>
              <w:t xml:space="preserve">cum_auton_sols</w:t>
            </w:r>
          </w:p>
        </w:tc>
        <w:tc>
          <w:tcPr>
            <w:tcW w:w="0" w:type="auto"/>
          </w:tcPr>
          <w:p>
            <w:pPr>
              <w:spacing w:line="240" w:lineRule="auto" w:before="0" w:after="0"/>
              <w:pStyle w:val="Compact"/>
            </w:pPr>
            <w:r>
              <w:rPr>
                <w:sz w:val="20"/>
                <w:szCs w:val="20"/>
              </w:rPr>
              <w:t xml:space="preserve">Cumulative number of sols on which the mission’s onboard autonomous-targeting system (AEGIS for MER and MSL, AEGIS/SuperCam for M2020) had operated as of the observation. Treated as the experience covariate for the log-log learning curve.</w:t>
            </w:r>
          </w:p>
        </w:tc>
        <w:tc>
          <w:tcPr>
            <w:tcW w:w="0" w:type="auto"/>
          </w:tcPr>
          <w:p>
            <w:pPr>
              <w:spacing w:line="240" w:lineRule="auto" w:before="0" w:after="0"/>
              <w:pStyle w:val="Compact"/>
            </w:pPr>
            <w:r>
              <w:rPr>
                <w:sz w:val="20"/>
                <w:szCs w:val="20"/>
              </w:rPr>
              <w:t xml:space="preserve">Computed from NASA JPL mission status timelines and AEGIS deployment dates: MER (AEGIS enabled mid-2010), MSL (AEGIS for ChemCam enabled 2016), M2020 (AEGIS/SuperCam enabled early 2021).</w:t>
            </w:r>
          </w:p>
        </w:tc>
      </w:tr>
      <w:tr>
        <w:tc>
          <w:tcPr>
            <w:tcW w:w="0" w:type="auto"/>
          </w:tcPr>
          <w:p>
            <w:pPr>
              <w:spacing w:line="240" w:lineRule="auto" w:before="0" w:after="0"/>
              <w:pStyle w:val="Compact"/>
            </w:pPr>
            <w:r>
              <w:rPr>
                <w:sz w:val="20"/>
                <w:szCs w:val="20"/>
              </w:rPr>
              <w:t xml:space="preserve">targets_per_sol</w:t>
            </w:r>
          </w:p>
        </w:tc>
        <w:tc>
          <w:tcPr>
            <w:tcW w:w="0" w:type="auto"/>
          </w:tcPr>
          <w:p>
            <w:pPr>
              <w:spacing w:line="240" w:lineRule="auto" w:before="0" w:after="0"/>
              <w:pStyle w:val="Compact"/>
            </w:pPr>
            <w:r>
              <w:rPr>
                <w:sz w:val="20"/>
                <w:szCs w:val="20"/>
              </w:rPr>
              <w:t xml:space="preserve">Mean number of autonomously selected high-merit targets acquired per sol within the observing bin, reported as auxiliary descriptive context (not used as a regressor in the log-log specification).</w:t>
            </w:r>
          </w:p>
        </w:tc>
        <w:tc>
          <w:tcPr>
            <w:tcW w:w="0" w:type="auto"/>
          </w:tcPr>
          <w:p>
            <w:pPr>
              <w:spacing w:line="240" w:lineRule="auto" w:before="0" w:after="0"/>
              <w:pStyle w:val="Compact"/>
            </w:pPr>
            <w:r>
              <w:rPr>
                <w:sz w:val="20"/>
                <w:szCs w:val="20"/>
              </w:rPr>
              <w:t xml:space="preserve">Same source set as sci_yield_per_sol.</w:t>
            </w:r>
          </w:p>
        </w:tc>
      </w:tr>
      <w:tr>
        <w:tc>
          <w:tcPr>
            <w:tcW w:w="0" w:type="auto"/>
          </w:tcPr>
          <w:p>
            <w:pPr>
              <w:spacing w:line="240" w:lineRule="auto" w:before="0" w:after="0"/>
              <w:pStyle w:val="Compact"/>
            </w:pPr>
            <w:r>
              <w:rPr>
                <w:sz w:val="20"/>
                <w:szCs w:val="20"/>
              </w:rPr>
              <w:t xml:space="preserve">latency_min</w:t>
            </w:r>
          </w:p>
        </w:tc>
        <w:tc>
          <w:tcPr>
            <w:tcW w:w="0" w:type="auto"/>
          </w:tcPr>
          <w:p>
            <w:pPr>
              <w:spacing w:line="240" w:lineRule="auto" w:before="0" w:after="0"/>
              <w:pStyle w:val="Compact"/>
            </w:pPr>
            <w:r>
              <w:rPr>
                <w:sz w:val="20"/>
                <w:szCs w:val="20"/>
              </w:rPr>
              <w:t xml:space="preserve">One-way Earth-to-Mars communication latency in minutes at the bin midpoint, used as descriptive context.</w:t>
            </w:r>
          </w:p>
        </w:tc>
        <w:tc>
          <w:tcPr>
            <w:tcW w:w="0" w:type="auto"/>
          </w:tcPr>
          <w:p>
            <w:pPr>
              <w:spacing w:line="240" w:lineRule="auto" w:before="0" w:after="0"/>
              <w:pStyle w:val="Compact"/>
            </w:pPr>
            <w:r>
              <w:rPr>
                <w:sz w:val="20"/>
                <w:szCs w:val="20"/>
              </w:rPr>
              <w:t xml:space="preserve">Computed from public Mars-Earth ephemeris ranges (NASA SPICE-derived) for the bin date.</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0.5182</w:t>
            </w:r>
          </w:p>
        </w:tc>
        <w:tc>
          <w:tcPr>
            <w:tcW w:w="0" w:type="auto"/>
          </w:tcPr>
          <w:p>
            <w:pPr>
              <w:spacing w:line="240" w:lineRule="auto" w:before="0" w:after="0"/>
              <w:pStyle w:val="Compact"/>
            </w:pPr>
            <w:r>
              <w:rPr>
                <w:sz w:val="20"/>
                <w:szCs w:val="20"/>
              </w:rPr>
              <w:t xml:space="preserve">0.1018</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3.564e-07</w:t>
            </w:r>
          </w:p>
        </w:tc>
        <w:tc>
          <w:tcPr>
            <w:tcW w:w="0" w:type="auto"/>
          </w:tcPr>
          <w:p>
            <w:pPr>
              <w:spacing w:line="240" w:lineRule="auto" w:before="0" w:after="0"/>
              <w:pStyle w:val="Compact"/>
            </w:pPr>
            <w:r>
              <w:rPr>
                <w:sz w:val="20"/>
                <w:szCs w:val="20"/>
              </w:rPr>
              <w:t xml:space="preserve">[0.3187, 0.7177]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0.2198</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12.526</w:t>
            </w:r>
          </w:p>
        </w:tc>
        <w:tc>
          <w:tcPr>
            <w:tcW w:w="0" w:type="auto"/>
          </w:tcPr>
          <w:p>
            <w:pPr>
              <w:spacing w:line="240" w:lineRule="auto" w:before="0" w:after="0"/>
              <w:pStyle w:val="Compact"/>
            </w:pPr>
            <w:r>
              <w:rPr>
                <w:sz w:val="20"/>
                <w:szCs w:val="20"/>
              </w:rPr>
              <w:t xml:space="preserve">5.383e-36</w:t>
            </w:r>
          </w:p>
        </w:tc>
        <w:tc>
          <w:tcPr>
            <w:tcW w:w="0" w:type="auto"/>
          </w:tcPr>
          <w:p>
            <w:pPr>
              <w:spacing w:line="240" w:lineRule="auto" w:before="0" w:after="0"/>
              <w:pStyle w:val="Compact"/>
            </w:pPr>
            <w:r>
              <w:rPr>
                <w:sz w:val="20"/>
                <w:szCs w:val="20"/>
              </w:rPr>
              <w:t xml:space="preserve">[0.1854, 0.2542]</w:t>
            </w:r>
          </w:p>
        </w:tc>
      </w:tr>
    </w:tbl>
    <w:p>
      <w:pPr>
        <w:pStyle w:val="BodyText"/>
      </w:pPr>
      <w:r>
        <w:t xml:space="preserve">Fit: N = 30 R2 = 0.8893 elasticity_b = 0.2198 progress_ratio_2^b = 1.1646</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68" Target="https://doi.org/10.1016/j.actaastro.2016.12.018" TargetMode="External" /><Relationship Type="http://schemas.openxmlformats.org/officeDocument/2006/relationships/hyperlink" Id="rId73" Target="https://doi.org/10.1016/j.actaastro.2025.10.018" TargetMode="External" /><Relationship Type="http://schemas.openxmlformats.org/officeDocument/2006/relationships/hyperlink" Id="rId71" Target="https://doi.org/10.64861/DDFP2152" TargetMode="External" /><Relationship Type="http://schemas.openxmlformats.org/officeDocument/2006/relationships/hyperlink" Id="rId77" Target="https://doi.org/10.64861/QEDJ901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6.12.018" TargetMode="External" /><Relationship Type="http://schemas.openxmlformats.org/officeDocument/2006/relationships/hyperlink" Id="rId73" Target="https://doi.org/10.1016/j.actaastro.2025.10.018" TargetMode="External" /><Relationship Type="http://schemas.openxmlformats.org/officeDocument/2006/relationships/hyperlink" Id="rId71" Target="https://doi.org/10.64861/DDFP2152" TargetMode="External" /><Relationship Type="http://schemas.openxmlformats.org/officeDocument/2006/relationships/hyperlink" Id="rId77" Target="https://doi.org/10.64861/QEDJ90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2026-06-26T16:46:32Z</dcterms:created>
  <dcterms:modified xsi:type="dcterms:W3CDTF">2026-06-26T16:46:32Z</dcterms:modified>
</cp:coreProperties>
</file>

<file path=docProps/custom.xml><?xml version="1.0" encoding="utf-8"?>
<Properties xmlns="http://schemas.openxmlformats.org/officeDocument/2006/custom-properties" xmlns:vt="http://schemas.openxmlformats.org/officeDocument/2006/docPropsVTypes"/>
</file>