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28da25d2e677ef596cc42bac66afad0b3172db"/>
    <w:p>
      <w:pPr>
        <w:pStyle w:val="Heading1"/>
      </w:pPr>
      <w:r>
        <w:t xml:space="preserve">Value of Information in Autonomous Science Targeting: An OLS Estimate of Sol-Level Science Yield on Mars Surface Missions</w:t>
      </w:r>
    </w:p>
    <w:bookmarkStart w:id="61" w:name="introduction"/>
    <w:p>
      <w:pPr>
        <w:pStyle w:val="Heading2"/>
      </w:pPr>
      <w:r>
        <w:t xml:space="preserve">1. Introduction</w:t>
      </w:r>
    </w:p>
    <w:p>
      <w:pPr>
        <w:pStyle w:val="FirstParagraph"/>
      </w:pPr>
      <w:r>
        <w:t xml:space="preserve">Every Martian sol arrives with a fixed budget of time, energy, and bandwidth, and a much larger set of plausible science targets than the rover can interrogate. The operational question is not whether a target is reachable but whether the sol-level mix of human-uplinked and autonomously selected targets maximizes the science returned. The Autonomous Exploration for Gathering Increased Science (AEGIS) intelligent targeting system, deployed on Mars Science Laboratory (MSL) Curiosity from 2016 and extended to Mars 2020 Perseverance, made the value-of-information question concrete. For the first time, a quantifiable share of ChemCam and SuperCam targets each sol were chosen onboard rather than during the next planning shift on Earth [1, 2].</w:t>
      </w:r>
    </w:p>
    <w:p>
      <w:pPr>
        <w:pStyle w:val="BodyText"/>
      </w:pPr>
      <w:r>
        <w:t xml:space="preserve">This paper asks a narrow empirical question. Holding traverse distance and downlink bandwidth constant, how much per-sol science yield does the next percentage point of autonomous target share buy? The estimand is the marginal value of information ceded to the spacecraft. The setting is the only one where the question can be asked with real numbers: documented MSL, Perseverance, and Mars Exploration Rover (MER) Opportunity sol-blocks where autonomy share and downstream science use were both reported [1, 2, 3, 4].</w:t>
      </w:r>
    </w:p>
    <w:bookmarkEnd w:id="61"/>
    <w:bookmarkStart w:id="62" w:name="theory-and-hypotheses"/>
    <w:p>
      <w:pPr>
        <w:pStyle w:val="Heading2"/>
      </w:pPr>
      <w:r>
        <w:t xml:space="preserve">2. Theory and Hypotheses</w:t>
      </w:r>
    </w:p>
    <w:p>
      <w:pPr>
        <w:pStyle w:val="FirstParagraph"/>
      </w:pPr>
      <w:r>
        <w:t xml:space="preserve">Value-of-information theory frames target selection as a one-shot Bayesian decision under a tight resource constraint. Onboard autonomy raises the expected posterior value of each observation when two conditions hold: the latency cost of an uplink cycle is high relative to the variance of target quality, and the onboard classifier has a non-trivial signal about target quality [3, 5]. Both conditions are met on Mars surface missions. A typical uplink cycle is one to two sols, ChemCam and SuperCam targets differ in geochemical interest by more than measurement noise, and AEGIS’s image-based prioritization carries documented predictive content [1, 2].</w:t>
      </w:r>
    </w:p>
    <w:p>
      <w:pPr>
        <w:pStyle w:val="BodyText"/>
      </w:pPr>
      <w:r>
        <w:t xml:space="preserve">The theory predicts a positive marginal effect of autonomy share on per-sol science yield, conditional on the physical opportunity set (traverse distance) and the science return channel (downlink bandwidth). It also predicts diminishing returns, which the linear specification recovers only as an average over the observed range.</w:t>
      </w:r>
    </w:p>
    <w:p>
      <w:pPr>
        <w:pStyle w:val="BodyText"/>
      </w:pPr>
      <w:r>
        <w:rPr>
          <w:b/>
          <w:bCs/>
        </w:rPr>
        <w:t xml:space="preserve">Hypothesis H1.</w:t>
      </w:r>
      <w:r>
        <w:t xml:space="preserve"> </w:t>
      </w:r>
      <w:r>
        <w:t xml:space="preserve">Conditional on traverse distance and downlink window, the coefficient on autonomous target share in a per-sol science yield regression is positive and statistically distinguishable from zero.</w:t>
      </w:r>
    </w:p>
    <w:p>
      <w:pPr>
        <w:pStyle w:val="BodyText"/>
      </w:pPr>
      <w:r>
        <w:rPr>
          <w:b/>
          <w:bCs/>
        </w:rPr>
        <w:t xml:space="preserve">Hypothesis H2.</w:t>
      </w:r>
      <w:r>
        <w:t xml:space="preserve"> </w:t>
      </w:r>
      <w:r>
        <w:t xml:space="preserve">Downlink bandwidth has an independent positive marginal effect on yield because targets selected but never returned to Earth do not enter the science yield index.</w:t>
      </w:r>
    </w:p>
    <w:p>
      <w:pPr>
        <w:pStyle w:val="BodyText"/>
      </w:pPr>
      <w:r>
        <w:rPr>
          <w:b/>
          <w:bCs/>
        </w:rPr>
        <w:t xml:space="preserve">Hypothesis H3.</w:t>
      </w:r>
      <w:r>
        <w:t xml:space="preserve"> </w:t>
      </w:r>
      <w:r>
        <w:t xml:space="preserve">Traverse distance has a negative marginal effect on yield because driving competes with arm and remote sensing time within the same sol.</w:t>
      </w:r>
    </w:p>
    <w:bookmarkEnd w:id="62"/>
    <w:bookmarkStart w:id="63" w:name="data"/>
    <w:p>
      <w:pPr>
        <w:pStyle w:val="Heading2"/>
      </w:pPr>
      <w:r>
        <w:t xml:space="preserve">3. Data</w:t>
      </w:r>
    </w:p>
    <w:p>
      <w:pPr>
        <w:pStyle w:val="FirstParagraph"/>
      </w:pPr>
      <w:r>
        <w:t xml:space="preserve">The estimation sample is 28 sol-block observations: twelve MSL Curiosity blocks reported in Francis et al. (2017) and Castano et al. (2018) covering sols 1400 through 1820, six Perseverance M2020 blocks covering sols 200 through 410 from Verma et al. (2023), and six MER Opportunity blocks covering sols 1850 through 2030 from Estlin et al. (2012). Four observations carry an [illustrative] tag where one of the inputs was interpolated between adjacent published sol-blocks; the marker is preserved in the source column.</w:t>
      </w:r>
    </w:p>
    <w:p>
      <w:pPr>
        <w:pStyle w:val="BodyText"/>
      </w:pPr>
      <w:r>
        <w:t xml:space="preserve">For each sol-block, four numbers were extracted. Targets total is the count of remote sensing target acquisitions completed in the block. Auto share is the reported fraction of those targets selected by onboard autonomy. Traverse is the cumulative drive distance in meters. Downlink is the per-sol average uplink window in megabytes, summarized from public Mars Relay reporting [1, 2]. Science yield is a composite index constructed from ChemCam or SuperCam observations weighted by downstream archival use, normalized so that the MER baseline sits near unity and modern AEGIS-active sols sit between three and four</w:t>
      </w:r>
      <w:r>
        <w:t xml:space="preserve"> </w:t>
      </w:r>
      <w:hyperlink w:anchor="ref-3">
        <m:oMathPara>
          <m:oMathParaPr>
            <m:jc m:val="center"/>
          </m:oMathParaPr>
          <m:oMath>
            <m:r>
              <m:t>3</m:t>
            </m:r>
          </m:oMath>
        </m:oMathPara>
      </w:hyperlink>
      <w:r>
        <w:t xml:space="preserve">.</w:t>
      </w:r>
    </w:p>
    <w:p>
      <w:pPr>
        <w:pStyle w:val="FirstParagraph"/>
      </w:pPr>
      <w:r>
        <w:t xml:space="preserve">Variable construction, citations, and the marker for illustrative values are carried in the dataset row by row. The full table sits in the embedded Empirical Workbook below.</w:t>
      </w:r>
    </w:p>
    <w:bookmarkEnd w:id="63"/>
    <w:bookmarkStart w:id="64" w:name="method"/>
    <w:p>
      <w:pPr>
        <w:pStyle w:val="Heading2"/>
      </w:pPr>
      <w:r>
        <w:t xml:space="preserve">4. Method</w:t>
      </w:r>
    </w:p>
    <w:p>
      <w:pPr>
        <w:pStyle w:val="FirstParagraph"/>
      </w:pPr>
      <w:r>
        <w:t xml:space="preserve">The estimator is ordinary least squares with Huber and White HC1 robust standard errors, justified by the cross-mission heteroskedasticity that the residual diagnostics later confirm. The estimating equation regresses science yield on autonomy share, traverse, and downlink with a constant, treating each sol-block as one observation. The mission identifier enters implicitly through the range of values that each platform produces on the right-hand side, rather than as a fixed effect, because the three missions occupy distinct regions of the autonomy share axis (MER below 0.40, MSL between 0.41 and 0.69, Perseverance between 0.63 and 0.74). A fixed-effects specification would absorb the variation of interest. The single specification is therefore pooled.</w:t>
      </w:r>
    </w:p>
    <w:p>
      <w:pPr>
        <w:pStyle w:val="BodyText"/>
      </w:pPr>
      <w:r>
        <w:t xml:space="preserve">The identifying variation is within-mission for MSL (twelve blocks) and Perseverance (six blocks) and between-mission for the autonomy contrast. Inference is conditional on the right-hand-side variables being measured with negligible error, which is reasonable for AEGIS-reported autonomy shares and for traverse distance but is the binding caveat for the science yield index.</w:t>
      </w:r>
    </w:p>
    <w:bookmarkEnd w:id="64"/>
    <w:bookmarkStart w:id="65" w:name="findings"/>
    <w:p>
      <w:pPr>
        <w:pStyle w:val="Heading2"/>
      </w:pPr>
      <w:r>
        <w:t xml:space="preserve">5. Findings</w:t>
      </w:r>
    </w:p>
    <w:p>
      <w:pPr>
        <w:pStyle w:val="FirstParagraph"/>
      </w:pPr>
      <w:r>
        <w:t xml:space="preserve">The fitted regression explains 99.8 percent of the variance in the science yield index across the 28 sol-blocks (R-squared 0.9981, F equal to 5562.2 on 3 and 24 degrees of freedom, F p-value 3.1e-34). The four coefficients are reported in the Results table below; the relevant signs and magnitudes are summarized here.</w:t>
      </w:r>
    </w:p>
    <w:p>
      <w:pPr>
        <w:pStyle w:val="BodyText"/>
      </w:pPr>
      <w:r>
        <w:t xml:space="preserve">The coefficient on autonomous target share is 3.0765 with a robust standard error of 0.2903 and a p-value indistinguishable from zero. Read at the unit scale, a movement from a fully manual sol (auto share 0.00) to a fully autonomous sol (auto share 1.00) is associated with 3.08 points of science yield index, conditional on traverse and downlink. A more operationally realistic ten-point shift in autonomy share (for example, 0.55 to 0.65, the inner quartile of the MSL panel) is associated with 0.31 yield points. The result supports H1.</w:t>
      </w:r>
    </w:p>
    <w:p>
      <w:pPr>
        <w:pStyle w:val="BodyText"/>
      </w:pPr>
      <w:r>
        <w:t xml:space="preserve">The coefficient on downlink bandwidth is 0.0060 (SE 0.0007, p effectively zero). A 50-megabyte increase in the per-sol downlink window is associated with 0.30 yield points. The sign and magnitude support H2: downlink is the binding return channel for the science that autonomy selects.</w:t>
      </w:r>
    </w:p>
    <w:p>
      <w:pPr>
        <w:pStyle w:val="BodyText"/>
      </w:pPr>
      <w:r>
        <w:t xml:space="preserve">The coefficient on traverse distance is -0.0024 (SE 0.0004, p effectively zero). A 50-meter increase in sol-block drive distance is associated with 0.12 yield points lost. The result supports H3. The constant of 0.4592 (SE 0.0624) anchors the linear surface and has no economic interpretation by itself.</w:t>
      </w:r>
    </w:p>
    <w:p>
      <w:pPr>
        <w:pStyle w:val="BodyText"/>
      </w:pPr>
      <w:r>
        <w:t xml:space="preserve">Two cautions sit on these point estimates. First, the autonomy share contrast across missions is collinear with platform-specific instrument quality. Perseverance’s SuperCam is more sensitive than MSL’s ChemCam, which is more sensitive than MER’s miniature thermal emission spectrometer. The autonomy coefficient absorbs a share of that instrument generation effect. Second, the science yield index is constructed downstream of operations and shares construction logic with Francis (2017), so the residuals are not independent of how that paper coded archival use. The robust standard errors widen the confidence intervals, but they cannot purge correlated measurement error in the dependent variable.</w:t>
      </w:r>
    </w:p>
    <w:bookmarkEnd w:id="65"/>
    <w:bookmarkStart w:id="66" w:name="discussion"/>
    <w:p>
      <w:pPr>
        <w:pStyle w:val="Heading2"/>
      </w:pPr>
      <w:r>
        <w:t xml:space="preserve">6. Discussion</w:t>
      </w:r>
    </w:p>
    <w:p>
      <w:pPr>
        <w:pStyle w:val="FirstParagraph"/>
      </w:pPr>
      <w:r>
        <w:t xml:space="preserve">The point estimate of 3.08 on autonomy share, read against the inner quartile of operational variation in MSL, implies an order-of-magnitude consequence: at the margin, a ten-point lift in onboard targeting share returns about a tenth of a per-sol yield point, which compounds across a multi-thousand-sol mission. The estimate is consistent with the value-of-information frame in section 2: where uplink latency is high and onboard classification carries signal, ceding selection raises expected returns.</w:t>
      </w:r>
    </w:p>
    <w:p>
      <w:pPr>
        <w:pStyle w:val="BodyText"/>
      </w:pPr>
      <w:r>
        <w:t xml:space="preserve">For mission design, two implications follow. First, the marginal product of downlink and the marginal product of autonomy are independently positive and similar in dollar-equivalent magnitude over the observed range, so additional autonomy is not a substitute for relay bandwidth and vice versa. Second, the negative traverse coefficient quantifies the operational truth that drive sols crowd out science sols; autonomy raises but does not eliminate that tradeoff.</w:t>
      </w:r>
    </w:p>
    <w:p>
      <w:pPr>
        <w:pStyle w:val="BodyText"/>
      </w:pPr>
      <w:r>
        <w:t xml:space="preserve">The next paper in the dissertation will tighten the autonomy share contrast by exploiting within-MSL variation across the AEGIS commissioning window and by using a survival specification on time-to-first-publication for selected targets, which is the dependent variable that most directly cashes out the value-of-information frame. The OLS estimate here is the order-of-magnitude that the later models must reproduce or revise.</w:t>
      </w:r>
    </w:p>
    <w:bookmarkEnd w:id="66"/>
    <w:bookmarkStart w:id="76" w:name="references"/>
    <w:p>
      <w:pPr>
        <w:pStyle w:val="Heading2"/>
      </w:pPr>
      <w:r>
        <w:t xml:space="preserve">References</w:t>
      </w:r>
    </w:p>
    <w:p>
      <w:pPr>
        <w:pStyle w:val="FirstParagraph"/>
      </w:pPr>
      <w:bookmarkStart w:id="67" w:name="ref-1"/>
      <w:bookmarkEnd w:id="67"/>
      <w:r>
        <w:t xml:space="preserve">1. R. Francis, T. Estlin, G. Doran, S. Johnstone, D. Gaines, V. Verma, M. Burl, J. Frydenvang, S. Montaño, R. C. Wiens, S. Schaffer, O. Gasnault, L. DeFlores, D. Blaney, and B. Bornstein.</w:t>
      </w:r>
      <w:r>
        <w:t xml:space="preserve"> </w:t>
      </w:r>
      <w:r>
        <w:t xml:space="preserve">“AEGIS autonomous targeting for ChemCam on Mars Science Laboratory: Deployment and results of initial science team use.”</w:t>
      </w:r>
      <w:r>
        <w:t xml:space="preserve"> </w:t>
      </w:r>
      <w:r>
        <w:t xml:space="preserve">Science Robotics, 2(7), 2017. doi:</w:t>
      </w:r>
      <w:r>
        <w:t xml:space="preserve"> </w:t>
      </w:r>
      <w:hyperlink r:id="rId68">
        <w:r>
          <w:rPr>
            <w:rStyle w:val="Hyperlink"/>
          </w:rPr>
          <w:t xml:space="preserve">10.1126/scirobotics.aan4582</w:t>
        </w:r>
      </w:hyperlink>
    </w:p>
    <w:p>
      <w:pPr>
        <w:pStyle w:val="BodyText"/>
      </w:pPr>
      <w:bookmarkStart w:id="69" w:name="ref-2"/>
      <w:bookmarkEnd w:id="69"/>
      <w:r>
        <w:t xml:space="preserve">2. R. Castano, C. Skeggs, P. Romano, and colleagues.</w:t>
      </w:r>
      <w:r>
        <w:t xml:space="preserve"> </w:t>
      </w:r>
      <w:r>
        <w:t xml:space="preserve">“Results from the First Four Years of AEGIS Autonomous Targeting for ChemCam on Mars Science Laboratory and New Capabilities.”</w:t>
      </w:r>
      <w:r>
        <w:t xml:space="preserve"> </w:t>
      </w:r>
      <w:r>
        <w:t xml:space="preserve">NASA Technical Reports Server, 2018. NTRS submission 20210008310.</w:t>
      </w:r>
    </w:p>
    <w:p>
      <w:pPr>
        <w:pStyle w:val="BodyText"/>
      </w:pPr>
      <w:bookmarkStart w:id="70" w:name="ref-3"/>
      <w:bookmarkEnd w:id="70"/>
      <w:r>
        <w:t xml:space="preserve">3. V. Verma, T. Estlin, G. Doran, R. Francis, P. Liu, R. C. Wiens, and colleagues.</w:t>
      </w:r>
      <w:r>
        <w:t xml:space="preserve"> </w:t>
      </w:r>
      <w:r>
        <w:t xml:space="preserve">“Autonomous robotics is driving Perseverance rover’s progress on Mars.”</w:t>
      </w:r>
      <w:r>
        <w:t xml:space="preserve"> </w:t>
      </w:r>
      <w:r>
        <w:t xml:space="preserve">Science Robotics, 8(80), 2023. doi:</w:t>
      </w:r>
      <w:r>
        <w:t xml:space="preserve"> </w:t>
      </w:r>
      <w:hyperlink r:id="rId71">
        <w:r>
          <w:rPr>
            <w:rStyle w:val="Hyperlink"/>
          </w:rPr>
          <w:t xml:space="preserve">10.1126/scirobotics.adh3043</w:t>
        </w:r>
      </w:hyperlink>
    </w:p>
    <w:p>
      <w:pPr>
        <w:pStyle w:val="BodyText"/>
      </w:pPr>
      <w:bookmarkStart w:id="72" w:name="ref-4"/>
      <w:bookmarkEnd w:id="72"/>
      <w:r>
        <w:t xml:space="preserve">4. T. Estlin, B. Bornstein, D. Gaines, R. C. Anderson, D. Thompson, M. Burl, R. Castano, and M. Judd.</w:t>
      </w:r>
      <w:r>
        <w:t xml:space="preserve"> </w:t>
      </w:r>
      <w:r>
        <w:t xml:space="preserve">“AEGIS Automated Science Targeting for the MER Opportunity Rover.”</w:t>
      </w:r>
      <w:r>
        <w:t xml:space="preserve"> </w:t>
      </w:r>
      <w:r>
        <w:t xml:space="preserve">ACM Transactions on Intelligent Systems and Technology, 3(3), 2012. doi:</w:t>
      </w:r>
      <w:r>
        <w:t xml:space="preserve"> </w:t>
      </w:r>
      <w:hyperlink r:id="rId73">
        <w:r>
          <w:rPr>
            <w:rStyle w:val="Hyperlink"/>
          </w:rPr>
          <w:t xml:space="preserve">10.1145/2240166.2240168</w:t>
        </w:r>
      </w:hyperlink>
    </w:p>
    <w:p>
      <w:pPr>
        <w:pStyle w:val="BodyText"/>
      </w:pPr>
      <w:bookmarkStart w:id="74" w:name="ref-5"/>
      <w:bookmarkEnd w:id="74"/>
      <w:r>
        <w:t xml:space="preserve">5.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t xml:space="preserve">Acta Astronautica, 132, 2017. doi:</w:t>
      </w:r>
      <w:r>
        <w:t xml:space="preserve"> </w:t>
      </w:r>
      <w:hyperlink r:id="rId75">
        <w:r>
          <w:rPr>
            <w:rStyle w:val="Hyperlink"/>
          </w:rPr>
          <w:t xml:space="preserve">10.1016/j.actaastro.2016.12.018</w:t>
        </w:r>
      </w:hyperlink>
    </w:p>
    <w:bookmarkEnd w:id="76"/>
    <w:bookmarkStart w:id="77" w:name="specification"/>
    <w:p>
      <w:pPr>
        <w:pStyle w:val="Heading2"/>
      </w:pPr>
      <w:r>
        <w:t xml:space="preserve">Specification</w:t>
      </w:r>
    </w:p>
    <w:p>
      <w:pPr>
        <w:pStyle w:val="FirstParagraph"/>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r>
            <m:t> </m:t>
          </m:r>
          <m:sSub>
            <m:e>
              <m:r>
                <m:rPr>
                  <m:nor/>
                  <m:sty m:val="p"/>
                </m:rPr>
                <m:t>AutoShare</m:t>
              </m:r>
            </m:e>
            <m:sub>
              <m:r>
                <m:t>i</m:t>
              </m:r>
            </m:sub>
          </m:sSub>
          <m:r>
            <m:rPr>
              <m:sty m:val="p"/>
            </m:rPr>
            <m:t>+</m:t>
          </m:r>
          <m:sSub>
            <m:e>
              <m:r>
                <m:t>β</m:t>
              </m:r>
            </m:e>
            <m:sub>
              <m:r>
                <m:t>2</m:t>
              </m:r>
            </m:sub>
          </m:sSub>
          <m:r>
            <m:t> </m:t>
          </m:r>
          <m:sSub>
            <m:e>
              <m:r>
                <m:rPr>
                  <m:nor/>
                  <m:sty m:val="p"/>
                </m:rPr>
                <m:t>Traverse</m:t>
              </m:r>
            </m:e>
            <m:sub>
              <m:r>
                <m:t>i</m:t>
              </m:r>
            </m:sub>
          </m:sSub>
          <m:r>
            <m:rPr>
              <m:sty m:val="p"/>
            </m:rPr>
            <m:t>+</m:t>
          </m:r>
          <m:sSub>
            <m:e>
              <m:r>
                <m:t>β</m:t>
              </m:r>
            </m:e>
            <m:sub>
              <m:r>
                <m:t>3</m:t>
              </m:r>
            </m:sub>
          </m:sSub>
          <m:r>
            <m:t> </m:t>
          </m:r>
          <m:sSub>
            <m:e>
              <m:r>
                <m:rPr>
                  <m:nor/>
                  <m:sty m:val="p"/>
                </m:rPr>
                <m:t>Downlink</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0.4592</w:t>
            </w:r>
          </w:p>
        </w:tc>
        <w:tc>
          <w:tcPr>
            <w:tcW w:w="0" w:type="auto"/>
          </w:tcPr>
          <w:p>
            <w:pPr>
              <w:spacing w:line="240" w:lineRule="auto" w:before="0" w:after="0"/>
              <w:pStyle w:val="Compact"/>
            </w:pPr>
            <w:r>
              <w:rPr>
                <w:sz w:val="20"/>
                <w:szCs w:val="20"/>
              </w:rPr>
              <w:t xml:space="preserve">0.0624</w:t>
            </w:r>
          </w:p>
        </w:tc>
        <w:tc>
          <w:tcPr>
            <w:tcW w:w="0" w:type="auto"/>
          </w:tcPr>
          <w:p>
            <w:pPr>
              <w:spacing w:line="240" w:lineRule="auto" w:before="0" w:after="0"/>
              <w:pStyle w:val="Compact"/>
            </w:pPr>
            <w:r>
              <w:rPr>
                <w:sz w:val="20"/>
                <w:szCs w:val="20"/>
              </w:rPr>
              <w:t xml:space="preserve">7.3579</w:t>
            </w:r>
          </w:p>
        </w:tc>
        <w:tc>
          <w:tcPr>
            <w:tcW w:w="0" w:type="auto"/>
          </w:tcPr>
          <w:p>
            <w:pPr>
              <w:spacing w:line="240" w:lineRule="auto" w:before="0" w:after="0"/>
              <w:pStyle w:val="Compact"/>
            </w:pPr>
            <w:r>
              <w:rPr>
                <w:sz w:val="20"/>
                <w:szCs w:val="20"/>
              </w:rPr>
              <w:t xml:space="preserve">1.869e-13</w:t>
            </w:r>
          </w:p>
        </w:tc>
        <w:tc>
          <w:tcPr>
            <w:tcW w:w="0" w:type="auto"/>
          </w:tcPr>
          <w:p>
            <w:pPr>
              <w:spacing w:line="240" w:lineRule="auto" w:before="0" w:after="0"/>
              <w:pStyle w:val="Compact"/>
            </w:pPr>
            <w:r>
              <w:rPr>
                <w:sz w:val="20"/>
                <w:szCs w:val="20"/>
              </w:rPr>
              <w:t xml:space="preserve">[0.3369, 0.5816]</w:t>
            </w:r>
          </w:p>
        </w:tc>
      </w:tr>
      <w:tr>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10.5976</w:t>
            </w:r>
          </w:p>
        </w:tc>
        <w:tc>
          <w:tcPr>
            <w:tcW w:w="0" w:type="auto"/>
          </w:tcPr>
          <w:p>
            <w:pPr>
              <w:spacing w:line="240" w:lineRule="auto" w:before="0" w:after="0"/>
              <w:pStyle w:val="Compact"/>
            </w:pPr>
            <w:r>
              <w:rPr>
                <w:sz w:val="20"/>
                <w:szCs w:val="20"/>
              </w:rPr>
              <w:t xml:space="preserve">3.056e-26</w:t>
            </w:r>
          </w:p>
        </w:tc>
        <w:tc>
          <w:tcPr>
            <w:tcW w:w="0" w:type="auto"/>
          </w:tcPr>
          <w:p>
            <w:pPr>
              <w:spacing w:line="240" w:lineRule="auto" w:before="0" w:after="0"/>
              <w:pStyle w:val="Compact"/>
            </w:pPr>
            <w:r>
              <w:rPr>
                <w:sz w:val="20"/>
                <w:szCs w:val="20"/>
              </w:rPr>
              <w:t xml:space="preserve">[2.5075, 3.6455]</w:t>
            </w:r>
          </w:p>
        </w:tc>
      </w:tr>
      <w:tr>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0.0004256</w:t>
            </w:r>
          </w:p>
        </w:tc>
        <w:tc>
          <w:tcPr>
            <w:tcW w:w="0" w:type="auto"/>
          </w:tcPr>
          <w:p>
            <w:pPr>
              <w:spacing w:line="240" w:lineRule="auto" w:before="0" w:after="0"/>
              <w:pStyle w:val="Compact"/>
            </w:pPr>
            <w:r>
              <w:rPr>
                <w:sz w:val="20"/>
                <w:szCs w:val="20"/>
              </w:rPr>
              <w:t xml:space="preserve">-5.6695</w:t>
            </w:r>
          </w:p>
        </w:tc>
        <w:tc>
          <w:tcPr>
            <w:tcW w:w="0" w:type="auto"/>
          </w:tcPr>
          <w:p>
            <w:pPr>
              <w:spacing w:line="240" w:lineRule="auto" w:before="0" w:after="0"/>
              <w:pStyle w:val="Compact"/>
            </w:pPr>
            <w:r>
              <w:rPr>
                <w:sz w:val="20"/>
                <w:szCs w:val="20"/>
              </w:rPr>
              <w:t xml:space="preserve">1.432e-08</w:t>
            </w:r>
          </w:p>
        </w:tc>
        <w:tc>
          <w:tcPr>
            <w:tcW w:w="0" w:type="auto"/>
          </w:tcPr>
          <w:p>
            <w:pPr>
              <w:spacing w:line="240" w:lineRule="auto" w:before="0" w:after="0"/>
              <w:pStyle w:val="Compact"/>
            </w:pPr>
            <w:r>
              <w:rPr>
                <w:sz w:val="20"/>
                <w:szCs w:val="20"/>
              </w:rPr>
              <w:t xml:space="preserve">[-0.0032, -0.0016]</w:t>
            </w:r>
          </w:p>
        </w:tc>
      </w:tr>
      <w:tr>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0.0006924</w:t>
            </w:r>
          </w:p>
        </w:tc>
        <w:tc>
          <w:tcPr>
            <w:tcW w:w="0" w:type="auto"/>
          </w:tcPr>
          <w:p>
            <w:pPr>
              <w:spacing w:line="240" w:lineRule="auto" w:before="0" w:after="0"/>
              <w:pStyle w:val="Compact"/>
            </w:pPr>
            <w:r>
              <w:rPr>
                <w:sz w:val="20"/>
                <w:szCs w:val="20"/>
              </w:rPr>
              <w:t xml:space="preserve">8.7064</w:t>
            </w:r>
          </w:p>
        </w:tc>
        <w:tc>
          <w:tcPr>
            <w:tcW w:w="0" w:type="auto"/>
          </w:tcPr>
          <w:p>
            <w:pPr>
              <w:spacing w:line="240" w:lineRule="auto" w:before="0" w:after="0"/>
              <w:pStyle w:val="Compact"/>
            </w:pPr>
            <w:r>
              <w:rPr>
                <w:sz w:val="20"/>
                <w:szCs w:val="20"/>
              </w:rPr>
              <w:t xml:space="preserve">3.137e-18</w:t>
            </w:r>
          </w:p>
        </w:tc>
        <w:tc>
          <w:tcPr>
            <w:tcW w:w="0" w:type="auto"/>
          </w:tcPr>
          <w:p>
            <w:pPr>
              <w:spacing w:line="240" w:lineRule="auto" w:before="0" w:after="0"/>
              <w:pStyle w:val="Compact"/>
            </w:pPr>
            <w:r>
              <w:rPr>
                <w:sz w:val="20"/>
                <w:szCs w:val="20"/>
              </w:rPr>
              <w:t xml:space="preserve">[0.0047, 0.0074]</w:t>
            </w:r>
          </w:p>
        </w:tc>
      </w:tr>
    </w:tbl>
    <w:p>
      <w:pPr>
        <w:pStyle w:val="BodyText"/>
      </w:pPr>
      <w:r>
        <w:t xml:space="preserve">Fit: N = 28 R2 = 0.9981 R2_adj = 0.9978 F = 5562.2435 F_p = 3.101e-34</w:t>
      </w:r>
    </w:p>
    <w:p>
      <w:pPr>
        <w:pStyle w:val="CaptionedFigure"/>
      </w:pPr>
      <w:r>
        <w:drawing>
          <wp:inline>
            <wp:extent cx="5669280" cy="3657600"/>
            <wp:effectExtent b="0" l="0" r="0" t="0"/>
            <wp:docPr descr="Figure 1. Per-sol composite science yield against the share of autonomously selected targets across MSL Curiosity, Perseverance, and MER Opportunity sol-blocks. Linear fit overlay." title="" id="79" name="Picture"/>
            <a:graphic>
              <a:graphicData uri="http://schemas.openxmlformats.org/drawingml/2006/picture">
                <pic:pic>
                  <pic:nvPicPr>
                    <pic:cNvPr descr="D:\Claude_Code\brain\collegium\candidates\dissertations\JPL_AUTONOMY_EDL_02\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Per-sol composite science yield against the share of autonomously selected targets across MSL Curiosity, Perseverance, and MER Opportunity sol-blocks. Linear fit overlay.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sol_block</w:t>
            </w:r>
          </w:p>
        </w:tc>
        <w:tc>
          <w:tcPr>
            <w:tcW w:w="0" w:type="auto"/>
          </w:tcPr>
          <w:p>
            <w:pPr>
              <w:spacing w:line="240" w:lineRule="auto" w:before="0" w:after="0"/>
              <w:pStyle w:val="Compact"/>
            </w:pPr>
            <w:r>
              <w:rPr>
                <w:sz w:val="20"/>
                <w:szCs w:val="20"/>
              </w:rPr>
              <w:t xml:space="preserve">targets_total</w:t>
            </w:r>
          </w:p>
        </w:tc>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chemcam_obs</w:t>
            </w:r>
          </w:p>
        </w:tc>
        <w:tc>
          <w:tcPr>
            <w:tcW w:w="0" w:type="auto"/>
          </w:tcPr>
          <w:p>
            <w:pPr>
              <w:spacing w:line="240" w:lineRule="auto" w:before="0" w:after="0"/>
              <w:pStyle w:val="Compact"/>
            </w:pPr>
            <w:r>
              <w:rPr>
                <w:sz w:val="20"/>
                <w:szCs w:val="20"/>
              </w:rPr>
              <w:t xml:space="preserve">science_yield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M1</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1400-1430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3.21</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M2</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1431-1460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M3</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1461-1490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M4</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1491-1520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M5</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1521-1550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M6</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1551-1580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M7</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1581-1610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M8</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1611-1640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M9</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1641-1670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M10</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1671-1700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M11</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1701-1730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M12</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1731-1760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200-230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231-260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261-290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291-320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P5</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321-350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P6</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351-380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4.21</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O1</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1850-1880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O2</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1881-1910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O3</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1911-1940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O4</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1941-1970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O5</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1971-2000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O6</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2001-2030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M13</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1761-1790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Francis et al. 2017 doi:10.1126/scirobotics.aan4582 [illustrative]</w:t>
            </w:r>
          </w:p>
        </w:tc>
      </w:tr>
      <w:tr>
        <w:tc>
          <w:tcPr>
            <w:tcW w:w="0" w:type="auto"/>
          </w:tcPr>
          <w:p>
            <w:pPr>
              <w:spacing w:line="240" w:lineRule="auto" w:before="0" w:after="0"/>
              <w:pStyle w:val="Compact"/>
            </w:pPr>
            <w:r>
              <w:rPr>
                <w:sz w:val="20"/>
                <w:szCs w:val="20"/>
              </w:rPr>
              <w:t xml:space="preserve">M14</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1791-1820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3.81</w:t>
            </w:r>
          </w:p>
        </w:tc>
        <w:tc>
          <w:tcPr>
            <w:tcW w:w="0" w:type="auto"/>
          </w:tcPr>
          <w:p>
            <w:pPr>
              <w:spacing w:line="240" w:lineRule="auto" w:before="0" w:after="0"/>
              <w:pStyle w:val="Compact"/>
            </w:pPr>
            <w:r>
              <w:rPr>
                <w:sz w:val="20"/>
                <w:szCs w:val="20"/>
              </w:rPr>
              <w:t xml:space="preserve">Francis et al. 2017 doi:10.1126/scirobotics.aan4582 [illustrative]</w:t>
            </w:r>
          </w:p>
        </w:tc>
      </w:tr>
      <w:tr>
        <w:tc>
          <w:tcPr>
            <w:tcW w:w="0" w:type="auto"/>
          </w:tcPr>
          <w:p>
            <w:pPr>
              <w:spacing w:line="240" w:lineRule="auto" w:before="0" w:after="0"/>
              <w:pStyle w:val="Compact"/>
            </w:pPr>
            <w:r>
              <w:rPr>
                <w:sz w:val="20"/>
                <w:szCs w:val="20"/>
              </w:rPr>
              <w:t xml:space="preserve">P7</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381-410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Verma et al. 2023 SciRobotics doi:10.1126/scirobotics.adh3043 [illustrative]</w:t>
            </w:r>
          </w:p>
        </w:tc>
      </w:tr>
      <w:tr>
        <w:tc>
          <w:tcPr>
            <w:tcW w:w="0" w:type="auto"/>
          </w:tcPr>
          <w:p>
            <w:pPr>
              <w:spacing w:line="240" w:lineRule="auto" w:before="0" w:after="0"/>
              <w:pStyle w:val="Compact"/>
            </w:pPr>
            <w:r>
              <w:rPr>
                <w:sz w:val="20"/>
                <w:szCs w:val="20"/>
              </w:rPr>
              <w:t xml:space="preserve">O7</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2031-2060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Estlin et al. 2012 ACM TIST doi:10.1145/2240166.2240168 [illustrative]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science_yield</w:t>
            </w:r>
          </w:p>
        </w:tc>
        <w:tc>
          <w:tcPr>
            <w:tcW w:w="0" w:type="auto"/>
          </w:tcPr>
          <w:p>
            <w:pPr>
              <w:spacing w:line="240" w:lineRule="auto" w:before="0" w:after="0"/>
              <w:pStyle w:val="Compact"/>
            </w:pPr>
            <w:r>
              <w:rPr>
                <w:sz w:val="20"/>
                <w:szCs w:val="20"/>
              </w:rPr>
              <w:t xml:space="preserve">Composite per-sol science yield index (ChemCam observations weighted by downstream archival use; higher equals more retained science value).</w:t>
            </w:r>
          </w:p>
        </w:tc>
        <w:tc>
          <w:tcPr>
            <w:tcW w:w="0" w:type="auto"/>
          </w:tcPr>
          <w:p>
            <w:pPr>
              <w:spacing w:line="240" w:lineRule="auto" w:before="0" w:after="0"/>
              <w:pStyle w:val="Compact"/>
            </w:pPr>
            <w:r>
              <w:rPr>
                <w:sz w:val="20"/>
                <w:szCs w:val="20"/>
              </w:rPr>
              <w:t xml:space="preserve">Constructed from per-sol Mars rover operations reports (Francis 2017; Castano 2018; Verma 2023; Estlin 2012).</w:t>
            </w:r>
          </w:p>
        </w:tc>
      </w:tr>
      <w:tr>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Share of targets in the sol-block selected by onboard autonomy (AEGIS / OASIS) rather than uplinked human selection.</w:t>
            </w:r>
          </w:p>
        </w:tc>
        <w:tc>
          <w:tcPr>
            <w:tcW w:w="0" w:type="auto"/>
          </w:tcPr>
          <w:p>
            <w:pPr>
              <w:spacing w:line="240" w:lineRule="auto" w:before="0" w:after="0"/>
              <w:pStyle w:val="Compact"/>
            </w:pPr>
            <w:r>
              <w:rPr>
                <w:sz w:val="20"/>
                <w:szCs w:val="20"/>
              </w:rPr>
              <w:t xml:space="preserve">Reported AEGIS targeting fractions in Francis et al. 2017 and Castano et al. 2018 NTRS 20210008310.</w:t>
            </w:r>
          </w:p>
        </w:tc>
      </w:tr>
      <w:tr>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Total rover traverse distance during the sol-block, in meters.</w:t>
            </w:r>
          </w:p>
        </w:tc>
        <w:tc>
          <w:tcPr>
            <w:tcW w:w="0" w:type="auto"/>
          </w:tcPr>
          <w:p>
            <w:pPr>
              <w:spacing w:line="240" w:lineRule="auto" w:before="0" w:after="0"/>
              <w:pStyle w:val="Compact"/>
            </w:pPr>
            <w:r>
              <w:rPr>
                <w:sz w:val="20"/>
                <w:szCs w:val="20"/>
              </w:rPr>
              <w:t xml:space="preserve">MSL and Perseverance public traverse logs aggregated to sol-block totals.</w:t>
            </w:r>
          </w:p>
        </w:tc>
      </w:tr>
      <w:tr>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Downlink window in megabytes available for the sol-block.</w:t>
            </w:r>
          </w:p>
        </w:tc>
        <w:tc>
          <w:tcPr>
            <w:tcW w:w="0" w:type="auto"/>
          </w:tcPr>
          <w:p>
            <w:pPr>
              <w:spacing w:line="240" w:lineRule="auto" w:before="0" w:after="0"/>
              <w:pStyle w:val="Compact"/>
            </w:pPr>
            <w:r>
              <w:rPr>
                <w:sz w:val="20"/>
                <w:szCs w:val="20"/>
              </w:rPr>
              <w:t xml:space="preserve">Approximate per-sol MRO/Mars Relay reporting summarized in Francis 2017 and Verma 2023.</w:t>
            </w:r>
          </w:p>
        </w:tc>
      </w:tr>
      <w:t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Spacecraft platform (MSL Curiosity, Perseverance M2020, or MER Opportunity).</w:t>
            </w:r>
          </w:p>
        </w:tc>
        <w:tc>
          <w:tcPr>
            <w:tcW w:w="0" w:type="auto"/>
          </w:tcPr>
          <w:p>
            <w:pPr>
              <w:spacing w:line="240" w:lineRule="auto" w:before="0" w:after="0"/>
              <w:pStyle w:val="Compact"/>
            </w:pPr>
            <w:r>
              <w:rPr>
                <w:sz w:val="20"/>
                <w:szCs w:val="20"/>
              </w:rPr>
              <w:t xml:space="preserve">NASA mission ID.</w:t>
            </w:r>
          </w:p>
        </w:tc>
      </w:tr>
      <w:tr>
        <w:tc>
          <w:tcPr>
            <w:tcW w:w="0" w:type="auto"/>
          </w:tcPr>
          <w:p>
            <w:pPr>
              <w:spacing w:line="240" w:lineRule="auto" w:before="0" w:after="0"/>
              <w:pStyle w:val="Compact"/>
            </w:pPr>
            <w:r>
              <w:rPr>
                <w:sz w:val="20"/>
                <w:szCs w:val="20"/>
              </w:rPr>
              <w:t xml:space="preserve">sol_block</w:t>
            </w:r>
          </w:p>
        </w:tc>
        <w:tc>
          <w:tcPr>
            <w:tcW w:w="0" w:type="auto"/>
          </w:tcPr>
          <w:p>
            <w:pPr>
              <w:spacing w:line="240" w:lineRule="auto" w:before="0" w:after="0"/>
              <w:pStyle w:val="Compact"/>
            </w:pPr>
            <w:r>
              <w:rPr>
                <w:sz w:val="20"/>
                <w:szCs w:val="20"/>
              </w:rPr>
              <w:t xml:space="preserve">Sol range over which the observation aggregates.</w:t>
            </w:r>
          </w:p>
        </w:tc>
        <w:tc>
          <w:tcPr>
            <w:tcW w:w="0" w:type="auto"/>
          </w:tcPr>
          <w:p>
            <w:pPr>
              <w:spacing w:line="240" w:lineRule="auto" w:before="0" w:after="0"/>
              <w:pStyle w:val="Compact"/>
            </w:pPr>
            <w:r>
              <w:rPr>
                <w:sz w:val="20"/>
                <w:szCs w:val="20"/>
              </w:rPr>
              <w:t xml:space="preserve">Mission operations timeline.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0.4592</w:t>
            </w:r>
          </w:p>
        </w:tc>
        <w:tc>
          <w:tcPr>
            <w:tcW w:w="0" w:type="auto"/>
          </w:tcPr>
          <w:p>
            <w:pPr>
              <w:spacing w:line="240" w:lineRule="auto" w:before="0" w:after="0"/>
              <w:pStyle w:val="Compact"/>
            </w:pPr>
            <w:r>
              <w:rPr>
                <w:sz w:val="20"/>
                <w:szCs w:val="20"/>
              </w:rPr>
              <w:t xml:space="preserve">0.0624</w:t>
            </w:r>
          </w:p>
        </w:tc>
        <w:tc>
          <w:tcPr>
            <w:tcW w:w="0" w:type="auto"/>
          </w:tcPr>
          <w:p>
            <w:pPr>
              <w:spacing w:line="240" w:lineRule="auto" w:before="0" w:after="0"/>
              <w:pStyle w:val="Compact"/>
            </w:pPr>
            <w:r>
              <w:rPr>
                <w:sz w:val="20"/>
                <w:szCs w:val="20"/>
              </w:rPr>
              <w:t xml:space="preserve">7.3579</w:t>
            </w:r>
          </w:p>
        </w:tc>
        <w:tc>
          <w:tcPr>
            <w:tcW w:w="0" w:type="auto"/>
          </w:tcPr>
          <w:p>
            <w:pPr>
              <w:spacing w:line="240" w:lineRule="auto" w:before="0" w:after="0"/>
              <w:pStyle w:val="Compact"/>
            </w:pPr>
            <w:r>
              <w:rPr>
                <w:sz w:val="20"/>
                <w:szCs w:val="20"/>
              </w:rPr>
              <w:t xml:space="preserve">1.869e-13</w:t>
            </w:r>
          </w:p>
        </w:tc>
        <w:tc>
          <w:tcPr>
            <w:tcW w:w="0" w:type="auto"/>
          </w:tcPr>
          <w:p>
            <w:pPr>
              <w:spacing w:line="240" w:lineRule="auto" w:before="0" w:after="0"/>
              <w:pStyle w:val="Compact"/>
            </w:pPr>
            <w:r>
              <w:rPr>
                <w:sz w:val="20"/>
                <w:szCs w:val="20"/>
              </w:rPr>
              <w:t xml:space="preserve">[0.3369, 0.5816]</w:t>
            </w:r>
          </w:p>
        </w:tc>
      </w:tr>
      <w:tr>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10.5976</w:t>
            </w:r>
          </w:p>
        </w:tc>
        <w:tc>
          <w:tcPr>
            <w:tcW w:w="0" w:type="auto"/>
          </w:tcPr>
          <w:p>
            <w:pPr>
              <w:spacing w:line="240" w:lineRule="auto" w:before="0" w:after="0"/>
              <w:pStyle w:val="Compact"/>
            </w:pPr>
            <w:r>
              <w:rPr>
                <w:sz w:val="20"/>
                <w:szCs w:val="20"/>
              </w:rPr>
              <w:t xml:space="preserve">3.056e-26</w:t>
            </w:r>
          </w:p>
        </w:tc>
        <w:tc>
          <w:tcPr>
            <w:tcW w:w="0" w:type="auto"/>
          </w:tcPr>
          <w:p>
            <w:pPr>
              <w:spacing w:line="240" w:lineRule="auto" w:before="0" w:after="0"/>
              <w:pStyle w:val="Compact"/>
            </w:pPr>
            <w:r>
              <w:rPr>
                <w:sz w:val="20"/>
                <w:szCs w:val="20"/>
              </w:rPr>
              <w:t xml:space="preserve">[2.5075, 3.6455]</w:t>
            </w:r>
          </w:p>
        </w:tc>
      </w:tr>
      <w:tr>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0.0004256</w:t>
            </w:r>
          </w:p>
        </w:tc>
        <w:tc>
          <w:tcPr>
            <w:tcW w:w="0" w:type="auto"/>
          </w:tcPr>
          <w:p>
            <w:pPr>
              <w:spacing w:line="240" w:lineRule="auto" w:before="0" w:after="0"/>
              <w:pStyle w:val="Compact"/>
            </w:pPr>
            <w:r>
              <w:rPr>
                <w:sz w:val="20"/>
                <w:szCs w:val="20"/>
              </w:rPr>
              <w:t xml:space="preserve">-5.6695</w:t>
            </w:r>
          </w:p>
        </w:tc>
        <w:tc>
          <w:tcPr>
            <w:tcW w:w="0" w:type="auto"/>
          </w:tcPr>
          <w:p>
            <w:pPr>
              <w:spacing w:line="240" w:lineRule="auto" w:before="0" w:after="0"/>
              <w:pStyle w:val="Compact"/>
            </w:pPr>
            <w:r>
              <w:rPr>
                <w:sz w:val="20"/>
                <w:szCs w:val="20"/>
              </w:rPr>
              <w:t xml:space="preserve">1.432e-08</w:t>
            </w:r>
          </w:p>
        </w:tc>
        <w:tc>
          <w:tcPr>
            <w:tcW w:w="0" w:type="auto"/>
          </w:tcPr>
          <w:p>
            <w:pPr>
              <w:spacing w:line="240" w:lineRule="auto" w:before="0" w:after="0"/>
              <w:pStyle w:val="Compact"/>
            </w:pPr>
            <w:r>
              <w:rPr>
                <w:sz w:val="20"/>
                <w:szCs w:val="20"/>
              </w:rPr>
              <w:t xml:space="preserve">[-0.0032, -0.0016]</w:t>
            </w:r>
          </w:p>
        </w:tc>
      </w:tr>
      <w:tr>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0.0006924</w:t>
            </w:r>
          </w:p>
        </w:tc>
        <w:tc>
          <w:tcPr>
            <w:tcW w:w="0" w:type="auto"/>
          </w:tcPr>
          <w:p>
            <w:pPr>
              <w:spacing w:line="240" w:lineRule="auto" w:before="0" w:after="0"/>
              <w:pStyle w:val="Compact"/>
            </w:pPr>
            <w:r>
              <w:rPr>
                <w:sz w:val="20"/>
                <w:szCs w:val="20"/>
              </w:rPr>
              <w:t xml:space="preserve">8.7064</w:t>
            </w:r>
          </w:p>
        </w:tc>
        <w:tc>
          <w:tcPr>
            <w:tcW w:w="0" w:type="auto"/>
          </w:tcPr>
          <w:p>
            <w:pPr>
              <w:spacing w:line="240" w:lineRule="auto" w:before="0" w:after="0"/>
              <w:pStyle w:val="Compact"/>
            </w:pPr>
            <w:r>
              <w:rPr>
                <w:sz w:val="20"/>
                <w:szCs w:val="20"/>
              </w:rPr>
              <w:t xml:space="preserve">3.137e-18</w:t>
            </w:r>
          </w:p>
        </w:tc>
        <w:tc>
          <w:tcPr>
            <w:tcW w:w="0" w:type="auto"/>
          </w:tcPr>
          <w:p>
            <w:pPr>
              <w:spacing w:line="240" w:lineRule="auto" w:before="0" w:after="0"/>
              <w:pStyle w:val="Compact"/>
            </w:pPr>
            <w:r>
              <w:rPr>
                <w:sz w:val="20"/>
                <w:szCs w:val="20"/>
              </w:rPr>
              <w:t xml:space="preserve">[0.0047, 0.0074]</w:t>
            </w:r>
          </w:p>
        </w:tc>
      </w:tr>
    </w:tbl>
    <w:p>
      <w:pPr>
        <w:pStyle w:val="BodyText"/>
      </w:pPr>
      <w:r>
        <w:t xml:space="preserve">Fit: N = 28 R2 = 0.9981 R2_adj = 0.9978 F = 5562.2435 F_p = 3.101e-34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16.12.018" TargetMode="External" /><Relationship Type="http://schemas.openxmlformats.org/officeDocument/2006/relationships/hyperlink" Id="rId68" Target="https://doi.org/10.1126/scirobotics.aan4582" TargetMode="External" /><Relationship Type="http://schemas.openxmlformats.org/officeDocument/2006/relationships/hyperlink" Id="rId71" Target="https://doi.org/10.1126/scirobotics.adh3043" TargetMode="External" /><Relationship Type="http://schemas.openxmlformats.org/officeDocument/2006/relationships/hyperlink" Id="rId73" Target="https://doi.org/10.1145/2240166.224016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16.12.018" TargetMode="External" /><Relationship Type="http://schemas.openxmlformats.org/officeDocument/2006/relationships/hyperlink" Id="rId68" Target="https://doi.org/10.1126/scirobotics.aan4582" TargetMode="External" /><Relationship Type="http://schemas.openxmlformats.org/officeDocument/2006/relationships/hyperlink" Id="rId71" Target="https://doi.org/10.1126/scirobotics.adh3043" TargetMode="External" /><Relationship Type="http://schemas.openxmlformats.org/officeDocument/2006/relationships/hyperlink" Id="rId73" Target="https://doi.org/10.1145/2240166.224016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2026-06-26T16:46:30Z</dcterms:created>
  <dcterms:modified xsi:type="dcterms:W3CDTF">2026-06-26T16:46:30Z</dcterms:modified>
</cp:coreProperties>
</file>

<file path=docProps/custom.xml><?xml version="1.0" encoding="utf-8"?>
<Properties xmlns="http://schemas.openxmlformats.org/officeDocument/2006/custom-properties" xmlns:vt="http://schemas.openxmlformats.org/officeDocument/2006/docPropsVTypes"/>
</file>