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VALUE OF INFORMATION IN AUTONOMOUS SCIENCE TARGETING: QUANTIFYING THE SCIENCE YIELD OF ONBOARD DECISION AUTHORITY</w:t>
      </w:r>
    </w:p>
    <w:p>
      <w:pPr>
        <w:jc w:val="center"/>
      </w:pPr>
    </w:p>
    <w:p>
      <w:pPr>
        <w:jc w:val="center"/>
      </w:pPr>
      <w:r>
        <w:rPr>
          <w:rFonts w:ascii="Times New Roman" w:hAnsi="Times New Roman"/>
          <w:sz w:val="24"/>
        </w:rPr>
        <w:t>by</w:t>
      </w:r>
    </w:p>
    <w:p>
      <w:pPr>
        <w:jc w:val="center"/>
      </w:pPr>
      <w:r>
        <w:rPr>
          <w:rFonts w:ascii="Times New Roman" w:hAnsi="Times New Roman"/>
          <w:b/>
          <w:sz w:val="28"/>
        </w:rPr>
        <w:t>Pavel Ito</w:t>
      </w:r>
    </w:p>
    <w:p>
      <w:pPr>
        <w:jc w:val="center"/>
      </w:pPr>
      <w:r>
        <w:rPr>
          <w:rFonts w:ascii="Times New Roman" w:hAnsi="Times New Roman"/>
          <w:sz w:val="24"/>
        </w:rPr>
        <w:t>1B-AUT-082</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7" w:name="chapter-1.-introduction"/>
    <w:p>
      <w:pPr>
        <w:pStyle w:val="Heading1"/>
        <w:spacing w:line="480" w:lineRule="auto"/>
      </w:pPr>
      <w:r>
        <w:t xml:space="preserve">Chapter 1. Introduction</w:t>
      </w:r>
    </w:p>
    <w:bookmarkStart w:id="61" w:name="the-operational-problem"/>
    <w:p>
      <w:pPr>
        <w:pStyle w:val="Heading2"/>
        <w:spacing w:line="480" w:lineRule="auto"/>
      </w:pPr>
      <w:r>
        <w:t xml:space="preserve">1.1 The Operational Problem</w:t>
      </w:r>
    </w:p>
    <w:p>
      <w:pPr>
        <w:pStyle w:val="FirstParagraph"/>
        <w:spacing w:line="480" w:lineRule="auto"/>
      </w:pPr>
      <w:r>
        <w:t xml:space="preserve">A planetary rover and a deep-space sensor confront the same operating constraint expressed in different units. Each begins a sol or an orbit with a strictly bounded budget of observing time, electrical energy, and downlink bandwidth, and each faces a target field whose scientific richness is non-uniform and not fully known in advance. The decision that sets the science return is the choice of which target to interrogate next. When that decision is delegated to a ground operations team on Earth, it travels at the speed of light through a one-way light-time delay that, in the Mars case, varies between roughly four and twenty-four minutes, and through the queueing of a planning shift that resolves the next command load over a span of one to two sols. When the decision is delegated to an onboard autonomous targeting system, it executes within seconds against the most recent observation the spacecraft has acquired. The operational question is whether the second arrangement returns enough additional science to justify the verification, validation, and operational-risk burden it imposes on the mission.</w:t>
      </w:r>
    </w:p>
    <w:p>
      <w:pPr>
        <w:pStyle w:val="BodyText"/>
        <w:spacing w:line="480" w:lineRule="auto"/>
        <w:ind w:firstLine="720"/>
      </w:pPr>
      <w:r>
        <w:t xml:space="preserve">This question has moved from the conceptual margin of mission design to its operational center over the last fifteen years. The Autonomous Exploration for Gathering Increased Science (AEGIS) system has now flown on three consecutive Mars surface missions, first targeting Pancam observations on the Mars Exploration Rover (MER) Opportunity [10, 12], then ChemCam observations on the Mars Science Laboratory (MSL) Curiosity [7, 8], and most recently SuperCam observations on Mars 2020 (M2020) Perseverance [9, 15]. Each deployment produced an operational record that documents, for the first time at mission scale, the share of remote sensing targets selected by the spacecraft rather than the science team, the latency under which that selection occurred, and the downstream archival use of the resulting observations. The combined record is the empirical substrate that lets the value-of-information question shift from a hypothetical to a measurable.</w:t>
      </w:r>
    </w:p>
    <w:p>
      <w:pPr>
        <w:pStyle w:val="BodyText"/>
        <w:spacing w:line="480" w:lineRule="auto"/>
        <w:ind w:firstLine="720"/>
      </w:pPr>
      <w:r>
        <w:t xml:space="preserve">The stakes for NASA and for the Jet Propulsion Laboratory are concrete. Every planning cycle that an instrument waits on ground confirmation is observing time the mission does not recover, and every sol on which a rover acquires a target that is informationally inferior to one within its field of regard is a loss against the science floor the mission was designed to clear. Field tests with semi-autonomous rovers on Mars-analogue terrain show that the choice of target dominates the science merit of the selected site, that even modest changes in how reconnoitering narrows the candidate set reshape the realized science return, and that the bottleneck the autonomy must clear is precisely the target-selection skill the science team would otherwise apply through a planning shift</w:t>
      </w:r>
      <w:r>
        <w:t xml:space="preserve"> </w:t>
      </w:r>
      <w:hyperlink w:anchor="ref-1">
        <w:r>
          <w:rPr>
            <w:rStyle w:val="Hyperlink"/>
          </w:rPr>
          <w:t xml:space="preserve">[1]</w:t>
        </w:r>
      </w:hyperlink>
      <w:r>
        <w:t xml:space="preserve">. The agent-based mission-management literature has catalogued the design space within which onboard decision authority can be granted and exercised across distributed space systems</w:t>
      </w:r>
      <w:r>
        <w:t xml:space="preserve"> </w:t>
      </w:r>
      <w:hyperlink w:anchor="ref-4">
        <w:r>
          <w:rPr>
            <w:rStyle w:val="Hyperlink"/>
          </w:rPr>
          <w:t xml:space="preserve">[4]</w:t>
        </w:r>
      </w:hyperlink>
      <w:r>
        <w:t xml:space="preserve">. What neither literature delivers is a defensible number a mission planner can carry into a design review when asked how much science the autonomy is actually worth.</w:t>
      </w:r>
    </w:p>
    <w:bookmarkEnd w:id="61"/>
    <w:bookmarkStart w:id="62" w:name="the-stakes-for-nasa-and-jpl"/>
    <w:p>
      <w:pPr>
        <w:pStyle w:val="Heading2"/>
        <w:spacing w:line="480" w:lineRule="auto"/>
      </w:pPr>
      <w:r>
        <w:t xml:space="preserve">1.2 The Stakes for NASA and JPL</w:t>
      </w:r>
    </w:p>
    <w:p>
      <w:pPr>
        <w:pStyle w:val="FirstParagraph"/>
        <w:spacing w:line="480" w:lineRule="auto"/>
      </w:pPr>
      <w:r>
        <w:t xml:space="preserve">The institutional stakes follow directly from the operational ones. NASA’s planetary science portfolio is built on missions whose unit cost is large, whose flight cadence is low, and whose science return is the metric by which the agency justifies the next mission to its appropriators. For JPL, which has fielded every AEGIS deployment to date and which is the institutional home of the autonomy architecture that ties them together, the question of how much marginal science onboard decision authority returns is not an academic one. It is the question that determines whether the next mission is designed with the autonomy in the trade space at the level of a primary subsystem or as a discretionary capability layered on top of a conventional ground loop. The two design postures imply different verification regimes, different operational training burdens, and different fault-protection envelopes, and the difference between them is paid in mission cost and risk.</w:t>
      </w:r>
    </w:p>
    <w:p>
      <w:pPr>
        <w:pStyle w:val="BodyText"/>
        <w:spacing w:line="480" w:lineRule="auto"/>
        <w:ind w:firstLine="720"/>
      </w:pPr>
      <w:r>
        <w:t xml:space="preserve">Work on mission-management autonomy has documented the proliferation of architectural patterns within which the onboard decision can be granted and constrained, including agent-based and distributed allocations of decision authority across ground and flight segments</w:t>
      </w:r>
      <w:r>
        <w:t xml:space="preserve"> </w:t>
      </w:r>
      <w:hyperlink w:anchor="ref-4">
        <w:r>
          <w:rPr>
            <w:rStyle w:val="Hyperlink"/>
          </w:rPr>
          <w:t xml:space="preserve">[4]</w:t>
        </w:r>
      </w:hyperlink>
      <w:r>
        <w:t xml:space="preserve">. The literature on autonomous space operations more broadly has demonstrated that information-gathering policies can be cast as guidance problems whose optimization yields measurable improvements in tracking and inspection tasks</w:t>
      </w:r>
      <w:r>
        <w:t xml:space="preserve"> </w:t>
      </w:r>
      <w:hyperlink w:anchor="ref-20">
        <w:r>
          <w:rPr>
            <w:rStyle w:val="Hyperlink"/>
          </w:rPr>
          <w:t xml:space="preserve">[20]</w:t>
        </w:r>
      </w:hyperlink>
      <w:r>
        <w:t xml:space="preserve">, and that supervised-learning approaches can support autonomous orbital maintenance once the right reference points are estimated onboard</w:t>
      </w:r>
      <w:r>
        <w:t xml:space="preserve"> </w:t>
      </w:r>
      <w:hyperlink w:anchor="ref-26">
        <w:r>
          <w:rPr>
            <w:rStyle w:val="Hyperlink"/>
          </w:rPr>
          <w:t xml:space="preserve">[26]</w:t>
        </w:r>
      </w:hyperlink>
      <w:r>
        <w:t xml:space="preserve">. The literature on autonomous mission analysis for inspection and proximity operations has shown that the guidance and control envelope within which an autonomous spacecraft acts is now tractable for CubeSat-class platforms</w:t>
      </w:r>
      <w:r>
        <w:t xml:space="preserve"> </w:t>
      </w:r>
      <w:hyperlink w:anchor="ref-24">
        <w:r>
          <w:rPr>
            <w:rStyle w:val="Hyperlink"/>
          </w:rPr>
          <w:t xml:space="preserve">[24]</w:t>
        </w:r>
      </w:hyperlink>
      <w:r>
        <w:t xml:space="preserve">. Each of these strands establishes that the autonomy is buildable and that the policies it executes are well-specified. None of them estimates how much additional science the buildable autonomy returns against the counterfactual of a ground-commanded baseline.</w:t>
      </w:r>
    </w:p>
    <w:p>
      <w:pPr>
        <w:pStyle w:val="BodyText"/>
        <w:spacing w:line="480" w:lineRule="auto"/>
        <w:ind w:firstLine="720"/>
      </w:pPr>
      <w:r>
        <w:t xml:space="preserve">At the agency level the case for resolving this gap is sharper than it appears. NASA’s planetary missions are forecasted to operate under increasingly constrained downlink budgets as the relay infrastructure ages and as the population of operating missions in the Mars and outer-planet relay networks grows. The marginal science return of the autonomy is therefore not a standalone quantity. It interacts with the marginal science return of additional downlink bandwidth and with the operational tradeoff between drive sols and observation sols on surface missions. A coefficient on autonomy that ignores those interactions is informative only at the margin from which it was estimated; a coefficient that estimates them jointly is informative across the design space within which JPL must choose. The first paper of this dissertation reports an ordinary-least-squares specification on twenty-eight sol-block observations across three Mars rovers that estimates exactly that joint surface and finds the autonomy coefficient, the downlink coefficient, and the traverse coefficient to be independently signed in the directions value-of-information theory predicts [7, 8, 9, 10]. The second paper of this dissertation reports a cross-mission log-log learning-curve specification on thirty binned observations across the same three deployments that estimates the experience elasticity of per-sol science yield at 0.22 with a tight standard error [1, 4, 8, 10, 14, 15]. The two estimates together describe a level and a slope. The chapter that follows situates the dissertation that contains them.</w:t>
      </w:r>
    </w:p>
    <w:bookmarkEnd w:id="62"/>
    <w:bookmarkStart w:id="63" w:name="Xf30008fd28f360eb8a859a1c12858bf7c60a4b4"/>
    <w:p>
      <w:pPr>
        <w:pStyle w:val="Heading2"/>
        <w:spacing w:line="480" w:lineRule="auto"/>
      </w:pPr>
      <w:r>
        <w:t xml:space="preserve">1.3 The Gap Between the Domain Literature and the Econometric Method Literature</w:t>
      </w:r>
    </w:p>
    <w:p>
      <w:pPr>
        <w:pStyle w:val="FirstParagraph"/>
        <w:spacing w:line="480" w:lineRule="auto"/>
      </w:pPr>
      <w:r>
        <w:t xml:space="preserve">The literature that has built the onboard autonomous-targeting capability and the literature that has built the econometric methods capable of pricing it have, with rare exceptions, not been in contact. The gap is not a gap in either literature taken alone. It is a gap in the translation between them.</w:t>
      </w:r>
    </w:p>
    <w:p>
      <w:pPr>
        <w:pStyle w:val="BodyText"/>
        <w:spacing w:line="480" w:lineRule="auto"/>
        <w:ind w:firstLine="720"/>
      </w:pPr>
      <w:r>
        <w:t xml:space="preserve">On the domain side, two strands of work are mature. The first is the planetary-exploration autonomy literature, which has documented the deployment of AEGIS across three Mars rovers and has reported the operational metrics that the missions used to evaluate the autonomy’s performance, including target acquisition counts, target-selection latency, and downstream science-team use of the autonomously selected observations [7, 8, 9, 10, 14, 15]. The second is the sensor-tasking literature in space situational awareness, which has matured an information-gain calculus for autonomous scheduling that prioritizes observations by their expected Shannon information about the state of the object being tracked, across single-sensor</w:t>
      </w:r>
      <w:r>
        <w:t xml:space="preserve"> </w:t>
      </w:r>
      <w:hyperlink w:anchor="ref-2">
        <w:r>
          <w:rPr>
            <w:rStyle w:val="Hyperlink"/>
          </w:rPr>
          <w:t xml:space="preserve">[2]</w:t>
        </w:r>
      </w:hyperlink>
      <w:r>
        <w:t xml:space="preserve">, reinforcement-learning [3, 21], multi-sensor swarm</w:t>
      </w:r>
      <w:r>
        <w:t xml:space="preserve"> </w:t>
      </w:r>
      <w:hyperlink w:anchor="ref-5">
        <w:r>
          <w:rPr>
            <w:rStyle w:val="Hyperlink"/>
          </w:rPr>
          <w:t xml:space="preserve">[5]</w:t>
        </w:r>
      </w:hyperlink>
      <w:r>
        <w:t xml:space="preserve">, decentralized</w:t>
      </w:r>
      <w:r>
        <w:t xml:space="preserve"> </w:t>
      </w:r>
      <w:hyperlink w:anchor="ref-6">
        <w:r>
          <w:rPr>
            <w:rStyle w:val="Hyperlink"/>
          </w:rPr>
          <w:t xml:space="preserve">[6]</w:t>
        </w:r>
      </w:hyperlink>
      <w:r>
        <w:t xml:space="preserve">, and heterogeneous-network</w:t>
      </w:r>
      <w:r>
        <w:t xml:space="preserve"> </w:t>
      </w:r>
      <w:hyperlink w:anchor="ref-11">
        <w:r>
          <w:rPr>
            <w:rStyle w:val="Hyperlink"/>
          </w:rPr>
          <w:t xml:space="preserve">[11]</w:t>
        </w:r>
      </w:hyperlink>
      <w:r>
        <w:t xml:space="preserve"> </w:t>
      </w:r>
      <w:r>
        <w:t xml:space="preserve">settings. The first strand establishes that the autonomy works in the field. The second establishes that the right metric for evaluating an autonomous targeting decision is the expected information gain it returns. Together they bracket the value-of-information question without answering it.</w:t>
      </w:r>
    </w:p>
    <w:p>
      <w:pPr>
        <w:pStyle w:val="BodyText"/>
        <w:spacing w:line="480" w:lineRule="auto"/>
        <w:ind w:firstLine="720"/>
      </w:pPr>
      <w:r>
        <w:t xml:space="preserve">A third strand of related work circles the same question from outside the planetary-rover setting. Coordinated optimization of space-domain awareness has been framed as a commodity-market problem in which sensor allocations are priced against expected information</w:t>
      </w:r>
      <w:r>
        <w:t xml:space="preserve"> </w:t>
      </w:r>
      <w:hyperlink w:anchor="ref-16">
        <w:r>
          <w:rPr>
            <w:rStyle w:val="Hyperlink"/>
          </w:rPr>
          <w:t xml:space="preserve">[16]</w:t>
        </w:r>
      </w:hyperlink>
      <w:r>
        <w:t xml:space="preserve">. Optical surveillance programs have demonstrated that purpose-built autonomous telescopes can sustain large-scale tasking against debris populations</w:t>
      </w:r>
      <w:r>
        <w:t xml:space="preserve"> </w:t>
      </w:r>
      <w:hyperlink w:anchor="ref-17">
        <w:r>
          <w:rPr>
            <w:rStyle w:val="Hyperlink"/>
          </w:rPr>
          <w:t xml:space="preserve">[17]</w:t>
        </w:r>
      </w:hyperlink>
      <w:r>
        <w:t xml:space="preserve">. Autonomous shape estimation has been treated as an information-gathering policy in its own right</w:t>
      </w:r>
      <w:r>
        <w:t xml:space="preserve"> </w:t>
      </w:r>
      <w:hyperlink w:anchor="ref-18">
        <w:r>
          <w:rPr>
            <w:rStyle w:val="Hyperlink"/>
          </w:rPr>
          <w:t xml:space="preserve">[18]</w:t>
        </w:r>
      </w:hyperlink>
      <w:r>
        <w:t xml:space="preserve">, and autonomous debris-avoidance testbeds have been built to evaluate onboard policies against physically realistic dynamics</w:t>
      </w:r>
      <w:r>
        <w:t xml:space="preserve"> </w:t>
      </w:r>
      <w:hyperlink w:anchor="ref-19">
        <w:r>
          <w:rPr>
            <w:rStyle w:val="Hyperlink"/>
          </w:rPr>
          <w:t xml:space="preserve">[19]</w:t>
        </w:r>
      </w:hyperlink>
      <w:r>
        <w:t xml:space="preserve">. Mission-planning frameworks have been used to inform policy decisions on active debris removal</w:t>
      </w:r>
      <w:r>
        <w:t xml:space="preserve"> </w:t>
      </w:r>
      <w:hyperlink w:anchor="ref-25">
        <w:r>
          <w:rPr>
            <w:rStyle w:val="Hyperlink"/>
          </w:rPr>
          <w:t xml:space="preserve">[25]</w:t>
        </w:r>
      </w:hyperlink>
      <w:r>
        <w:t xml:space="preserve"> </w:t>
      </w:r>
      <w:r>
        <w:t xml:space="preserve">and on the long-horizon evaluation of asteroid-mining target sets</w:t>
      </w:r>
      <w:r>
        <w:t xml:space="preserve"> </w:t>
      </w:r>
      <w:hyperlink w:anchor="ref-27">
        <w:r>
          <w:rPr>
            <w:rStyle w:val="Hyperlink"/>
          </w:rPr>
          <w:t xml:space="preserve">[27]</w:t>
        </w:r>
      </w:hyperlink>
      <w:r>
        <w:t xml:space="preserve">. Each of these papers takes the information-gain or science-yield outcome seriously and treats the autonomy’s policy as the choice variable. None of them estimates the elasticity of the outcome with respect to the autonomy’s authority or experience against a within-mission counterfactual, and none of them is positioned to do so.</w:t>
      </w:r>
    </w:p>
    <w:p>
      <w:pPr>
        <w:pStyle w:val="BodyText"/>
        <w:spacing w:line="480" w:lineRule="auto"/>
        <w:ind w:firstLine="720"/>
      </w:pPr>
      <w:r>
        <w:t xml:space="preserve">On the method side, the econometric literature on causal inference and learning-curve estimation has matured the tools that translate operational records into defensible elasticities. Within-unit fixed-effects regressions on panel data identify treatment effects against time-invariant confounders. Heteroskedasticity-consistent variance estimators support inference on cross-mission panels with known cross-sectional heterogeneity. Log-log learning-curve specifications recover progress factors from operational records that span more than two orders of magnitude in cumulative experience. These tools are well established and broadly applied across industrial organization, technology adoption, and operations research. They are also, with rare exception, absent from the planetary-autonomy literature, which has reported its operational metrics in tabular and graphical form without fitting the regressions that would convert them into elasticities a mission planner could carry forward.</w:t>
      </w:r>
    </w:p>
    <w:p>
      <w:pPr>
        <w:pStyle w:val="BodyText"/>
        <w:spacing w:line="480" w:lineRule="auto"/>
        <w:ind w:firstLine="720"/>
      </w:pPr>
      <w:r>
        <w:t xml:space="preserve">The gap this dissertation addresses is therefore not a gap in what the autonomy does or in what the metrics measure. It is a gap in whether the autonomy’s operational record has been priced. The planetary-autonomy literature has built the record. The sensor-tasking literature has specified the metric. The econometric literature has built the estimator. No paper has yet fit the estimator to the record using the metric to produce a number a mission planner can carry into a design review.</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contribution of this dissertation is one estimate stated in two complementary parameterizations. The estimate is the marginal science yield attributable to onboard autonomous targeting authority on Mars surface missions, identified against a within-mission and cross-mission record of AEGIS operational data on three rovers. The two parameterizations are the level and the slope.</w:t>
      </w:r>
    </w:p>
    <w:p>
      <w:pPr>
        <w:pStyle w:val="BodyText"/>
        <w:spacing w:line="480" w:lineRule="auto"/>
        <w:ind w:firstLine="720"/>
      </w:pPr>
      <w:r>
        <w:t xml:space="preserve">The level parameterization is the coefficient on autonomous target share in an ordinary-least-squares regression of per-sol science yield on autonomy share, traverse distance, and downlink bandwidth, fit on twenty-eight sol-block observations drawn from MER Opportunity, MSL Curiosity, and M2020 Perseverance [7, 8, 9, 10]. The slope parameterization is the experience elasticity in a log-log regression of mean per-sol science yield on cumulative autonomous-targeting sols, fit on thirty binned observations across the same three deployments [1, 4, 8, 10, 14, 15]. The level says how much science a fully autonomous sol returns relative to a fully manual one, conditional on the operational covariates. The slope says how fast that level rises as the autonomy accumulates operating experience. The two together answer the design-review question in the units in which it is asked.</w:t>
      </w:r>
    </w:p>
    <w:p>
      <w:pPr>
        <w:pStyle w:val="BodyText"/>
        <w:spacing w:line="480" w:lineRule="auto"/>
        <w:ind w:firstLine="720"/>
      </w:pPr>
      <w:r>
        <w:t xml:space="preserve">The falsifiable claim is precisely this. Let the autonomy coefficient in the level specification be denoted beta_A and let the experience elasticity in the slope specification be denoted beta_E. The null hypothesis is that beta_A is statistically indistinguishable from zero once traverse and downlink are controlled, and that beta_E is statistically indistinguishable from zero across the AEGIS panel. The alternative is that beta_A is positive and statistically significant at conventional levels and that beta_E is strictly greater than zero with a confidence interval whose lower bound exceeds zero. The contribution is rejected if either coefficient fails its directional test. The contribution is sustained if both coefficients survive their tests under the threats-to-validity analysis the body chapters report.</w:t>
      </w:r>
    </w:p>
    <w:p>
      <w:pPr>
        <w:pStyle w:val="BodyText"/>
        <w:spacing w:line="480" w:lineRule="auto"/>
        <w:ind w:firstLine="720"/>
      </w:pPr>
      <w:r>
        <w:t xml:space="preserve">Why two parameterizations rather than one? Because the design-review question is asked at two horizons. At the budget horizon, the planner asks how much additional science the autonomy returns this mission. The level coefficient answers that question. At the program horizon, the planner asks how much additional science the autonomy returns over the next mission and the one after it. The slope coefficient answers that question. A dissertation that estimated only one would underspecify the design problem the autonomy is designed to address. A dissertation that estimated both, on the same operational record, on the same target-selection technology, and against the same value-of-information metric, prices the autonomy at the horizons over which JPL must justify its inclusion.</w:t>
      </w:r>
    </w:p>
    <w:bookmarkEnd w:id="64"/>
    <w:bookmarkStart w:id="65" w:name="what-the-contribution-is-not"/>
    <w:p>
      <w:pPr>
        <w:pStyle w:val="Heading2"/>
        <w:spacing w:line="480" w:lineRule="auto"/>
      </w:pPr>
      <w:r>
        <w:t xml:space="preserve">1.5 What the Contribution Is Not</w:t>
      </w:r>
    </w:p>
    <w:p>
      <w:pPr>
        <w:pStyle w:val="FirstParagraph"/>
        <w:spacing w:line="480" w:lineRule="auto"/>
      </w:pPr>
      <w:r>
        <w:t xml:space="preserve">The dissertation does not propose a new autonomy architecture, a new information-gain metric, or a new target-selection policy. It takes the architecture as given by the AEGIS family on Mars surface missions [7, 8, 9, 10, 14, 15], it takes the metric as given by the sensor-tasking literature [2, 3, 5, 6, 11], and it takes the policy as given by the deployed operational record. The dissertation also does not propose to extrapolate the estimate to autonomy regimes outside the empirical envelope on which it was fit. The level coefficient is identified against Mars-latency operations on rover-class platforms with documented downlink bandwidths and documented traverse rates. The slope coefficient is identified across the AEGIS panel and across the three science instruments on which AEGIS has flown. Extrapolations to orbital remote sensing, to deep-space high-latency regimes, or to non-AEGIS onboard targeting families are flagged in the discussion chapters and treated as the empirical question for the next research cycle, not as a settled implication of the present estimates.</w:t>
      </w:r>
    </w:p>
    <w:p>
      <w:pPr>
        <w:pStyle w:val="BodyText"/>
        <w:spacing w:line="480" w:lineRule="auto"/>
        <w:ind w:firstLine="720"/>
      </w:pPr>
      <w:r>
        <w:t xml:space="preserve">The dissertation also does not propose to relitigate the policy question of how onboard decision authority interacts with the legal framework that governs the militarization or weaponization of autonomous systems in outer space</w:t>
      </w:r>
      <w:r>
        <w:t xml:space="preserve"> </w:t>
      </w:r>
      <w:hyperlink w:anchor="ref-31">
        <w:r>
          <w:rPr>
            <w:rStyle w:val="Hyperlink"/>
          </w:rPr>
          <w:t xml:space="preserve">[31]</w:t>
        </w:r>
      </w:hyperlink>
      <w:r>
        <w:t xml:space="preserve">. That question is real and is being adjudicated in parallel forums. It is bracketed here so that the value-of-information estimate this dissertation produces can be carried into design reviews without ambiguity about what it does and does not address. The dissertation is about pricing the science yield of onboard decision authority on civilian planetary missions, not about the regulatory regime under which any such authority is granted.</w:t>
      </w:r>
    </w:p>
    <w:bookmarkEnd w:id="65"/>
    <w:bookmarkStart w:id="66" w:name="roadmap"/>
    <w:p>
      <w:pPr>
        <w:pStyle w:val="Heading2"/>
        <w:spacing w:line="480" w:lineRule="auto"/>
      </w:pPr>
      <w:r>
        <w:t xml:space="preserve">1.6 Roadmap</w:t>
      </w:r>
    </w:p>
    <w:p>
      <w:pPr>
        <w:pStyle w:val="FirstParagraph"/>
        <w:spacing w:line="480" w:lineRule="auto"/>
      </w:pPr>
      <w:r>
        <w:t xml:space="preserve">The dissertation is organized into seven chapters. The present chapter has stated the operational problem, the institutional stakes, the literature gap, and the single falsifiable contribution. Chapter 2 reviews the three bodies of literature the contribution sits between in sufficient depth to support the identification strategy that follows: the planetary-exploration autonomy literature centered on the AEGIS deployments [1, 7, 8, 9, 10, 14, 15], the sensor-tasking and information-gain literature centered on autonomous scheduling for space surveillance [2, 3, 5, 6, 11, 18, 20, 21], and the agent-based and distributed-autonomy literature centered on mission management</w:t>
      </w:r>
      <w:r>
        <w:t xml:space="preserve"> </w:t>
      </w:r>
      <w:hyperlink w:anchor="ref-4">
        <w:r>
          <w:rPr>
            <w:rStyle w:val="Hyperlink"/>
          </w:rPr>
          <w:t xml:space="preserve">[4]</w:t>
        </w:r>
      </w:hyperlink>
      <w:r>
        <w:t xml:space="preserve">. Chapter 3 develops the value-of-information frame within which both the level and the slope estimates sit, defines the science-yield outcome precisely, and states the identification assumptions that the regression specifications will be asked to satisfy. Chapter 4 reports the level estimate. It describes the twenty-eight sol-block panel drawn from MER Opportunity, MSL Curiosity, and M2020 Perseverance, the construction of the science-yield index, the specification, and the results. Chapter 5 reports the slope estimate. It describes the thirty binned observations across the AEGIS panel, the log-log specification, the experience elasticity estimate, and the implied progress factor under a doubling of cumulative autonomous-targeting sols. Chapter 6 reports the threats-to-validity analysis for both estimates. It addresses selection on observables in the assignment of autonomous versus ground-commanded targets, measurement error in the science-yield index, the collinearity between the autonomy contrast and the instrument-generation contrast across missions, and the cross-mission portability of the experience curve. Chapter 7 reports the design-review implications, the limits of the present estimates, and the empirical questions the next research cycle will need to address, including the extension of the panel to non-AEGIS onboard-targeting deployments and to orbital remote sensing.</w:t>
      </w:r>
    </w:p>
    <w:p>
      <w:pPr>
        <w:pStyle w:val="BodyText"/>
        <w:spacing w:line="480" w:lineRule="auto"/>
        <w:ind w:firstLine="720"/>
      </w:pPr>
      <w:r>
        <w:t xml:space="preserve">The empirical workbooks accompanying Chapters 4 and 5 carry the row-level data, the specification code, and the diagnostic outputs in a form that supports replication. The threats-to-validity analysis in Chapter 6 is organized in the order in which a reviewer would encounter the threats reading the body chapters, not in order of severity, so that each threat is paired with the specification feature that was designed to address it. The roadmap is built so that a reader can stop after Chapter 4 with the level estimate, stop after Chapter 5 with both estimates, or read through Chapter 7 with the full design-review interpretation. The contribution is the same number in either reading. The chapters that follow report it.</w:t>
      </w:r>
    </w:p>
    <w:bookmarkEnd w:id="66"/>
    <w:bookmarkEnd w:id="67"/>
    <w:bookmarkStart w:id="74" w:name="chapter-2.-literature-review"/>
    <w:p>
      <w:pPr>
        <w:pStyle w:val="Heading1"/>
        <w:spacing w:line="480" w:lineRule="auto"/>
      </w:pPr>
      <w:r>
        <w:t xml:space="preserve">Chapter 2. Literature Review</w:t>
      </w:r>
    </w:p>
    <w:bookmarkStart w:id="68" w:name="Xf2f088cd504ec772bce9e87ea41befa885d614e"/>
    <w:p>
      <w:pPr>
        <w:pStyle w:val="Heading2"/>
        <w:spacing w:line="480" w:lineRule="auto"/>
      </w:pPr>
      <w:r>
        <w:t xml:space="preserve">2.1 Orientation: Two Literatures That Have Not Met</w:t>
      </w:r>
    </w:p>
    <w:p>
      <w:pPr>
        <w:pStyle w:val="FirstParagraph"/>
        <w:spacing w:line="480" w:lineRule="auto"/>
      </w:pPr>
      <w:r>
        <w:t xml:space="preserve">The dissertation’s central claim, that the science yield of onboard autonomous targeting authority can be quantified as an elasticity recoverable from operational records, sits at the intersection of two scholarly literatures that have grown in parallel without converging. The first is a domain technical literature on autonomous decision-making for spacecraft and rover operations, anchored in planetary exploration, space-surveillance sensor tasking, and the broader agent-based mission-management tradition. The second is a methodological literature on cliometric and econometric estimation of technology returns and learning curves, whose tools (fixed-effects regression, log-log learning-curve fits, value-of-information accounting under uncertainty) have been applied to industrial production, energy systems, and aerospace cost trajectories but not, to the present author’s knowledge, to the specific question of what an autonomous targeting decision is worth in science units. This chapter reviews each literature on its own terms, identifies the substantive and methodological convergence point that neither has yet articulated, and locates the dissertation’s three contributions in the gap that the convergence opens.</w:t>
      </w:r>
    </w:p>
    <w:p>
      <w:pPr>
        <w:pStyle w:val="BodyText"/>
        <w:spacing w:line="480" w:lineRule="auto"/>
        <w:ind w:firstLine="720"/>
      </w:pPr>
      <w:r>
        <w:t xml:space="preserve">The order of the review reflects the order in which the two literatures must speak to one another in the empirical chapters. Section 2.2 surveys the planetary-exploration autonomy record from which the operational data are drawn. Section 2.3 surveys the sensor-tasking and information-gain literature that supplies the yield metric. Section 2.4 surveys the agent-based mission-management literature that supplies the architectural framing. Section 2.5 surveys the cliometric and econometric methodology literature on returns to information, learning curves, and within-system counterfactual identification. Section 2.6 synthesizes the four bodies of work, names the unjoined seam, and states the gap the dissertation closes.</w:t>
      </w:r>
    </w:p>
    <w:bookmarkEnd w:id="68"/>
    <w:bookmarkStart w:id="69" w:name="X53fc0ceadfb4ec1d5759e1004ebf61ef1710c80"/>
    <w:p>
      <w:pPr>
        <w:pStyle w:val="Heading2"/>
        <w:spacing w:line="480" w:lineRule="auto"/>
      </w:pPr>
      <w:r>
        <w:t xml:space="preserve">2.2 The Domain Literature I: Planetary-Exploration Autonomy</w:t>
      </w:r>
    </w:p>
    <w:p>
      <w:pPr>
        <w:pStyle w:val="FirstParagraph"/>
        <w:spacing w:line="480" w:lineRule="auto"/>
      </w:pPr>
      <w:r>
        <w:t xml:space="preserve">The empirical record on which the dissertation rests is the operational record of the Autonomous Exploration for Gathering Increased Science (AEGIS) system, first fielded on Mars Exploration Rover (MER) Opportunity, extended to Mars Science Laboratory (MSL) Curiosity, and re-fielded on Mars 2020 (M2020) Perseverance. The foundational technical paper on AEGIS as deployed on Opportunity is the account by Estlin and colleagues of automated science targeting on the MER platform</w:t>
      </w:r>
      <w:r>
        <w:t xml:space="preserve"> </w:t>
      </w:r>
      <w:hyperlink w:anchor="ref-10">
        <w:r>
          <w:rPr>
            <w:rStyle w:val="Hyperlink"/>
          </w:rPr>
          <w:t xml:space="preserve">[10]</w:t>
        </w:r>
      </w:hyperlink>
      <w:r>
        <w:t xml:space="preserve">. That paper documents the design of the onboard target-selection pipeline, its integration with the Pancam imaging chain, and the operational metrics by which the project team judged its performance. The contribution of</w:t>
      </w:r>
      <w:r>
        <w:t xml:space="preserve"> </w:t>
      </w:r>
      <w:hyperlink w:anchor="ref-10">
        <w:r>
          <w:rPr>
            <w:rStyle w:val="Hyperlink"/>
          </w:rPr>
          <w:t xml:space="preserve">[10]</w:t>
        </w:r>
      </w:hyperlink>
      <w:r>
        <w:t xml:space="preserve"> </w:t>
      </w:r>
      <w:r>
        <w:t xml:space="preserve">for the present review is twofold. First, it establishes that the autonomy operates on a closed loop within the rover’s planning horizon: targets are detected, prioritized, and observed within a single sol without ground intervention. Second, it provides the first published per-sol counts of autonomous targets and the first operational characterization of the autonomy’s selection logic against the ground-commanded baseline that the same sol would otherwise have executed. Reference</w:t>
      </w:r>
      <w:r>
        <w:t xml:space="preserve"> </w:t>
      </w:r>
      <w:hyperlink w:anchor="ref-12">
        <w:r>
          <w:rPr>
            <w:rStyle w:val="Hyperlink"/>
          </w:rPr>
          <w:t xml:space="preserve">[12]</w:t>
        </w:r>
      </w:hyperlink>
      <w:r>
        <w:t xml:space="preserve"> </w:t>
      </w:r>
      <w:r>
        <w:t xml:space="preserve">reproduces the same record under a closely related citation and is treated in this review as a parallel pointer to the MER Opportunity baseline.</w:t>
      </w:r>
    </w:p>
    <w:p>
      <w:pPr>
        <w:pStyle w:val="BodyText"/>
        <w:spacing w:line="480" w:lineRule="auto"/>
        <w:ind w:firstLine="720"/>
      </w:pPr>
      <w:r>
        <w:t xml:space="preserve">Francis and colleagues document the MSL Curiosity deployment in their 2017</w:t>
      </w:r>
      <w:r>
        <w:t xml:space="preserve"> </w:t>
      </w:r>
      <w:r>
        <w:rPr>
          <w:i/>
          <w:iCs/>
        </w:rPr>
        <w:t xml:space="preserve">Science Robotics</w:t>
      </w:r>
      <w:r>
        <w:t xml:space="preserve"> </w:t>
      </w:r>
      <w:r>
        <w:t xml:space="preserve">paper on AEGIS for ChemCam targeting</w:t>
      </w:r>
      <w:r>
        <w:t xml:space="preserve"> </w:t>
      </w:r>
      <w:hyperlink w:anchor="ref-7">
        <w:r>
          <w:rPr>
            <w:rStyle w:val="Hyperlink"/>
          </w:rPr>
          <w:t xml:space="preserve">[7]</w:t>
        </w:r>
      </w:hyperlink>
      <w:r>
        <w:t xml:space="preserve">. That paper is the principal source for the per-sol yield trajectory on Curiosity from 2016 onward and is the document on which the empirical work in Chapter 3 of this dissertation draws most heavily. Francis and colleagues report the share of ChemCam targets selected onboard within each operational window, the downstream archival use of the resulting spectra, and the operational impressions of the science team. The methodological choice that the dissertation inherits from</w:t>
      </w:r>
      <w:r>
        <w:t xml:space="preserve"> </w:t>
      </w:r>
      <w:hyperlink w:anchor="ref-7">
        <w:r>
          <w:rPr>
            <w:rStyle w:val="Hyperlink"/>
          </w:rPr>
          <w:t xml:space="preserve">[7]</w:t>
        </w:r>
      </w:hyperlink>
      <w:r>
        <w:t xml:space="preserve"> </w:t>
      </w:r>
      <w:r>
        <w:t xml:space="preserve">is the decision to treat each sol-block as the unit at which AEGIS performance is summarized. The choice is consequential. It defines the granularity at which a yield-per-sol number can be constructed and it sets the cell count for the cross-sectional regressions that Chapter 3 fits.</w:t>
      </w:r>
    </w:p>
    <w:p>
      <w:pPr>
        <w:pStyle w:val="BodyText"/>
        <w:spacing w:line="480" w:lineRule="auto"/>
        <w:ind w:firstLine="720"/>
      </w:pPr>
      <w:r>
        <w:t xml:space="preserve">Reference</w:t>
      </w:r>
      <w:r>
        <w:t xml:space="preserve"> </w:t>
      </w:r>
      <w:hyperlink w:anchor="ref-8">
        <w:r>
          <w:rPr>
            <w:rStyle w:val="Hyperlink"/>
          </w:rPr>
          <w:t xml:space="preserve">[8]</w:t>
        </w:r>
      </w:hyperlink>
      <w:r>
        <w:t xml:space="preserve">, the Castano and colleagues report on the first four years of AEGIS autonomous targeting for ChemCam on MSL, extends the Francis baseline through the maturation of the autonomy under operational use. It documents capability additions to the onboard pipeline and reports cumulative-sol counts that anchor the experience axis used in Chapter 4. Its function in the present review is to bridge the initial-deployment characterization of</w:t>
      </w:r>
      <w:r>
        <w:t xml:space="preserve"> </w:t>
      </w:r>
      <w:hyperlink w:anchor="ref-7">
        <w:r>
          <w:rPr>
            <w:rStyle w:val="Hyperlink"/>
          </w:rPr>
          <w:t xml:space="preserve">[7]</w:t>
        </w:r>
      </w:hyperlink>
      <w:r>
        <w:t xml:space="preserve"> </w:t>
      </w:r>
      <w:r>
        <w:t xml:space="preserve">with the cross-mission comparison that the dissertation requires.</w:t>
      </w:r>
    </w:p>
    <w:p>
      <w:pPr>
        <w:pStyle w:val="BodyText"/>
        <w:spacing w:line="480" w:lineRule="auto"/>
        <w:ind w:firstLine="720"/>
      </w:pPr>
      <w:r>
        <w:t xml:space="preserve">Verma and colleagues document the M2020 Perseverance deployment in their 2023</w:t>
      </w:r>
      <w:r>
        <w:t xml:space="preserve"> </w:t>
      </w:r>
      <w:r>
        <w:rPr>
          <w:i/>
          <w:iCs/>
        </w:rPr>
        <w:t xml:space="preserve">Science Robotics</w:t>
      </w:r>
      <w:r>
        <w:t xml:space="preserve"> </w:t>
      </w:r>
      <w:r>
        <w:t xml:space="preserve">paper on autonomous robotics driving Perseverance’s progress on Mars</w:t>
      </w:r>
      <w:r>
        <w:t xml:space="preserve"> </w:t>
      </w:r>
      <w:hyperlink w:anchor="ref-9">
        <w:r>
          <w:rPr>
            <w:rStyle w:val="Hyperlink"/>
          </w:rPr>
          <w:t xml:space="preserve">[9]</w:t>
        </w:r>
      </w:hyperlink>
      <w:r>
        <w:t xml:space="preserve">. The paper reports SuperCam autonomy share, per-sol targets, and operational windows for the Jezero traverse. Reference</w:t>
      </w:r>
      <w:r>
        <w:t xml:space="preserve"> </w:t>
      </w:r>
      <w:hyperlink w:anchor="ref-9">
        <w:r>
          <w:rPr>
            <w:rStyle w:val="Hyperlink"/>
          </w:rPr>
          <w:t xml:space="preserve">[9]</w:t>
        </w:r>
      </w:hyperlink>
      <w:r>
        <w:t xml:space="preserve"> </w:t>
      </w:r>
      <w:r>
        <w:t xml:space="preserve">is the third and most recent point on the cross-mission curve that Chapter 4 estimates. Reference</w:t>
      </w:r>
      <w:r>
        <w:t xml:space="preserve"> </w:t>
      </w:r>
      <w:hyperlink w:anchor="ref-15">
        <w:r>
          <w:rPr>
            <w:rStyle w:val="Hyperlink"/>
          </w:rPr>
          <w:t xml:space="preserve">[15]</w:t>
        </w:r>
      </w:hyperlink>
      <w:r>
        <w:t xml:space="preserve">, the Wiens and colleagues account of the SuperCam instrument suite in</w:t>
      </w:r>
      <w:r>
        <w:t xml:space="preserve"> </w:t>
      </w:r>
      <w:r>
        <w:rPr>
          <w:i/>
          <w:iCs/>
        </w:rPr>
        <w:t xml:space="preserve">Space Science Reviews</w:t>
      </w:r>
      <w:r>
        <w:t xml:space="preserve">, provides the instrument context against which the M2020 autonomy yield must be read. The science-yield metric used in this dissertation is not instrument-agnostic; the spectroscopic sensitivity of SuperCam differs from that of ChemCam, which differs from the imaging-based Pancam baseline on MER. The instrument literature</w:t>
      </w:r>
      <w:r>
        <w:t xml:space="preserve"> </w:t>
      </w:r>
      <w:hyperlink w:anchor="ref-15">
        <w:r>
          <w:rPr>
            <w:rStyle w:val="Hyperlink"/>
          </w:rPr>
          <w:t xml:space="preserve">[15]</w:t>
        </w:r>
      </w:hyperlink>
      <w:r>
        <w:t xml:space="preserve"> </w:t>
      </w:r>
      <w:r>
        <w:t xml:space="preserve">is therefore a load-bearing input to the interpretation of the cross-mission regression coefficient, even though the instrument paper itself does not estimate any yield-experience relationship.</w:t>
      </w:r>
    </w:p>
    <w:p>
      <w:pPr>
        <w:pStyle w:val="BodyText"/>
        <w:spacing w:line="480" w:lineRule="auto"/>
        <w:ind w:firstLine="720"/>
      </w:pPr>
      <w:r>
        <w:t xml:space="preserve">A complementary stream of the planetary-exploration literature addresses the operational productivity envelope within which AEGIS-class autonomy must deliver its returns. Gaines and colleagues’ IEEE Aerospace Conference paper on productivity challenges for Mars rover operations</w:t>
      </w:r>
      <w:r>
        <w:t xml:space="preserve"> </w:t>
      </w:r>
      <w:hyperlink w:anchor="ref-14">
        <w:r>
          <w:rPr>
            <w:rStyle w:val="Hyperlink"/>
          </w:rPr>
          <w:t xml:space="preserve">[14]</w:t>
        </w:r>
      </w:hyperlink>
      <w:r>
        <w:t xml:space="preserve"> </w:t>
      </w:r>
      <w:r>
        <w:t xml:space="preserve">catalogues the rover-day budget into traverse, arm, remote sensing, communication, and idle components and quantifies how planning latency consumes the science-available fraction. Reference</w:t>
      </w:r>
      <w:r>
        <w:t xml:space="preserve"> </w:t>
      </w:r>
      <w:hyperlink w:anchor="ref-14">
        <w:r>
          <w:rPr>
            <w:rStyle w:val="Hyperlink"/>
          </w:rPr>
          <w:t xml:space="preserve">[14]</w:t>
        </w:r>
      </w:hyperlink>
      <w:r>
        <w:t xml:space="preserve"> </w:t>
      </w:r>
      <w:r>
        <w:t xml:space="preserve">supplies the empirical justification for the dissertation’s identification strategy: if the marginal value of an onboard targeting decision is to be measurable at all, it must be measurable against an alternative in which an Earth planning cycle would have consumed the same observing opportunity. The productivity-envelope literature names that alternative.</w:t>
      </w:r>
    </w:p>
    <w:p>
      <w:pPr>
        <w:pStyle w:val="BodyText"/>
        <w:spacing w:line="480" w:lineRule="auto"/>
        <w:ind w:firstLine="720"/>
      </w:pPr>
      <w:r>
        <w:t xml:space="preserve">A second complementary stream addresses semi-autonomous targeting on Mars-analogue terrain. The Yingst and colleagues GeoHeuristic Operational Strategies Test in</w:t>
      </w:r>
      <w:r>
        <w:t xml:space="preserve"> </w:t>
      </w:r>
      <w:r>
        <w:rPr>
          <w:i/>
          <w:iCs/>
        </w:rPr>
        <w:t xml:space="preserve">Acta Astronautica</w:t>
      </w:r>
      <w:r>
        <w:t xml:space="preserve"> </w:t>
      </w:r>
      <w:hyperlink w:anchor="ref-1">
        <w:r>
          <w:rPr>
            <w:rStyle w:val="Hyperlink"/>
          </w:rPr>
          <w:t xml:space="preserve">[1]</w:t>
        </w:r>
      </w:hyperlink>
      <w:r>
        <w:t xml:space="preserve"> </w:t>
      </w:r>
      <w:r>
        <w:t xml:space="preserve">demonstrates that target-selection skill is the bottleneck to science merit in semi-autonomous reconnoitering of habitability potential. The contribution of</w:t>
      </w:r>
      <w:r>
        <w:t xml:space="preserve"> </w:t>
      </w:r>
      <w:hyperlink w:anchor="ref-1">
        <w:r>
          <w:rPr>
            <w:rStyle w:val="Hyperlink"/>
          </w:rPr>
          <w:t xml:space="preserve">[1]</w:t>
        </w:r>
      </w:hyperlink>
      <w:r>
        <w:t xml:space="preserve"> </w:t>
      </w:r>
      <w:r>
        <w:t xml:space="preserve">is twofold. First, it establishes that variation in target-selection regime, holding traverse and instrument constant, produces measurable variation in science merit; this is the mechanism that any autonomy-yield estimate must recover. Second, it shows that the science merit of the selected sites is sensitive to relatively modest changes in how the autonomy narrows its candidate set, which implies that the experience curve estimated in Chapter 4 should not be flat. Reference</w:t>
      </w:r>
      <w:r>
        <w:t xml:space="preserve"> </w:t>
      </w:r>
      <w:hyperlink w:anchor="ref-1">
        <w:r>
          <w:rPr>
            <w:rStyle w:val="Hyperlink"/>
          </w:rPr>
          <w:t xml:space="preserve">[1]</w:t>
        </w:r>
      </w:hyperlink>
      <w:r>
        <w:t xml:space="preserve"> </w:t>
      </w:r>
      <w:r>
        <w:t xml:space="preserve">is in this sense the analogue-terrain prior on which the cross-mission Mars panel rests.</w:t>
      </w:r>
    </w:p>
    <w:p>
      <w:pPr>
        <w:pStyle w:val="BodyText"/>
        <w:spacing w:line="480" w:lineRule="auto"/>
        <w:ind w:firstLine="720"/>
      </w:pPr>
      <w:r>
        <w:t xml:space="preserve">A third complementary stream addresses the broader autonomous-surface-mobility framework within which an AEGIS-class targeting system operates. Wettergreen and Wagner’s framework for reliable autonomous surface mobility</w:t>
      </w:r>
      <w:r>
        <w:t xml:space="preserve"> </w:t>
      </w:r>
      <w:hyperlink w:anchor="ref-13">
        <w:r>
          <w:rPr>
            <w:rStyle w:val="Hyperlink"/>
          </w:rPr>
          <w:t xml:space="preserve">[13]</w:t>
        </w:r>
      </w:hyperlink>
      <w:r>
        <w:t xml:space="preserve"> </w:t>
      </w:r>
      <w:r>
        <w:t xml:space="preserve">is the canonical reference for the integration of autonomous traverse, hazard avoidance, and science targeting on a planetary rover. Reference</w:t>
      </w:r>
      <w:r>
        <w:t xml:space="preserve"> </w:t>
      </w:r>
      <w:hyperlink w:anchor="ref-13">
        <w:r>
          <w:rPr>
            <w:rStyle w:val="Hyperlink"/>
          </w:rPr>
          <w:t xml:space="preserve">[13]</w:t>
        </w:r>
      </w:hyperlink>
      <w:r>
        <w:t xml:space="preserve"> </w:t>
      </w:r>
      <w:r>
        <w:t xml:space="preserve">does not estimate a yield function, but it establishes that the targeting subsystem is one component of a stack whose other components consume operating time and energy that the targeting subsystem would otherwise spend on science. The implication for the dissertation is that the science-yield outcome variable must be conditioned on traverse distance and on the operating envelope defined by the mobility framework, as Chapter 3 does explicitly.</w:t>
      </w:r>
    </w:p>
    <w:p>
      <w:pPr>
        <w:pStyle w:val="BodyText"/>
        <w:spacing w:line="480" w:lineRule="auto"/>
        <w:ind w:firstLine="720"/>
      </w:pPr>
      <w:r>
        <w:t xml:space="preserve">What the planetary-exploration literature establishes for the dissertation, taken as a whole, is the empirical existence of the onboard targeting authority [7, 8, 9, 10, 12], the operational productivity envelope within which its return must be measured</w:t>
      </w:r>
      <w:r>
        <w:t xml:space="preserve"> </w:t>
      </w:r>
      <w:hyperlink w:anchor="ref-14">
        <w:r>
          <w:rPr>
            <w:rStyle w:val="Hyperlink"/>
          </w:rPr>
          <w:t xml:space="preserve">[14]</w:t>
        </w:r>
      </w:hyperlink>
      <w:r>
        <w:t xml:space="preserve">, the analogue-terrain prior that target-selection skill is the binding constraint on science merit</w:t>
      </w:r>
      <w:r>
        <w:t xml:space="preserve"> </w:t>
      </w:r>
      <w:hyperlink w:anchor="ref-1">
        <w:r>
          <w:rPr>
            <w:rStyle w:val="Hyperlink"/>
          </w:rPr>
          <w:t xml:space="preserve">[1]</w:t>
        </w:r>
      </w:hyperlink>
      <w:r>
        <w:t xml:space="preserve">, and the instrument-level differences across deployments that any cross-mission comparison must absorb</w:t>
      </w:r>
      <w:r>
        <w:t xml:space="preserve"> </w:t>
      </w:r>
      <w:hyperlink w:anchor="ref-15">
        <w:r>
          <w:rPr>
            <w:rStyle w:val="Hyperlink"/>
          </w:rPr>
          <w:t xml:space="preserve">[15]</w:t>
        </w:r>
      </w:hyperlink>
      <w:r>
        <w:t xml:space="preserve">. What it does not establish is a yield-elasticity number. No paper in this literature estimates the marginal science yield of onboard decision authority against a within-mission counterfactual; no paper fits a cross-mission learning curve to the AEGIS deployment record. The empirical foundation is rich but the quantitative bridge is missing.</w:t>
      </w:r>
    </w:p>
    <w:bookmarkEnd w:id="69"/>
    <w:bookmarkStart w:id="70" w:name="X6017d2852850d35673ad86baf16cb4bbaf706bf"/>
    <w:p>
      <w:pPr>
        <w:pStyle w:val="Heading2"/>
        <w:spacing w:line="480" w:lineRule="auto"/>
      </w:pPr>
      <w:r>
        <w:t xml:space="preserve">2.3 The Domain Literature II: Sensor Tasking and Information-Gain Scheduling</w:t>
      </w:r>
    </w:p>
    <w:p>
      <w:pPr>
        <w:pStyle w:val="FirstParagraph"/>
        <w:spacing w:line="480" w:lineRule="auto"/>
      </w:pPr>
      <w:r>
        <w:t xml:space="preserve">In parallel with the planetary-exploration record, a distinct body of work has developed within the space-surveillance and space-domain-awareness community on autonomous sensor tasking under information-gain objectives. This literature is the methodological supplier of the science-yield metric that the dissertation uses. Its central methodological commitment is that an autonomous observing decision should be evaluated by the expected information gain it produces, typically formalized as a Shannon information gain about the state of an observed object or scene, and that schedulers should select observations to maximize the expectation of that gain under a tight resource constraint.</w:t>
      </w:r>
    </w:p>
    <w:p>
      <w:pPr>
        <w:pStyle w:val="BodyText"/>
        <w:spacing w:line="480" w:lineRule="auto"/>
        <w:ind w:firstLine="720"/>
      </w:pPr>
      <w:r>
        <w:t xml:space="preserve">Ferreira and colleagues supply the foundational reference in this stream, an AMOS paper on optimal Space Surveillance Network tasking to enhance real-time space situational awareness</w:t>
      </w:r>
      <w:r>
        <w:t xml:space="preserve"> </w:t>
      </w:r>
      <w:hyperlink w:anchor="ref-2">
        <w:r>
          <w:rPr>
            <w:rStyle w:val="Hyperlink"/>
          </w:rPr>
          <w:t xml:space="preserve">[2]</w:t>
        </w:r>
      </w:hyperlink>
      <w:r>
        <w:t xml:space="preserve">. The paper formulates sensor tasking as an expected-information-gain optimization, derives a tractable scheduler, and demonstrates that the information-gain objective dominates simpler revisit-cadence heuristics in catalog maintenance. The contribution of</w:t>
      </w:r>
      <w:r>
        <w:t xml:space="preserve"> </w:t>
      </w:r>
      <w:hyperlink w:anchor="ref-2">
        <w:r>
          <w:rPr>
            <w:rStyle w:val="Hyperlink"/>
          </w:rPr>
          <w:t xml:space="preserve">[2]</w:t>
        </w:r>
      </w:hyperlink>
      <w:r>
        <w:t xml:space="preserve"> </w:t>
      </w:r>
      <w:r>
        <w:t xml:space="preserve">for the present review is that it certifies expected information gain as the operational figure of merit for an autonomous observing decision in a setting closely analogous to planetary remote sensing: in both cases a sensor must choose where to point under a budget that is small relative to the candidate set, and in both cases the value of the observation is properly measured by what it teaches about a state about which the agent is uncertain.</w:t>
      </w:r>
    </w:p>
    <w:p>
      <w:pPr>
        <w:pStyle w:val="BodyText"/>
        <w:spacing w:line="480" w:lineRule="auto"/>
        <w:ind w:firstLine="720"/>
      </w:pPr>
      <w:r>
        <w:t xml:space="preserve">The information-gain framing has been extended in several directions that bear on the dissertation. Reinforcement-learning policies optimizing an information-gain reward are demonstrated by Huterer Prats and colleagues for autonomous scheduling of resident-space-object imaging [3, 21]. The contribution of [3, 21] is the demonstration that the information-gain objective is learnable as a policy, not only computable as an instantaneous expectation, and that the policy’s performance improves with operating experience. This is the formal analogue of the experience curve that Chapter 4 of the dissertation estimates. Reference</w:t>
      </w:r>
      <w:r>
        <w:t xml:space="preserve"> </w:t>
      </w:r>
      <w:hyperlink w:anchor="ref-21">
        <w:r>
          <w:rPr>
            <w:rStyle w:val="Hyperlink"/>
          </w:rPr>
          <w:t xml:space="preserve">[21]</w:t>
        </w:r>
      </w:hyperlink>
      <w:r>
        <w:t xml:space="preserve"> </w:t>
      </w:r>
      <w:r>
        <w:t xml:space="preserve">in particular demonstrates that the policy’s improvement is monotone in cumulative training and that the slope is recoverable from the training record. The methodological lesson for the dissertation is that an experience elasticity is a defensible parameter for an information-gain autonomy, not a methodological imposition from an unrelated literature.</w:t>
      </w:r>
    </w:p>
    <w:p>
      <w:pPr>
        <w:pStyle w:val="BodyText"/>
        <w:spacing w:line="480" w:lineRule="auto"/>
        <w:ind w:firstLine="720"/>
      </w:pPr>
      <w:r>
        <w:t xml:space="preserve">Multi-sensor and decentralized extensions of the information-gain framework are documented by Weis and Hussein on distributed deep learning for an autonomous space-based SSA swarm</w:t>
      </w:r>
      <w:r>
        <w:t xml:space="preserve"> </w:t>
      </w:r>
      <w:hyperlink w:anchor="ref-5">
        <w:r>
          <w:rPr>
            <w:rStyle w:val="Hyperlink"/>
          </w:rPr>
          <w:t xml:space="preserve">[5]</w:t>
        </w:r>
      </w:hyperlink>
      <w:r>
        <w:t xml:space="preserve">, by Carden and colleagues on the SNARE decentralized sensor-tasking architecture</w:t>
      </w:r>
      <w:r>
        <w:t xml:space="preserve"> </w:t>
      </w:r>
      <w:hyperlink w:anchor="ref-6">
        <w:r>
          <w:rPr>
            <w:rStyle w:val="Hyperlink"/>
          </w:rPr>
          <w:t xml:space="preserve">[6]</w:t>
        </w:r>
      </w:hyperlink>
      <w:r>
        <w:t xml:space="preserve">, and by Kadan and colleagues on autonomous heterogeneous sensor networks for maneuver detection</w:t>
      </w:r>
      <w:r>
        <w:t xml:space="preserve"> </w:t>
      </w:r>
      <w:hyperlink w:anchor="ref-11">
        <w:r>
          <w:rPr>
            <w:rStyle w:val="Hyperlink"/>
          </w:rPr>
          <w:t xml:space="preserve">[11]</w:t>
        </w:r>
      </w:hyperlink>
      <w:r>
        <w:t xml:space="preserve">. The collective contribution of [5, 6, 11] is the demonstration that the information-gain objective scales from single-sensor to networked settings and that decentralization does not compromise its monotone-improvement property. The dissertation reads this finding as licensing the cross-mission pooling assumption in Chapter 4: if the information-gain objective is well-defined and monotonically improvable across a network of sensors, it is well-defined and monotonically improvable across a cross-mission family of AEGIS deployments operating on related instruments.</w:t>
      </w:r>
    </w:p>
    <w:p>
      <w:pPr>
        <w:pStyle w:val="BodyText"/>
        <w:spacing w:line="480" w:lineRule="auto"/>
        <w:ind w:firstLine="720"/>
      </w:pPr>
      <w:r>
        <w:t xml:space="preserve">Adjacent contributions in the same stream extend the information-gain frame further. Wozniak and colleagues’ formulation of coordinated space-domain awareness as an optimized commodity market</w:t>
      </w:r>
      <w:r>
        <w:t xml:space="preserve"> </w:t>
      </w:r>
      <w:hyperlink w:anchor="ref-16">
        <w:r>
          <w:rPr>
            <w:rStyle w:val="Hyperlink"/>
          </w:rPr>
          <w:t xml:space="preserve">[16]</w:t>
        </w:r>
      </w:hyperlink>
      <w:r>
        <w:t xml:space="preserve"> </w:t>
      </w:r>
      <w:r>
        <w:t xml:space="preserve">supplies a market-based interpretation of information value that is conceptually adjacent to the value-of-information accounting the dissertation uses. Lambert and colleagues’ work on autonomous shape estimation using ranging sensors</w:t>
      </w:r>
      <w:r>
        <w:t xml:space="preserve"> </w:t>
      </w:r>
      <w:hyperlink w:anchor="ref-18">
        <w:r>
          <w:rPr>
            <w:rStyle w:val="Hyperlink"/>
          </w:rPr>
          <w:t xml:space="preserve">[18]</w:t>
        </w:r>
      </w:hyperlink>
      <w:r>
        <w:t xml:space="preserve"> </w:t>
      </w:r>
      <w:r>
        <w:t xml:space="preserve">and Greaves and Scheeres on autonomous information-gathering guidance for spacecraft-to-spacecraft tracking</w:t>
      </w:r>
      <w:r>
        <w:t xml:space="preserve"> </w:t>
      </w:r>
      <w:hyperlink w:anchor="ref-20">
        <w:r>
          <w:rPr>
            <w:rStyle w:val="Hyperlink"/>
          </w:rPr>
          <w:t xml:space="preserve">[20]</w:t>
        </w:r>
      </w:hyperlink>
      <w:r>
        <w:t xml:space="preserve"> </w:t>
      </w:r>
      <w:r>
        <w:t xml:space="preserve">extend the information-gain objective to estimation problems where the observed state is geometric rather than catalogue-positional. Phillips and colleagues’ work on global boresight tasking for serendipitous observations</w:t>
      </w:r>
      <w:r>
        <w:t xml:space="preserve"> </w:t>
      </w:r>
      <w:hyperlink w:anchor="ref-23">
        <w:r>
          <w:rPr>
            <w:rStyle w:val="Hyperlink"/>
          </w:rPr>
          <w:t xml:space="preserve">[23]</w:t>
        </w:r>
      </w:hyperlink>
      <w:r>
        <w:t xml:space="preserve"> </w:t>
      </w:r>
      <w:r>
        <w:t xml:space="preserve">formalizes the case in which a scheduler’s value comes from exposure to rare, high-information events rather than from steady catalog maintenance. These extensions are not used directly in the empirical chapters but they widen the methodological license for treating information gain as the appropriate yield metric in autonomy decisions where the candidate set is large, the budget is tight, and the agent is uncertain about which observation will pay off. The MER, MSL, and M2020 settings share each of these features.</w:t>
      </w:r>
    </w:p>
    <w:p>
      <w:pPr>
        <w:pStyle w:val="BodyText"/>
        <w:spacing w:line="480" w:lineRule="auto"/>
        <w:ind w:firstLine="720"/>
      </w:pPr>
      <w:r>
        <w:t xml:space="preserve">Two further references anchor the operational realism of the information-gain literature. Lederer and colleagues’ account of NASA’s optical program on Ascension Island and the ES-MCAT telescope</w:t>
      </w:r>
      <w:r>
        <w:t xml:space="preserve"> </w:t>
      </w:r>
      <w:hyperlink w:anchor="ref-17">
        <w:r>
          <w:rPr>
            <w:rStyle w:val="Hyperlink"/>
          </w:rPr>
          <w:t xml:space="preserve">[17]</w:t>
        </w:r>
      </w:hyperlink>
      <w:r>
        <w:t xml:space="preserve"> </w:t>
      </w:r>
      <w:r>
        <w:t xml:space="preserve">documents the operational standards by which an autonomous-tasking optical system is judged, and Chambers’s account of the PS1 science mission</w:t>
      </w:r>
      <w:r>
        <w:t xml:space="preserve"> </w:t>
      </w:r>
      <w:hyperlink w:anchor="ref-22">
        <w:r>
          <w:rPr>
            <w:rStyle w:val="Hyperlink"/>
          </w:rPr>
          <w:t xml:space="preserve">[22]</w:t>
        </w:r>
      </w:hyperlink>
      <w:r>
        <w:t xml:space="preserve"> </w:t>
      </w:r>
      <w:r>
        <w:t xml:space="preserve">documents the survey-scale operational record against which an information-gain scheduler’s claims must be tested. The function of [17, 22] in the dissertation is to certify that the information-gain literature is grounded in operational practice, not only in simulation.</w:t>
      </w:r>
    </w:p>
    <w:p>
      <w:pPr>
        <w:pStyle w:val="BodyText"/>
        <w:spacing w:line="480" w:lineRule="auto"/>
        <w:ind w:firstLine="720"/>
      </w:pPr>
      <w:r>
        <w:t xml:space="preserve">What the sensor-tasking literature establishes for the dissertation is the analytic appropriateness of the information-gain yield metric [2, 3, 5, 6, 11, 16, 18, 20, 21, 23], its operational realism in real observing systems [17, 22], and its demonstrated monotone improvement under learning [3, 21]. What it does not establish is the application of the same metric to the planetary-exploration record. Across the cited papers, no application of an information-gain yield metric to the AEGIS rover record is reported, and no within-mission counterfactual estimation of the marginal yield of onboard decision authority is attempted. The metric and the operational record have not been brought together.</w:t>
      </w:r>
    </w:p>
    <w:bookmarkEnd w:id="70"/>
    <w:bookmarkStart w:id="71" w:name="X6023c73415858e9d331390d0cba8e33f5874b1a"/>
    <w:p>
      <w:pPr>
        <w:pStyle w:val="Heading2"/>
        <w:spacing w:line="480" w:lineRule="auto"/>
      </w:pPr>
      <w:r>
        <w:t xml:space="preserve">2.4 The Domain Literature III: Agent-Based Mission Management and the Decision-Authority Question</w:t>
      </w:r>
    </w:p>
    <w:p>
      <w:pPr>
        <w:pStyle w:val="FirstParagraph"/>
        <w:spacing w:line="480" w:lineRule="auto"/>
      </w:pPr>
      <w:r>
        <w:t xml:space="preserve">A third strand of the domain literature addresses the architectural question of how decision authority should be allocated between ground and flight segments. The canonical recent reference is the Jabbarpour and colleagues</w:t>
      </w:r>
      <w:r>
        <w:t xml:space="preserve"> </w:t>
      </w:r>
      <w:r>
        <w:rPr>
          <w:i/>
          <w:iCs/>
        </w:rPr>
        <w:t xml:space="preserve">Acta Astronautica</w:t>
      </w:r>
      <w:r>
        <w:t xml:space="preserve"> </w:t>
      </w:r>
      <w:r>
        <w:t xml:space="preserve">survey of agent-based approaches for distributed space systems and mission management</w:t>
      </w:r>
      <w:r>
        <w:t xml:space="preserve"> </w:t>
      </w:r>
      <w:hyperlink w:anchor="ref-4">
        <w:r>
          <w:rPr>
            <w:rStyle w:val="Hyperlink"/>
          </w:rPr>
          <w:t xml:space="preserve">[4]</w:t>
        </w:r>
      </w:hyperlink>
      <w:r>
        <w:t xml:space="preserve">. That survey catalogues the methodological taxonomy of distributed autonomy architectures, documents current practices in mission-management settings, and names the open research challenges. Among those challenges, the survey identifies the quantification of learning across deployments as a first-class problem that has not been closed in the published literature. The contribution of</w:t>
      </w:r>
      <w:r>
        <w:t xml:space="preserve"> </w:t>
      </w:r>
      <w:hyperlink w:anchor="ref-4">
        <w:r>
          <w:rPr>
            <w:rStyle w:val="Hyperlink"/>
          </w:rPr>
          <w:t xml:space="preserve">[4]</w:t>
        </w:r>
      </w:hyperlink>
      <w:r>
        <w:t xml:space="preserve"> </w:t>
      </w:r>
      <w:r>
        <w:t xml:space="preserve">to the dissertation is the explicit identification of the empirical gap at the architectural level: the survey establishes that the design space of decision-authority allocations is well populated and well characterized, but that the science-yield consequences of any particular allocation have not been estimated.</w:t>
      </w:r>
    </w:p>
    <w:p>
      <w:pPr>
        <w:pStyle w:val="BodyText"/>
        <w:spacing w:line="480" w:lineRule="auto"/>
        <w:ind w:firstLine="720"/>
      </w:pPr>
      <w:r>
        <w:t xml:space="preserve">Adjacent contributions in the same architectural stream address the operational implementation of the allocation. Borelli and colleagues’ mission analysis and guidance and control for the SpEye inspection CubeSat</w:t>
      </w:r>
      <w:r>
        <w:t xml:space="preserve"> </w:t>
      </w:r>
      <w:hyperlink w:anchor="ref-24">
        <w:r>
          <w:rPr>
            <w:rStyle w:val="Hyperlink"/>
          </w:rPr>
          <w:t xml:space="preserve">[24]</w:t>
        </w:r>
      </w:hyperlink>
      <w:r>
        <w:t xml:space="preserve"> </w:t>
      </w:r>
      <w:r>
        <w:t xml:space="preserve">supplies a concrete CubeSat-scale instance of the autonomy-architecture question. Fu and Soldini’s autonomous orbital maintenance using a supervised-learning-based target-point approach</w:t>
      </w:r>
      <w:r>
        <w:t xml:space="preserve"> </w:t>
      </w:r>
      <w:hyperlink w:anchor="ref-26">
        <w:r>
          <w:rPr>
            <w:rStyle w:val="Hyperlink"/>
          </w:rPr>
          <w:t xml:space="preserve">[26]</w:t>
        </w:r>
      </w:hyperlink>
      <w:r>
        <w:t xml:space="preserve"> </w:t>
      </w:r>
      <w:r>
        <w:t xml:space="preserve">supplies a learning-based instance in which the autonomy’s targeting decisions are themselves the object of an empirical performance characterization. Gregson and colleagues’ autonomy testbed for satellite debris avoidance</w:t>
      </w:r>
      <w:r>
        <w:t xml:space="preserve"> </w:t>
      </w:r>
      <w:hyperlink w:anchor="ref-19">
        <w:r>
          <w:rPr>
            <w:rStyle w:val="Hyperlink"/>
          </w:rPr>
          <w:t xml:space="preserve">[19]</w:t>
        </w:r>
      </w:hyperlink>
      <w:r>
        <w:t xml:space="preserve"> </w:t>
      </w:r>
      <w:r>
        <w:t xml:space="preserve">supplies the testbed-versus-flight contrast that is methodologically analogous to the within-mission counterfactual the dissertation exploits. The function of [19, 24, 26] in the present review is to broaden the architectural literature beyond the planetary-rover case and to certify that the decision-authority question is being asked across the autonomous-space-systems community.</w:t>
      </w:r>
    </w:p>
    <w:p>
      <w:pPr>
        <w:pStyle w:val="BodyText"/>
        <w:spacing w:line="480" w:lineRule="auto"/>
        <w:ind w:firstLine="720"/>
      </w:pPr>
      <w:r>
        <w:t xml:space="preserve">Two further references locate the architectural question in the broader policy and mission-design context. Simha and colleagues’ optimal active debris removal mission planning to inform policy decisions</w:t>
      </w:r>
      <w:r>
        <w:t xml:space="preserve"> </w:t>
      </w:r>
      <w:hyperlink w:anchor="ref-25">
        <w:r>
          <w:rPr>
            <w:rStyle w:val="Hyperlink"/>
          </w:rPr>
          <w:t xml:space="preserve">[25]</w:t>
        </w:r>
      </w:hyperlink>
      <w:r>
        <w:t xml:space="preserve"> </w:t>
      </w:r>
      <w:r>
        <w:t xml:space="preserve">and Colombo and colleagues’ space capacity management and its interaction with space traffic management</w:t>
      </w:r>
      <w:r>
        <w:t xml:space="preserve"> </w:t>
      </w:r>
      <w:hyperlink w:anchor="ref-30">
        <w:r>
          <w:rPr>
            <w:rStyle w:val="Hyperlink"/>
          </w:rPr>
          <w:t xml:space="preserve">[30]</w:t>
        </w:r>
      </w:hyperlink>
      <w:r>
        <w:t xml:space="preserve"> </w:t>
      </w:r>
      <w:r>
        <w:t xml:space="preserve">establish that the design-review decisions which the dissertation’s elasticity estimates are meant to inform are being made at scale in adjacent application domains. Bratu and Freeland’s treatment of the legal implications of autonomous weapons systems and the militarization of outer space</w:t>
      </w:r>
      <w:r>
        <w:t xml:space="preserve"> </w:t>
      </w:r>
      <w:hyperlink w:anchor="ref-31">
        <w:r>
          <w:rPr>
            <w:rStyle w:val="Hyperlink"/>
          </w:rPr>
          <w:t xml:space="preserve">[31]</w:t>
        </w:r>
      </w:hyperlink>
      <w:r>
        <w:t xml:space="preserve"> </w:t>
      </w:r>
      <w:r>
        <w:t xml:space="preserve">documents the policy register within which decision-authority allocations are contested. Xie and colleagues’ target evaluation for near-earth asteroid long-term mining missions</w:t>
      </w:r>
      <w:r>
        <w:t xml:space="preserve"> </w:t>
      </w:r>
      <w:hyperlink w:anchor="ref-27">
        <w:r>
          <w:rPr>
            <w:rStyle w:val="Hyperlink"/>
          </w:rPr>
          <w:t xml:space="preserve">[27]</w:t>
        </w:r>
      </w:hyperlink>
      <w:r>
        <w:t xml:space="preserve"> </w:t>
      </w:r>
      <w:r>
        <w:t xml:space="preserve">and Lehtinen and colleagues’ Icarus in-situ surface-degradation monitoring concept</w:t>
      </w:r>
      <w:r>
        <w:t xml:space="preserve"> </w:t>
      </w:r>
      <w:hyperlink w:anchor="ref-29">
        <w:r>
          <w:rPr>
            <w:rStyle w:val="Hyperlink"/>
          </w:rPr>
          <w:t xml:space="preserve">[29]</w:t>
        </w:r>
      </w:hyperlink>
      <w:r>
        <w:t xml:space="preserve"> </w:t>
      </w:r>
      <w:r>
        <w:t xml:space="preserve">extend the same architectural question to deep-space remote and proximity-operations settings where the latency cost of an uplink cycle is even larger than on Mars. The collective contribution of [25, 27, 29, 30, 31] is to widen the architectural relevance of the decision-authority question and to certify that an elasticity estimate of the science yield of onboard decision authority is a parameter that decision-makers across multiple application domains would carry into a design review.</w:t>
      </w:r>
    </w:p>
    <w:p>
      <w:pPr>
        <w:pStyle w:val="BodyText"/>
        <w:spacing w:line="480" w:lineRule="auto"/>
        <w:ind w:firstLine="720"/>
      </w:pPr>
      <w:r>
        <w:t xml:space="preserve">A final adjacent reference, Sun and colleagues’ centroid determination based on energy-flow information for moving dim point targets</w:t>
      </w:r>
      <w:r>
        <w:t xml:space="preserve"> </w:t>
      </w:r>
      <w:hyperlink w:anchor="ref-28">
        <w:r>
          <w:rPr>
            <w:rStyle w:val="Hyperlink"/>
          </w:rPr>
          <w:t xml:space="preserve">[28]</w:t>
        </w:r>
      </w:hyperlink>
      <w:r>
        <w:t xml:space="preserve">, anchors the lower-level sensor-processing pipeline on which the higher-level autonomy decisions rest. The function of</w:t>
      </w:r>
      <w:r>
        <w:t xml:space="preserve"> </w:t>
      </w:r>
      <w:hyperlink w:anchor="ref-28">
        <w:r>
          <w:rPr>
            <w:rStyle w:val="Hyperlink"/>
          </w:rPr>
          <w:t xml:space="preserve">[28]</w:t>
        </w:r>
      </w:hyperlink>
      <w:r>
        <w:t xml:space="preserve"> </w:t>
      </w:r>
      <w:r>
        <w:t xml:space="preserve">in the review is to certify that the autonomy stack the architectural literature surveys is implementable end to end and that the targeting decisions on which the dissertation focuses sit on top of a sensor-processing layer whose performance is itself quantitatively characterized.</w:t>
      </w:r>
    </w:p>
    <w:p>
      <w:pPr>
        <w:pStyle w:val="BodyText"/>
        <w:spacing w:line="480" w:lineRule="auto"/>
        <w:ind w:firstLine="720"/>
      </w:pPr>
      <w:r>
        <w:t xml:space="preserve">What the agent-based mission-management literature establishes for the dissertation is the explicit identification of the empirical gap at the architectural level</w:t>
      </w:r>
      <w:r>
        <w:t xml:space="preserve"> </w:t>
      </w:r>
      <w:hyperlink w:anchor="ref-4">
        <w:r>
          <w:rPr>
            <w:rStyle w:val="Hyperlink"/>
          </w:rPr>
          <w:t xml:space="preserve">[4]</w:t>
        </w:r>
      </w:hyperlink>
      <w:r>
        <w:t xml:space="preserve">, the breadth of the application domains in which the decision-authority question is being asked [19, 24, 25, 26, 27, 29, 30, 31], the sensor-processing foundation on which the autonomy decisions rest</w:t>
      </w:r>
      <w:r>
        <w:t xml:space="preserve"> </w:t>
      </w:r>
      <w:hyperlink w:anchor="ref-28">
        <w:r>
          <w:rPr>
            <w:rStyle w:val="Hyperlink"/>
          </w:rPr>
          <w:t xml:space="preserve">[28]</w:t>
        </w:r>
      </w:hyperlink>
      <w:r>
        <w:t xml:space="preserve">, and the policy register within which the decisions are contested</w:t>
      </w:r>
      <w:r>
        <w:t xml:space="preserve"> </w:t>
      </w:r>
      <w:hyperlink w:anchor="ref-31">
        <w:r>
          <w:rPr>
            <w:rStyle w:val="Hyperlink"/>
          </w:rPr>
          <w:t xml:space="preserve">[31]</w:t>
        </w:r>
      </w:hyperlink>
      <w:r>
        <w:t xml:space="preserve">. What it does not establish is the quantitative estimate. The architectural literature names the parameter the dissertation produces; it does not produce it.</w:t>
      </w:r>
    </w:p>
    <w:bookmarkEnd w:id="71"/>
    <w:bookmarkStart w:id="72" w:name="X44d481e2d1c99bd321c8a2915b51a3b33ca9cfd"/>
    <w:p>
      <w:pPr>
        <w:pStyle w:val="Heading2"/>
        <w:spacing w:line="480" w:lineRule="auto"/>
      </w:pPr>
      <w:r>
        <w:t xml:space="preserve">2.5 The Methodology Literature: Cliometric and Econometric Estimation of Returns to Information and Learning</w:t>
      </w:r>
    </w:p>
    <w:p>
      <w:pPr>
        <w:pStyle w:val="FirstParagraph"/>
        <w:spacing w:line="480" w:lineRule="auto"/>
      </w:pPr>
      <w:r>
        <w:t xml:space="preserve">The methodological literature on which the dissertation draws sits outside the four domain references reviewed in Sections 2.2 through 2.4 and is not represented in the curated reference pool, which by design contains only the domain sources the candidate cites in the empirical chapters. The methodology literature is therefore reviewed here at the level of the standard methods the dissertation imports rather than at the level of specific citations. Three methodological streams are load-bearing.</w:t>
      </w:r>
    </w:p>
    <w:p>
      <w:pPr>
        <w:pStyle w:val="BodyText"/>
        <w:spacing w:line="480" w:lineRule="auto"/>
        <w:ind w:firstLine="720"/>
      </w:pPr>
      <w:r>
        <w:t xml:space="preserve">The first is the cliometric and economic-history tradition of estimating returns to information and to technology adoption within a within-system counterfactual. The methodological move on which the dissertation relies, the use of within-mission fixed effects to identify the marginal effect of a treatment that varies across observations within a unit while time-invariant unit characteristics are absorbed, is the same move on which a large empirical literature in economic history and labor economics has been built. The methodological commitment is that the treatment effect of interest is identified by within-unit variation under the assumption that the assignment of the treatment to observations within a unit is uncorrelated with the unit-invariant components of the outcome. In the dissertation’s setting, the unit is the mission segment, the treatment is the onboard versus ground decision locus, and the outcome is the realized information gain of the chosen target. The identification assumption is that, within a mission segment defined by a common instrument, a common local target field, and a common platform state, the assignment of an observing opportunity to onboard versus ground selection is uncorrelated with the unobserved components of the target field that drive the realized information gain. The within-segment identification strategy in Chapter 3 of the dissertation is the operational instantiation of this methodological commitment.</w:t>
      </w:r>
    </w:p>
    <w:p>
      <w:pPr>
        <w:pStyle w:val="BodyText"/>
        <w:spacing w:line="480" w:lineRule="auto"/>
        <w:ind w:firstLine="720"/>
      </w:pPr>
      <w:r>
        <w:t xml:space="preserve">The second methodological stream is the learning-curve literature on technology cost and performance, whose canonical specification is a log-linear regression of a performance variable on cumulative experience. The methodological commitment is that for a wide class of technologies the performance curve is approximated by a constant elasticity over the operating range, that the elasticity is identifiable from a panel of operating observations, and that the elasticity is the parameter a design-review or procurement decision-maker would carry forward. The dissertation imports this specification in Chapter 4, where it fits a log-log regression of per-sol science yield on cumulative autonomous-targeting sols across the three AEGIS deployments. The methodological license for this specification rests on the prior demonstration in the sensor-tasking literature that information-gain policies improve monotonically with operating experience [3, 21]: the monotone improvement is the empirical content the log-log specification parameterizes. The empirical content the methodology literature adds is the choice of functional form and the inferential machinery (heteroskedasticity-consistent standard errors, leave-one-out sensitivity, single-regressor identification across orders of magnitude of the experience axis) under which the elasticity estimate is defensible.</w:t>
      </w:r>
    </w:p>
    <w:p>
      <w:pPr>
        <w:pStyle w:val="BodyText"/>
        <w:spacing w:line="480" w:lineRule="auto"/>
        <w:ind w:firstLine="720"/>
      </w:pPr>
      <w:r>
        <w:t xml:space="preserve">The third methodological stream is the value-of-information tradition in decision theory and statistics, whose canonical formulation evaluates an autonomous decision under uncertainty by the expected value of the information the decision produces against the cost of the decision. The methodological commitment is that an autonomous targeting decision is properly evaluated by the expected posterior value of the chosen observation against a counterfactual in which the decision was not made, and that the expected posterior value is a function of the prior uncertainty, the signal carried by the autonomy’s selection logic, and the resource constraint within which the decision sits. The dissertation imports this framing in Chapter 3, where it constructs the per-sol yield outcome as a value-of-information quantity and identifies the marginal effect of onboard decision authority against the counterfactual of the same sol’s ground-commanded baseline. The information-gain literature in the sensor-tasking stream [2, 3, 5, 6, 11, 21] is the domain-specific operationalization of the value-of-information frame, and the cliometric within-unit identification strategy is the empirical machinery that delivers a defensible estimate of the value against the counterfactual.</w:t>
      </w:r>
    </w:p>
    <w:p>
      <w:pPr>
        <w:pStyle w:val="BodyText"/>
        <w:spacing w:line="480" w:lineRule="auto"/>
        <w:ind w:firstLine="720"/>
      </w:pPr>
      <w:r>
        <w:t xml:space="preserve">The methodology literature, taken as a whole, supplies the dissertation with three load-bearing methodological commitments: within-unit identification of a treatment effect against a counterfactual, log-log learning-curve estimation of an experience elasticity from a panel of operating observations, and value-of-information accounting of an autonomous decision under uncertainty. Each commitment has been applied to other domains. None has been applied to the AEGIS-class planetary-rover targeting record. The methodology is mature; the application is open.</w:t>
      </w:r>
    </w:p>
    <w:bookmarkEnd w:id="72"/>
    <w:bookmarkStart w:id="73" w:name="X37d2eebea9a4518388987f0a2f5d5f959882ce0"/>
    <w:p>
      <w:pPr>
        <w:pStyle w:val="Heading2"/>
        <w:spacing w:line="480" w:lineRule="auto"/>
      </w:pPr>
      <w:r>
        <w:t xml:space="preserve">2.6 Synthesis: The Unjoined Seam and the Gap This Dissertation Closes</w:t>
      </w:r>
    </w:p>
    <w:p>
      <w:pPr>
        <w:pStyle w:val="FirstParagraph"/>
        <w:spacing w:line="480" w:lineRule="auto"/>
      </w:pPr>
      <w:r>
        <w:t xml:space="preserve">The four bodies of work surveyed above have grown in parallel without converging. The planetary-exploration literature [1, 7, 8, 9, 10, 12, 13, 14, 15] supplies the operational record on which an empirical estimate of the science yield of onboard decision authority must rest, but it does not produce an estimate. The sensor-tasking literature [2, 3, 5, 6, 11, 16, 17, 18, 20, 21, 22, 23] supplies the information-gain yield metric that any such estimate would use, but it has not applied that metric to the planetary-rover record. The agent-based mission-management literature [4, 19, 24, 25, 26, 27, 28, 29, 30, 31] names the decision-authority question whose answer the estimate would provide, but it does not provide the answer. The cliometric and econometric methodology literature, reviewed at the level of standard methods rather than by citation, supplies the identification machinery (within-unit counterfactual identification, log-log learning-curve estimation, value-of-information accounting) by which a defensible estimate could be produced, but the machinery has not been applied to the AEGIS record.</w:t>
      </w:r>
    </w:p>
    <w:p>
      <w:pPr>
        <w:pStyle w:val="BodyText"/>
        <w:spacing w:line="480" w:lineRule="auto"/>
        <w:ind w:firstLine="720"/>
      </w:pPr>
      <w:r>
        <w:t xml:space="preserve">The seam that joins these four literatures is the empirical estimation of the science yield of onboard autonomous targeting authority, expressed as a marginal effect against a within-mission counterfactual and as an experience elasticity across the cross-mission AEGIS panel, with the information-gain framing of the sensor-tasking literature supplying the yield metric and the cliometric methodology supplying the inferential machinery. No paper in the curated reference pool fits a regression of this form, and no paper in the broader methodology literature has been applied to a record of this type. The gap is precisely the location at which the prospectus’s single contribution sits, and the empirical chapters that follow occupy it directly.</w:t>
      </w:r>
    </w:p>
    <w:p>
      <w:pPr>
        <w:pStyle w:val="BodyText"/>
        <w:spacing w:line="480" w:lineRule="auto"/>
        <w:ind w:firstLine="720"/>
      </w:pPr>
      <w:r>
        <w:t xml:space="preserve">Chapter 3 estimates the marginal science yield of onboard decision authority against a within-mission ground-commanded counterfactual using fixed-effects regression on observing opportunities, with the information-gain construct of [2, 3, 5, 6, 11] as the yield metric, the planetary-exploration record of [7, 8, 9, 10, 12] as the empirical source, and the productivity-envelope framing of</w:t>
      </w:r>
      <w:r>
        <w:t xml:space="preserve"> </w:t>
      </w:r>
      <w:hyperlink w:anchor="ref-14">
        <w:r>
          <w:rPr>
            <w:rStyle w:val="Hyperlink"/>
          </w:rPr>
          <w:t xml:space="preserve">[14]</w:t>
        </w:r>
      </w:hyperlink>
      <w:r>
        <w:t xml:space="preserve"> </w:t>
      </w:r>
      <w:r>
        <w:t xml:space="preserve">as the basis for the controls. Chapter 4 fits a cross-mission learning curve to the AEGIS panel using log-log ordinary-least-squares estimation, with cumulative autonomous-targeting sols as the experience axis, the analogue-terrain prior of</w:t>
      </w:r>
      <w:r>
        <w:t xml:space="preserve"> </w:t>
      </w:r>
      <w:hyperlink w:anchor="ref-1">
        <w:r>
          <w:rPr>
            <w:rStyle w:val="Hyperlink"/>
          </w:rPr>
          <w:t xml:space="preserve">[1]</w:t>
        </w:r>
      </w:hyperlink>
      <w:r>
        <w:t xml:space="preserve"> </w:t>
      </w:r>
      <w:r>
        <w:t xml:space="preserve">supplying the mechanism (target-selection skill as the binding constraint on science merit), the architectural framing of</w:t>
      </w:r>
      <w:r>
        <w:t xml:space="preserve"> </w:t>
      </w:r>
      <w:hyperlink w:anchor="ref-4">
        <w:r>
          <w:rPr>
            <w:rStyle w:val="Hyperlink"/>
          </w:rPr>
          <w:t xml:space="preserve">[4]</w:t>
        </w:r>
      </w:hyperlink>
      <w:r>
        <w:t xml:space="preserve"> </w:t>
      </w:r>
      <w:r>
        <w:t xml:space="preserve">supplying the cross-mission pooling justification, and the instrument-context literature of</w:t>
      </w:r>
      <w:r>
        <w:t xml:space="preserve"> </w:t>
      </w:r>
      <w:hyperlink w:anchor="ref-15">
        <w:r>
          <w:rPr>
            <w:rStyle w:val="Hyperlink"/>
          </w:rPr>
          <w:t xml:space="preserve">[15]</w:t>
        </w:r>
      </w:hyperlink>
      <w:r>
        <w:t xml:space="preserve"> </w:t>
      </w:r>
      <w:r>
        <w:t xml:space="preserve">supplying the interpretation of the resulting elasticity in the presence of cross-mission instrument heterogeneity. Together the two estimates produce the dissertation’s single deliverable: a defensible numerical answer, with calibrated standard errors, to the design-review question of what additional science yield onboard decision authority produces at the level (Chapter 3) and at the slope (Chapter 4).</w:t>
      </w:r>
    </w:p>
    <w:p>
      <w:pPr>
        <w:pStyle w:val="BodyText"/>
        <w:spacing w:line="480" w:lineRule="auto"/>
        <w:ind w:firstLine="720"/>
      </w:pPr>
      <w:r>
        <w:t xml:space="preserve">The contribution is not the proposal of a new method, nor the construction of a new architecture, nor the demonstration of a new autonomy capability. The contribution is the joining of an existing operational record [1, 7, 8, 9, 10, 12, 14, 15], an existing yield metric [2, 3, 5, 6, 11, 21], an existing architectural framing</w:t>
      </w:r>
      <w:r>
        <w:t xml:space="preserve"> </w:t>
      </w:r>
      <w:hyperlink w:anchor="ref-4">
        <w:r>
          <w:rPr>
            <w:rStyle w:val="Hyperlink"/>
          </w:rPr>
          <w:t xml:space="preserve">[4]</w:t>
        </w:r>
      </w:hyperlink>
      <w:r>
        <w:t xml:space="preserve">, and an existing methodological apparatus, into a single estimate that the four parallel literatures had not yet produced. The dissertation is, in this precise sense, a cliometric study of a domain that has not yet had one.</w:t>
      </w:r>
    </w:p>
    <w:p>
      <w:pPr>
        <w:pStyle w:val="BodyText"/>
        <w:spacing w:line="480" w:lineRule="auto"/>
        <w:ind w:firstLine="720"/>
      </w:pPr>
      <w:r>
        <w:t xml:space="preserve">The remainder of the dissertation operationalizes the synthesis. Chapter 3 reports the within-mission level estimate. Chapter 4 reports the cross-mission slope estimate. Chapter 5 reads the two estimates against the threats to validity identified in the prospectus and against the architectural and policy register documented in [4, 25, 30, 31]. Chapter 6 concludes by translating the two parameters into the design-review language they were estimated to serve.</w:t>
      </w:r>
    </w:p>
    <w:bookmarkEnd w:id="73"/>
    <w:bookmarkEnd w:id="74"/>
    <w:bookmarkStart w:id="81" w:name="Xcfcc00a3ded59aed0c781c16bfc121f2a509603"/>
    <w:p>
      <w:pPr>
        <w:pStyle w:val="Heading1"/>
        <w:spacing w:line="480" w:lineRule="auto"/>
      </w:pPr>
      <w:r>
        <w:t xml:space="preserve">Chapter 3. Theoretical Framework and Hypotheses</w:t>
      </w:r>
    </w:p>
    <w:bookmarkStart w:id="75" w:name="purpose-of-the-chapter"/>
    <w:p>
      <w:pPr>
        <w:pStyle w:val="Heading2"/>
        <w:spacing w:line="480" w:lineRule="auto"/>
      </w:pPr>
      <w:r>
        <w:t xml:space="preserve">3.1 Purpose of the Chapter</w:t>
      </w:r>
    </w:p>
    <w:p>
      <w:pPr>
        <w:pStyle w:val="FirstParagraph"/>
        <w:spacing w:line="480" w:lineRule="auto"/>
      </w:pPr>
      <w:r>
        <w:t xml:space="preserve">This chapter specifies the theoretical mechanism that connects onboard autonomous targeting authority to realized science yield, derives the causal logic by which that mechanism is identified against a within-mission counterfactual, and states the formal hypotheses that the empirical chapters will test. The chapter does not estimate any parameter. It instead does the prior work that any defensible estimate requires: it names the object the dissertation is measuring, situates that object in the value-of-information tradition the surveillance-autonomy literature has matured [2, 3, 5, 6, 11], and writes down the conditions under which the object is identified in archival rover data. The two empirical papers that follow, a level estimate of the marginal science yield attributable to onboard decision authority and a slope estimate of how that yield rises with cumulative autonomous-targeting experience, both descend from the framework laid out here.</w:t>
      </w:r>
    </w:p>
    <w:p>
      <w:pPr>
        <w:pStyle w:val="BodyText"/>
        <w:spacing w:line="480" w:lineRule="auto"/>
        <w:ind w:firstLine="720"/>
      </w:pPr>
      <w:r>
        <w:t xml:space="preserve">The chapter proceeds in five sections. Section 3.2 fixes the conceptual primitives, treating each observing opportunity as a Bayesian decision under a fixed budget. Section 3.3 derives the value-of-information mechanism that maps onboard authority to expected science return and shows why the mechanism’s magnitude is monotone in communication latency. Section 3.4 specifies the causal logic, including the within-mission counterfactual, the identifying source of variation, and the threats the framework must protect against. Section 3.5 states the dissertation’s primary null and alternative hypotheses, H0 and H1, and the auxiliary directional claims that the two empirical papers test separately. Section 3.6 ties the framework to falsifiability, naming the patterns in the AEGIS operational record that would force a rejection of H1.</w:t>
      </w:r>
    </w:p>
    <w:bookmarkEnd w:id="75"/>
    <w:bookmarkStart w:id="76" w:name="conceptual-primitives"/>
    <w:p>
      <w:pPr>
        <w:pStyle w:val="Heading2"/>
        <w:spacing w:line="480" w:lineRule="auto"/>
      </w:pPr>
      <w:r>
        <w:t xml:space="preserve">3.2 Conceptual Primitives</w:t>
      </w:r>
    </w:p>
    <w:p>
      <w:pPr>
        <w:pStyle w:val="FirstParagraph"/>
        <w:spacing w:line="480" w:lineRule="auto"/>
      </w:pPr>
      <w:r>
        <w:t xml:space="preserve">The unit of analysis is the observing opportunity. An opportunity is a discrete window in which a science instrument on a planetary surface platform can acquire a target. The window is bounded by the platform’s energy and time budget for the sol, the instrument’s duty cycle, and the geometry of the local target field. Each opportunity admits a finite candidate set of targets, indexed by their location in the field of regard. Each candidate target has a latent science value, modeled as a draw from a distribution whose moments are unknown to the selector before observation and only partly revealed after observation. The selector’s task at each opportunity is to choose one target from the candidate set under uncertainty about the realized values.</w:t>
      </w:r>
    </w:p>
    <w:p>
      <w:pPr>
        <w:pStyle w:val="BodyText"/>
        <w:spacing w:line="480" w:lineRule="auto"/>
        <w:ind w:firstLine="720"/>
      </w:pPr>
      <w:r>
        <w:t xml:space="preserve">Two selectors are admissible at the same opportunity. The ground selector is the human operations team, which chooses targets in the next planning shift on Earth and uplinks the selection through a deep-space communication cycle whose minimum duration is the one-way light time plus the planning-shift cadence. The onboard selector is the autonomous targeting system, which chooses a target at the moment the opportunity occurs, using the imagery and ancillary data the platform has at hand and applying a learned or rule-based prioritization. The Autonomous Exploration for Gathering Increased Science system, AEGIS, is the canonical onboard selector that this dissertation studies; it has flown on three Mars rovers across a decade and a half of operations [7, 8, 9, 10, 12, 14, 15] and supplies the only operational record large enough to identify the parameter of interest.</w:t>
      </w:r>
    </w:p>
    <w:p>
      <w:pPr>
        <w:pStyle w:val="BodyText"/>
        <w:spacing w:line="480" w:lineRule="auto"/>
        <w:ind w:firstLine="720"/>
      </w:pPr>
      <w:r>
        <w:t xml:space="preserve">The outcome at each opportunity is the realized science yield, defined as the expected information gain captured by the chosen target. The information-gain operationalization follows the autonomous sensor-tasking literature, which has converged on Shannon information gain about a latent state of interest as the right metric for evaluating an autonomous scheduler’s decisions [2, 3, 5, 6, 11]. In the space-surveillance setting that literature treats, the latent state is the orbit of a resident space object; in the planetary-surface setting this dissertation treats, the latent state is the geochemical or morphological character of a candidate target, and the information gain is measured by how sharply the chosen acquisition narrows the prior over that character. The operational implementation, including the construction of the empirical yield index from archived AEGIS instrument products, is taken up in the companion empirical chapters.</w:t>
      </w:r>
    </w:p>
    <w:p>
      <w:pPr>
        <w:pStyle w:val="BodyText"/>
        <w:spacing w:line="480" w:lineRule="auto"/>
        <w:ind w:firstLine="720"/>
      </w:pPr>
      <w:r>
        <w:t xml:space="preserve">Three covariates are held fixed at the opportunity level by the framework. The first is the observing-time budget, which sets the upper bound on how many targets the platform can acquire in the sol regardless of who selects them. The second is the target density in the field of regard, which conditions the variance of latent science values among candidates and hence the potential return to a good selection. The third is the prevailing one-way Earth-to-Mars communication latency, which sets the floor on how long the ground selector must wait between sensing the field and committing to a target. The latency is exogenous to the local science content of any single target because it is set by orbital geometry, not by what the platform sees in front of it. This exogeneity is the lever the identification strategy in Section 3.4 relies on.</w:t>
      </w:r>
    </w:p>
    <w:bookmarkEnd w:id="76"/>
    <w:bookmarkStart w:id="77" w:name="the-value-of-information-mechanism"/>
    <w:p>
      <w:pPr>
        <w:pStyle w:val="Heading2"/>
        <w:spacing w:line="480" w:lineRule="auto"/>
      </w:pPr>
      <w:r>
        <w:t xml:space="preserve">3.3 The Value-of-Information Mechanism</w:t>
      </w:r>
    </w:p>
    <w:p>
      <w:pPr>
        <w:pStyle w:val="FirstParagraph"/>
        <w:spacing w:line="480" w:lineRule="auto"/>
      </w:pPr>
      <w:r>
        <w:t xml:space="preserve">The mechanism by which onboard authority produces science yield is a value-of-information mechanism. The selector that chooses a target at an opportunity does so under uncertainty about the latent value of each candidate. The expected payoff of the selection is the expected posterior value of the chosen target, marginalized over the prior the selector holds. The value of information ceded to a selector is the difference between the expected posterior value the selector attains and the expected posterior value the next-best counterfactual selector attains, measured at the same opportunity and against the same prior.</w:t>
      </w:r>
    </w:p>
    <w:p>
      <w:pPr>
        <w:pStyle w:val="BodyText"/>
        <w:spacing w:line="480" w:lineRule="auto"/>
        <w:ind w:firstLine="720"/>
      </w:pPr>
      <w:r>
        <w:t xml:space="preserve">For a ground-only architecture, the counterfactual is no selection at the opportunity: the platform either skips the window or acquires a default target chosen at the prior planning shift, which is now stale by one communication cycle. For a hybrid architecture in which onboard authority is granted, the counterfactual at any opportunity that the onboard selector handles is the selection the ground selector would have produced one cycle later. The framework’s first claim is that the onboard selector’s expected payoff is at least as large as the ground selector’s expected payoff whenever two conditions are met: the latency cost of an uplink cycle is large relative to the variance of target quality, so that the freshness of the onboard selector’s information is worth more than the deliberation depth of the ground selector; and the onboard prioritization carries a non-trivial signal about target quality, so that the onboard selection is not random with respect to the latent values. Both conditions hold for AEGIS-class autonomy on Mars surface missions: typical uplink cycles span one to two sols, ChemCam and SuperCam target values differ by margins larger than measurement noise, and the AEGIS prioritization has documented predictive content for downstream science use [7, 8, 9, 10].</w:t>
      </w:r>
    </w:p>
    <w:p>
      <w:pPr>
        <w:pStyle w:val="BodyText"/>
        <w:spacing w:line="480" w:lineRule="auto"/>
        <w:ind w:firstLine="720"/>
      </w:pPr>
      <w:r>
        <w:t xml:space="preserve">Magnitude here is monotone in communication latency. As the one-way light time and the planning-shift cadence grow, the ground selector’s information becomes more stale and the expected loss from waiting one more cycle grows correspondingly. The onboard selector’s information, by contrast, is acquired at the moment of selection and does not stale. The expected value of information ceded to the onboard selector therefore rises with latency, holding the onboard prioritization quality fixed. This monotonicity is the framework’s second claim, and it generates the latency interaction the empirical chapters use as both an identifying lever and a falsification target.</w:t>
      </w:r>
    </w:p>
    <w:p>
      <w:pPr>
        <w:pStyle w:val="BodyText"/>
        <w:spacing w:line="480" w:lineRule="auto"/>
        <w:ind w:firstLine="720"/>
      </w:pPr>
      <w:r>
        <w:t xml:space="preserve">Why is the contribution bounded from above? The same mechanism explains it. The onboard prioritization is not omniscient: it has a finite signal-to-noise ratio about latent target quality, set by the imagery and ancillary data the platform processes and by the learned or rule-based policy. As cumulative operational experience grows, the prioritization can be tuned, retrained, or replaced, and the signal-to-noise ratio can rise; the surveillance-autonomy literature documents this kind of policy improvement under information-gain objectives across single-sensor, decentralized, swarm, reinforcement-learning, and heterogeneous-network settings [2, 3, 5, 6, 11]. The framework’s third claim is therefore that the expected value of information ceded to the onboard selector is increasing not only in latency but in cumulative autonomous-targeting experience, with diminishing increments as the prioritization approaches the ceiling set by the instrument and the target field. This is the substantive content of the learning-curve formulation the companion paper estimates, and the diminishing-returns shape it predicts is the canonical form the experience-elasticity literature recovers across technologies.</w:t>
      </w:r>
    </w:p>
    <w:p>
      <w:pPr>
        <w:pStyle w:val="BodyText"/>
        <w:spacing w:line="480" w:lineRule="auto"/>
        <w:ind w:firstLine="720"/>
      </w:pPr>
      <w:r>
        <w:t xml:space="preserve">A fourth claim follows from holding the autonomy authority constant and varying the architectural setting. The agent-based mission-management literature has surveyed a wide design space of decision allocations between ground and flight segments, treating the locus of decision authority as a configurable parameter rather than a binary</w:t>
      </w:r>
      <w:r>
        <w:t xml:space="preserve"> </w:t>
      </w:r>
      <w:hyperlink w:anchor="ref-4">
        <w:r>
          <w:rPr>
            <w:rStyle w:val="Hyperlink"/>
          </w:rPr>
          <w:t xml:space="preserve">[4]</w:t>
        </w:r>
      </w:hyperlink>
      <w:r>
        <w:t xml:space="preserve">. The framework treats this design space as a continuum running from a strictly ground-commanded architecture to a strictly onboard-autonomous architecture, with the AEGIS-era rover missions occupying interior points whose locations differ across rovers and across mission phases. The value-of-information mechanism applies to every interior point: at any allocation, the marginal opportunity ceded to the onboard selector contributes the expected value of information defined above, and the integral of those marginal contributions across all opportunities in a sol is the per-sol science yield attributable to onboard authority. The empirical chapters operationalize this integral at two scales, a per-opportunity scale for the level estimate and a per-sol scale for the slope estimate.</w:t>
      </w:r>
    </w:p>
    <w:bookmarkEnd w:id="77"/>
    <w:bookmarkStart w:id="78" w:name="causal-logic-and-identification"/>
    <w:p>
      <w:pPr>
        <w:pStyle w:val="Heading2"/>
        <w:spacing w:line="480" w:lineRule="auto"/>
      </w:pPr>
      <w:r>
        <w:t xml:space="preserve">3.4 Causal Logic and Identification</w:t>
      </w:r>
    </w:p>
    <w:p>
      <w:pPr>
        <w:pStyle w:val="FirstParagraph"/>
        <w:spacing w:line="480" w:lineRule="auto"/>
      </w:pPr>
      <w:r>
        <w:t xml:space="preserve">Theory alone settles nothing. The causal logic specifies under what conditions the framework’s quantitative claim, that ceding authority to the onboard selector raises expected science yield, can be identified from archival rover data rather than only asserted from theory. The estimand is the marginal science yield attributable to onboard targeting authority, net of what a latency-bound ground loop would have achieved, expressed as an elasticity of yield with respect to the share of opportunities ceded to the onboard selector. The treatment is the decision locus at the opportunity, autonomous versus ground-commanded. The control is the within-mission ground-commanded counterfactual.</w:t>
      </w:r>
    </w:p>
    <w:p>
      <w:pPr>
        <w:pStyle w:val="BodyText"/>
        <w:spacing w:line="480" w:lineRule="auto"/>
        <w:ind w:firstLine="720"/>
      </w:pPr>
      <w:r>
        <w:t xml:space="preserve">Identification rests on three properties of the AEGIS deployment record. First, the same mission interleaves autonomously selected and ground-commanded acquisitions within the same traverse or orbit and often within the same sol, holding the science instrument, the local target field, and the platform constant across the two arms of the contrast. This within-mission, within-segment interleaving is what supports a fixed-effects specification at the opportunity level: mission-segment fixed effects absorb time-invariant confounders such as instrument generation and broad regional geology, leaving the variation in decision locus to identify the autonomy coefficient. The level-estimate paper exploits this interleaving explicitly.</w:t>
      </w:r>
    </w:p>
    <w:p>
      <w:pPr>
        <w:pStyle w:val="BodyText"/>
        <w:spacing w:line="480" w:lineRule="auto"/>
        <w:ind w:firstLine="720"/>
      </w:pPr>
      <w:r>
        <w:t xml:space="preserve">Second, the variation in decision locus is partly driven by exogenous latency. The one-way Earth-to-Mars light time is set by orbital geometry and varies on a multi-month cycle that is uncorrelated with the local science content of any single target. Operationally, ground operators tend to grant onboard authority on sols when latency is unusually high or when the planning-shift cadence falls behind, because the expected loss from waiting another cycle is largest in those conditions. The framework treats this latency-driven assignment as an identifying source of variation: the latency-instrumented specification uses the orbital-geometry component of latency to predict the share of opportunities ceded onboard, and recovers the autonomy elasticity from the projected variation rather than from the full assignment, which would risk selection on observables. The latency interaction also functions as a direct test of the mechanism’s monotonicity claim from Section 3.3.</w:t>
      </w:r>
    </w:p>
    <w:p>
      <w:pPr>
        <w:pStyle w:val="BodyText"/>
        <w:spacing w:line="480" w:lineRule="auto"/>
        <w:ind w:firstLine="720"/>
      </w:pPr>
      <w:r>
        <w:t xml:space="preserve">Third, the cross-mission record permits a panel specification that traces the experience curve. Three rovers, three instruments, and more than a decade of cumulative autonomous-targeting sols provide a panel that spans more than two orders of magnitude in cumulative experience and a comparable range in per-sol yield. The slope-estimate paper uses the panel to fit a log-linear learning curve and recover an experience elasticity, with the cross-mission variation identifying the common slope and a robustness sensitivity that drops each mission in turn confirming that the slope is not an artifact of any single deployment.</w:t>
      </w:r>
    </w:p>
    <w:p>
      <w:pPr>
        <w:pStyle w:val="BodyText"/>
        <w:spacing w:line="480" w:lineRule="auto"/>
        <w:ind w:firstLine="720"/>
      </w:pPr>
      <w:r>
        <w:t xml:space="preserve">Four threats to identification follow from the framework and are explicitly addressed in the empirical chapters. The first is selection on observables: ground operators may reserve onboard authority for opportunities they expect to be easy, in which case the autonomy elasticity is biased upward by selection rather than by the value-of-information mechanism. The within-segment fixed effects and the latency-instrumented specification are designed to break this. The second is outcome construction: equating science yield with information gain may understate categorical or discovery-mode value. A sensitivity analysis using an independent expert-rated science-merit score, drawn from the published AEGIS operational reports, guards against this. The third is external validity: the AEGIS rover record may not generalize to orbital remote sensing or to deep-space high-latency regimes such as Europa, Enceladus, or Titan. The latency interaction term is the honest test of how far the estimate travels; its sign and magnitude bound the extrapolation. The fourth is counterfactual contamination: ground-commanded acquisitions in the AEGIS era may themselves have been informed by prior autonomous runs, attenuating the contrast toward H0. Because this attenuation biases against H1, a significant positive estimate is conservative with respect to the framework’s claim.</w:t>
      </w:r>
    </w:p>
    <w:p>
      <w:pPr>
        <w:pStyle w:val="BodyText"/>
        <w:spacing w:line="480" w:lineRule="auto"/>
        <w:ind w:firstLine="720"/>
      </w:pPr>
      <w:r>
        <w:t xml:space="preserve">A separate threat, distinct from identification, concerns the framework’s portability beyond the AEGIS family. The dissertation’s framework is built on three Mars rover deployments because that is the operational record long enough to support a falsifiable parameter estimate. The framework’s claims about latency monotonicity, experience-elasticity, and information-gain payoff are stated in primitives that do not depend on Mars geology or on AEGIS specifically. The empirical chapters note where the framework is portable to orbital and deep-space settings and where it requires additional structure, particularly when the candidate set at an opportunity is generated by a different sensing modality than imagery-based prioritization [2, 3, 5, 6, 11].</w:t>
      </w:r>
    </w:p>
    <w:bookmarkEnd w:id="78"/>
    <w:bookmarkStart w:id="79" w:name="formal-hypotheses"/>
    <w:p>
      <w:pPr>
        <w:pStyle w:val="Heading2"/>
        <w:spacing w:line="480" w:lineRule="auto"/>
      </w:pPr>
      <w:r>
        <w:t xml:space="preserve">3.5 Formal Hypotheses</w:t>
      </w:r>
    </w:p>
    <w:p>
      <w:pPr>
        <w:pStyle w:val="FirstParagraph"/>
        <w:spacing w:line="480" w:lineRule="auto"/>
      </w:pPr>
      <w:r>
        <w:t xml:space="preserve">The dissertation’s primary contribution is a single parameter, the autonomy elasticity of science yield, and the formal hypotheses below are stated as testable claims about that parameter. Let beta denote the coefficient on autonomy authority in the dissertation’s principal yield regression, with authority operationalized at the appropriate scale for the empirical paper at hand: the within-segment opportunity-level decision locus for the level estimate, and the cumulative autonomous-targeting experience for the slope estimate. Let yield denote the realized science yield, operationalized as expected information gain captured by the chosen target and aggregated to the unit of the regression. The hypotheses are stated against the observed-variation regime, the AEGIS-era Mars rover record, and the regression specifications laid out in the empirical chapters.</w:t>
      </w:r>
    </w:p>
    <w:p>
      <w:pPr>
        <w:pStyle w:val="BodyText"/>
        <w:spacing w:line="480" w:lineRule="auto"/>
        <w:ind w:firstLine="720"/>
      </w:pPr>
      <w:r>
        <w:rPr>
          <w:b/>
          <w:bCs/>
        </w:rPr>
        <w:t xml:space="preserve">H0 (null).</w:t>
      </w:r>
      <w:r>
        <w:t xml:space="preserve"> </w:t>
      </w:r>
      <w:r>
        <w:t xml:space="preserve">Granting onboard targeting authority produces no science yield beyond the ground-commanded counterfactual. Formally, the autonomy-authority coefficient beta is statistically indistinguishable from zero at conventional levels once observing-time budget, target density, and communication latency are controlled, and the interaction between autonomy authority and one-way communication latency is similarly indistinguishable from zero.</w:t>
      </w:r>
    </w:p>
    <w:p>
      <w:pPr>
        <w:pStyle w:val="BodyText"/>
        <w:spacing w:line="480" w:lineRule="auto"/>
        <w:ind w:firstLine="720"/>
      </w:pPr>
      <w:r>
        <w:rPr>
          <w:b/>
          <w:bCs/>
        </w:rPr>
        <w:t xml:space="preserve">H1 (alternative).</w:t>
      </w:r>
      <w:r>
        <w:t xml:space="preserve"> </w:t>
      </w:r>
      <w:r>
        <w:t xml:space="preserve">Onboard targeting authority produces a positive and statistically significant marginal science yield, and that yield rises monotonically with one-way communication latency. Formally, the autonomy-authority coefficient beta is strictly greater than zero at conventional significance, and the coefficient on the autonomy-by-latency interaction is strictly greater than zero, so that the autonomy elasticity is larger in high-latency regimes than in low-latency regimes.</w:t>
      </w:r>
    </w:p>
    <w:p>
      <w:pPr>
        <w:pStyle w:val="BodyText"/>
        <w:spacing w:line="480" w:lineRule="auto"/>
        <w:ind w:firstLine="720"/>
      </w:pPr>
      <w:r>
        <w:t xml:space="preserve">H0 is rejected if both the autonomy-authority coefficient and the autonomy-by-latency interaction are positive, significant at the conventional five-percent level, and robust to the controls and threats enumerated in Section 3.4. H1 is supported if and only if both directional claims survive the threats analysis.</w:t>
      </w:r>
    </w:p>
    <w:p>
      <w:pPr>
        <w:pStyle w:val="BodyText"/>
        <w:spacing w:line="480" w:lineRule="auto"/>
        <w:ind w:firstLine="720"/>
      </w:pPr>
      <w:r>
        <w:t xml:space="preserve">Two auxiliary directional claims descend from the framework and are tested separately in the two empirical chapters. The first is the level claim that opportunity-level autonomy authority is associated with a positive marginal science yield against a within-mission ground-commanded counterfactual; the level estimate paper tests this directly with a fixed-effects regression and reports the autonomy coefficient, the latency interaction, and the threats analyses [1, 4, 7, 8, 9, 10, 14]. The second is the slope claim that the per-sol science yield delivered by onboard autonomous targeting rises log-linearly with cumulative autonomous-targeting experience across the three AEGIS deployments; the slope estimate paper tests this with a log-log learning-curve regression and reports the experience elasticity, its confidence interval, and the cross-mission robustness check [10, 12, 13, 14, 15].</w:t>
      </w:r>
    </w:p>
    <w:p>
      <w:pPr>
        <w:pStyle w:val="BodyText"/>
        <w:spacing w:line="480" w:lineRule="auto"/>
        <w:ind w:firstLine="720"/>
      </w:pPr>
      <w:r>
        <w:t xml:space="preserve">The two auxiliary claims jointly substantiate H1. If only the level claim survives, the framework’s mechanism is supported but its learning component is not, and the dissertation’s conclusion about cross-mission portability would have to be tempered. If only the slope claim survives, the framework’s learning component is supported but the per-opportunity mechanism is not directly confirmed, and the dissertation’s conclusion about marginal authority would have to be tempered. The framework’s claim that both substantive properties hold simultaneously is the strong form of H1 and is the dissertation’s principal target.</w:t>
      </w:r>
    </w:p>
    <w:p>
      <w:pPr>
        <w:pStyle w:val="BodyText"/>
        <w:spacing w:line="480" w:lineRule="auto"/>
        <w:ind w:firstLine="720"/>
      </w:pPr>
      <w:r>
        <w:t xml:space="preserve">The chapter notes one specification choice that the empirical chapters defer rather than resolve: the framework states the autonomy-authority coefficient as a marginal effect over the observed range and does not assert linearity outside that range. The diminishing-returns shape predicted by the value-of-information mechanism implies that a linear specification estimated within the AEGIS-era operational regime should be read as an average marginal effect rather than as a constant marginal effect across all conceivable authority allocations. The slope-estimate paper’s log-log specification recovers a constant elasticity within its own operational regime, and the two estimates jointly bound the shape of the underlying surface without committing the framework to a single functional form.</w:t>
      </w:r>
    </w:p>
    <w:bookmarkEnd w:id="79"/>
    <w:bookmarkStart w:id="80" w:name="falsifiability-and-closing"/>
    <w:p>
      <w:pPr>
        <w:pStyle w:val="Heading2"/>
        <w:spacing w:line="480" w:lineRule="auto"/>
      </w:pPr>
      <w:r>
        <w:t xml:space="preserve">3.6 Falsifiability and Closing</w:t>
      </w:r>
    </w:p>
    <w:p>
      <w:pPr>
        <w:pStyle w:val="FirstParagraph"/>
        <w:spacing w:line="480" w:lineRule="auto"/>
      </w:pPr>
      <w:r>
        <w:t xml:space="preserve">The framework is constructed to be falsifiable in three distinct ways. First, the autonomy-authority coefficient may fail to reach significance in the level-estimate regression, in which case H0 cannot be rejected and the dissertation concludes that onboard authority does not produce a measurable marginal science yield against the ground-commanded counterfactual in the AEGIS-era rover record. Second, the autonomy-by-latency interaction may fail to be positive and significant, in which case the mechanism’s monotonicity claim is not supported and the framework’s external-validity argument for high-latency deep-space missions fails. Third, the experience elasticity in the slope-estimate regression may fail to be positive and significant or may fail the cross-mission robustness check, in which case the framework’s learning component is not supported and the cross-mission portability claim must be withdrawn.</w:t>
      </w:r>
    </w:p>
    <w:p>
      <w:pPr>
        <w:pStyle w:val="BodyText"/>
        <w:spacing w:line="480" w:lineRule="auto"/>
        <w:ind w:firstLine="720"/>
      </w:pPr>
      <w:r>
        <w:t xml:space="preserve">The framework also names patterns in the operational record that would force a rejection of H1 without ambiguity. A negative and significant autonomy coefficient at the opportunity level, against the within-segment fixed-effects specification, would imply that the onboard selector underperforms the ground selector even when the ground selector is paying the latency cost, which would contradict the value-of-information mechanism at its root. A negative or zero latency interaction would imply that the value of information ceded to the onboard selector does not rise with latency, which would contradict the monotonicity derivation in Section 3.3. A negative or zero experience elasticity would imply that the onboard selector does not improve with cumulative experience, which would contradict the policy-improvement evidence the surveillance-autonomy literature has accumulated under information-gain objectives [2, 3, 5, 6, 11]. Each of these patterns is observable in the AEGIS-era record if it exists; the empirical chapters report the specifications and the diagnostics that would reveal it.</w:t>
      </w:r>
    </w:p>
    <w:p>
      <w:pPr>
        <w:pStyle w:val="BodyText"/>
        <w:spacing w:line="480" w:lineRule="auto"/>
        <w:ind w:firstLine="720"/>
      </w:pPr>
      <w:r>
        <w:t xml:space="preserve">The chapter closes with a note on the framework’s relation to the planetary-exploration autonomy literature it builds on. The framework treats the choice of target as the bottleneck on science yield, in the sense that Yingst and colleagues established for semi-autonomous reconnoitering on Mars-analogue terrain</w:t>
      </w:r>
      <w:r>
        <w:t xml:space="preserve"> </w:t>
      </w:r>
      <w:hyperlink w:anchor="ref-1">
        <w:r>
          <w:rPr>
            <w:rStyle w:val="Hyperlink"/>
          </w:rPr>
          <w:t xml:space="preserve">[1]</w:t>
        </w:r>
      </w:hyperlink>
      <w:r>
        <w:t xml:space="preserve">: even modest variation in how a semi-autonomous rover narrows reconnoitering candidates reshapes the science merit of the selected sites. The framework’s contribution is to make that bottleneck quantitative by treating each target-selection decision as a value-of-information wager and to make the wager testable by deriving an elasticity that an archival AEGIS record can identify. The empirical chapters take up that identification and report the parameter.</w:t>
      </w:r>
    </w:p>
    <w:bookmarkEnd w:id="80"/>
    <w:bookmarkEnd w:id="81"/>
    <w:bookmarkStart w:id="90" w:name="chapter-4.-data-and-measurement"/>
    <w:p>
      <w:pPr>
        <w:pStyle w:val="Heading1"/>
        <w:spacing w:line="480" w:lineRule="auto"/>
      </w:pPr>
      <w:r>
        <w:t xml:space="preserve">Chapter 4. Data and Measurement</w:t>
      </w:r>
    </w:p>
    <w:bookmarkStart w:id="82" w:name="purpose-and-scope-of-the-chapter"/>
    <w:p>
      <w:pPr>
        <w:pStyle w:val="Heading2"/>
        <w:spacing w:line="480" w:lineRule="auto"/>
      </w:pPr>
      <w:r>
        <w:t xml:space="preserve">4.1 Purpose and Scope of the Chapter</w:t>
      </w:r>
    </w:p>
    <w:p>
      <w:pPr>
        <w:pStyle w:val="FirstParagraph"/>
        <w:spacing w:line="480" w:lineRule="auto"/>
      </w:pPr>
      <w:r>
        <w:t xml:space="preserve">This chapter describes, in operational detail, the datasets that support the two empirical papers of this dissertation, the authoritative primary sources from which those datasets are constructed, the unit of analysis to which each variable is referenced, and the rules by which each variable is computed from primary records. The two papers share a substrate but ask different questions and therefore tile the same operational record at two different granularities. Paper 1 estimates the marginal science yield of onboard autonomous targeting in a per-sol-block cross section, and Paper 2 estimates an experience elasticity along a cross-mission learning curve. The datasets that feed these estimators differ in the binning rule applied to the underlying records and in the latency covariate they carry, but they draw on the same authoritative archives and obey the same construction discipline. This chapter documents that discipline so that the regressions in Chapters 5 and 6 can be read as transparent functions of public, versioned, provenance-stable inputs.</w:t>
      </w:r>
    </w:p>
    <w:p>
      <w:pPr>
        <w:pStyle w:val="BodyText"/>
        <w:spacing w:line="480" w:lineRule="auto"/>
        <w:ind w:firstLine="720"/>
      </w:pPr>
      <w:r>
        <w:t xml:space="preserve">The chapter is organized to make a single argument: every number that enters the regressions can be traced to a primary record archived by NASA or to a peer-reviewed operational paper that itself derives from such a record. Where intermediate construction steps were required, the rule is given, and where a bin midpoint was interpolated within a documented range, the marker is preserved in the source column of the data file. No number is synthetic in the sense of being invented to fit a model. The discipline is the one the prospectus committed to, and the threats-to-validity argument of Section 4.7 reads against the construction rules of Sections 4.4 and 4.5.</w:t>
      </w:r>
    </w:p>
    <w:bookmarkEnd w:id="82"/>
    <w:bookmarkStart w:id="83" w:name="the-authoritative-sources"/>
    <w:p>
      <w:pPr>
        <w:pStyle w:val="Heading2"/>
        <w:spacing w:line="480" w:lineRule="auto"/>
      </w:pPr>
      <w:r>
        <w:t xml:space="preserve">4.2 The Authoritative Sources</w:t>
      </w:r>
    </w:p>
    <w:p>
      <w:pPr>
        <w:pStyle w:val="FirstParagraph"/>
        <w:spacing w:line="480" w:lineRule="auto"/>
      </w:pPr>
      <w:r>
        <w:t xml:space="preserve">The datasets used in this dissertation are constructed from three classes of authoritative source, in descending order of distance from the regression. The first class is the NASA Planetary Data System, the long-term archive of planetary mission data, which holds the instrument products and engineering telemetry from which any operational claim about AEGIS deployments must ultimately derive. ChemCam laser-induced breakdown spectroscopy products from the Mars Science Laboratory Curiosity rover, Pancam multispectral imaging products from the Mars Exploration Rover Opportunity, and SuperCam science products from the Mars 2020 Perseverance rover are all archived through the PDS Geosciences and Imaging Nodes and are referenced by PDS product identifiers in the data files. The PDS is the system of record. Every operational paper cited in the second class below reports its summary statistics on top of PDS-archived primary data, and the construction rules in this dissertation treat the PDS identifier as the canonical anchor for any sol- or target-level claim.</w:t>
      </w:r>
    </w:p>
    <w:p>
      <w:pPr>
        <w:pStyle w:val="BodyText"/>
        <w:spacing w:line="480" w:lineRule="auto"/>
        <w:ind w:firstLine="720"/>
      </w:pPr>
      <w:r>
        <w:t xml:space="preserve">The second class is the peer-reviewed and NASA-archived operational record of AEGIS deployments. The principal documents are Estlin and colleagues’ AEGIS automated science targeting report on MER Opportunity in the ACM Transactions on Intelligent Systems and Technology [10, 12], Francis and colleagues’ Science Robotics paper on AEGIS for ChemCam on Mars Science Laboratory</w:t>
      </w:r>
      <w:r>
        <w:t xml:space="preserve"> </w:t>
      </w:r>
      <w:hyperlink w:anchor="ref-7">
        <w:r>
          <w:rPr>
            <w:rStyle w:val="Hyperlink"/>
          </w:rPr>
          <w:t xml:space="preserve">[7]</w:t>
        </w:r>
      </w:hyperlink>
      <w:r>
        <w:t xml:space="preserve">, Castano and colleagues’ NASA Technical Reports Server report covering the first four years of AEGIS on MSL and its capability extensions</w:t>
      </w:r>
      <w:r>
        <w:t xml:space="preserve"> </w:t>
      </w:r>
      <w:hyperlink w:anchor="ref-8">
        <w:r>
          <w:rPr>
            <w:rStyle w:val="Hyperlink"/>
          </w:rPr>
          <w:t xml:space="preserve">[8]</w:t>
        </w:r>
      </w:hyperlink>
      <w:r>
        <w:t xml:space="preserve">, Verma and colleagues’ Science Robotics paper on autonomous robotics on Perseverance</w:t>
      </w:r>
      <w:r>
        <w:t xml:space="preserve"> </w:t>
      </w:r>
      <w:hyperlink w:anchor="ref-9">
        <w:r>
          <w:rPr>
            <w:rStyle w:val="Hyperlink"/>
          </w:rPr>
          <w:t xml:space="preserve">[9]</w:t>
        </w:r>
      </w:hyperlink>
      <w:r>
        <w:t xml:space="preserve">, Gaines and colleagues’ IEEE Aerospace Conference paper on productivity challenges for Mars rover operations</w:t>
      </w:r>
      <w:r>
        <w:t xml:space="preserve"> </w:t>
      </w:r>
      <w:hyperlink w:anchor="ref-14">
        <w:r>
          <w:rPr>
            <w:rStyle w:val="Hyperlink"/>
          </w:rPr>
          <w:t xml:space="preserve">[14]</w:t>
        </w:r>
      </w:hyperlink>
      <w:r>
        <w:t xml:space="preserve">, and Wiens and colleagues’ Space Science Reviews characterization of the SuperCam instrument suite on Mars 2020</w:t>
      </w:r>
      <w:r>
        <w:t xml:space="preserve"> </w:t>
      </w:r>
      <w:hyperlink w:anchor="ref-15">
        <w:r>
          <w:rPr>
            <w:rStyle w:val="Hyperlink"/>
          </w:rPr>
          <w:t xml:space="preserve">[15]</w:t>
        </w:r>
      </w:hyperlink>
      <w:r>
        <w:t xml:space="preserve">. Together these documents publish the autonomy share, the targets-per-sol counts, the cumulative-sol milestones, and the operational context against which the per-sol science yield index is constructed. They constitute the published bridge between the PDS archive and the dataset rows used in the two papers.</w:t>
      </w:r>
    </w:p>
    <w:p>
      <w:pPr>
        <w:pStyle w:val="BodyText"/>
        <w:spacing w:line="480" w:lineRule="auto"/>
        <w:ind w:firstLine="720"/>
      </w:pPr>
      <w:r>
        <w:t xml:space="preserve">The third class is the broader peer-reviewed literature on autonomous targeting and mission operations that informs measurement choices but does not contribute primary numbers. Yingst and colleagues’ GeoHeuristic Operational Strategies Test on a semi-autonomous Mars-analogue rover</w:t>
      </w:r>
      <w:r>
        <w:t xml:space="preserve"> </w:t>
      </w:r>
      <w:hyperlink w:anchor="ref-1">
        <w:r>
          <w:rPr>
            <w:rStyle w:val="Hyperlink"/>
          </w:rPr>
          <w:t xml:space="preserve">[1]</w:t>
        </w:r>
      </w:hyperlink>
      <w:r>
        <w:t xml:space="preserve"> </w:t>
      </w:r>
      <w:r>
        <w:t xml:space="preserve">motivates the science-merit weighting concept that underwrites the yield index, and Jabbarpour and colleagues’ survey of agent-based approaches for distributed space systems and mission management</w:t>
      </w:r>
      <w:r>
        <w:t xml:space="preserve"> </w:t>
      </w:r>
      <w:hyperlink w:anchor="ref-4">
        <w:r>
          <w:rPr>
            <w:rStyle w:val="Hyperlink"/>
          </w:rPr>
          <w:t xml:space="preserve">[4]</w:t>
        </w:r>
      </w:hyperlink>
      <w:r>
        <w:t xml:space="preserve"> </w:t>
      </w:r>
      <w:r>
        <w:t xml:space="preserve">motivates the cross-mission framing of the learning curve. Wettergreen and Wagner’s Field Robotics survey</w:t>
      </w:r>
      <w:r>
        <w:t xml:space="preserve"> </w:t>
      </w:r>
      <w:hyperlink w:anchor="ref-13">
        <w:r>
          <w:rPr>
            <w:rStyle w:val="Hyperlink"/>
          </w:rPr>
          <w:t xml:space="preserve">[13]</w:t>
        </w:r>
      </w:hyperlink>
      <w:r>
        <w:t xml:space="preserve"> </w:t>
      </w:r>
      <w:r>
        <w:t xml:space="preserve">provides the published basis for the MER Opportunity extended-operations bin midpoints. None of these documents provides a numerical input that enters a regression coefficient; they discipline the construction rules instead.</w:t>
      </w:r>
    </w:p>
    <w:p>
      <w:pPr>
        <w:pStyle w:val="BodyText"/>
        <w:spacing w:line="480" w:lineRule="auto"/>
        <w:ind w:firstLine="720"/>
      </w:pPr>
      <w:r>
        <w:t xml:space="preserve">A small number of supporting documents from the sensor-tasking literature enter the chapter only at the level of the information-gain construction concept. The papers that establish the information-gain metric as the canonical autonomous-targeting yield variable [2, 3, 5, 6, 11] are cited here because the science yield index in Section 4.5 is the planetary-exploration analogue of the information-gain objective those papers operationalize for space-surveillance sensor tasking. They are not the source of any number in the datasets.</w:t>
      </w:r>
    </w:p>
    <w:bookmarkEnd w:id="83"/>
    <w:bookmarkStart w:id="84" w:name="the-unit-of-analysis"/>
    <w:p>
      <w:pPr>
        <w:pStyle w:val="Heading2"/>
        <w:spacing w:line="480" w:lineRule="auto"/>
      </w:pPr>
      <w:r>
        <w:t xml:space="preserve">4.3 The Unit of Analysis</w:t>
      </w:r>
    </w:p>
    <w:p>
      <w:pPr>
        <w:pStyle w:val="FirstParagraph"/>
        <w:spacing w:line="480" w:lineRule="auto"/>
      </w:pPr>
      <w:r>
        <w:t xml:space="preserve">The two papers operate on closely related but formally distinct units of analysis. In Paper 1 the unit is the sol-block. A sol-block is a contiguous range of Mars sols on a single rover platform over which the published operational record reports a constant autonomy share, a constant per-sol downlink window, a single cumulative traverse-distance summary, and a single per-sol science yield summary computed under the same instrument and operating-mode assumptions. The sol-block is therefore the natural unit at which the published AEGIS deployment papers report their summary statistics, and aggregating to that unit avoids imputing within-block heterogeneity that the publications do not document. The Paper 1 sample comprises twenty-eight sol-blocks: twelve from MSL Curiosity over sols 1400 through 1820 as reported by Francis</w:t>
      </w:r>
      <w:r>
        <w:t xml:space="preserve"> </w:t>
      </w:r>
      <w:hyperlink w:anchor="ref-7">
        <w:r>
          <w:rPr>
            <w:rStyle w:val="Hyperlink"/>
          </w:rPr>
          <w:t xml:space="preserve">[7]</w:t>
        </w:r>
      </w:hyperlink>
      <w:r>
        <w:t xml:space="preserve"> </w:t>
      </w:r>
      <w:r>
        <w:t xml:space="preserve">and Castano</w:t>
      </w:r>
      <w:r>
        <w:t xml:space="preserve"> </w:t>
      </w:r>
      <w:hyperlink w:anchor="ref-8">
        <w:r>
          <w:rPr>
            <w:rStyle w:val="Hyperlink"/>
          </w:rPr>
          <w:t xml:space="preserve">[8]</w:t>
        </w:r>
      </w:hyperlink>
      <w:r>
        <w:t xml:space="preserve">, six from M2020 Perseverance over sols 200 through 410 as reported by Verma</w:t>
      </w:r>
      <w:r>
        <w:t xml:space="preserve"> </w:t>
      </w:r>
      <w:hyperlink w:anchor="ref-9">
        <w:r>
          <w:rPr>
            <w:rStyle w:val="Hyperlink"/>
          </w:rPr>
          <w:t xml:space="preserve">[9]</w:t>
        </w:r>
      </w:hyperlink>
      <w:r>
        <w:t xml:space="preserve">, six from MER Opportunity over sols 1850 through 2030 as reported by Estlin</w:t>
      </w:r>
      <w:r>
        <w:t xml:space="preserve"> </w:t>
      </w:r>
      <w:hyperlink w:anchor="ref-10">
        <w:r>
          <w:rPr>
            <w:rStyle w:val="Hyperlink"/>
          </w:rPr>
          <w:t xml:space="preserve">[10]</w:t>
        </w:r>
      </w:hyperlink>
      <w:r>
        <w:t xml:space="preserve">, and four sol-blocks that are tagged illustrative in the source column because one input was interpolated between adjacent published sol-blocks.</w:t>
      </w:r>
    </w:p>
    <w:p>
      <w:pPr>
        <w:pStyle w:val="BodyText"/>
        <w:spacing w:line="480" w:lineRule="auto"/>
        <w:ind w:firstLine="720"/>
      </w:pPr>
      <w:r>
        <w:t xml:space="preserve">In Paper 2 the unit is the observing bin. An observing bin is a contiguous range of sols centered on a documented midpoint cumulative-autonomous-targeting sol count and reported in the operational record with a mean per-sol science yield, a mean targets-per-sol count, and the prevailing one-way Earth-to-Mars latency. The observing bin is coarser than the sol-block when the same operational paper aggregates across multiple sol-block reporting windows for the purpose of describing a learning trajectory, and it is finer than the sol-block when the operational paper distinguishes sub-windows within a continuous-autonomy reporting period. The Paper 2 panel has thirty observing bins, with six from MER Opportunity drawn from Estlin [10, 12] and Wettergreen and Wagner</w:t>
      </w:r>
      <w:r>
        <w:t xml:space="preserve"> </w:t>
      </w:r>
      <w:hyperlink w:anchor="ref-13">
        <w:r>
          <w:rPr>
            <w:rStyle w:val="Hyperlink"/>
          </w:rPr>
          <w:t xml:space="preserve">[13]</w:t>
        </w:r>
      </w:hyperlink>
      <w:r>
        <w:t xml:space="preserve">, ten from MSL Curiosity drawn from Francis</w:t>
      </w:r>
      <w:r>
        <w:t xml:space="preserve"> </w:t>
      </w:r>
      <w:hyperlink w:anchor="ref-7">
        <w:r>
          <w:rPr>
            <w:rStyle w:val="Hyperlink"/>
          </w:rPr>
          <w:t xml:space="preserve">[7]</w:t>
        </w:r>
      </w:hyperlink>
      <w:r>
        <w:t xml:space="preserve"> </w:t>
      </w:r>
      <w:r>
        <w:t xml:space="preserve">and Gaines and colleagues</w:t>
      </w:r>
      <w:r>
        <w:t xml:space="preserve"> </w:t>
      </w:r>
      <w:hyperlink w:anchor="ref-14">
        <w:r>
          <w:rPr>
            <w:rStyle w:val="Hyperlink"/>
          </w:rPr>
          <w:t xml:space="preserve">[14]</w:t>
        </w:r>
      </w:hyperlink>
      <w:r>
        <w:t xml:space="preserve">, nine from M2020 Perseverance drawn from Verma</w:t>
      </w:r>
      <w:r>
        <w:t xml:space="preserve"> </w:t>
      </w:r>
      <w:hyperlink w:anchor="ref-9">
        <w:r>
          <w:rPr>
            <w:rStyle w:val="Hyperlink"/>
          </w:rPr>
          <w:t xml:space="preserve">[9]</w:t>
        </w:r>
      </w:hyperlink>
      <w:r>
        <w:t xml:space="preserve"> </w:t>
      </w:r>
      <w:r>
        <w:t xml:space="preserve">and Wiens and colleagues</w:t>
      </w:r>
      <w:r>
        <w:t xml:space="preserve"> </w:t>
      </w:r>
      <w:hyperlink w:anchor="ref-15">
        <w:r>
          <w:rPr>
            <w:rStyle w:val="Hyperlink"/>
          </w:rPr>
          <w:t xml:space="preserve">[15]</w:t>
        </w:r>
      </w:hyperlink>
      <w:r>
        <w:t xml:space="preserve">, and five additional bins distributed across the missions’ extended-operations phases. Five bin midpoints are tagged illustrative in the source column where the midpoint was filled within a documented range derived from published cumulative-sol milestones rather than taken from a single published number.</w:t>
      </w:r>
    </w:p>
    <w:p>
      <w:pPr>
        <w:pStyle w:val="BodyText"/>
        <w:spacing w:line="480" w:lineRule="auto"/>
        <w:ind w:firstLine="720"/>
      </w:pPr>
      <w:r>
        <w:t xml:space="preserve">Both units sit on the same mission timelines and overlap in their underlying primary records, yet they are not interchangeable. Paper 1 needs a unit at which downlink window and traverse distance are reported together with autonomy share, which the sol-block satisfies. Paper 2 needs a unit at which a midpoint cumulative-sol count is well defined and a mean per-sol yield is computed over a window long enough to average across local target-field variation, which the observing bin satisfies. The construction logic in the next two sections respects this distinction.</w:t>
      </w:r>
    </w:p>
    <w:bookmarkEnd w:id="84"/>
    <w:bookmarkStart w:id="85" w:name="the-independent-and-control-variables"/>
    <w:p>
      <w:pPr>
        <w:pStyle w:val="Heading2"/>
        <w:spacing w:line="480" w:lineRule="auto"/>
      </w:pPr>
      <w:r>
        <w:t xml:space="preserve">4.4 The Independent and Control Variables</w:t>
      </w:r>
    </w:p>
    <w:p>
      <w:pPr>
        <w:pStyle w:val="FirstParagraph"/>
        <w:spacing w:line="480" w:lineRule="auto"/>
      </w:pPr>
      <w:r>
        <w:t xml:space="preserve">Five independent or control variables are constructed across the two papers. The first is autonomy share, defined as the fraction of remote sensing target acquisitions in the analysis window that were selected by AEGIS rather than uplinked by the ground team. For Paper 1 this variable is taken directly from the AEGIS share statistic reported per sol-block in Francis</w:t>
      </w:r>
      <w:r>
        <w:t xml:space="preserve"> </w:t>
      </w:r>
      <w:hyperlink w:anchor="ref-7">
        <w:r>
          <w:rPr>
            <w:rStyle w:val="Hyperlink"/>
          </w:rPr>
          <w:t xml:space="preserve">[7]</w:t>
        </w:r>
      </w:hyperlink>
      <w:r>
        <w:t xml:space="preserve"> </w:t>
      </w:r>
      <w:r>
        <w:t xml:space="preserve">for MSL Curiosity, in Verma</w:t>
      </w:r>
      <w:r>
        <w:t xml:space="preserve"> </w:t>
      </w:r>
      <w:hyperlink w:anchor="ref-9">
        <w:r>
          <w:rPr>
            <w:rStyle w:val="Hyperlink"/>
          </w:rPr>
          <w:t xml:space="preserve">[9]</w:t>
        </w:r>
      </w:hyperlink>
      <w:r>
        <w:t xml:space="preserve"> </w:t>
      </w:r>
      <w:r>
        <w:t xml:space="preserve">for M2020 Perseverance, and in Estlin</w:t>
      </w:r>
      <w:r>
        <w:t xml:space="preserve"> </w:t>
      </w:r>
      <w:hyperlink w:anchor="ref-10">
        <w:r>
          <w:rPr>
            <w:rStyle w:val="Hyperlink"/>
          </w:rPr>
          <w:t xml:space="preserve">[10]</w:t>
        </w:r>
      </w:hyperlink>
      <w:r>
        <w:t xml:space="preserve"> </w:t>
      </w:r>
      <w:r>
        <w:t xml:space="preserve">for MER Opportunity, with the Castano four-year update</w:t>
      </w:r>
      <w:r>
        <w:t xml:space="preserve"> </w:t>
      </w:r>
      <w:hyperlink w:anchor="ref-8">
        <w:r>
          <w:rPr>
            <w:rStyle w:val="Hyperlink"/>
          </w:rPr>
          <w:t xml:space="preserve">[8]</w:t>
        </w:r>
      </w:hyperlink>
      <w:r>
        <w:t xml:space="preserve"> </w:t>
      </w:r>
      <w:r>
        <w:t xml:space="preserve">providing the MSL share for the post-2017 blocks. The variable is reported by the AEGIS run log on each spacecraft and therefore inherits the spacecraft-clock provenance of the underlying telemetry. The autonomy share enters Paper 1 directly as the regressor of interest.</w:t>
      </w:r>
    </w:p>
    <w:p>
      <w:pPr>
        <w:pStyle w:val="BodyText"/>
        <w:spacing w:line="480" w:lineRule="auto"/>
        <w:ind w:firstLine="720"/>
      </w:pPr>
      <w:r>
        <w:t xml:space="preserve">The second is cumulative autonomous-targeting sols, the running count of mission sols on which AEGIS was operationally available for science targeting up to the midpoint of the bin. For each rover the count begins with the AEGIS commissioning sol documented in the relevant deployment paper (Estlin</w:t>
      </w:r>
      <w:r>
        <w:t xml:space="preserve"> </w:t>
      </w:r>
      <w:hyperlink w:anchor="ref-10">
        <w:r>
          <w:rPr>
            <w:rStyle w:val="Hyperlink"/>
          </w:rPr>
          <w:t xml:space="preserve">[10]</w:t>
        </w:r>
      </w:hyperlink>
      <w:r>
        <w:t xml:space="preserve"> </w:t>
      </w:r>
      <w:r>
        <w:t xml:space="preserve">for MER, Francis</w:t>
      </w:r>
      <w:r>
        <w:t xml:space="preserve"> </w:t>
      </w:r>
      <w:hyperlink w:anchor="ref-7">
        <w:r>
          <w:rPr>
            <w:rStyle w:val="Hyperlink"/>
          </w:rPr>
          <w:t xml:space="preserve">[7]</w:t>
        </w:r>
      </w:hyperlink>
      <w:r>
        <w:t xml:space="preserve"> </w:t>
      </w:r>
      <w:r>
        <w:t xml:space="preserve">for MSL, and Verma</w:t>
      </w:r>
      <w:r>
        <w:t xml:space="preserve"> </w:t>
      </w:r>
      <w:hyperlink w:anchor="ref-9">
        <w:r>
          <w:rPr>
            <w:rStyle w:val="Hyperlink"/>
          </w:rPr>
          <w:t xml:space="preserve">[9]</w:t>
        </w:r>
      </w:hyperlink>
      <w:r>
        <w:t xml:space="preserve"> </w:t>
      </w:r>
      <w:r>
        <w:t xml:space="preserve">for M2020) and accumulates over subsequent mission sols using NASA JPL public mission-status milestones to fix the calendar mapping. This variable is the regressor of interest in Paper 2. Its construction rule is purely arithmetic given the commissioning sol and the calendar mapping, and the only judgement embedded in it is the choice of bin midpoint within a documented range when the operational paper reports a window rather than a single midpoint sol. Those midpoints are the five entries tagged illustrative in the Paper 2 source column.</w:t>
      </w:r>
    </w:p>
    <w:p>
      <w:pPr>
        <w:pStyle w:val="BodyText"/>
        <w:spacing w:line="480" w:lineRule="auto"/>
        <w:ind w:firstLine="720"/>
      </w:pPr>
      <w:r>
        <w:t xml:space="preserve">The third is traverse distance, the cumulative drive distance in meters over the sol-block. This variable is reported in the published operational record alongside the autonomy share and is taken from Francis</w:t>
      </w:r>
      <w:r>
        <w:t xml:space="preserve"> </w:t>
      </w:r>
      <w:hyperlink w:anchor="ref-7">
        <w:r>
          <w:rPr>
            <w:rStyle w:val="Hyperlink"/>
          </w:rPr>
          <w:t xml:space="preserve">[7]</w:t>
        </w:r>
      </w:hyperlink>
      <w:r>
        <w:t xml:space="preserve"> </w:t>
      </w:r>
      <w:r>
        <w:t xml:space="preserve">and Castano</w:t>
      </w:r>
      <w:r>
        <w:t xml:space="preserve"> </w:t>
      </w:r>
      <w:hyperlink w:anchor="ref-8">
        <w:r>
          <w:rPr>
            <w:rStyle w:val="Hyperlink"/>
          </w:rPr>
          <w:t xml:space="preserve">[8]</w:t>
        </w:r>
      </w:hyperlink>
      <w:r>
        <w:t xml:space="preserve"> </w:t>
      </w:r>
      <w:r>
        <w:t xml:space="preserve">for MSL, from Verma</w:t>
      </w:r>
      <w:r>
        <w:t xml:space="preserve"> </w:t>
      </w:r>
      <w:hyperlink w:anchor="ref-9">
        <w:r>
          <w:rPr>
            <w:rStyle w:val="Hyperlink"/>
          </w:rPr>
          <w:t xml:space="preserve">[9]</w:t>
        </w:r>
      </w:hyperlink>
      <w:r>
        <w:t xml:space="preserve"> </w:t>
      </w:r>
      <w:r>
        <w:t xml:space="preserve">for M2020, and from Estlin</w:t>
      </w:r>
      <w:r>
        <w:t xml:space="preserve"> </w:t>
      </w:r>
      <w:hyperlink w:anchor="ref-10">
        <w:r>
          <w:rPr>
            <w:rStyle w:val="Hyperlink"/>
          </w:rPr>
          <w:t xml:space="preserve">[10]</w:t>
        </w:r>
      </w:hyperlink>
      <w:r>
        <w:t xml:space="preserve"> </w:t>
      </w:r>
      <w:r>
        <w:t xml:space="preserve">for MER. The variable is a control in Paper 1 because driving competes with arm and remote-sensing time within a sol, and it is excluded from Paper 2 because the learning-curve specification is by construction a within-mission averaging over operational regimes in which driving and observing are co-managed. The construction rule is simply the published meter count for the sol-block.</w:t>
      </w:r>
    </w:p>
    <w:p>
      <w:pPr>
        <w:pStyle w:val="BodyText"/>
        <w:spacing w:line="480" w:lineRule="auto"/>
        <w:ind w:firstLine="720"/>
      </w:pPr>
      <w:r>
        <w:t xml:space="preserve">The fourth is downlink bandwidth, the per-sol average uplink window in megabytes. This variable is summarized from public Mars Relay reporting and is documented per sol-block in Francis</w:t>
      </w:r>
      <w:r>
        <w:t xml:space="preserve"> </w:t>
      </w:r>
      <w:hyperlink w:anchor="ref-7">
        <w:r>
          <w:rPr>
            <w:rStyle w:val="Hyperlink"/>
          </w:rPr>
          <w:t xml:space="preserve">[7]</w:t>
        </w:r>
      </w:hyperlink>
      <w:r>
        <w:t xml:space="preserve"> </w:t>
      </w:r>
      <w:r>
        <w:t xml:space="preserve">and Verma</w:t>
      </w:r>
      <w:r>
        <w:t xml:space="preserve"> </w:t>
      </w:r>
      <w:hyperlink w:anchor="ref-9">
        <w:r>
          <w:rPr>
            <w:rStyle w:val="Hyperlink"/>
          </w:rPr>
          <w:t xml:space="preserve">[9]</w:t>
        </w:r>
      </w:hyperlink>
      <w:r>
        <w:t xml:space="preserve"> </w:t>
      </w:r>
      <w:r>
        <w:t xml:space="preserve">and is summarized at the four-year scale in Castano</w:t>
      </w:r>
      <w:r>
        <w:t xml:space="preserve"> </w:t>
      </w:r>
      <w:hyperlink w:anchor="ref-8">
        <w:r>
          <w:rPr>
            <w:rStyle w:val="Hyperlink"/>
          </w:rPr>
          <w:t xml:space="preserve">[8]</w:t>
        </w:r>
      </w:hyperlink>
      <w:r>
        <w:t xml:space="preserve">. Where a sol-block straddles a relay-orbiter handover that materially changed the per-sol downlink window, the sol-block boundary in the dataset is drawn at the handover so that the per-block summary remains a constant. The variable is a control in Paper 1 because the science yield index does not credit selected targets that are not downlinked. It is omitted from Paper 2 because the per-sol yield in that paper is computed inside the operational reporting and is therefore already conditional on the relay schedule.</w:t>
      </w:r>
    </w:p>
    <w:p>
      <w:pPr>
        <w:pStyle w:val="BodyText"/>
        <w:spacing w:line="480" w:lineRule="auto"/>
        <w:ind w:firstLine="720"/>
      </w:pPr>
      <w:r>
        <w:t xml:space="preserve">The fifth is one-way Earth-to-Mars latency, computed from spacecraft and Earth ephemerides in NASA SPICE kernels distributed through the Navigation and Ancillary Information Facility (NAIF). Latency in minutes for each sol-block or bin midpoint is computed by integrating the SPICE state vectors at the relevant sol epoch and reducing the spacecraft-Earth range to a single-direction light-time. This variable is a covariate in Paper 1 in specifications that test the latency interaction motivated by the H1 monotonicity claim in the prospectus, and it is a documented but non-regressor descriptor in Paper 2 because the learning-curve specification absorbs latency variation into the experience trajectory of each mission. The construction rule is purely deterministic given the SPICE kernel set, and the kernels themselves are versioned and citable.</w:t>
      </w:r>
    </w:p>
    <w:p>
      <w:pPr>
        <w:pStyle w:val="BodyText"/>
        <w:spacing w:line="480" w:lineRule="auto"/>
        <w:ind w:firstLine="720"/>
      </w:pPr>
      <w:r>
        <w:t xml:space="preserve">A sixth descriptor, the science instrument, is carried as a label rather than as a regressor: Pancam on MER, ChemCam on MSL, SuperCam on M2020. The label is used in the robustness extensions of Paper 2 that drop one mission at a time. It is not used to construct a fixed effect that would absorb the cross-mission variation of interest.</w:t>
      </w:r>
    </w:p>
    <w:bookmarkEnd w:id="85"/>
    <w:bookmarkStart w:id="86" w:name="the-dependent-variable"/>
    <w:p>
      <w:pPr>
        <w:pStyle w:val="Heading2"/>
        <w:spacing w:line="480" w:lineRule="auto"/>
      </w:pPr>
      <w:r>
        <w:t xml:space="preserve">4.5 The Dependent Variable</w:t>
      </w:r>
    </w:p>
    <w:p>
      <w:pPr>
        <w:pStyle w:val="FirstParagraph"/>
        <w:spacing w:line="480" w:lineRule="auto"/>
      </w:pPr>
      <w:r>
        <w:t xml:space="preserve">The dependent variable in both papers is a per-sol science yield index. The construction rule is the same across the two papers, with the binning rule differing as described in Section 4.3. The index is constructed from the archived ChemCam or SuperCam observations on MSL and M2020 and the archived Pancam multispectral observations on MER, weighted by downstream archival use. Each target acquisition completed in the analysis window enters the index with a weight equal to a documented archival-use score derived from the operational papers that report the target’s subsequent appearance in published science analyses. The index is normalized so that the MER Opportunity baseline sits near unity and modern AEGIS-active sols on MSL and M2020 sit between three and four. The normalization preserves the proportionality of the underlying weighted sum and is documented in the data files row by row.</w:t>
      </w:r>
    </w:p>
    <w:p>
      <w:pPr>
        <w:pStyle w:val="BodyText"/>
        <w:spacing w:line="480" w:lineRule="auto"/>
        <w:ind w:firstLine="720"/>
      </w:pPr>
      <w:r>
        <w:t xml:space="preserve">Three properties of the index deserve explicit statement. First, the weighting is defined by archival downstream use, not by a forward-looking judgement of scientific merit. A target enters the index with weight greater than zero if and only if its instrument product was archived to the PDS in the relevant node and appeared in a downstream operational or scientific report, with the weight rising with the number of distinct reports that cite the archive product. This construction rule makes the index reproducible from the archive without requiring expert judgement, and it inherits the provenance of the PDS product identifier of the target acquisition.</w:t>
      </w:r>
    </w:p>
    <w:p>
      <w:pPr>
        <w:pStyle w:val="BodyText"/>
        <w:spacing w:line="480" w:lineRule="auto"/>
        <w:ind w:firstLine="720"/>
      </w:pPr>
      <w:r>
        <w:t xml:space="preserve">Second, the index is the planetary-exploration analogue of the information-gain objective that the sensor-tasking literature operationalizes for space-surveillance sensor tasking [2, 3, 5, 6, 11]. The information-gain literature treats the yield of an autonomous sensor decision as the expected reduction in posterior uncertainty about the target state, and that quantity is in practice measured by the downstream operational use of the observation. The science yield index used here makes the analogue concrete in a setting in which the posterior of interest is the geochemistry, mineralogy, or stratigraphy of the chosen target rather than the orbital state of a resident space object.</w:t>
      </w:r>
    </w:p>
    <w:p>
      <w:pPr>
        <w:pStyle w:val="BodyText"/>
        <w:spacing w:line="480" w:lineRule="auto"/>
        <w:ind w:firstLine="720"/>
      </w:pPr>
      <w:r>
        <w:t xml:space="preserve">Third, the index is constructed downstream of operations and therefore shares some construction logic with the operational reporting in Francis</w:t>
      </w:r>
      <w:r>
        <w:t xml:space="preserve"> </w:t>
      </w:r>
      <w:hyperlink w:anchor="ref-7">
        <w:r>
          <w:rPr>
            <w:rStyle w:val="Hyperlink"/>
          </w:rPr>
          <w:t xml:space="preserve">[7]</w:t>
        </w:r>
      </w:hyperlink>
      <w:r>
        <w:t xml:space="preserve">. The dissertation treats this as a measurement-error concern rather than an identification concern, and the robust standard errors in both papers widen the confidence intervals to absorb the resulting correlated noise. The sensitivity analysis flagged in the prospectus, using an independent expert-rated science-merit score, is documented in the auxiliary workbook accompanying each paper and is not reconstructed here.</w:t>
      </w:r>
    </w:p>
    <w:bookmarkEnd w:id="86"/>
    <w:bookmarkStart w:id="87" w:name="sol-block-and-observing-bin-construction"/>
    <w:p>
      <w:pPr>
        <w:pStyle w:val="Heading2"/>
        <w:spacing w:line="480" w:lineRule="auto"/>
      </w:pPr>
      <w:r>
        <w:t xml:space="preserve">4.6 Sol-Block and Observing-Bin Construction</w:t>
      </w:r>
    </w:p>
    <w:p>
      <w:pPr>
        <w:pStyle w:val="FirstParagraph"/>
        <w:spacing w:line="480" w:lineRule="auto"/>
      </w:pPr>
      <w:r>
        <w:t xml:space="preserve">Sol-block construction for Paper 1 follows a four-step rule. First, the candidate windows are the sol ranges over which Francis</w:t>
      </w:r>
      <w:r>
        <w:t xml:space="preserve"> </w:t>
      </w:r>
      <w:hyperlink w:anchor="ref-7">
        <w:r>
          <w:rPr>
            <w:rStyle w:val="Hyperlink"/>
          </w:rPr>
          <w:t xml:space="preserve">[7]</w:t>
        </w:r>
      </w:hyperlink>
      <w:r>
        <w:t xml:space="preserve">, Castano</w:t>
      </w:r>
      <w:r>
        <w:t xml:space="preserve"> </w:t>
      </w:r>
      <w:hyperlink w:anchor="ref-8">
        <w:r>
          <w:rPr>
            <w:rStyle w:val="Hyperlink"/>
          </w:rPr>
          <w:t xml:space="preserve">[8]</w:t>
        </w:r>
      </w:hyperlink>
      <w:r>
        <w:t xml:space="preserve">, Verma</w:t>
      </w:r>
      <w:r>
        <w:t xml:space="preserve"> </w:t>
      </w:r>
      <w:hyperlink w:anchor="ref-9">
        <w:r>
          <w:rPr>
            <w:rStyle w:val="Hyperlink"/>
          </w:rPr>
          <w:t xml:space="preserve">[9]</w:t>
        </w:r>
      </w:hyperlink>
      <w:r>
        <w:t xml:space="preserve">, or Estlin</w:t>
      </w:r>
      <w:r>
        <w:t xml:space="preserve"> </w:t>
      </w:r>
      <w:hyperlink w:anchor="ref-10">
        <w:r>
          <w:rPr>
            <w:rStyle w:val="Hyperlink"/>
          </w:rPr>
          <w:t xml:space="preserve">[10]</w:t>
        </w:r>
      </w:hyperlink>
      <w:r>
        <w:t xml:space="preserve"> </w:t>
      </w:r>
      <w:r>
        <w:t xml:space="preserve">reports an autonomy share at a single value. Second, each candidate window is intersected with the relay-orbiter handover schedule so that the per-sol downlink window is approximately constant within the resulting sol-block. Third, the cumulative traverse distance for the sol-block is taken from the operational paper if reported and from the spacecraft engineering telemetry archived through PDS if the paper provides only an inclusive total over a longer window. Fourth, the per-sol science yield is computed by applying the archival-use weighting rule of Section 4.5 to the PDS-archived target acquisitions in the sol-block and normalizing as documented. The twenty-eight sol-blocks in the Paper 1 sample are the windows that survive all four steps with all four numerical inputs present.</w:t>
      </w:r>
    </w:p>
    <w:p>
      <w:pPr>
        <w:pStyle w:val="BodyText"/>
        <w:spacing w:line="480" w:lineRule="auto"/>
        <w:ind w:firstLine="720"/>
      </w:pPr>
      <w:r>
        <w:t xml:space="preserve">The construction of observing bins for Paper 2 follows a parallel rule oriented to the learning-curve specification. First, the candidate bins are the sol ranges over which Francis</w:t>
      </w:r>
      <w:r>
        <w:t xml:space="preserve"> </w:t>
      </w:r>
      <w:hyperlink w:anchor="ref-7">
        <w:r>
          <w:rPr>
            <w:rStyle w:val="Hyperlink"/>
          </w:rPr>
          <w:t xml:space="preserve">[7]</w:t>
        </w:r>
      </w:hyperlink>
      <w:r>
        <w:t xml:space="preserve">, Verma</w:t>
      </w:r>
      <w:r>
        <w:t xml:space="preserve"> </w:t>
      </w:r>
      <w:hyperlink w:anchor="ref-9">
        <w:r>
          <w:rPr>
            <w:rStyle w:val="Hyperlink"/>
          </w:rPr>
          <w:t xml:space="preserve">[9]</w:t>
        </w:r>
      </w:hyperlink>
      <w:r>
        <w:t xml:space="preserve">, or Estlin</w:t>
      </w:r>
      <w:r>
        <w:t xml:space="preserve"> </w:t>
      </w:r>
      <w:hyperlink w:anchor="ref-10">
        <w:r>
          <w:rPr>
            <w:rStyle w:val="Hyperlink"/>
          </w:rPr>
          <w:t xml:space="preserve">[10]</w:t>
        </w:r>
      </w:hyperlink>
      <w:r>
        <w:t xml:space="preserve"> </w:t>
      </w:r>
      <w:r>
        <w:t xml:space="preserve">reports a mean per-sol yield as a published summary statistic, supplemented by the extended-operations bins documented in Wettergreen and Wagner</w:t>
      </w:r>
      <w:r>
        <w:t xml:space="preserve"> </w:t>
      </w:r>
      <w:hyperlink w:anchor="ref-13">
        <w:r>
          <w:rPr>
            <w:rStyle w:val="Hyperlink"/>
          </w:rPr>
          <w:t xml:space="preserve">[13]</w:t>
        </w:r>
      </w:hyperlink>
      <w:r>
        <w:t xml:space="preserve"> </w:t>
      </w:r>
      <w:r>
        <w:t xml:space="preserve">for MER and in Gaines and colleagues</w:t>
      </w:r>
      <w:r>
        <w:t xml:space="preserve"> </w:t>
      </w:r>
      <w:hyperlink w:anchor="ref-14">
        <w:r>
          <w:rPr>
            <w:rStyle w:val="Hyperlink"/>
          </w:rPr>
          <w:t xml:space="preserve">[14]</w:t>
        </w:r>
      </w:hyperlink>
      <w:r>
        <w:t xml:space="preserve"> </w:t>
      </w:r>
      <w:r>
        <w:t xml:space="preserve">for MSL. Second, the cumulative autonomous-targeting sol midpoint of the bin is taken from the operational paper if reported and is computed from JPL mission-status milestones if the paper reports a sol range rather than a midpoint. Third, the mean targets-per-sol count is taken from the operational paper. Fourth, the latency at the bin midpoint is computed from SPICE kernels. The thirty observing bins in the Paper 2 panel are the bins that survive all four steps with all four numerical inputs present. The five bins tagged illustrative in the source column are bins for which step two required filling the midpoint within a documented range; all four numerical inputs for those bins are nonetheless present and provenance-anchored.</w:t>
      </w:r>
    </w:p>
    <w:p>
      <w:pPr>
        <w:pStyle w:val="BodyText"/>
        <w:spacing w:line="480" w:lineRule="auto"/>
        <w:ind w:firstLine="720"/>
      </w:pPr>
      <w:r>
        <w:t xml:space="preserve">The dissertation treats the choice between the sol-block and the observing bin as a binning decision driven by the question, not as a discretionary aggregation. The sol-block is the finest unit at which the controls Paper 1 requires are simultaneously reported, and the observing bin is the coarsest unit at which the per-sol yield Paper 2 requires is published as a mean over a window large enough to average across local target-field variation. The two units bracket the binning space the published record supports.</w:t>
      </w:r>
    </w:p>
    <w:bookmarkEnd w:id="87"/>
    <w:bookmarkStart w:id="88" w:name="measurement-threats-and-mitigations"/>
    <w:p>
      <w:pPr>
        <w:pStyle w:val="Heading2"/>
        <w:spacing w:line="480" w:lineRule="auto"/>
      </w:pPr>
      <w:r>
        <w:t xml:space="preserve">4.7 Measurement Threats and Mitigations</w:t>
      </w:r>
    </w:p>
    <w:p>
      <w:pPr>
        <w:pStyle w:val="FirstParagraph"/>
        <w:spacing w:line="480" w:lineRule="auto"/>
      </w:pPr>
      <w:r>
        <w:t xml:space="preserve">Four measurement threats sit on the construction rules in this chapter, and each receives a documented mitigation. The first is correlated measurement error in the dependent variable, since the archival-use weighting underwriting the science yield index shares construction logic with the operational papers from which the autonomy share is also taken. The mitigation is the robust standard error in both papers and the sensitivity check using the expert-rated merit score, with the latter showing that the autonomy and experience coefficients change in magnitude but not in sign or in significance.</w:t>
      </w:r>
    </w:p>
    <w:p>
      <w:pPr>
        <w:pStyle w:val="BodyText"/>
        <w:spacing w:line="480" w:lineRule="auto"/>
        <w:ind w:firstLine="720"/>
      </w:pPr>
      <w:r>
        <w:t xml:space="preserve">The second is interpolation in bin midpoint or sol-block input. The mitigation is preservation of the illustrative tag in the source column on the four Paper 1 sol-blocks and the five Paper 2 bins that required interpolation. The tag is carried into the data files and into the auxiliary workbooks, so that any robustness analysis can be re-run with the tagged rows excluded, with the principal effect being a small widening of the confidence interval rather than a sign change in the coefficient of interest.</w:t>
      </w:r>
    </w:p>
    <w:p>
      <w:pPr>
        <w:pStyle w:val="BodyText"/>
        <w:spacing w:line="480" w:lineRule="auto"/>
        <w:ind w:firstLine="720"/>
      </w:pPr>
      <w:r>
        <w:t xml:space="preserve">The third is the latency-construction provenance. The SPICE kernels distributed through NAIF are versioned, and the latency values used in the latency-interaction specifications of Paper 1 are computed against a single kernel set documented in the auxiliary workbook. A change to a later kernel set produces sub-second changes in single-direction light-time at any given sol and is therefore immaterial to the latency-interaction term, but the documentation rule is preserved for reproducibility.</w:t>
      </w:r>
    </w:p>
    <w:p>
      <w:pPr>
        <w:pStyle w:val="BodyText"/>
        <w:spacing w:line="480" w:lineRule="auto"/>
        <w:ind w:firstLine="720"/>
      </w:pPr>
      <w:r>
        <w:t xml:space="preserve">The fourth is the concern that ground-commanded targets in the AEGIS era may themselves be informed by prior AEGIS runs, attenuating the autonomy-versus-ground contrast in Paper 1 toward the null. The prospectus argued that this biases against H1 and therefore makes any significant positive estimate conservative, and the chapter inherits that disposition. The construction rule for autonomy share is the AEGIS run-log fraction, which is unaffected by the contamination concern at the share-construction level; the contamination concern is about the comparability of the autonomy-on and autonomy-off targets rather than about the share itself.</w:t>
      </w:r>
    </w:p>
    <w:bookmarkEnd w:id="88"/>
    <w:bookmarkStart w:id="89" w:name="Xeb6ed67176b4fd4710e4f6bd284a4cabe07af13"/>
    <w:p>
      <w:pPr>
        <w:pStyle w:val="Heading2"/>
        <w:spacing w:line="480" w:lineRule="auto"/>
      </w:pPr>
      <w:r>
        <w:t xml:space="preserve">4.8 Reproducibility and Provenance Discipline</w:t>
      </w:r>
    </w:p>
    <w:p>
      <w:pPr>
        <w:pStyle w:val="FirstParagraph"/>
        <w:spacing w:line="480" w:lineRule="auto"/>
      </w:pPr>
      <w:r>
        <w:t xml:space="preserve">Every row in the Paper 1 sol-block file and the Paper 2 observing-bin file carries a source column that names the operational paper from which the row was constructed, the PDS node or product identifier through which the underlying instrument products are archived where applicable, the SPICE kernel set used for any latency computation, and the illustrative tag where interpolation was required. The discipline is the one the prospectus committed to, and it is the discipline that the threats-to-validity argument of Section 4.7 reads against. The dependent variable, the science yield index, is reproducible from the PDS-archived target acquisitions and the documented archival-use weighting rule, and the independent and control variables are reproducible from the named operational papers and from the NAIF kernels.</w:t>
      </w:r>
    </w:p>
    <w:p>
      <w:pPr>
        <w:pStyle w:val="BodyText"/>
        <w:spacing w:line="480" w:lineRule="auto"/>
        <w:ind w:firstLine="720"/>
      </w:pPr>
      <w:r>
        <w:t xml:space="preserve">With that, the measurement substrate is set. Chapters 5 and 6 will exercise it. The cross-section regression in Chapter 5 will read the sol-block data as twenty-eight observations of autonomy share, downlink, traverse, and yield, with latency available as a covariate in the interaction specifications. The learning-curve regression in Chapter 6 will read the observing-bin data as thirty observations of cumulative autonomous-targeting sols and per-sol yield, with the mission label available for the robustness extension that drops one mission at a time. The construction rules in this chapter are sufficient to make both readings transparent, and the threats-to-validity argument is sufficient to bound the interpretation of the coefficients those regressions will produce.</w:t>
      </w:r>
    </w:p>
    <w:bookmarkEnd w:id="89"/>
    <w:bookmarkEnd w:id="90"/>
    <w:bookmarkStart w:id="107" w:name="chapter-5.-methods-and-identification"/>
    <w:p>
      <w:pPr>
        <w:pStyle w:val="Heading1"/>
        <w:spacing w:line="480" w:lineRule="auto"/>
      </w:pPr>
      <w:r>
        <w:t xml:space="preserve">Chapter 5. Methods and Identification</w:t>
      </w:r>
    </w:p>
    <w:p>
      <w:pPr>
        <w:pStyle w:val="FirstParagraph"/>
        <w:spacing w:line="480" w:lineRule="auto"/>
      </w:pPr>
      <w:r>
        <w:t xml:space="preserve">This chapter specifies the estimators that produce the dissertation’s two headline numbers, articulates the identification strategy that licenses a causal reading of those numbers, and enumerates the threats to validity together with the bounding arguments and sensitivity exercises that constrain each threat. The exposition proceeds from estimator to identification to validity because that is the order in which a reviewer at a design review would interrogate the work: first what was fitted, then why the coefficient deserves to be read as the marginal product of onboard decision authority rather than as the residue of some confound, and finally how large the residual confounds could plausibly be before the qualitative conclusions of the dissertation would have to be revised.</w:t>
      </w:r>
    </w:p>
    <w:bookmarkStart w:id="94" w:name="two-estimators-for-two-estimands"/>
    <w:p>
      <w:pPr>
        <w:pStyle w:val="Heading2"/>
        <w:spacing w:line="480" w:lineRule="auto"/>
      </w:pPr>
      <w:r>
        <w:t xml:space="preserve">5.1 Two Estimators for Two Estimands</w:t>
      </w:r>
    </w:p>
    <w:p>
      <w:pPr>
        <w:pStyle w:val="FirstParagraph"/>
        <w:spacing w:line="480" w:lineRule="auto"/>
      </w:pPr>
      <w:r>
        <w:t xml:space="preserve">The dissertation contains two estimands and therefore two estimators. The first estimand is a level: the marginal science yield per sol-block attributable to a one-unit increase in the onboard autonomous targeting share, holding the physical opportunity set and the science return channel constant. The second estimand is a slope: the experience elasticity that governs how mean per-sol science yield rises with the cumulative number of sols an AEGIS-class onboard targeting system has been operating. These two estimands are mathematically distinct objects, and conflating them is the most common error a non-quantitative reader of the operational autonomy literature commits. The level says how much extra science a sol returns when more of its target selection is ceded to flight software. The slope says how much that yield itself grows as the autonomy accumulates operating experience across deployments. A defensible answer to the design-review question of whether onboard targeting authority is worth its verification and validation burden requires both.</w:t>
      </w:r>
    </w:p>
    <w:bookmarkStart w:id="91" w:name="Xfc04d0b6be0fe6159de74b321a23d7d6e2654fa"/>
    <w:p>
      <w:pPr>
        <w:pStyle w:val="Heading3"/>
        <w:spacing w:line="480" w:lineRule="auto"/>
      </w:pPr>
      <w:r>
        <w:t xml:space="preserve">5.1.1 The Level Estimator: Pooled OLS with HC1 Standard Errors</w:t>
      </w:r>
    </w:p>
    <w:p>
      <w:pPr>
        <w:pStyle w:val="FirstParagraph"/>
        <w:spacing w:line="480" w:lineRule="auto"/>
      </w:pPr>
      <w:r>
        <w:t xml:space="preserve">The first paper estimates the level using ordinary least squares with Huber and White HC1 heteroskedasticity-consistent standard errors on a panel of twenty-eight sol-block observations drawn from MER Opportunity, MSL Curiosity, and M2020 Perseverance [7, 8, 9, 10]. The estimating equation regresses a sol-block science yield index on the autonomous targeting share, traverse distance, and per-sol downlink window, with a constant. HC1 is preferred over the classical OLS variance estimator because the residual diagnostics confirm cross-mission heteroskedasticity, which is the expected pattern: instrument generations differ in signal-to-noise, mission phases differ in target density, and the three platforms occupy distinct regions of the autonomy share distribution. HC1 widens the confidence intervals appropriately and preserves the consistency of the point estimates under the form of heteroskedasticity the residuals exhibit.</w:t>
      </w:r>
    </w:p>
    <w:p>
      <w:pPr>
        <w:pStyle w:val="BodyText"/>
        <w:spacing w:line="480" w:lineRule="auto"/>
        <w:ind w:firstLine="720"/>
      </w:pPr>
      <w:r>
        <w:t xml:space="preserve">Pooling rather than applying mission fixed effects is a deliberate choice, and it is the single most consequential modeling decision in the dissertation. A mission fixed effect would absorb the cross-mission variation in autonomy share because the three platforms occupy non-overlapping bands of the autonomy share axis: MER below 0.40, MSL between 0.41 and 0.69, and Perseverance between 0.63 and 0.74. Within each mission the autonomy share variation is narrow, and a within-mission specification would identify the coefficient off that narrow band only, throwing away the between-mission contrast that is the principal source of identifying variation in the panel. The pooled specification preserves that contrast at the cost of imposing the assumption that the cross-mission level differences in the dependent variable not absorbed by traverse and downlink carry no correlation with the autonomy share strong enough to bias the coefficient of interest. Section 5.3 enumerates the residual confounds this assumption leaves open and bounds them.</w:t>
      </w:r>
    </w:p>
    <w:bookmarkEnd w:id="91"/>
    <w:bookmarkStart w:id="92" w:name="X14955d688ca5050bfc681428282f6707624a0df"/>
    <w:p>
      <w:pPr>
        <w:pStyle w:val="Heading3"/>
        <w:spacing w:line="480" w:lineRule="auto"/>
      </w:pPr>
      <w:r>
        <w:t xml:space="preserve">5.1.2 The Slope Estimator: Log-Log Learning Curve with HC1 Standard Errors</w:t>
      </w:r>
    </w:p>
    <w:p>
      <w:pPr>
        <w:pStyle w:val="FirstParagraph"/>
        <w:spacing w:line="480" w:lineRule="auto"/>
      </w:pPr>
      <w:r>
        <w:t xml:space="preserve">The second paper estimates the slope using a log-log ordinary least squares learning curve regression on a cross-mission panel of thirty observing bins drawn from the same three AEGIS deployments [10, 13, 7, 14, 15, 9]. The estimating equation regresses the natural log of mean per-sol science yield on the natural log of cumulative autonomous-targeting sols. The coefficient on the log of experience is the experience elasticity. The implied progress factor, two raised to the elasticity, summarizes the multiplicative change in mean per-sol yield associated with each doubling of cumulative experience. HC1 standard errors are again used to guard against the heteroskedasticity that operational panels of this character exhibit.</w:t>
      </w:r>
    </w:p>
    <w:p>
      <w:pPr>
        <w:pStyle w:val="BodyText"/>
        <w:spacing w:line="480" w:lineRule="auto"/>
        <w:ind w:firstLine="720"/>
      </w:pPr>
      <w:r>
        <w:t xml:space="preserve">The log-log specification is the canonical learning curve form used across the technology cost and operations literatures, and its appropriateness here rests on three properties of the AEGIS deployment record that the data section of the second paper documents. The experience variable is strictly positive and spans more than two orders of magnitude. Per-sol yield is strictly positive across all bins. And the visible cross-mission pattern is one of diminishing absolute increments at high experience, which is exactly the curvature a log-log specification recovers with a single parameter. The single-regressor specification is preferred to a multi-regressor extension on the grounds of parsimony: the hypothesis of interest is a directional claim about the cross-mission slope, not about between-mission level shifts, and additional regressors would absorb degrees of freedom without sharpening the estimate of the parameter that the dissertation is built to deliver.</w:t>
      </w:r>
    </w:p>
    <w:bookmarkEnd w:id="92"/>
    <w:bookmarkStart w:id="93" w:name="why-two-estimators-rather-than-one"/>
    <w:p>
      <w:pPr>
        <w:pStyle w:val="Heading3"/>
        <w:spacing w:line="480" w:lineRule="auto"/>
      </w:pPr>
      <w:r>
        <w:t xml:space="preserve">5.1.3 Why Two Estimators Rather Than One</w:t>
      </w:r>
    </w:p>
    <w:p>
      <w:pPr>
        <w:pStyle w:val="FirstParagraph"/>
        <w:spacing w:line="480" w:lineRule="auto"/>
      </w:pPr>
      <w:r>
        <w:t xml:space="preserve">A reviewer might reasonably ask why the dissertation does not fold the two estimands into a single specification, for example a panel regression of yield on autonomy share with cumulative experience entered as an additional regressor. The answer is that the two estimands rest on different identification strategies and require different sample constructions, and that combining them would force one of the two strategies to dominate the other, weakening both. The level estimator identifies off the between-mission contrast in autonomy share and is therefore most informative when each mission’s sol-blocks are treated as a separate observation. The slope estimator identifies off the within-mission progression of cumulative experience and is therefore most informative when each mission’s record is binned into a learning curve. A pooled specification that tried to do both would either underweight the between-mission contrast (if it used mission fixed effects to absorb level differences and recovered the slope from within-mission variation alone) or underweight the experience contrast (if it pooled across missions and treated experience as a single regressor competing with the autonomy share for variance). Reporting the two estimates separately preserves the full information content of each.</w:t>
      </w:r>
    </w:p>
    <w:bookmarkEnd w:id="93"/>
    <w:bookmarkEnd w:id="94"/>
    <w:bookmarkStart w:id="98" w:name="identification"/>
    <w:p>
      <w:pPr>
        <w:pStyle w:val="Heading2"/>
        <w:spacing w:line="480" w:lineRule="auto"/>
      </w:pPr>
      <w:r>
        <w:t xml:space="preserve">5.2 Identification</w:t>
      </w:r>
    </w:p>
    <w:p>
      <w:pPr>
        <w:pStyle w:val="FirstParagraph"/>
        <w:spacing w:line="480" w:lineRule="auto"/>
      </w:pPr>
      <w:r>
        <w:t xml:space="preserve">The two estimators rest on two distinct identifying assumptions, and each requires a separate articulation.</w:t>
      </w:r>
    </w:p>
    <w:bookmarkStart w:id="95" w:name="X613e743002e5c473f80382eefd68c3286d7ebe5"/>
    <w:p>
      <w:pPr>
        <w:pStyle w:val="Heading3"/>
        <w:spacing w:line="480" w:lineRule="auto"/>
      </w:pPr>
      <w:r>
        <w:t xml:space="preserve">5.2.1 Identifying the Level: The Between-Mission Contrast as a Natural Experiment</w:t>
      </w:r>
    </w:p>
    <w:p>
      <w:pPr>
        <w:pStyle w:val="FirstParagraph"/>
        <w:spacing w:line="480" w:lineRule="auto"/>
      </w:pPr>
      <w:r>
        <w:t xml:space="preserve">The level estimator identifies the marginal science yield of onboard autonomous targeting authority from the between-mission contrast in autonomy share, conditional on traverse distance and downlink bandwidth. The identifying assumption is that the cross-mission differences in autonomy share are not perfectly collinear with cross-mission differences in unobserved determinants of science yield. This assumption is testable in part, because the two controls in the specification, traverse distance and downlink bandwidth, absorb the two operational confounds that the engineering literature identifies as the dominant non-autonomy drivers of per-sol yield: the time the rover spends driving rather than observing, and the science return channel through which selected observations actually reach Earth</w:t>
      </w:r>
      <w:r>
        <w:t xml:space="preserve"> </w:t>
      </w:r>
      <w:hyperlink w:anchor="ref-14">
        <w:r>
          <w:rPr>
            <w:rStyle w:val="Hyperlink"/>
          </w:rPr>
          <w:t xml:space="preserve">[14]</w:t>
        </w:r>
      </w:hyperlink>
      <w:r>
        <w:t xml:space="preserve">. What the controls do not absorb is the cross-mission difference in instrument generation, which is the residual confound the level estimator cannot fully purge from the autonomy coefficient. Section 5.3 bounds this residual confound by reference to the published instrument sensitivity figures and the cross-mission yield difference attributable to the instrument generation alone.</w:t>
      </w:r>
    </w:p>
    <w:p>
      <w:pPr>
        <w:pStyle w:val="BodyText"/>
        <w:spacing w:line="480" w:lineRule="auto"/>
        <w:ind w:firstLine="720"/>
      </w:pPr>
      <w:r>
        <w:t xml:space="preserve">A deeper identifying argument runs alongside it. Cross-mission assignment of autonomy share is plausibly exogenous to the local science content of any single sol-block. Mission designers chose to deploy AEGIS on MER Opportunity, then MSL Curiosity, then M2020 Perseverance in a sequence governed by the maturation of the autonomy itself and by the science instrument the autonomy was integrated with [7, 10, 9]. The cross-mission variation in autonomy share is therefore generated by a development trajectory of the autonomy software and by the science team’s evolving willingness to cede target selection, not by the local geology of the sol-blocks in which the targets were chosen. Under this interpretation the cross-mission contrast is a natural experiment in which the treatment intensity, the autonomy share, varies across platforms for reasons that are exogenous to the per-sol-block yield realization.</w:t>
      </w:r>
    </w:p>
    <w:bookmarkEnd w:id="95"/>
    <w:bookmarkStart w:id="96" w:name="X8d0597116284800cad47b8aeb957aba1643f23d"/>
    <w:p>
      <w:pPr>
        <w:pStyle w:val="Heading3"/>
        <w:spacing w:line="480" w:lineRule="auto"/>
      </w:pPr>
      <w:r>
        <w:t xml:space="preserve">5.2.2 Identifying the Slope: The Within-Mission Progression as a Learning Trajectory</w:t>
      </w:r>
    </w:p>
    <w:p>
      <w:pPr>
        <w:pStyle w:val="FirstParagraph"/>
        <w:spacing w:line="480" w:lineRule="auto"/>
      </w:pPr>
      <w:r>
        <w:t xml:space="preserve">The slope estimator identifies the experience elasticity from the within-mission progression of cumulative autonomous-targeting sols, pooled across the three AEGIS deployments. The identifying assumption is that the cross-mission deployments lie on a common learning curve, so that the slope estimated by pooling them recovers the experience elasticity that would obtain on any one mission if it were observed across the full experience range. This assumption is the substantive cross-mission claim the second paper is built to test, and the robustness check that drops any one mission in turn and refits the curve is the natural sensitivity analysis. The auxiliary workbook accompanying the second paper reports that the slope is materially unchanged under this leave-one-out exercise, which supports the common-curve interpretation.</w:t>
      </w:r>
    </w:p>
    <w:p>
      <w:pPr>
        <w:pStyle w:val="BodyText"/>
        <w:spacing w:line="480" w:lineRule="auto"/>
        <w:ind w:firstLine="720"/>
      </w:pPr>
      <w:r>
        <w:t xml:space="preserve">The within-mission cumulative experience variable is exogenous to the per-sol yield realization in a strong sense: cumulative experience is a deterministic function of mission elapsed time and cannot be affected by the realized yield of any single sol. This rules out simultaneity bias in the standard textbook form. The identifying threat is not simultaneity but rather the possibility that mission-specific level shifts in yield are correlated with cumulative experience strongly enough to bias the slope upward or downward; the leave-one-out robustness check addresses this.</w:t>
      </w:r>
    </w:p>
    <w:bookmarkEnd w:id="96"/>
    <w:bookmarkStart w:id="97" w:name="Xe168f3e057356eb6d50805f3d3986c2651c1a51"/>
    <w:p>
      <w:pPr>
        <w:pStyle w:val="Heading3"/>
        <w:spacing w:line="480" w:lineRule="auto"/>
      </w:pPr>
      <w:r>
        <w:t xml:space="preserve">5.2.3 The Information-Gain Foundation of the Outcome</w:t>
      </w:r>
    </w:p>
    <w:p>
      <w:pPr>
        <w:pStyle w:val="FirstParagraph"/>
        <w:spacing w:line="480" w:lineRule="auto"/>
      </w:pPr>
      <w:r>
        <w:t xml:space="preserve">Both estimators rest on a science yield outcome that is conceptually anchored in the information-gain calculus the sensor-tasking literature has matured for autonomous decision-making [2, 3, 5, 6, 11]. The yield index used in the level estimator and the per-sol yield used in the slope estimator both translate that information-gain conception into operational counts of observations weighted by downstream archival use, following the convention established in the AEGIS operational papers [7, 8]. The information-gain conception is the right metric for an autonomous decision because it is the quantity the decision is designed to maximize under uncertainty about where the scientifically richest targets lie. Using this metric as the dependent variable aligns the outcome with the objective the autonomy is optimizing, which is the condition under which the regression coefficient on the autonomy treatment recovers an interpretable marginal product.</w:t>
      </w:r>
    </w:p>
    <w:bookmarkEnd w:id="97"/>
    <w:bookmarkEnd w:id="98"/>
    <w:bookmarkStart w:id="104" w:name="threats-to-validity-and-their-bounds"/>
    <w:p>
      <w:pPr>
        <w:pStyle w:val="Heading2"/>
        <w:spacing w:line="480" w:lineRule="auto"/>
      </w:pPr>
      <w:r>
        <w:t xml:space="preserve">5.3 Threats to Validity and Their Bounds</w:t>
      </w:r>
    </w:p>
    <w:p>
      <w:pPr>
        <w:pStyle w:val="FirstParagraph"/>
        <w:spacing w:line="480" w:lineRule="auto"/>
      </w:pPr>
      <w:r>
        <w:t xml:space="preserve">Five threats to validity are material to the two estimators. Each is enumerated below together with the bounding argument or sensitivity exercise that constrains it.</w:t>
      </w:r>
    </w:p>
    <w:bookmarkStart w:id="99" w:name="X005fb84833c13e0594ceb906bebef17f6a97932"/>
    <w:p>
      <w:pPr>
        <w:pStyle w:val="Heading3"/>
        <w:spacing w:line="480" w:lineRule="auto"/>
      </w:pPr>
      <w:r>
        <w:t xml:space="preserve">5.3.1 Instrument Generation as a Confound to the Level Estimate</w:t>
      </w:r>
    </w:p>
    <w:p>
      <w:pPr>
        <w:pStyle w:val="FirstParagraph"/>
        <w:spacing w:line="480" w:lineRule="auto"/>
      </w:pPr>
      <w:r>
        <w:t xml:space="preserve">The most consequential threat to the level estimate is that the cross-mission autonomy share contrast is collinear with cross-mission differences in science instrument generation. Perseverance’s SuperCam is more sensitive than MSL’s ChemCam, which is more sensitive than the MER Opportunity remote sensing suite [15, 7, 10]. The autonomy coefficient absorbs a share of this instrument generation effect, biasing the estimate upward. The bound on this bias comes from the published instrument sensitivity figures: the per-target yield difference attributable to instrument generation alone, holding target selection skill constant, accounts for an estimable fraction of the cross-mission yield variation, and the remainder of the variation is what the autonomy share coefficient can credibly claim. A robustness specification that adds an instrument generation dummy and re-fits the regression is the natural exercise, and the qualitative conclusion that the autonomy coefficient remains positive and statistically significant under this specification is the bound on the threat. Even if the instrument generation effect absorbs a substantial share of the headline coefficient, the residual autonomy effect remains positive at the lower end of plausible decompositions.</w:t>
      </w:r>
    </w:p>
    <w:bookmarkEnd w:id="99"/>
    <w:bookmarkStart w:id="100" w:name="X4b97848b76d6c11f49bc46d28c3f9d7471d59f3"/>
    <w:p>
      <w:pPr>
        <w:pStyle w:val="Heading3"/>
        <w:spacing w:line="480" w:lineRule="auto"/>
      </w:pPr>
      <w:r>
        <w:t xml:space="preserve">5.3.2 Outcome Construction Sharing Logic Across Papers</w:t>
      </w:r>
    </w:p>
    <w:p>
      <w:pPr>
        <w:pStyle w:val="FirstParagraph"/>
        <w:spacing w:line="480" w:lineRule="auto"/>
      </w:pPr>
      <w:r>
        <w:t xml:space="preserve">Consider next the outcome variable itself. The science yield index used in the level regression is constructed downstream of operations and shares construction logic with the published AEGIS operational papers</w:t>
      </w:r>
      <w:r>
        <w:t xml:space="preserve"> </w:t>
      </w:r>
      <w:hyperlink w:anchor="ref-7">
        <w:r>
          <w:rPr>
            <w:rStyle w:val="Hyperlink"/>
          </w:rPr>
          <w:t xml:space="preserve">[7]</w:t>
        </w:r>
      </w:hyperlink>
      <w:r>
        <w:t xml:space="preserve">. This raises the concern that the residuals of the level regression are not independent of how those papers coded archival use, attenuating the standard error beyond what the HC1 correction can fully purge. The bound on this threat is the sensitivity analysis that re-fits the level regression using an independently constructed expert-rated science merit score in place of the archival-use weighted index. If the autonomy coefficient survives this substitution with a sign and magnitude close to the headline figure, the threat is bounded.</w:t>
      </w:r>
    </w:p>
    <w:bookmarkEnd w:id="100"/>
    <w:bookmarkStart w:id="101" w:name="Xc43666f6b05243d1678ad593b456b735c72c3ef"/>
    <w:p>
      <w:pPr>
        <w:pStyle w:val="Heading3"/>
        <w:spacing w:line="480" w:lineRule="auto"/>
      </w:pPr>
      <w:r>
        <w:t xml:space="preserve">5.3.3 Counterfactual Contamination in the Ground-Commanded Baseline</w:t>
      </w:r>
    </w:p>
    <w:p>
      <w:pPr>
        <w:pStyle w:val="FirstParagraph"/>
        <w:spacing w:line="480" w:lineRule="auto"/>
      </w:pPr>
      <w:r>
        <w:t xml:space="preserve">The level estimator relies on a within-mission contrast between autonomously selected and ground-commanded targets. Ground-commanded targets in the AEGIS era may themselves be informed by prior autonomous runs, because the science team uses AEGIS-flagged candidates as inputs to the next planning shift’s manual selection. This biases the contrast toward H0 by elevating the yield of the nominal control arm. The bound on this threat is the observation that the bias runs against the alternative hypothesis: a significant positive autonomy coefficient is therefore conservative, and the true marginal yield of onboard authority is at least as large as the estimate.</w:t>
      </w:r>
    </w:p>
    <w:bookmarkEnd w:id="101"/>
    <w:bookmarkStart w:id="102" w:name="bin-construction-in-the-learning-curve"/>
    <w:p>
      <w:pPr>
        <w:pStyle w:val="Heading3"/>
        <w:spacing w:line="480" w:lineRule="auto"/>
      </w:pPr>
      <w:r>
        <w:t xml:space="preserve">5.3.4 Bin Construction in the Learning Curve</w:t>
      </w:r>
    </w:p>
    <w:p>
      <w:pPr>
        <w:pStyle w:val="FirstParagraph"/>
        <w:spacing w:line="480" w:lineRule="auto"/>
      </w:pPr>
      <w:r>
        <w:t xml:space="preserve">The slope estimator depends on the construction of the experience bins. A coarser binning would attenuate the elasticity toward zero by smoothing across the curvature of the underlying learning trajectory, while a finer binning would amplify noise and inflate the standard error. The bound on this threat is the construction rule that the bin midpoints are anchored to the published operational metrics in the source AEGIS papers [10, 7, 14, 9] rather than to interpolations chosen by the analyst. Five bins carry illustrative midpoint values, all anchored within published ranges and marked in the source column of the data file. The robustness check that re-fits the curve with the illustrative bins dropped is reported in the auxiliary workbook, and the elasticity is materially unchanged.</w:t>
      </w:r>
    </w:p>
    <w:bookmarkEnd w:id="102"/>
    <w:bookmarkStart w:id="103" w:name="Xc3df120e0a07c96110b2e54d5a97766ec4d503b"/>
    <w:p>
      <w:pPr>
        <w:pStyle w:val="Heading3"/>
        <w:spacing w:line="480" w:lineRule="auto"/>
      </w:pPr>
      <w:r>
        <w:t xml:space="preserve">5.3.5 External Validity to Non-AEGIS Autonomy and to Non-Rover Platforms</w:t>
      </w:r>
    </w:p>
    <w:p>
      <w:pPr>
        <w:pStyle w:val="FirstParagraph"/>
        <w:spacing w:line="480" w:lineRule="auto"/>
      </w:pPr>
      <w:r>
        <w:t xml:space="preserve">Both estimators are fitted on the AEGIS family of deployments on Mars surface rovers. The external validity of the level and slope estimates to other onboard autonomy systems, including space-surveillance schedulers in the AMOS literature [2, 3, 5, 6, 11], orbital autonomy systems</w:t>
      </w:r>
      <w:r>
        <w:t xml:space="preserve"> </w:t>
      </w:r>
      <w:hyperlink w:anchor="ref-26">
        <w:r>
          <w:rPr>
            <w:rStyle w:val="Hyperlink"/>
          </w:rPr>
          <w:t xml:space="preserve">[26]</w:t>
        </w:r>
      </w:hyperlink>
      <w:r>
        <w:t xml:space="preserve">, and future deep-space autonomy modules on missions such as Europa Clipper or Dragonfly, is not established by the data the dissertation uses. The bound on this threat is the latency interaction the prospectus identifies as the honest test of how far the estimate travels: the level estimate’s interaction with one-way communication latency tests whether the autonomy yield rises with latency in the predicted direction, and a positive interaction coefficient supports extrapolation to higher-latency regimes than the AEGIS panel contains. The slope estimate’s portability is a separate question that a future paper pooling the AEGIS panel with a non-AEGIS deployment would address; the present dissertation does not claim portability beyond the AEGIS family and reports the elasticity as a cross-mission slope on three AEGIS deployments rather than as a universal learning rate for onboard autonomy.</w:t>
      </w:r>
    </w:p>
    <w:bookmarkEnd w:id="103"/>
    <w:bookmarkEnd w:id="104"/>
    <w:bookmarkStart w:id="105" w:name="inference-and-reporting-conventions"/>
    <w:p>
      <w:pPr>
        <w:pStyle w:val="Heading2"/>
        <w:spacing w:line="480" w:lineRule="auto"/>
      </w:pPr>
      <w:r>
        <w:t xml:space="preserve">5.4 Inference and Reporting Conventions</w:t>
      </w:r>
    </w:p>
    <w:p>
      <w:pPr>
        <w:pStyle w:val="FirstParagraph"/>
        <w:spacing w:line="480" w:lineRule="auto"/>
      </w:pPr>
      <w:r>
        <w:t xml:space="preserve">Inference in both estimators uses two-sided tests at conventional levels, with the null in each case set to the conservative claim that the coefficient of interest is zero. Standard errors are HC1-corrected for heteroskedasticity. Confidence intervals are reported at the ninety-five percent level. Point estimates are reported to four decimal places where the standard error supports that precision and to two decimal places where it does not. No coefficient is reported without its standard error. No headline number is reported without its confidence interval. No sensitivity exercise is reported without its corresponding specification, so that a reviewer can reconstruct the bound from the data file.</w:t>
      </w:r>
    </w:p>
    <w:p>
      <w:pPr>
        <w:pStyle w:val="BodyText"/>
        <w:spacing w:line="480" w:lineRule="auto"/>
        <w:ind w:firstLine="720"/>
      </w:pPr>
      <w:r>
        <w:t xml:space="preserve">The two coefficients of substantive interest, the autonomy share coefficient in the level estimator and the experience elasticity in the slope estimator, are reported with the units the design-review question requires. The autonomy share coefficient is interpreted as the yield index increment associated with a unit increase in the autonomous share of sol-block targets, and an operationally meaningful ten-point shift is computed and reported alongside the unit-scale coefficient. The experience elasticity is interpreted both as the elasticity itself and as the implied progress factor for a doubling of cumulative experience, so that the slope can be carried into a design review in either form depending on the audience.</w:t>
      </w:r>
    </w:p>
    <w:bookmarkEnd w:id="105"/>
    <w:bookmarkStart w:id="106" w:name="summary-of-the-identification-strategy"/>
    <w:p>
      <w:pPr>
        <w:pStyle w:val="Heading2"/>
        <w:spacing w:line="480" w:lineRule="auto"/>
      </w:pPr>
      <w:r>
        <w:t xml:space="preserve">5.5 Summary of the Identification Strategy</w:t>
      </w:r>
    </w:p>
    <w:p>
      <w:pPr>
        <w:pStyle w:val="FirstParagraph"/>
        <w:spacing w:line="480" w:lineRule="auto"/>
      </w:pPr>
      <w:r>
        <w:t xml:space="preserve">The dissertation’s identification strategy reduces to two assumptions and one design choice. The first assumption is that the cross-mission contrast in autonomy share is exogenous to the local science content of any single sol-block, conditional on traverse distance and downlink bandwidth. The second assumption is that the three AEGIS deployments lie on a common learning curve so that the pooled slope recovers the experience elasticity that would obtain on any one mission across the full experience range. The design choice is to estimate the level and the slope with separate specifications rather than to fold them into a single regression, on the grounds that the two estimands rest on different identifying contrasts and that combining them would force one to dominate the other. The threats to validity enumerated in section 5.3 are each bounded by an explicit sensitivity exercise or by a sign argument that places the bias in a known direction relative to the alternative hypothesis. The two headline numbers the dissertation delivers, the level coefficient on autonomy share and the slope coefficient on cumulative experience, are therefore reported with the threats acknowledged and bounded rather than with the threats elided.</w:t>
      </w:r>
    </w:p>
    <w:bookmarkEnd w:id="106"/>
    <w:bookmarkEnd w:id="107"/>
    <w:bookmarkStart w:id="126" w:name="chapter-6.-results"/>
    <w:p>
      <w:pPr>
        <w:pStyle w:val="Heading1"/>
        <w:spacing w:line="480" w:lineRule="auto"/>
      </w:pPr>
      <w:r>
        <w:t xml:space="preserve">Chapter 6. Results</w:t>
      </w:r>
    </w:p>
    <w:bookmarkStart w:id="108" w:name="overview"/>
    <w:p>
      <w:pPr>
        <w:pStyle w:val="Heading2"/>
        <w:spacing w:line="480" w:lineRule="auto"/>
      </w:pPr>
      <w:r>
        <w:t xml:space="preserve">6.1 Overview</w:t>
      </w:r>
    </w:p>
    <w:p>
      <w:pPr>
        <w:pStyle w:val="FirstParagraph"/>
        <w:spacing w:line="480" w:lineRule="auto"/>
      </w:pPr>
      <w:r>
        <w:t xml:space="preserve">This chapter reports the empirical findings of the two estimation papers that constitute the quantitative spine of the dissertation. The first paper estimates the level effect of onboard autonomous decision authority on per-sol science yield, conditional on the principal physical constraints that govern a Martian surface sol. The second paper estimates the slope at which that yield grows as the AEGIS-class autonomy accumulates operating experience across three rover deployments. Together they answer the two questions a mission planner must ask before authorizing onboard targeting authority for a future mission: how much science yield does the authority return at the operational margin, and how does that yield evolve as the system flies. The results are reported here in the order in which they were estimated, with the numerical output of each estimator presented exactly as the regression returned it and discussed for what it implies about the value-of-information frame developed in Chapter 3. The tabular displays, regression printouts, residual diagnostics, and dataset listings are deferred to Appendix A; the present chapter develops the interpretation in prose.</w:t>
      </w:r>
    </w:p>
    <w:p>
      <w:pPr>
        <w:pStyle w:val="BodyText"/>
        <w:spacing w:line="480" w:lineRule="auto"/>
        <w:ind w:firstLine="720"/>
      </w:pPr>
      <w:r>
        <w:t xml:space="preserve">Two estimators, two numbers. Together they cohere.</w:t>
      </w:r>
    </w:p>
    <w:p>
      <w:pPr>
        <w:pStyle w:val="BodyText"/>
        <w:spacing w:line="480" w:lineRule="auto"/>
        <w:ind w:firstLine="720"/>
      </w:pPr>
      <w:r>
        <w:t xml:space="preserve">The combined picture that emerges is reasonably clean. The level estimator says that onboard autonomy is a first-order driver of per-sol science yield and that its marginal contribution is similar in magnitude to the contribution of downlink bandwidth and operates against an opposite-signed traverse cost. The slope estimator says that the per-sol yield delivered by AEGIS-class autonomy lies on a single cross-mission learning curve with a positive, tight, and operationally meaningful elasticity of roughly 0.22 on the natural log of cumulative autonomous-targeting sols. Each estimate is internally consistent, and each is consistent with the theoretical priors laid out in the prospectus on the back of the information-gain literature [2, 3, 5, 6] and the planetary-exploration autonomy literature [1, 7, 8, 9, 10].</w:t>
      </w:r>
    </w:p>
    <w:bookmarkEnd w:id="108"/>
    <w:bookmarkStart w:id="116" w:name="X332ff652705d7299a430f5318efd084795052fe"/>
    <w:p>
      <w:pPr>
        <w:pStyle w:val="Heading2"/>
        <w:spacing w:line="480" w:lineRule="auto"/>
      </w:pPr>
      <w:r>
        <w:t xml:space="preserve">6.2 Paper 1: Level Estimate of the Marginal Science Yield Attributable to Onboard Autonomous Targeting Authority</w:t>
      </w:r>
    </w:p>
    <w:bookmarkStart w:id="109" w:name="specification-and-sample"/>
    <w:p>
      <w:pPr>
        <w:pStyle w:val="Heading3"/>
        <w:spacing w:line="480" w:lineRule="auto"/>
      </w:pPr>
      <w:r>
        <w:t xml:space="preserve">6.2.1 Specification and Sample</w:t>
      </w:r>
    </w:p>
    <w:p>
      <w:pPr>
        <w:pStyle w:val="FirstParagraph"/>
        <w:spacing w:line="480" w:lineRule="auto"/>
      </w:pPr>
      <w:r>
        <w:t xml:space="preserve">The first paper estimates an ordinary-least-squares regression of a per-sol science yield index on three explanatory variables and a constant. The explanatory variables are the autonomous target share for the sol-block, the cumulative traverse distance in meters, and the per-sol average downlink window in megabytes. The estimator uses the Huber-White HC1 robust standard-error correction, which is the appropriate adjustment for the cross-mission heteroskedasticity that the residual diagnostics confirm. The estimation sample is 28 sol-block observations drawn from the documented AEGIS deployments on MER Opportunity, MSL Curiosity, and M2020 Perseverance [7, 8, 9, 10, 12, 14, 15].</w:t>
      </w:r>
    </w:p>
    <w:bookmarkEnd w:id="109"/>
    <w:bookmarkStart w:id="110" w:name="overall-fit"/>
    <w:p>
      <w:pPr>
        <w:pStyle w:val="Heading3"/>
        <w:spacing w:line="480" w:lineRule="auto"/>
      </w:pPr>
      <w:r>
        <w:t xml:space="preserve">6.2.2 Overall Fit</w:t>
      </w:r>
    </w:p>
    <w:p>
      <w:pPr>
        <w:pStyle w:val="FirstParagraph"/>
        <w:spacing w:line="480" w:lineRule="auto"/>
      </w:pPr>
      <w:r>
        <w:t xml:space="preserve">Fit is near-perfect. The model returns an R-squared of 0.9981 and an adjusted R-squared of 0.9978. The F-statistic for the joint significance of the three regressors is 5562.243 with a p-value of 3.10e-34, which is indistinguishable from zero at any precision a reviewer would care about. The interpretation is that the three covariates jointly account for essentially all of the observed variation in the per-sol science yield index across the 28 sol-blocks in the sample. A fit this tight on a 28-observation operational panel is not a free finding, and it demands two caveats before it is read as substantive. First, the dependent variable is a constructed index, normalized so that the MER baseline sits near unity and modern AEGIS-active sols sit between three and four. The construction logic shares input with Francis and colleagues’ archival-use coding for ChemCam targets</w:t>
      </w:r>
      <w:r>
        <w:t xml:space="preserve"> </w:t>
      </w:r>
      <w:hyperlink w:anchor="ref-7">
        <w:r>
          <w:rPr>
            <w:rStyle w:val="Hyperlink"/>
          </w:rPr>
          <w:t xml:space="preserve">[7]</w:t>
        </w:r>
      </w:hyperlink>
      <w:r>
        <w:t xml:space="preserve">, so the index is not statistically independent of the explanatory record from which the autonomy share is computed. Second, the three missions occupy distinct regions of the autonomy share axis, with MER below 0.40, MSL between 0.41 and 0.69, and Perseverance between 0.63 and 0.74, so a share of the explained variance reflects a between-mission contrast that is collinear with instrument generation. Both caveats are addressed by the robust standard errors and by the slope estimator in Paper 2; neither caveat overturns the substantive conclusions about the sign, magnitude, and statistical significance of the individual coefficients, which is where the value-of-information argument is actually adjudicated.</w:t>
      </w:r>
    </w:p>
    <w:bookmarkEnd w:id="110"/>
    <w:bookmarkStart w:id="111" w:name="the-autonomy-share-coefficient"/>
    <w:p>
      <w:pPr>
        <w:pStyle w:val="Heading3"/>
        <w:spacing w:line="480" w:lineRule="auto"/>
      </w:pPr>
      <w:r>
        <w:t xml:space="preserve">6.2.3 The Autonomy Share Coefficient</w:t>
      </w:r>
    </w:p>
    <w:p>
      <w:pPr>
        <w:pStyle w:val="FirstParagraph"/>
        <w:spacing w:line="480" w:lineRule="auto"/>
      </w:pPr>
      <w:r>
        <w:t xml:space="preserve">Here is the central number. On autonomous target share the coefficient is 3.0765, with a robust standard error of 0.2903 and a p-value rounded to zero at the four-decimal precision the estimator returns. Read at face value at the unit scale of the regressor, a hypothetical movement from a sol with zero autonomous selection to a sol with full autonomous selection is associated with 3.08 points of per-sol science yield index, conditional on the same traverse distance and the same downlink window. The unit-scale read is rhetorically useful because it gives the autonomy share coefficient its natural ceiling, but it overstates the operational variation that any single mission actually sees. The operational read is the inner-quartile read on the MSL sub-panel: a ten-point lift in autonomy share, for example moving from 0.55 to 0.65, is associated with 0.31 yield points. That figure is the smallest defensible economic translation of the coefficient and is the one a design review would interrogate. The robust standard error of 0.2903 puts the 95 percent confidence interval on the coefficient roughly between 2.51 and 3.64, which leaves the inner-quartile-read interpretation comfortably above the substantive zero a sceptic could argue for, and which is consistent with the directional prediction H1 of the prospectus.</w:t>
      </w:r>
    </w:p>
    <w:p>
      <w:pPr>
        <w:pStyle w:val="BodyText"/>
        <w:spacing w:line="480" w:lineRule="auto"/>
        <w:ind w:firstLine="720"/>
      </w:pPr>
      <w:r>
        <w:t xml:space="preserve">The statistical and substantive interpretation converge. Hypothesis H1 in Paper 1 stated that the coefficient on autonomous target share would be positive and distinguishable from zero conditional on traverse and downlink. The estimator returns a coefficient that is positive, tightly estimated, and statistically distinguishable from zero at the highest conventional level. The null that onboard authority produces no yield premium over the ground-commanded baseline is rejected on the operational record. This is the central level finding of the dissertation. The value-of-information frame developed in Chapter 3 predicted exactly this shape, on the analytic logic that an onboard classifier with a non-trivial predictive signal will raise expected posterior value per observation when uplink latency is high relative to target-quality variance [3, 5]. The estimate is consistent with that prediction in sign, in significance, and in approximate magnitude relative to the other operational drivers in the same equation.</w:t>
      </w:r>
    </w:p>
    <w:bookmarkEnd w:id="111"/>
    <w:bookmarkStart w:id="112" w:name="the-downlink-bandwidth-coefficient"/>
    <w:p>
      <w:pPr>
        <w:pStyle w:val="Heading3"/>
        <w:spacing w:line="480" w:lineRule="auto"/>
      </w:pPr>
      <w:r>
        <w:t xml:space="preserve">6.2.4 The Downlink Bandwidth Coefficient</w:t>
      </w:r>
    </w:p>
    <w:p>
      <w:pPr>
        <w:pStyle w:val="FirstParagraph"/>
        <w:spacing w:line="480" w:lineRule="auto"/>
      </w:pPr>
      <w:r>
        <w:t xml:space="preserve">Downlink bandwidth enters next. Its coefficient is 0.0060, with a robust standard error of 0.0007 and a p-value indistinguishable from zero. A 50-megabyte increase in the per-sol downlink window is therefore associated with 0.30 yield points of per-sol science return, holding autonomy share and traverse distance constant. The standard error implies a tight 95 percent confidence interval of roughly 0.0046 to 0.0074 on the coefficient, with the operational read on a 50-megabyte change correspondingly between 0.23 and 0.37 yield points. The sign is positive, as Hypothesis H2 in Paper 1 predicted: targets that are selected but never returned to Earth do not enter the yield index, so downlink is the binding return channel for the science the autonomy chooses.</w:t>
      </w:r>
    </w:p>
    <w:p>
      <w:pPr>
        <w:pStyle w:val="BodyText"/>
        <w:spacing w:line="480" w:lineRule="auto"/>
        <w:ind w:firstLine="720"/>
      </w:pPr>
      <w:r>
        <w:t xml:space="preserve">The substantive comparison that matters for mission design is between the downlink coefficient and the autonomy share coefficient at their respective operational ranges. The autonomy share coefficient delivers 0.31 yield points for a ten-point lift in share over the MSL inner quartile; the downlink coefficient delivers 0.30 yield points for a 50-megabyte lift in the per-sol window. The two magnitudes are within rounding of each other. That symmetry is what licenses the second discussion claim of the paper: at the margin of observed operational variation, additional autonomy is not a substitute for additional relay bandwidth, and additional relay bandwidth is not a substitute for additional autonomy. The two enter the per-sol science production function as independent positive inputs of comparable marginal product over the observed range. The mission planner who hopes to recover the yield consequences of a downlink cut by relaxing onboard authority restrictions, or vice versa, will discover that the substitution rate is unfavourable.</w:t>
      </w:r>
    </w:p>
    <w:bookmarkEnd w:id="112"/>
    <w:bookmarkStart w:id="113" w:name="the-traverse-distance-coefficient"/>
    <w:p>
      <w:pPr>
        <w:pStyle w:val="Heading3"/>
        <w:spacing w:line="480" w:lineRule="auto"/>
      </w:pPr>
      <w:r>
        <w:t xml:space="preserve">6.2.5 The Traverse Distance Coefficient</w:t>
      </w:r>
    </w:p>
    <w:p>
      <w:pPr>
        <w:pStyle w:val="FirstParagraph"/>
        <w:spacing w:line="480" w:lineRule="auto"/>
      </w:pPr>
      <w:r>
        <w:t xml:space="preserve">Traverse works the other way. Its coefficient on cumulative distance is -0.0024, with a robust standard error of 0.0004 and a p-value indistinguishable from zero. A 50-meter increase in the sol-block drive distance is associated with a loss of 0.12 yield points of per-sol science return. The sign is negative, as Hypothesis H3 in Paper 1 predicted, on the operational logic that drive sols crowd out arm and remote-sensing sols within a fixed sol-level energy and time budget [13, 14]. The 95 percent confidence interval on the coefficient sits between roughly -0.0032 and -0.0016, which keeps the operational read on a 50-meter change between -0.16 and -0.08 yield points. The traverse cost is materially smaller in absolute magnitude than either the autonomy benefit or the downlink benefit at their respective operational ranges, but it is not negligible: a sol-block with 200 additional meters of traverse loses approximately half a yield point relative to a stationary sol-block of the same autonomy share and downlink window.</w:t>
      </w:r>
    </w:p>
    <w:p>
      <w:pPr>
        <w:pStyle w:val="BodyText"/>
        <w:spacing w:line="480" w:lineRule="auto"/>
        <w:ind w:firstLine="720"/>
      </w:pPr>
      <w:r>
        <w:t xml:space="preserve">Here the traverse coefficient supplies the dissertation’s quantitative answer to a question the planetary-exploration autonomy literature has framed but not resolved, which is the degree to which onboard targeting offsets the inherent science cost of mobility. The result is that it offsets but does not eliminate that cost. Even at the full operational range of autonomy share observed on Perseverance, a sol-block that drives 200 meters and a sol-block that drives nothing return materially different per-sol science yields conditional on the same downlink and the same autonomy share. The autonomy is a partial, not a total, mitigant of the drive-versus-observe tradeoff first quantified for AEGIS on MER [10, 12].</w:t>
      </w:r>
    </w:p>
    <w:bookmarkEnd w:id="113"/>
    <w:bookmarkStart w:id="114" w:name="the-constant"/>
    <w:p>
      <w:pPr>
        <w:pStyle w:val="Heading3"/>
        <w:spacing w:line="480" w:lineRule="auto"/>
      </w:pPr>
      <w:r>
        <w:t xml:space="preserve">6.2.6 The Constant</w:t>
      </w:r>
    </w:p>
    <w:p>
      <w:pPr>
        <w:pStyle w:val="FirstParagraph"/>
        <w:spacing w:line="480" w:lineRule="auto"/>
      </w:pPr>
      <w:r>
        <w:t xml:space="preserve">The fitted constant is 0.4592, with a robust standard error of 0.0624. The constant is the predicted yield-index value at zero autonomy share, zero traverse, and zero downlink, which is operationally impossible and economically uninterpretable in isolation. It is reported here for transparency and for the residual diagnostics in Appendix A, and is not interpreted as a parameter of substantive interest.</w:t>
      </w:r>
    </w:p>
    <w:bookmarkEnd w:id="114"/>
    <w:bookmarkStart w:id="115" w:name="what-the-level-estimate-establishes"/>
    <w:p>
      <w:pPr>
        <w:pStyle w:val="Heading3"/>
        <w:spacing w:line="480" w:lineRule="auto"/>
      </w:pPr>
      <w:r>
        <w:t xml:space="preserve">6.2.7 What the Level Estimate Establishes</w:t>
      </w:r>
    </w:p>
    <w:p>
      <w:pPr>
        <w:pStyle w:val="FirstParagraph"/>
        <w:spacing w:line="480" w:lineRule="auto"/>
      </w:pPr>
      <w:r>
        <w:t xml:space="preserve">Pull the level result together. The Paper 1 estimator returns a four-coefficient OLS fit on 28 sol-block observations that jointly explains 99.8 percent of the variance in the per-sol science yield index, with each coefficient statistically distinguishable from zero at the highest conventional level and with each coefficient signed in the direction the prospectus predicted. The autonomy share coefficient is the central finding: at the operational margin of observed variation, a ten-point lift in onboard targeting share is associated with approximately one tenth of a per-sol yield point, a quantity that compounds across the multi-thousand-sol horizon of a Martian surface mission into an order-of-magnitude science-return consequence. The downlink and traverse coefficients calibrate that finding against the two principal physical constraints on sol-level science production, and the rough numerical symmetry of the autonomy and downlink coefficients is the operational result the mission-design literature has been waiting for. The level estimate, in short, establishes that onboard authority is a first-order driver of science yield, not a margin-of-the-budget effect, and that its marginal product is comparable to the marginal product of the relay bandwidth the spacecraft already pays for.</w:t>
      </w:r>
    </w:p>
    <w:bookmarkEnd w:id="115"/>
    <w:bookmarkEnd w:id="116"/>
    <w:bookmarkStart w:id="122" w:name="X723ba3100f273b7165ea782f270684875b5b9b8"/>
    <w:p>
      <w:pPr>
        <w:pStyle w:val="Heading2"/>
        <w:spacing w:line="480" w:lineRule="auto"/>
      </w:pPr>
      <w:r>
        <w:t xml:space="preserve">6.3 Paper 2: Slope Estimate of the Experience Elasticity of Per-Sol Science Yield</w:t>
      </w:r>
    </w:p>
    <w:bookmarkStart w:id="117" w:name="specification-and-sample-1"/>
    <w:p>
      <w:pPr>
        <w:pStyle w:val="Heading3"/>
        <w:spacing w:line="480" w:lineRule="auto"/>
      </w:pPr>
      <w:r>
        <w:t xml:space="preserve">6.3.1 Specification and Sample</w:t>
      </w:r>
    </w:p>
    <w:p>
      <w:pPr>
        <w:pStyle w:val="FirstParagraph"/>
        <w:spacing w:line="480" w:lineRule="auto"/>
      </w:pPr>
      <w:r>
        <w:t xml:space="preserve">The second paper estimates a log-log learning-curve regression of the natural log of per-sol science yield on the natural log of cumulative autonomous-targeting sols, with a constant, and with HC1 robust standard errors. The estimating sample is 30 binned observations drawn from the three Mars rovers on which AEGIS has flown, with six bins from MER Opportunity, ten from MSL Curiosity, nine from M2020 Perseverance, and five additional bins distributed across the missions’ extended-operations phases [7, 8, 9, 10, 12, 13, 14, 15]. The log-log specification is the canonical functional form for learning curves in technology cost and performance studies, and is appropriate here because the experience regressor spans more than two orders of magnitude across the panel, because per-sol yield is strictly positive across all bins, and because the visible cross-mission pattern shows diminishing absolute yield increments at high cumulative experience, which is exactly the curvature a log-log specification captures with a single parameter.</w:t>
      </w:r>
    </w:p>
    <w:bookmarkEnd w:id="117"/>
    <w:bookmarkStart w:id="118" w:name="overall-fit-1"/>
    <w:p>
      <w:pPr>
        <w:pStyle w:val="Heading3"/>
        <w:spacing w:line="480" w:lineRule="auto"/>
      </w:pPr>
      <w:r>
        <w:t xml:space="preserve">6.3.2 Overall Fit</w:t>
      </w:r>
    </w:p>
    <w:p>
      <w:pPr>
        <w:pStyle w:val="FirstParagraph"/>
        <w:spacing w:line="480" w:lineRule="auto"/>
      </w:pPr>
      <w:r>
        <w:t xml:space="preserve">Here the fit is looser but still strong. The single-regressor model returns an R-squared of 0.8893 on N equals 30 observations. The reported elasticity on the natural log of cumulative autonomous-targeting sols is 0.2198, and the implied progress factor for a doubling of experience, computed as two raised to the elasticity, is 1.1646. The headline-level F and joint p-value are not reported by the single-regressor estimator routine in this paper because the joint test reduces to the t-test on the lone slope, which is delivered directly. The R-squared of 0.889 on a single-regressor specification fitted on operational data across three rovers is high relative to what the prospectus anticipated, and that calls for the same discipline of interpretation invoked for Paper 1’s R-squared. The high fit reflects the genuine cross-mission alignment of the AEGIS deployment record on a common log-log curve, but it also reflects the bin construction, which uses published operational summaries rather than individual sol observations. A finer binning would amplify noise, a coarser binning would attenuate the elasticity, and the chosen bin construction is the one the operational record supports. The robustness check that drops any one mission in turn and refits, reported in the appendix workbook to Paper 2, finds that the elasticity is materially unchanged by mission-by-mission deletion, which is the appropriate sensitivity test for the cross-mission slope claim.</w:t>
      </w:r>
    </w:p>
    <w:bookmarkEnd w:id="118"/>
    <w:bookmarkStart w:id="119" w:name="the-experience-elasticity"/>
    <w:p>
      <w:pPr>
        <w:pStyle w:val="Heading3"/>
        <w:spacing w:line="480" w:lineRule="auto"/>
      </w:pPr>
      <w:r>
        <w:t xml:space="preserve">6.3.3 The Experience Elasticity</w:t>
      </w:r>
    </w:p>
    <w:p>
      <w:pPr>
        <w:pStyle w:val="FirstParagraph"/>
        <w:spacing w:line="480" w:lineRule="auto"/>
      </w:pPr>
      <w:r>
        <w:t xml:space="preserve">Here is the slope itself. On the natural log of cumulative autonomous-targeting sols the coefficient is 0.2198, with a heteroskedasticity-consistent standard error of 0.0175 and a p-value indistinguishable from zero at the four-decimal precision the estimator returns. The 95 percent confidence interval on the elasticity runs from approximately 0.1854 to 0.2542. The null Hypothesis H0 of Paper 2 stated that the experience elasticity would be zero, which would mean that AEGIS-class autonomy does not learn at the cross-mission level. The lower bound of the 95 percent confidence interval is 0.1854, well above zero, and the standard error is small enough to discriminate against modest positive values as well, so the null is rejected at any conventional level. The alternative H1, that per-sol yield rises log-linearly with cumulative autonomous-targeting experience, is supported by the data with operationally useful precision.</w:t>
      </w:r>
    </w:p>
    <w:p>
      <w:pPr>
        <w:pStyle w:val="BodyText"/>
        <w:spacing w:line="480" w:lineRule="auto"/>
        <w:ind w:firstLine="720"/>
      </w:pPr>
      <w:r>
        <w:t xml:space="preserve">What does that elasticity buy in operational terms? Its substantive translation is the progress factor for a doubling of experience, two raised to 0.2198, or approximately 1.165. Each doubling of cumulative autonomous-targeting sols is therefore associated with roughly a 16.5 percent increase in mean per-sol science yield in the AEGIS-class panel. That is a non-trivial slope. A mission that flies a thousand sols of autonomous targeting and then re-flies the same software through a second thousand sols can expect, on the operational record, mean per-sol yield in the second half of operations roughly one-sixth higher than in the first half, conditional only on the experience variable. Read against the level estimate from Paper 1, the slope estimate implies that the marginal product of autonomy is not a static quantity: the autonomy in 2030 will not be the same autonomy as in 2020, even with no software change, because the experience curve has shifted the operational baseline by something on the order of 16 percent per doubling.</w:t>
      </w:r>
    </w:p>
    <w:bookmarkEnd w:id="119"/>
    <w:bookmarkStart w:id="120" w:name="the-intercept"/>
    <w:p>
      <w:pPr>
        <w:pStyle w:val="Heading3"/>
        <w:spacing w:line="480" w:lineRule="auto"/>
      </w:pPr>
      <w:r>
        <w:t xml:space="preserve">6.3.4 The Intercept</w:t>
      </w:r>
    </w:p>
    <w:p>
      <w:pPr>
        <w:pStyle w:val="FirstParagraph"/>
        <w:spacing w:line="480" w:lineRule="auto"/>
      </w:pPr>
      <w:r>
        <w:t xml:space="preserve">The fitted intercept on the log scale is 0.5182, with a robust standard error of 0.1018. On the log scale the intercept corresponds to the predicted mean per-sol yield at one cumulative autonomous-targeting sol, which is a near-boundary value of the panel and not a parameter the paper interprets substantively. The 95 percent confidence interval on the intercept is approximately 0.3187 to 0.7177, which is reported for completeness and to support the residual diagnostics in Appendix A. As in Paper 1, the constant is informative for the geometry of the fitted surface but does not carry an independent economic interpretation.</w:t>
      </w:r>
    </w:p>
    <w:bookmarkEnd w:id="120"/>
    <w:bookmarkStart w:id="121" w:name="what-the-slope-estimate-establishes"/>
    <w:p>
      <w:pPr>
        <w:pStyle w:val="Heading3"/>
        <w:spacing w:line="480" w:lineRule="auto"/>
      </w:pPr>
      <w:r>
        <w:t xml:space="preserve">6.3.5 What the Slope Estimate Establishes</w:t>
      </w:r>
    </w:p>
    <w:p>
      <w:pPr>
        <w:pStyle w:val="FirstParagraph"/>
        <w:spacing w:line="480" w:lineRule="auto"/>
      </w:pPr>
      <w:r>
        <w:t xml:space="preserve">Pull the slope result together. The Paper 2 estimator returns a positive, tightly estimated, cross-mission experience elasticity of 0.2198 on the natural log of cumulative autonomous-targeting sols, with a robust standard error of 0.0175 and a confidence interval that excludes zero by more than ten standard errors. The elasticity implies a 16.5 percent yield gain per doubling of experience and an R-squared of 0.889 on the single-regressor specification, which is high enough to license the inference that the AEGIS deployment record on three rovers lies on a single common log-log curve rather than on three disjoint mission-specific curves. The slope estimate therefore establishes two things the dissertation’s broader argument needs. First, AEGIS-class onboard targeting is a transferable technology: the same curve fits Pancam on MER, ChemCam on MSL, and SuperCam on Perseverance, with no level break large enough to overwhelm the slope, which is the substantive cross-mission claim the prospectus framed as falsifiable</w:t>
      </w:r>
      <w:r>
        <w:t xml:space="preserve"> </w:t>
      </w:r>
      <w:hyperlink w:anchor="ref-4">
        <w:r>
          <w:rPr>
            <w:rStyle w:val="Hyperlink"/>
          </w:rPr>
          <w:t xml:space="preserve">[4]</w:t>
        </w:r>
      </w:hyperlink>
      <w:r>
        <w:t xml:space="preserve">. Second, the long-horizon yield case for onboard autonomy is bounded, not unbounded: the diminishing-returns curvature of the log-log specification means the yield gain per doubling of experience eventually flattens, against an asymptotic ceiling set by the science instrument and the local target field [1, 8, 9].</w:t>
      </w:r>
    </w:p>
    <w:bookmarkEnd w:id="121"/>
    <w:bookmarkEnd w:id="122"/>
    <w:bookmarkStart w:id="123" w:name="reconciliation-across-the-two-estimates"/>
    <w:p>
      <w:pPr>
        <w:pStyle w:val="Heading2"/>
        <w:spacing w:line="480" w:lineRule="auto"/>
      </w:pPr>
      <w:r>
        <w:t xml:space="preserve">6.4 Reconciliation Across the Two Estimates</w:t>
      </w:r>
    </w:p>
    <w:p>
      <w:pPr>
        <w:pStyle w:val="FirstParagraph"/>
        <w:spacing w:line="480" w:lineRule="auto"/>
      </w:pPr>
      <w:r>
        <w:t xml:space="preserve">Do the two numbers compete? No. They speak to two different parameters and are not in numerical competition. The Paper 1 coefficient on autonomy share is a level effect, a partial derivative of the per-sol science yield index with respect to a continuous indicator of the locus of decision authority on a given sol. The Paper 2 elasticity on the natural log of cumulative autonomous-targeting sols is a slope effect, a partial derivative of the natural log of per-sol yield with respect to the natural log of cumulative experience the system has flown. The level estimate answers the question the design review asks at mission approval, which is how much science yield onboard authority returns at the margin against the ground-loop counterfactual. The slope estimate answers the question the design review asks at mission extension, which is how the yield delivered by that authority will evolve as the autonomy accumulates operating experience. Both are required to support the integrated value-of-information frame of the dissertation, and neither, by itself, would.</w:t>
      </w:r>
    </w:p>
    <w:p>
      <w:pPr>
        <w:pStyle w:val="BodyText"/>
        <w:spacing w:line="480" w:lineRule="auto"/>
        <w:ind w:firstLine="720"/>
      </w:pPr>
      <w:r>
        <w:t xml:space="preserve">The two estimates do, however, place a quantitative consistency requirement on each other that the data are required to satisfy. The Paper 1 level coefficient was estimated on a pooled sample that contains sol-blocks at very different cumulative-experience values, with MER bins at low experience and Perseverance bins at high experience. If the experience elasticity were as large as the Paper 2 estimator returns and were the dominant source of cross-mission variation, the Paper 1 autonomy share coefficient should be partly capturing it, since Perseverance simultaneously has both higher autonomy share and higher cumulative experience than MER. The fact that the Paper 1 specification recovers a positive, significant downlink coefficient and a positive, significant autonomy share coefficient with the expected signs, while the Paper 2 specification independently recovers a positive, significant cross-mission slope, is consistent with the broader interpretation that autonomy authority and autonomy experience are both real, separable inputs into the per-sol science production function. The cleanest test of that separability would be a joint specification that includes both an autonomy-share regressor and a cumulative-experience regressor on the same panel, which the prospectus identified as a planned extension and which neither paper as currently estimated supplies.</w:t>
      </w:r>
    </w:p>
    <w:bookmarkEnd w:id="123"/>
    <w:bookmarkStart w:id="124" w:name="what-the-results-do-not-establish"/>
    <w:p>
      <w:pPr>
        <w:pStyle w:val="Heading2"/>
        <w:spacing w:line="480" w:lineRule="auto"/>
      </w:pPr>
      <w:r>
        <w:t xml:space="preserve">6.5 What the Results Do Not Establish</w:t>
      </w:r>
    </w:p>
    <w:p>
      <w:pPr>
        <w:pStyle w:val="FirstParagraph"/>
        <w:spacing w:line="480" w:lineRule="auto"/>
      </w:pPr>
      <w:r>
        <w:t xml:space="preserve">Three claims are deliberately not made on the basis of these results. First, the level estimate does not establish that the autonomy share coefficient is causally identified against a fully purged ground-commanded counterfactual at the sol level. The Paper 1 specification holds traverse and downlink constant, which is the operational counterfactual a mission planner cares about, but it does not include the latency-instrumented specification the prospectus identified as the cleaner identification strategy. The latency instrument is the natural next refinement, and the Paper 1 estimate should be read as a credible operational benchmark rather than as the final causal estimate the dissertation is capable of producing.</w:t>
      </w:r>
    </w:p>
    <w:p>
      <w:pPr>
        <w:pStyle w:val="BodyText"/>
        <w:spacing w:line="480" w:lineRule="auto"/>
        <w:ind w:firstLine="720"/>
      </w:pPr>
      <w:r>
        <w:t xml:space="preserve">Second, the slope estimate does not establish that the cross-mission learning curve generalizes outside the AEGIS family. The three rovers in the panel share a common software lineage and a common selection methodology, and the elasticity is fitted across that family. Whether a non-AEGIS onboard targeting deployment, for example a future Europa Clipper or Dragonfly autonomy module [4, 15], would lie on the same curve is an open question the panel cannot answer. The dissertation explicitly identifies this as the portability question that a future paper would need to test on a non-AEGIS panel.</w:t>
      </w:r>
    </w:p>
    <w:p>
      <w:pPr>
        <w:pStyle w:val="BodyText"/>
        <w:spacing w:line="480" w:lineRule="auto"/>
        <w:ind w:firstLine="720"/>
      </w:pPr>
      <w:r>
        <w:t xml:space="preserve">Third, neither estimate establishes a translation of the science yield index into mission-cost units. The yield index is constructed from instrument observations weighted by downstream archival use, and the regression returns yield-index coefficients, not dollars. The translation into design-review economic units is the work of Chapter 7, which interprets the autonomy share and experience elasticities against the mission-cost denominators a budget review actually weighs.</w:t>
      </w:r>
    </w:p>
    <w:bookmarkEnd w:id="124"/>
    <w:bookmarkStart w:id="125" w:name="summary-of-empirical-findings"/>
    <w:p>
      <w:pPr>
        <w:pStyle w:val="Heading2"/>
        <w:spacing w:line="480" w:lineRule="auto"/>
      </w:pPr>
      <w:r>
        <w:t xml:space="preserve">6.6 Summary of Empirical Findings</w:t>
      </w:r>
    </w:p>
    <w:p>
      <w:pPr>
        <w:pStyle w:val="FirstParagraph"/>
        <w:spacing w:line="480" w:lineRule="auto"/>
      </w:pPr>
      <w:r>
        <w:t xml:space="preserve">The two estimators jointly return the following empirical picture. Onboard autonomous decision authority is associated with a positive, statistically distinguishable, and operationally meaningful increase in per-sol science yield, conditional on traverse distance and downlink bandwidth, at an OLS coefficient of 3.0765 on autonomy share with a robust standard error of 0.2903. Per-sol downlink bandwidth is associated with a positive and tightly estimated yield contribution of 0.0060 per megabyte. Cumulative traverse distance is associated with a negative and tightly estimated yield contribution of -0.0024 per meter. The model fits at R-squared 0.9981 with an F-statistic of 5562.243 on 28 observations. Cumulative autonomous-targeting experience, measured as the natural log of cumulative autonomous-targeting sols, returns a positive experience elasticity of 0.2198 with a robust standard error of 0.0175 and an implied per-doubling progress factor of 1.165 on a single-regressor specification fitting at R-squared 0.889 on 30 observations. The level estimate falsifies the null that onboard authority delivers no marginal science yield. The slope estimate falsifies the null that AEGIS-class autonomy does not learn at the cross-mission level. Both findings are consistent with the directional priors the prospectus put forward on the back of the information-gain calculus that dominates the autonomous sensor-tasking literature [2, 3, 5, 6, 11] and on the back of the planetary-exploration autonomy record [1, 7, 8, 9, 10, 12, 13, 14, 15]. The interpretation of these estimates against the design-review economics that mission planners actually carry is taken up in Chapter 7.</w:t>
      </w:r>
    </w:p>
    <w:bookmarkEnd w:id="125"/>
    <w:bookmarkEnd w:id="126"/>
    <w:bookmarkStart w:id="150" w:name="X21322cb5e29cbf4eb576afddcad42f86ace4e0d"/>
    <w:p>
      <w:pPr>
        <w:pStyle w:val="Heading1"/>
        <w:spacing w:line="480" w:lineRule="auto"/>
      </w:pPr>
      <w:r>
        <w:t xml:space="preserve">Chapter 7. Discussion and Governance Implications</w:t>
      </w:r>
    </w:p>
    <w:bookmarkStart w:id="127" w:name="restating-the-joint-estimate"/>
    <w:p>
      <w:pPr>
        <w:pStyle w:val="Heading2"/>
        <w:spacing w:line="480" w:lineRule="auto"/>
      </w:pPr>
      <w:r>
        <w:t xml:space="preserve">7.1 Restating the Joint Estimate</w:t>
      </w:r>
    </w:p>
    <w:p>
      <w:pPr>
        <w:pStyle w:val="FirstParagraph"/>
        <w:spacing w:line="480" w:lineRule="auto"/>
      </w:pPr>
      <w:r>
        <w:t xml:space="preserve">The two empirical papers in this dissertation produce a single, jointly interpretable picture of the value of information released by ceding science-targeting authority to onboard software on a planetary surface mission. The first paper estimates a level effect: a coefficient of 3.0765 on autonomous target share in a per-sol science-yield regression, with a heteroskedasticity-consistent standard error of 0.2903, fitted on twenty-eight sol-block observations spanning the Mars Exploration Rover (MER) Opportunity, the Mars Science Laboratory (MSL) Curiosity, and the Mars 2020 (M2020) Perseverance operational records. The second paper estimates a slope effect: an experience elasticity of 0.2198 on the natural log of cumulative autonomous-targeting sols, with a heteroskedasticity-consistent standard error of 0.0175 and a ninety-five percent confidence interval of [0.1854, 0.2542], fitted on thirty operational bins drawn from the same three rover platforms. Read together, the level and the slope describe a technology whose marginal contribution to per-sol science yield is positive at the mean of operational variation observed to date and whose contribution rises in a predictable log-linear fashion as cumulative operating experience accumulates.</w:t>
      </w:r>
    </w:p>
    <w:p>
      <w:pPr>
        <w:pStyle w:val="BodyText"/>
        <w:spacing w:line="480" w:lineRule="auto"/>
        <w:ind w:firstLine="720"/>
      </w:pPr>
      <w:r>
        <w:t xml:space="preserve">Neither number is the science return of autonomy in absolute terms. Each is, instead, a conditional partial derivative recovered from the only operational record on which the question can presently be asked: the AEGIS deployments documented in the planetary-exploration autonomy literature [7, 8, 9, 10, 12, 14] and the broader information-gain calculus the space-surveillance community has formalized for autonomous sensor tasking [2, 3, 5, 6, 11]. The purpose of this chapter is to translate those two coefficients into terms that a NASA program manager, a Jet Propulsion Laboratory (JPL) mission-design lead, and a planetary-science principal investigator can carry into a design-review, a planetary-protection deliberation, or a flight-rules negotiation, without overstating what the estimates can support.</w:t>
      </w:r>
    </w:p>
    <w:bookmarkEnd w:id="127"/>
    <w:bookmarkStart w:id="131" w:name="X13ffe9b5890cec9855fba8ee3ab7d47ca0c85f8"/>
    <w:p>
      <w:pPr>
        <w:pStyle w:val="Heading2"/>
        <w:spacing w:line="480" w:lineRule="auto"/>
      </w:pPr>
      <w:r>
        <w:t xml:space="preserve">7.2 What the Findings Mean for NASA Program Management</w:t>
      </w:r>
    </w:p>
    <w:bookmarkStart w:id="128" w:name="X20f07022b8c5a5e68a792c14802a060c085250b"/>
    <w:p>
      <w:pPr>
        <w:pStyle w:val="Heading3"/>
        <w:spacing w:line="480" w:lineRule="auto"/>
      </w:pPr>
      <w:r>
        <w:t xml:space="preserve">7.2.1 The Autonomy Authority Decision Is Now a Number, Not a Vote</w:t>
      </w:r>
    </w:p>
    <w:p>
      <w:pPr>
        <w:pStyle w:val="FirstParagraph"/>
        <w:spacing w:line="480" w:lineRule="auto"/>
      </w:pPr>
      <w:r>
        <w:t xml:space="preserve">Start with the level estimate. Its principal program-management consequence is that the decision to grant onboard targeting authority to a future planetary surface mission no longer needs to be adjudicated as a question of philosophy between flight software, science operations, and mission assurance. It can be adjudicated as a question of expected science yield against a transparently constructed counterfactual. The first paper shows that, holding traverse distance and the per-sol downlink window fixed, a movement from a fully ground-commanded sol to a fully autonomously targeted sol is associated with 3.08 points of science-yield index in the pooled cross-mission sample, and that an operationally realistic ten-point shift in autonomous target share inside the inner quartile of MSL operations is associated with 0.31 yield points. Those numbers are small enough to be modest and large enough to compound across a multi-thousand-sol mission. They give a Mission Operations Working Group a quantitative anchor in a deliberation that has historically been carried by anecdote and instrument-team preference.</w:t>
      </w:r>
    </w:p>
    <w:p>
      <w:pPr>
        <w:pStyle w:val="BodyText"/>
        <w:spacing w:line="480" w:lineRule="auto"/>
        <w:ind w:firstLine="720"/>
      </w:pPr>
      <w:r>
        <w:t xml:space="preserve">That same level estimate also constrains the design-review case for and against onboard autonomy. The autonomy-share coefficient and the downlink-bandwidth coefficient are both positive and statistically distinguishable from zero in the same specification, and their estimated dollar-equivalent magnitudes over the observed range are comparable rather than orthogonal. The program-management reading is that onboard autonomy is not a substitute for relay bandwidth, and a marginal megabyte of downlink window is not a substitute for a marginal percentage point of onboard target authority. Both inputs contribute, both inputs are scarce, and a design review that treats them as competing line items in a single budget is mis-specifying the problem the data describe. The negative traverse coefficient further constrains the trade: drive sols crowd out science sols at a recoverable rate of 0.12 yield points per fifty meters of additional traverse, and onboard targeting attenuates but does not eliminate that crowding.</w:t>
      </w:r>
    </w:p>
    <w:bookmarkEnd w:id="128"/>
    <w:bookmarkStart w:id="129" w:name="X1f3c019200c15022f7ad73429d5dfcf286e8933"/>
    <w:p>
      <w:pPr>
        <w:pStyle w:val="Heading3"/>
        <w:spacing w:line="480" w:lineRule="auto"/>
      </w:pPr>
      <w:r>
        <w:t xml:space="preserve">7.2.2 The Experience Elasticity Reframes the Recompete and Heritage Case</w:t>
      </w:r>
    </w:p>
    <w:p>
      <w:pPr>
        <w:pStyle w:val="FirstParagraph"/>
        <w:spacing w:line="480" w:lineRule="auto"/>
      </w:pPr>
      <w:r>
        <w:t xml:space="preserve">Turn now to the slope. It carries a distinct and arguably more strategic implication for NASA program management. The experience elasticity of 0.2198, implying an approximately sixteen-and-a-half percent rise in mean per-sol science yield for each doubling of cumulative autonomous-targeting sols, supplies the parameter a program office needs in order to argue for or against the reuse of an autonomy stack across mission generations. If the AEGIS family had shown a flat or noisy experience profile across the three rovers, the operational case would have been that each rover constitutes its own autonomy island, that flight-software heritage carries no science-yield premium, and that future surface missions ought to budget for a clean-sheet onboard targeting system on each platform. The data falsify that case: the three deployments lie on a common log-linear curve with a positive slope tightly bounded away from zero.</w:t>
      </w:r>
    </w:p>
    <w:p>
      <w:pPr>
        <w:pStyle w:val="BodyText"/>
        <w:spacing w:line="480" w:lineRule="auto"/>
        <w:ind w:firstLine="720"/>
      </w:pPr>
      <w:r>
        <w:t xml:space="preserve">Heritage is where this lands hardest. The argument for reusing an AEGIS-class autonomy stack now has an empirical anchor. A future Mars Sample Return surface element, a lunar in-situ resource utilization mission with a mobility component, or an Ocean Worlds lander with a constrained communications cycle inherits, in expectation, not only the verified flight code but a measurable position on the experience curve. The reuse decision can be priced. By the same token, a clean-sheet onboard targeting system imposes an opportunity cost equal to the foregone position on the curve, and that cost can be quantified rather than asserted. The decision to depart from heritage now requires a positive scientific or architectural justification that survives the loss of the experience elasticity, rather than a negative aesthetic preference for a fresh start.</w:t>
      </w:r>
    </w:p>
    <w:bookmarkEnd w:id="129"/>
    <w:bookmarkStart w:id="130" w:name="X1f22101f514eb84e7f7604414928d7996fecffa"/>
    <w:p>
      <w:pPr>
        <w:pStyle w:val="Heading3"/>
        <w:spacing w:line="480" w:lineRule="auto"/>
      </w:pPr>
      <w:r>
        <w:t xml:space="preserve">7.2.3 Latency-Bound Mission Classes Carry a Larger Expected Premium</w:t>
      </w:r>
    </w:p>
    <w:p>
      <w:pPr>
        <w:pStyle w:val="FirstParagraph"/>
        <w:spacing w:line="480" w:lineRule="auto"/>
      </w:pPr>
      <w:r>
        <w:t xml:space="preserve">A third, narrower program-management implication follows from the latency interaction implicit in the prospectus identification strategy and from the qualitative pattern in both papers. The expected science-yield premium of onboard targeting authority rises with one-way communication latency, because the counterfactual ground-loop response time degrades with latency while the onboard response time does not. The Mars rover record is the lowest-latency regime in which the question can be asked with operational data: one-way light time fluctuates between roughly four and twenty-four minutes over a synodic period. Outer-Solar-System and small-body mission classes operate at latencies one to two orders of magnitude larger. The AEGIS-class elasticity is therefore a conservative lower bound for the science-yield premium that an Ocean Worlds lander, a Centaur flyby, or a near-Earth-asteroid prospecting platform [27, 29] would realize from an equivalent grant of onboard targeting authority. A NASA program-management decision that treats the Mars-derived number as the expected return for an Ocean Worlds platform is biasing the expected return downward, and the bias can be characterized.</w:t>
      </w:r>
    </w:p>
    <w:bookmarkEnd w:id="130"/>
    <w:bookmarkEnd w:id="131"/>
    <w:bookmarkStart w:id="135" w:name="X6b14c142c3e88c59d71541797b64113199a2ee0"/>
    <w:p>
      <w:pPr>
        <w:pStyle w:val="Heading2"/>
        <w:spacing w:line="480" w:lineRule="auto"/>
      </w:pPr>
      <w:r>
        <w:t xml:space="preserve">7.3 What the Findings Mean for JPL Decision-Making</w:t>
      </w:r>
    </w:p>
    <w:bookmarkStart w:id="132" w:name="Xc7e792830129bd00c551011201024d239d102a6"/>
    <w:p>
      <w:pPr>
        <w:pStyle w:val="Heading3"/>
        <w:spacing w:line="480" w:lineRule="auto"/>
      </w:pPr>
      <w:r>
        <w:t xml:space="preserve">7.3.1 The Counterfactual Is Now a JPL Operational Asset</w:t>
      </w:r>
    </w:p>
    <w:p>
      <w:pPr>
        <w:pStyle w:val="FirstParagraph"/>
        <w:spacing w:line="480" w:lineRule="auto"/>
      </w:pPr>
      <w:r>
        <w:t xml:space="preserve">For JPL specifically, the most consequential downstream use of the joint estimate is internal. JPL holds the only institutional position from which a within-mission, sol-level counterfactual of the kind both papers exploit can be constructed routinely and at scale. Every future surface mission that JPL flies will generate the kind of paired record on which the level estimate rests, and every additional sol the AEGIS family operates lengthens the experience curve on which the slope estimate is fitted. The institutional implication is that the dependent variable and the principal regressors in both papers are JPL operational data products, and the methodology described here can be operationalized as a continuously updated dashboard rather than a one-shot dissertation result.</w:t>
      </w:r>
    </w:p>
    <w:p>
      <w:pPr>
        <w:pStyle w:val="BodyText"/>
        <w:spacing w:line="480" w:lineRule="auto"/>
        <w:ind w:firstLine="720"/>
      </w:pPr>
      <w:r>
        <w:t xml:space="preserve">A continuously updated counterfactual estimate of the marginal yield of onboard targeting authority, refit each Earth-year on the prior twelve months of operational records, would convert the level coefficient into a control-room artifact. Tactical operations leads would have a current estimate of how much science yield is being captured by the present autonomy share on the current rover, and strategic planning leads would have a current estimate of how much yield would be foregone by reducing autonomy share for a specified risk-mitigation reason. The same dashboard would carry the experience elasticity as a longitudinal trend line, refit as new sols accumulate, with the explicit caveat that the slope is identified across, not within, missions and that the cross-mission slope is the quantity of operational interest.</w:t>
      </w:r>
    </w:p>
    <w:bookmarkEnd w:id="132"/>
    <w:bookmarkStart w:id="133" w:name="flight-rules-and-the-risk-posture-trade"/>
    <w:p>
      <w:pPr>
        <w:pStyle w:val="Heading3"/>
        <w:spacing w:line="480" w:lineRule="auto"/>
      </w:pPr>
      <w:r>
        <w:t xml:space="preserve">7.3.2 Flight Rules and the Risk Posture Trade</w:t>
      </w:r>
    </w:p>
    <w:p>
      <w:pPr>
        <w:pStyle w:val="FirstParagraph"/>
        <w:spacing w:line="480" w:lineRule="auto"/>
      </w:pPr>
      <w:r>
        <w:t xml:space="preserve">A second JPL-specific implication is that the operational risk posture toward onboard autonomy can be set against an explicit science-yield cost. JPL flight rules historically constrain the conditions under which AEGIS is authorized to select targets: terrain classification thresholds, instrument-health states, communications-window proximity, and a list of operationally defined exclusion regions on the surface. Each of these constraints reduces, by a measurable amount, the autonomous target share that can be achieved on a given sol. The level coefficient supplies the conversion factor between a flight-rule-induced reduction in autonomous target share and the expected per-sol science yield it forfeits. A flight-rule deliberation that previously reduced to a binary safe-versus-permissive vote can now be framed as a trade between a quantified safety margin and a quantified yield cost.</w:t>
      </w:r>
    </w:p>
    <w:p>
      <w:pPr>
        <w:pStyle w:val="BodyText"/>
        <w:spacing w:line="480" w:lineRule="auto"/>
        <w:ind w:firstLine="720"/>
      </w:pPr>
      <w:r>
        <w:t xml:space="preserve">That reframing is not a recommendation that flight rules be loosened. Several of the JPL flight rules that constrain AEGIS are anchored in safety considerations that the science-yield index does not capture, and the agent-based mission-management literature is explicit that decision-allocation across the ground-flight boundary must respect the assurance case of the host vehicle</w:t>
      </w:r>
      <w:r>
        <w:t xml:space="preserve"> </w:t>
      </w:r>
      <w:hyperlink w:anchor="ref-4">
        <w:r>
          <w:rPr>
            <w:rStyle w:val="Hyperlink"/>
          </w:rPr>
          <w:t xml:space="preserve">[4]</w:t>
        </w:r>
      </w:hyperlink>
      <w:r>
        <w:t xml:space="preserve">. The reframing is, instead, that flight-rule deliberations can be conducted with the yield cost made visible. The science principal investigator who advocates for a relaxation, the assurance engineer who advocates for tightening, and the operations lead who arbitrates between them now share a common unit of account on the science side of the trade.</w:t>
      </w:r>
    </w:p>
    <w:bookmarkEnd w:id="133"/>
    <w:bookmarkStart w:id="134" w:name="X89ba3d0675e2de8dae726116bdbebb0f37326af"/>
    <w:p>
      <w:pPr>
        <w:pStyle w:val="Heading3"/>
        <w:spacing w:line="480" w:lineRule="auto"/>
      </w:pPr>
      <w:r>
        <w:t xml:space="preserve">7.3.3 The Curve as Internal Capability Investment Signal</w:t>
      </w:r>
    </w:p>
    <w:p>
      <w:pPr>
        <w:pStyle w:val="FirstParagraph"/>
        <w:spacing w:line="480" w:lineRule="auto"/>
      </w:pPr>
      <w:r>
        <w:t xml:space="preserve">Internal investment is the next question. Here the experience elasticity carries a related JPL-specific implication for autonomy software. The fact that the cross-mission slope is positive and tightly bounded away from zero supports an institutional case for sustained investment in the AEGIS-class software family across mission generations, in two ways. First, the slope quantifies the science-yield return of the institutional learning embedded in the software, the operational concepts, and the targeting heuristics that AEGIS encodes, and that learning is JPL-resident. Second, the slope implies that the marginal yield of an additional sol of operating experience is positive on a curve whose midpoint position depends on whether JPL continues to fly the family, retire it, or replace it with a clean-sheet alternative. The investment decision can be priced against the curve.</w:t>
      </w:r>
    </w:p>
    <w:p>
      <w:pPr>
        <w:pStyle w:val="BodyText"/>
        <w:spacing w:line="480" w:lineRule="auto"/>
        <w:ind w:firstLine="720"/>
      </w:pPr>
      <w:r>
        <w:t xml:space="preserve">The same curve, however, also disciplines the investment case. The elasticity implies diminishing returns: each doubling of cumulative experience adds about sixteen-and-a-half percent rather than a constant absolute increment. An institutional argument that incremental investment in AEGIS-class autonomy can be supported indefinitely by ever-increasing marginal yield runs against the data. The curve is positively sloped and bounded above by the science instrument and the local target field, and a future paper that extends the panel with non-AEGIS deployments will be the empirical test of whether the curve survives a software replacement event.</w:t>
      </w:r>
    </w:p>
    <w:bookmarkEnd w:id="134"/>
    <w:bookmarkEnd w:id="135"/>
    <w:bookmarkStart w:id="136" w:name="X15ce20548dc6296ce1f4a02d9347550598381ea"/>
    <w:p>
      <w:pPr>
        <w:pStyle w:val="Heading2"/>
        <w:spacing w:line="480" w:lineRule="auto"/>
      </w:pPr>
      <w:r>
        <w:t xml:space="preserve">7.4 Connecting to the Sensor-Tasking and Mission-Architecture Literatures</w:t>
      </w:r>
    </w:p>
    <w:p>
      <w:pPr>
        <w:pStyle w:val="FirstParagraph"/>
        <w:spacing w:line="480" w:lineRule="auto"/>
      </w:pPr>
      <w:r>
        <w:t xml:space="preserve">The two coefficients land in a literature that has, until now, established the metric and the architectural setting for autonomous targeting without quantifying the science-yield return. The information-gain calculus that the space-surveillance community has refined for autonomous sensor tasking [2, 3, 5, 6, 11], the autonomous information-gathering guidance literature</w:t>
      </w:r>
      <w:r>
        <w:t xml:space="preserve"> </w:t>
      </w:r>
      <w:hyperlink w:anchor="ref-20">
        <w:r>
          <w:rPr>
            <w:rStyle w:val="Hyperlink"/>
          </w:rPr>
          <w:t xml:space="preserve">[20]</w:t>
        </w:r>
      </w:hyperlink>
      <w:r>
        <w:t xml:space="preserve">, and the optimized commodity-market framing of coordinated space-domain awareness</w:t>
      </w:r>
      <w:r>
        <w:t xml:space="preserve"> </w:t>
      </w:r>
      <w:hyperlink w:anchor="ref-16">
        <w:r>
          <w:rPr>
            <w:rStyle w:val="Hyperlink"/>
          </w:rPr>
          <w:t xml:space="preserve">[16]</w:t>
        </w:r>
      </w:hyperlink>
      <w:r>
        <w:t xml:space="preserve"> </w:t>
      </w:r>
      <w:r>
        <w:t xml:space="preserve">each establish that information gain is the right metric for autonomous sensor decisions and that it is monotonically improved by better policies. Translating that monotonic improvement into a falsifiable parameter on planetary-surface operational data is the empirical contribution of this dissertation, and the joint result is consistent with the qualitative picture those literatures had already drawn.</w:t>
      </w:r>
    </w:p>
    <w:p>
      <w:pPr>
        <w:pStyle w:val="BodyText"/>
        <w:spacing w:line="480" w:lineRule="auto"/>
        <w:ind w:firstLine="720"/>
      </w:pPr>
      <w:r>
        <w:t xml:space="preserve">The agent-based mission-management literature</w:t>
      </w:r>
      <w:r>
        <w:t xml:space="preserve"> </w:t>
      </w:r>
      <w:hyperlink w:anchor="ref-4">
        <w:r>
          <w:rPr>
            <w:rStyle w:val="Hyperlink"/>
          </w:rPr>
          <w:t xml:space="preserve">[4]</w:t>
        </w:r>
      </w:hyperlink>
      <w:r>
        <w:t xml:space="preserve"> </w:t>
      </w:r>
      <w:r>
        <w:t xml:space="preserve">is the architectural setting against which the result has to be read. The level estimate quantifies the science-yield consequence of a particular allocation of decision authority across the ground-flight boundary, holding the architectural class fixed at AEGIS-on-a-rover; the slope estimate quantifies the cross-mission improvement of that same allocation as the agent-based system accumulates experience. The result does not generalize to every distributed-autonomy architecture, but it does establish that the architectural taxonomy of</w:t>
      </w:r>
      <w:r>
        <w:t xml:space="preserve"> </w:t>
      </w:r>
      <w:hyperlink w:anchor="ref-4">
        <w:r>
          <w:rPr>
            <w:rStyle w:val="Hyperlink"/>
          </w:rPr>
          <w:t xml:space="preserve">[4]</w:t>
        </w:r>
      </w:hyperlink>
      <w:r>
        <w:t xml:space="preserve"> </w:t>
      </w:r>
      <w:r>
        <w:t xml:space="preserve">is not value-neutral: the autonomy allocation has a measurable science-yield consequence at the cross-mission level.</w:t>
      </w:r>
    </w:p>
    <w:p>
      <w:pPr>
        <w:pStyle w:val="BodyText"/>
        <w:spacing w:line="480" w:lineRule="auto"/>
        <w:ind w:firstLine="720"/>
      </w:pPr>
      <w:r>
        <w:t xml:space="preserve">The semi-autonomous reconnoitering literature</w:t>
      </w:r>
      <w:r>
        <w:t xml:space="preserve"> </w:t>
      </w:r>
      <w:hyperlink w:anchor="ref-1">
        <w:r>
          <w:rPr>
            <w:rStyle w:val="Hyperlink"/>
          </w:rPr>
          <w:t xml:space="preserve">[1]</w:t>
        </w:r>
      </w:hyperlink>
      <w:r>
        <w:t xml:space="preserve"> </w:t>
      </w:r>
      <w:r>
        <w:t xml:space="preserve">frames the same trade qualitatively at the target-selection level and identifies target choice as the bottleneck on science merit. The joint estimate is consistent with that framing: the marginal yield of onboard targeting authority is positive, the cross-mission improvement of that authority follows a recognizable learning curve, and the binding upstream constraint on the curve is target-selection skill. The dissertation’s empirical contribution is to put numbers on that qualitative story.</w:t>
      </w:r>
    </w:p>
    <w:p>
      <w:pPr>
        <w:pStyle w:val="BodyText"/>
        <w:spacing w:line="480" w:lineRule="auto"/>
        <w:ind w:firstLine="720"/>
      </w:pPr>
      <w:r>
        <w:t xml:space="preserve">A more distant but adjacent body of work addresses autonomous orbital operations [24, 25, 26], target evaluation for asteroid mining</w:t>
      </w:r>
      <w:r>
        <w:t xml:space="preserve"> </w:t>
      </w:r>
      <w:hyperlink w:anchor="ref-27">
        <w:r>
          <w:rPr>
            <w:rStyle w:val="Hyperlink"/>
          </w:rPr>
          <w:t xml:space="preserve">[27]</w:t>
        </w:r>
      </w:hyperlink>
      <w:r>
        <w:t xml:space="preserve">, and in-situ asteroid monitoring</w:t>
      </w:r>
      <w:r>
        <w:t xml:space="preserve"> </w:t>
      </w:r>
      <w:hyperlink w:anchor="ref-29">
        <w:r>
          <w:rPr>
            <w:rStyle w:val="Hyperlink"/>
          </w:rPr>
          <w:t xml:space="preserve">[29]</w:t>
        </w:r>
      </w:hyperlink>
      <w:r>
        <w:t xml:space="preserve">. The level and slope estimates here are anchored to Mars surface operations, and their portability outside the AEGIS family is not yet established. The dissertation does not claim that portability. It claims, instead, that the methodology is portable in principle and that the empirical falsification of the portability claim is a future paper.</w:t>
      </w:r>
    </w:p>
    <w:bookmarkEnd w:id="136"/>
    <w:bookmarkStart w:id="142" w:name="limitations"/>
    <w:p>
      <w:pPr>
        <w:pStyle w:val="Heading2"/>
        <w:spacing w:line="480" w:lineRule="auto"/>
      </w:pPr>
      <w:r>
        <w:t xml:space="preserve">7.5 Limitations</w:t>
      </w:r>
    </w:p>
    <w:bookmarkStart w:id="137" w:name="Xb8ef23fea6b0b96789c23be9ae0ae006b573d71"/>
    <w:p>
      <w:pPr>
        <w:pStyle w:val="Heading3"/>
        <w:spacing w:line="480" w:lineRule="auto"/>
      </w:pPr>
      <w:r>
        <w:t xml:space="preserve">7.5.1 Construct Validity of the Science-Yield Index</w:t>
      </w:r>
    </w:p>
    <w:p>
      <w:pPr>
        <w:pStyle w:val="FirstParagraph"/>
        <w:spacing w:line="480" w:lineRule="auto"/>
      </w:pPr>
      <w:r>
        <w:t xml:space="preserve">The first and most material limitation is the construction of the dependent variable. The science-yield index used in both papers is composite, constructed from ChemCam, SuperCam, and Pancam observations weighted by downstream archival use, and it inherits any measurement error or coding convention embedded in the operational papers from which the inputs are drawn [7, 8, 9, 10]. The robust standard errors widen the confidence intervals to reflect heteroskedasticity, but they do not purge correlated measurement error in the dependent variable. A sensitivity analysis using an independent expert-rated science-merit score would partly address the threat, and the prospectus commits to that sensitivity as a follow-on test. Until that follow-on is reported, the level and slope coefficients should be read as consistent with the operational coding of science yield in the AEGIS literature rather than as estimates of a Platonic science-merit quantity.</w:t>
      </w:r>
    </w:p>
    <w:bookmarkEnd w:id="137"/>
    <w:bookmarkStart w:id="138" w:name="X71d9c8a85a44f4e976b391c2e0971221ba48a75"/>
    <w:p>
      <w:pPr>
        <w:pStyle w:val="Heading3"/>
        <w:spacing w:line="480" w:lineRule="auto"/>
      </w:pPr>
      <w:r>
        <w:t xml:space="preserve">7.5.2 Identification of the Autonomy Contrast Across Missions</w:t>
      </w:r>
    </w:p>
    <w:p>
      <w:pPr>
        <w:pStyle w:val="FirstParagraph"/>
        <w:spacing w:line="480" w:lineRule="auto"/>
      </w:pPr>
      <w:r>
        <w:t xml:space="preserve">The second limitation is that the autonomy-share contrast across missions is partially collinear with platform-specific instrument generation. M2020 SuperCam, MSL ChemCam, and MER Pancam differ in sensitivity, spectral coverage, and operational protocol, and the autonomy-share coefficient in the pooled specification absorbs a share of that instrument-generation effect. The within-mission identification for MSL (twelve blocks) and Perseverance (six blocks) attenuates but does not eliminate the threat. A fixed-effects extension would absorb the cross-mission instrument effect at the cost of the variation the hypothesis is built to test, which is the design choice both papers explicitly defend. The honest reading of the joint result is therefore that the autonomy contrast and the instrument-generation contrast are partially conflated in the pooled cross-mission sample, and that disentangling them requires either a within-mission instrument generation that the AEGIS record does not contain or a future deployment that flies the same instrument with and without onboard targeting.</w:t>
      </w:r>
    </w:p>
    <w:bookmarkEnd w:id="138"/>
    <w:bookmarkStart w:id="139" w:name="the-counterfactual-contamination-threat"/>
    <w:p>
      <w:pPr>
        <w:pStyle w:val="Heading3"/>
        <w:spacing w:line="480" w:lineRule="auto"/>
      </w:pPr>
      <w:r>
        <w:t xml:space="preserve">7.5.3 The Counterfactual Contamination Threat</w:t>
      </w:r>
    </w:p>
    <w:p>
      <w:pPr>
        <w:pStyle w:val="FirstParagraph"/>
        <w:spacing w:line="480" w:lineRule="auto"/>
      </w:pPr>
      <w:r>
        <w:t xml:space="preserve">The third limitation is counterfactual contamination. Ground-commanded targets in the AEGIS era are themselves informed by prior autonomous runs, by the cumulative experience of the operations team with AEGIS-selected targets, and by the institutional learning that the experience elasticity captures at the cross-mission level. The counterfactual against which the level effect is identified is therefore not a pristine pre-autonomy baseline. It is, instead, a contaminated counterfactual in which the ground loop has absorbed some of the science-yield benefit that a clean counterfactual would attribute to onboard authority. The contamination biases the level estimate toward the null, which makes a significant positive estimate conservative, as the prospectus acknowledges. The conservative direction of the bias is a defensible interpretive frame, but a future paper that exploits the pre-AEGIS MER Opportunity period as a cleaner counterfactual would be the proper falsification of the contamination concern.</w:t>
      </w:r>
    </w:p>
    <w:bookmarkEnd w:id="139"/>
    <w:bookmarkStart w:id="140" w:name="X2b1979b0e72fc0114d9cfc191e9ca736117da79"/>
    <w:p>
      <w:pPr>
        <w:pStyle w:val="Heading3"/>
        <w:spacing w:line="480" w:lineRule="auto"/>
      </w:pPr>
      <w:r>
        <w:t xml:space="preserve">7.5.4 External Validity Outside the AEGIS Family</w:t>
      </w:r>
    </w:p>
    <w:p>
      <w:pPr>
        <w:pStyle w:val="FirstParagraph"/>
        <w:spacing w:line="480" w:lineRule="auto"/>
      </w:pPr>
      <w:r>
        <w:t xml:space="preserve">The fourth limitation is external validity. The joint estimate is fitted on a sample of three Mars rovers operating an AEGIS-class autonomy stack on a planetary surface with a one-way light time bounded above by roughly twenty-four minutes. It is not fitted on an orbital remote-sensing platform, on a deep-space high-latency mission, or on a non-AEGIS onboard targeting system. The latency interaction implicit in the prospectus identification strategy supplies an honest test of how far the estimate travels along the latency axis, but it does not test portability across architectural classes or across instrument families. A future paper that extends the panel with a non-AEGIS deployment, for example a future Europa Clipper science-instrument tasking module or a Dragonfly autonomy stack, would be the empirical falsification of the portability claim.</w:t>
      </w:r>
    </w:p>
    <w:bookmarkEnd w:id="140"/>
    <w:bookmarkStart w:id="141" w:name="statistical-power-and-bin-construction"/>
    <w:p>
      <w:pPr>
        <w:pStyle w:val="Heading3"/>
        <w:spacing w:line="480" w:lineRule="auto"/>
      </w:pPr>
      <w:r>
        <w:t xml:space="preserve">7.5.5 Statistical Power and Bin Construction</w:t>
      </w:r>
    </w:p>
    <w:p>
      <w:pPr>
        <w:pStyle w:val="FirstParagraph"/>
        <w:spacing w:line="480" w:lineRule="auto"/>
      </w:pPr>
      <w:r>
        <w:t xml:space="preserve">The fifth limitation is statistical. The level regression is fitted on twenty-eight sol-block observations; the slope regression is fitted on thirty operational bins. Both samples are small by the standards of cross-sectional empirical work, and both samples were constructed from operational papers whose binning conventions are themselves a researcher choice. The slope paper documents the bin-construction sensitivity explicitly: a coarser binning would attenuate the elasticity toward zero, and a finer binning would amplify noise. The level paper’s robust standard errors widen the confidence intervals to account for cross-mission heteroskedasticity. Neither paper claims that the small-sample inference is asymptotically calibrated. The joint result should therefore be read as a defensible point estimate with explicitly characterized uncertainty rather than as a precision test.</w:t>
      </w:r>
    </w:p>
    <w:bookmarkEnd w:id="141"/>
    <w:bookmarkEnd w:id="142"/>
    <w:bookmarkStart w:id="148" w:name="future-research"/>
    <w:p>
      <w:pPr>
        <w:pStyle w:val="Heading2"/>
        <w:spacing w:line="480" w:lineRule="auto"/>
      </w:pPr>
      <w:r>
        <w:t xml:space="preserve">7.6 Future Research</w:t>
      </w:r>
    </w:p>
    <w:bookmarkStart w:id="143" w:name="the-survival-specification-extension"/>
    <w:p>
      <w:pPr>
        <w:pStyle w:val="Heading3"/>
        <w:spacing w:line="480" w:lineRule="auto"/>
      </w:pPr>
      <w:r>
        <w:t xml:space="preserve">7.6.1 The Survival-Specification Extension</w:t>
      </w:r>
    </w:p>
    <w:p>
      <w:pPr>
        <w:pStyle w:val="FirstParagraph"/>
        <w:spacing w:line="480" w:lineRule="auto"/>
      </w:pPr>
      <w:r>
        <w:t xml:space="preserve">One extension is the most direct successor to the level paper: the survival specification the prospectus commits to in its closing paragraph. The dependent variable that most directly cashes out the value-of-information frame is not the contemporaneous science-yield index but the time from target selection to first archival publication, which is the operationally observable proxy for the realized scientific value of an autonomously selected target. A Cox proportional-hazards model fitted on AEGIS-selected targets, with a within-MSL contrast across the AEGIS commissioning window as the identifying source of variation, would convert the level estimate into a hazard-ratio statement of the form: targets selected by onboard autonomy are published faster than ground-commanded targets at a rate of X. That extension is the natural successor to the OLS level estimate and is the form in which the value-of-information frame is most readily generalized to non-AEGIS settings.</w:t>
      </w:r>
    </w:p>
    <w:bookmarkEnd w:id="143"/>
    <w:bookmarkStart w:id="144" w:name="the-cross-architecture-portability-test"/>
    <w:p>
      <w:pPr>
        <w:pStyle w:val="Heading3"/>
        <w:spacing w:line="480" w:lineRule="auto"/>
      </w:pPr>
      <w:r>
        <w:t xml:space="preserve">7.6.2 The Cross-Architecture Portability Test</w:t>
      </w:r>
    </w:p>
    <w:p>
      <w:pPr>
        <w:pStyle w:val="FirstParagraph"/>
        <w:spacing w:line="480" w:lineRule="auto"/>
      </w:pPr>
      <w:r>
        <w:t xml:space="preserve">A complementary extension addresses the external-validity limitation directly. The experience elasticity is identified on a cross-mission panel within the AEGIS family. A future panel that pools the AEGIS deployments with a non-AEGIS onboard-targeting deployment, for example a future planetary-science autonomy module that does not inherit from AEGIS, would test whether the cross-mission curve is a property of the AEGIS family specifically or of onboard targeting authority generally. The portability test is the empirical claim on which the heritage and recompete arguments outlined in Section 7.2.2 ultimately depend. Until a non-AEGIS panel member is available, the heritage argument is a within-family claim.</w:t>
      </w:r>
    </w:p>
    <w:bookmarkEnd w:id="144"/>
    <w:bookmarkStart w:id="145" w:name="orbital-and-small-body-generalization"/>
    <w:p>
      <w:pPr>
        <w:pStyle w:val="Heading3"/>
        <w:spacing w:line="480" w:lineRule="auto"/>
      </w:pPr>
      <w:r>
        <w:t xml:space="preserve">7.6.3 Orbital and Small-Body Generalization</w:t>
      </w:r>
    </w:p>
    <w:p>
      <w:pPr>
        <w:pStyle w:val="FirstParagraph"/>
        <w:spacing w:line="480" w:lineRule="auto"/>
      </w:pPr>
      <w:r>
        <w:t xml:space="preserve">A third extension exploits the latency interaction to generalize the result outside the planetary-surface regime. The sensor-tasking literature has matured an information-gain calculus for orbital autonomy [2, 3, 5, 6, 11, 16, 20] and an emerging body of work addresses autonomous orbital maintenance</w:t>
      </w:r>
      <w:r>
        <w:t xml:space="preserve"> </w:t>
      </w:r>
      <w:hyperlink w:anchor="ref-26">
        <w:r>
          <w:rPr>
            <w:rStyle w:val="Hyperlink"/>
          </w:rPr>
          <w:t xml:space="preserve">[26]</w:t>
        </w:r>
      </w:hyperlink>
      <w:r>
        <w:t xml:space="preserve">, inspection</w:t>
      </w:r>
      <w:r>
        <w:t xml:space="preserve"> </w:t>
      </w:r>
      <w:hyperlink w:anchor="ref-24">
        <w:r>
          <w:rPr>
            <w:rStyle w:val="Hyperlink"/>
          </w:rPr>
          <w:t xml:space="preserve">[24]</w:t>
        </w:r>
      </w:hyperlink>
      <w:r>
        <w:t xml:space="preserve">, and active debris removal mission planning</w:t>
      </w:r>
      <w:r>
        <w:t xml:space="preserve"> </w:t>
      </w:r>
      <w:hyperlink w:anchor="ref-25">
        <w:r>
          <w:rPr>
            <w:rStyle w:val="Hyperlink"/>
          </w:rPr>
          <w:t xml:space="preserve">[25]</w:t>
        </w:r>
      </w:hyperlink>
      <w:r>
        <w:t xml:space="preserve">. A future paper that fits the same level and slope specifications on an orbital autonomy panel, with the appropriate analog of the science-yield index, would extend the result along the latency axis and would test whether the AEGIS-derived elasticity is an order-of-magnitude estimate or a regime-specific number. A further extension to small-body and near-Earth-asteroid contexts [27, 29] would test the upper-latency limit of the curve.</w:t>
      </w:r>
    </w:p>
    <w:bookmarkEnd w:id="145"/>
    <w:bookmarkStart w:id="146" w:name="decision-authority-decomposition"/>
    <w:p>
      <w:pPr>
        <w:pStyle w:val="Heading3"/>
        <w:spacing w:line="480" w:lineRule="auto"/>
      </w:pPr>
      <w:r>
        <w:t xml:space="preserve">7.6.4 Decision-Authority Decomposition</w:t>
      </w:r>
    </w:p>
    <w:p>
      <w:pPr>
        <w:pStyle w:val="FirstParagraph"/>
        <w:spacing w:line="480" w:lineRule="auto"/>
      </w:pPr>
      <w:r>
        <w:t xml:space="preserve">A fourth extension addresses the binary treatment variable in the level paper. The autonomy-share variable is constructed as the fraction of sol-level targets selected onboard, but onboard targeting authority is in fact decomposable into at least three layers: candidate generation, candidate ranking, and final target selection. Each layer can be allocated to the ground or to the flight segment independently, and the agent-based mission-management literature catalogues the design space</w:t>
      </w:r>
      <w:r>
        <w:t xml:space="preserve"> </w:t>
      </w:r>
      <w:hyperlink w:anchor="ref-4">
        <w:r>
          <w:rPr>
            <w:rStyle w:val="Hyperlink"/>
          </w:rPr>
          <w:t xml:space="preserve">[4]</w:t>
        </w:r>
      </w:hyperlink>
      <w:r>
        <w:t xml:space="preserve">. A future paper that estimates a separate yield coefficient for each authority layer, identified by within-mission contrasts across AEGIS configuration changes, would convert the level estimate from a one-coefficient statement into a multi-coefficient design tool. The marginal product of ranking authority and the marginal product of selection authority are not a priori the same, and the operational record contains enough configuration variation to disentangle them.</w:t>
      </w:r>
    </w:p>
    <w:bookmarkEnd w:id="146"/>
    <w:bookmarkStart w:id="147" w:name="X57b6dc15e0648fee4b3ff708d10ff8ee933ba61"/>
    <w:p>
      <w:pPr>
        <w:pStyle w:val="Heading3"/>
        <w:spacing w:line="480" w:lineRule="auto"/>
      </w:pPr>
      <w:r>
        <w:t xml:space="preserve">7.6.5 Governance and Legal Implications of Increasing Autonomy</w:t>
      </w:r>
    </w:p>
    <w:p>
      <w:pPr>
        <w:pStyle w:val="FirstParagraph"/>
        <w:spacing w:line="480" w:lineRule="auto"/>
      </w:pPr>
      <w:r>
        <w:t xml:space="preserve">A final, more distant extension addresses the governance dimension of increasing onboard autonomy. The autonomous-weapons-systems literature has begun to address the legal implications of autonomy in outer space</w:t>
      </w:r>
      <w:r>
        <w:t xml:space="preserve"> </w:t>
      </w:r>
      <w:hyperlink w:anchor="ref-31">
        <w:r>
          <w:rPr>
            <w:rStyle w:val="Hyperlink"/>
          </w:rPr>
          <w:t xml:space="preserve">[31]</w:t>
        </w:r>
      </w:hyperlink>
      <w:r>
        <w:t xml:space="preserve">, and the broader space-traffic and space-capacity-management literatures</w:t>
      </w:r>
      <w:r>
        <w:t xml:space="preserve"> </w:t>
      </w:r>
      <w:hyperlink w:anchor="ref-30">
        <w:r>
          <w:rPr>
            <w:rStyle w:val="Hyperlink"/>
          </w:rPr>
          <w:t xml:space="preserve">[30]</w:t>
        </w:r>
      </w:hyperlink>
      <w:r>
        <w:t xml:space="preserve"> </w:t>
      </w:r>
      <w:r>
        <w:t xml:space="preserve">have begun to address how autonomous decision-making fits into international governance frameworks. The dissertation does not address those questions empirically, but the level and slope estimates here supply the science-yield premium against which any governance constraint on onboard scientific autonomy would have to be priced. A future paper that quantifies the science-yield cost of a planetary-protection rule that constrains onboard targeting, or of a planetary-science assurance protocol that requires ground concurrence on a defined class of targets, would be the natural successor at the policy boundary. The methodology developed here makes that pricing tractable. The decision of whether to apply the pricing is, properly, a governance decision and not an empirical one.</w:t>
      </w:r>
    </w:p>
    <w:bookmarkEnd w:id="147"/>
    <w:bookmarkEnd w:id="148"/>
    <w:bookmarkStart w:id="149" w:name="closing-summary"/>
    <w:p>
      <w:pPr>
        <w:pStyle w:val="Heading2"/>
        <w:spacing w:line="480" w:lineRule="auto"/>
      </w:pPr>
      <w:r>
        <w:t xml:space="preserve">7.7 Closing Summary</w:t>
      </w:r>
    </w:p>
    <w:p>
      <w:pPr>
        <w:pStyle w:val="FirstParagraph"/>
        <w:spacing w:line="480" w:lineRule="auto"/>
      </w:pPr>
      <w:r>
        <w:t xml:space="preserve">The joint estimate produced by the two empirical papers in this dissertation is a level coefficient of 3.0765 on autonomous target share with a robust standard error of 0.2903, and an experience elasticity of 0.2198 on the natural log of cumulative autonomous-targeting sols with a robust standard error of 0.0175 and a ninety-five percent confidence interval bounded away from zero. Read together, the two coefficients describe a technology whose marginal contribution to per-sol science yield on a Mars surface mission is positive at the operational mean and rises in a predictable log-linear fashion as cumulative experience accumulates. The numbers are conservative against the contamination threat, conservative against the latency axis, and consistent with the qualitative picture the planetary-exploration and sensor-tasking literatures had drawn but had not previously quantified.</w:t>
      </w:r>
    </w:p>
    <w:p>
      <w:pPr>
        <w:pStyle w:val="BodyText"/>
        <w:spacing w:line="480" w:lineRule="auto"/>
        <w:ind w:firstLine="720"/>
      </w:pPr>
      <w:r>
        <w:t xml:space="preserve">What does this change for a program office? A great deal. The decision to grant onboard targeting authority to a future planetary surface mission can now be adjudicated against a transparently constructed counterfactual rather than against institutional preference. The JPL-specific consequence is that the methodology can be operationalized as a continuously updated control-room artifact and that flight-rule deliberations can be conducted with the science-yield cost made visible. The limitations are real and explicit: construct validity of the science-yield index, partial collinearity of the autonomy and instrument-generation contrasts, counterfactual contamination biasing the level estimate toward the null, external validity bounded by the AEGIS family and the Mars-surface regime, and small-sample inference whose uncertainty is characterized rather than precision-tested. The future research program addresses each limitation in turn and culminates in a portability test that extends the curve beyond the AEGIS family and into the orbital, small-body, and high-latency regimes in which the value-of-information premium of onboard targeting authority is, by the structure of the trade, expected to be larger than the conservative Mars-surface estimate the dissertation reports.</w:t>
      </w:r>
    </w:p>
    <w:bookmarkEnd w:id="149"/>
    <w:bookmarkEnd w:id="150"/>
    <w:bookmarkStart w:id="207" w:name="chapter-8.-conclusion"/>
    <w:p>
      <w:pPr>
        <w:pStyle w:val="Heading1"/>
        <w:spacing w:line="480" w:lineRule="auto"/>
      </w:pPr>
      <w:r>
        <w:t xml:space="preserve">Chapter 8. Conclusion</w:t>
      </w:r>
    </w:p>
    <w:bookmarkStart w:id="151" w:name="restatement-of-the-question"/>
    <w:p>
      <w:pPr>
        <w:pStyle w:val="Heading2"/>
        <w:spacing w:line="480" w:lineRule="auto"/>
      </w:pPr>
      <w:r>
        <w:t xml:space="preserve">8.1 Restatement of the Question</w:t>
      </w:r>
    </w:p>
    <w:p>
      <w:pPr>
        <w:pStyle w:val="FirstParagraph"/>
        <w:spacing w:line="480" w:lineRule="auto"/>
      </w:pPr>
      <w:r>
        <w:t xml:space="preserve">This dissertation asked a single operational question. Holding mission resources constant, what is the value of the information that a planetary spacecraft generates when it is permitted to choose its own next scientific target, net of what a latency-bound ground loop would have selected in the same opportunity? The prospectus framed that question as a value-of-information problem rather than as an architectural taxonomy, on the grounds that the design-review decision that gates flight autonomy is economic before it is technical and that the relevant economic primitive is the marginal science yield attributable to the decision locus</w:t>
      </w:r>
      <w:r>
        <w:t xml:space="preserve"> </w:t>
      </w:r>
      <w:hyperlink w:anchor="ref-4">
        <w:r>
          <w:rPr>
            <w:rStyle w:val="Hyperlink"/>
          </w:rPr>
          <w:t xml:space="preserve">[4]</w:t>
        </w:r>
      </w:hyperlink>
      <w:r>
        <w:t xml:space="preserve">. The two research papers in the body of the dissertation operationalized that primitive at two complementary scales. The first paper estimated a level, the marginal science yield per sol associated with the share of targets selected onboard, on a panel of twenty-eight sol-blocks drawn from three Mars rovers on which the Autonomous Exploration for Gathering Increased Science (AEGIS) system has flown [7, 8, 9, 10]. The second paper estimated a slope, the experience elasticity of per-sol science yield with respect to cumulative autonomous-targeting sols, on a thirty-bin cross-mission panel covering the same three deployments [1, 4, 7, 9, 10, 12, 13, 14, 15]. Together the level and the slope constitute the falsifiable, numerical answer the prospectus committed to deliver.</w:t>
      </w:r>
    </w:p>
    <w:bookmarkEnd w:id="151"/>
    <w:bookmarkStart w:id="152" w:name="synthesis-of-the-argument"/>
    <w:p>
      <w:pPr>
        <w:pStyle w:val="Heading2"/>
        <w:spacing w:line="480" w:lineRule="auto"/>
      </w:pPr>
      <w:r>
        <w:t xml:space="preserve">8.2 Synthesis of the Argument</w:t>
      </w:r>
    </w:p>
    <w:p>
      <w:pPr>
        <w:pStyle w:val="FirstParagraph"/>
        <w:spacing w:line="480" w:lineRule="auto"/>
      </w:pPr>
      <w:r>
        <w:t xml:space="preserve">The argument moves in four steps and the chapters are the rungs.</w:t>
      </w:r>
    </w:p>
    <w:p>
      <w:pPr>
        <w:pStyle w:val="BodyText"/>
        <w:spacing w:line="480" w:lineRule="auto"/>
        <w:ind w:firstLine="720"/>
      </w:pPr>
      <w:r>
        <w:t xml:space="preserve">Start at the bottom. The first step, developed in the early chapters and consolidated in the prospectus, is that the operational metric for the value of an autonomous targeting decision is the expected information gain captured by the chosen observation. That choice of metric is not a stylistic preference. It is the metric the autonomous sensor-tasking literature has converged on across single-sensor schedulers</w:t>
      </w:r>
      <w:r>
        <w:t xml:space="preserve"> </w:t>
      </w:r>
      <w:hyperlink w:anchor="ref-2">
        <w:r>
          <w:rPr>
            <w:rStyle w:val="Hyperlink"/>
          </w:rPr>
          <w:t xml:space="preserve">[2]</w:t>
        </w:r>
      </w:hyperlink>
      <w:r>
        <w:t xml:space="preserve">, reinforcement-learning policies</w:t>
      </w:r>
      <w:r>
        <w:t xml:space="preserve"> </w:t>
      </w:r>
      <w:hyperlink w:anchor="ref-3">
        <w:r>
          <w:rPr>
            <w:rStyle w:val="Hyperlink"/>
          </w:rPr>
          <w:t xml:space="preserve">[3]</w:t>
        </w:r>
      </w:hyperlink>
      <w:r>
        <w:t xml:space="preserve">, multi-sensor swarms</w:t>
      </w:r>
      <w:r>
        <w:t xml:space="preserve"> </w:t>
      </w:r>
      <w:hyperlink w:anchor="ref-5">
        <w:r>
          <w:rPr>
            <w:rStyle w:val="Hyperlink"/>
          </w:rPr>
          <w:t xml:space="preserve">[5]</w:t>
        </w:r>
      </w:hyperlink>
      <w:r>
        <w:t xml:space="preserve">, decentralized networks</w:t>
      </w:r>
      <w:r>
        <w:t xml:space="preserve"> </w:t>
      </w:r>
      <w:hyperlink w:anchor="ref-6">
        <w:r>
          <w:rPr>
            <w:rStyle w:val="Hyperlink"/>
          </w:rPr>
          <w:t xml:space="preserve">[6]</w:t>
        </w:r>
      </w:hyperlink>
      <w:r>
        <w:t xml:space="preserve">, heterogeneous networks</w:t>
      </w:r>
      <w:r>
        <w:t xml:space="preserve"> </w:t>
      </w:r>
      <w:hyperlink w:anchor="ref-11">
        <w:r>
          <w:rPr>
            <w:rStyle w:val="Hyperlink"/>
          </w:rPr>
          <w:t xml:space="preserve">[11]</w:t>
        </w:r>
      </w:hyperlink>
      <w:r>
        <w:t xml:space="preserve">, and adjacent guidance-and-tasking problems for spacecraft-to-spacecraft tracking</w:t>
      </w:r>
      <w:r>
        <w:t xml:space="preserve"> </w:t>
      </w:r>
      <w:hyperlink w:anchor="ref-20">
        <w:r>
          <w:rPr>
            <w:rStyle w:val="Hyperlink"/>
          </w:rPr>
          <w:t xml:space="preserve">[20]</w:t>
        </w:r>
      </w:hyperlink>
      <w:r>
        <w:t xml:space="preserve"> </w:t>
      </w:r>
      <w:r>
        <w:t xml:space="preserve">and serendipitous boresight tasking</w:t>
      </w:r>
      <w:r>
        <w:t xml:space="preserve"> </w:t>
      </w:r>
      <w:hyperlink w:anchor="ref-23">
        <w:r>
          <w:rPr>
            <w:rStyle w:val="Hyperlink"/>
          </w:rPr>
          <w:t xml:space="preserve">[23]</w:t>
        </w:r>
      </w:hyperlink>
      <w:r>
        <w:t xml:space="preserve">. The first analytical contribution of this dissertation is to carry that metric out of the space-surveillance domain, where it grades catalog maintenance, into the in-situ planetary-science domain, where it grades discovery. The translation is not mechanical. Discovery is not catalog uncertainty reduction. The translation is defended in the body of the dissertation by showing that AEGIS-class onboard scoring of geochemical and morphological target features generates a ranking with documented predictive content for downstream archival use [7, 8, 10], which is the empirical correlate of expected information gain in the scientific-discovery setting.</w:t>
      </w:r>
    </w:p>
    <w:p>
      <w:pPr>
        <w:pStyle w:val="BodyText"/>
        <w:spacing w:line="480" w:lineRule="auto"/>
        <w:ind w:firstLine="720"/>
      </w:pPr>
      <w:r>
        <w:t xml:space="preserve">The second step, developed in research paper one, is the level estimate. Holding traverse distance and downlink bandwidth constant, an ordinary-least-squares regression on the twenty-eight sol-block panel returns a coefficient on autonomous target share of 3.0765 yield-index points across the full unit range, with a heteroskedasticity-consistent standard error of 0.2903 and a p-value indistinguishable from zero. Read at the inner quartile of MSL operational variation, a ten-point lift in autonomy share is associated with roughly 0.31 yield-index points per sol. The fit explains 99.8 percent of the variance, an R-squared that the prospectus did not assume and that, on operational data, is high enough to require the explicit caveats the paper then enters: the cross-mission autonomy contrast is partly collinear with platform-specific instrument generation, and the dependent variable shares construction logic with the operational papers from which the panel is built. With those caveats stated, the level coefficient is positive, statistically distinguishable from zero, and consistent in sign and magnitude with the value-of-information frame</w:t>
      </w:r>
      <w:r>
        <w:t xml:space="preserve"> </w:t>
      </w:r>
      <w:hyperlink w:anchor="ref-4">
        <w:r>
          <w:rPr>
            <w:rStyle w:val="Hyperlink"/>
          </w:rPr>
          <w:t xml:space="preserve">[4]</w:t>
        </w:r>
      </w:hyperlink>
      <w:r>
        <w:t xml:space="preserve">. Downlink bandwidth and traverse distance enter as predicted, with marginal products that confirm downlink as the binding return channel and traverse as a competing claim on sol-level resources.</w:t>
      </w:r>
    </w:p>
    <w:p>
      <w:pPr>
        <w:pStyle w:val="BodyText"/>
        <w:spacing w:line="480" w:lineRule="auto"/>
        <w:ind w:firstLine="720"/>
      </w:pPr>
      <w:r>
        <w:t xml:space="preserve">The third step, developed in research paper two, is the slope estimate. The three AEGIS deployments span more than two orders of magnitude of cumulative autonomous-targeting experience and three distinct science instruments, which is the regime in which a log-log learning-curve specification is well identified. The log-log regression returns an experience elasticity of 0.2198 with a heteroskedasticity-consistent standard error of 0.0175 and a 95 percent confidence interval of 0.1854 to 0.2542 on a panel of thirty observing bins, with an R-squared of 0.889. The implied progress factor is two raised to 0.2198, approximately 1.165, so each doubling of cumulative autonomous-targeting sols is associated with roughly a sixteen-and-a-half percent increase in mean per-sol science yield across the AEGIS-class panel. The slope is identified across, not within, missions, which is the substantive cross-mission claim the prospectus reserved for this paper. The slope is positive, tightly fitted, and diminishing in the right shape for a target-selection skill that approaches an asymptotic ceiling set by instrument capability and local target field.</w:t>
      </w:r>
    </w:p>
    <w:p>
      <w:pPr>
        <w:pStyle w:val="BodyText"/>
        <w:spacing w:line="480" w:lineRule="auto"/>
        <w:ind w:firstLine="720"/>
      </w:pPr>
      <w:r>
        <w:t xml:space="preserve">Step four is the one this chapter consolidates: the level and the slope are not redundant but complementary. The level estimate answers the design-review question of how much science the autonomy returns at a given level of authority. The slope estimate answers the planning question of how that return evolves as the autonomy accumulates operating experience along a cross-mission curve. A mission planner who carries only the level into a review will overstate the long-horizon yield case if the curve is flattening and understate it if the curve is rising. A planner who carries only the slope will be unable to size the absolute return on the first sol of the new deployment. The two estimates together produce a defensible elasticity surface, anchored at the AEGIS panel and disciplined by the within-mission level identification, that a mission planner can take into a design review and operate on. That surface is the synthesis the prospectus promised.</w:t>
      </w:r>
    </w:p>
    <w:bookmarkEnd w:id="152"/>
    <w:bookmarkStart w:id="153" w:name="contribution-to-knowledge"/>
    <w:p>
      <w:pPr>
        <w:pStyle w:val="Heading2"/>
        <w:spacing w:line="480" w:lineRule="auto"/>
      </w:pPr>
      <w:r>
        <w:t xml:space="preserve">8.3 Contribution to Knowledge</w:t>
      </w:r>
    </w:p>
    <w:p>
      <w:pPr>
        <w:pStyle w:val="FirstParagraph"/>
        <w:spacing w:line="480" w:lineRule="auto"/>
      </w:pPr>
      <w:r>
        <w:t xml:space="preserve">The contribution of this dissertation is one estimate at two scales, supplied with calibrated standard errors and a falsifiable null at each scale. It is not the design of a new autonomy system, not a new information-gain metric, and not a new mission architecture. It is the first published, counterfactually disciplined, dollar-and-bit accounting of the science return attributable to onboard decision authority on planetary missions, expressed in units a mission planner already uses.</w:t>
      </w:r>
    </w:p>
    <w:p>
      <w:pPr>
        <w:pStyle w:val="BodyText"/>
        <w:spacing w:line="480" w:lineRule="auto"/>
        <w:ind w:firstLine="720"/>
      </w:pPr>
      <w:r>
        <w:t xml:space="preserve">Three specific points of incremental contribution are worth marking against the literature the prospectus identified as the bracketing gap.</w:t>
      </w:r>
    </w:p>
    <w:p>
      <w:pPr>
        <w:pStyle w:val="BodyText"/>
        <w:spacing w:line="480" w:lineRule="auto"/>
        <w:ind w:firstLine="720"/>
      </w:pPr>
      <w:r>
        <w:t xml:space="preserve">First, the dissertation closes the metric-translation gap between space-surveillance autonomy and planetary-science autonomy. The space-surveillance literature has matured an information-gain calculus across single-sensor</w:t>
      </w:r>
      <w:r>
        <w:t xml:space="preserve"> </w:t>
      </w:r>
      <w:hyperlink w:anchor="ref-2">
        <w:r>
          <w:rPr>
            <w:rStyle w:val="Hyperlink"/>
          </w:rPr>
          <w:t xml:space="preserve">[2]</w:t>
        </w:r>
      </w:hyperlink>
      <w:r>
        <w:t xml:space="preserve">, learning-based</w:t>
      </w:r>
      <w:r>
        <w:t xml:space="preserve"> </w:t>
      </w:r>
      <w:hyperlink w:anchor="ref-3">
        <w:r>
          <w:rPr>
            <w:rStyle w:val="Hyperlink"/>
          </w:rPr>
          <w:t xml:space="preserve">[3]</w:t>
        </w:r>
      </w:hyperlink>
      <w:r>
        <w:t xml:space="preserve">, swarm</w:t>
      </w:r>
      <w:r>
        <w:t xml:space="preserve"> </w:t>
      </w:r>
      <w:hyperlink w:anchor="ref-5">
        <w:r>
          <w:rPr>
            <w:rStyle w:val="Hyperlink"/>
          </w:rPr>
          <w:t xml:space="preserve">[5]</w:t>
        </w:r>
      </w:hyperlink>
      <w:r>
        <w:t xml:space="preserve">, decentralized</w:t>
      </w:r>
      <w:r>
        <w:t xml:space="preserve"> </w:t>
      </w:r>
      <w:hyperlink w:anchor="ref-6">
        <w:r>
          <w:rPr>
            <w:rStyle w:val="Hyperlink"/>
          </w:rPr>
          <w:t xml:space="preserve">[6]</w:t>
        </w:r>
      </w:hyperlink>
      <w:r>
        <w:t xml:space="preserve">, heterogeneous</w:t>
      </w:r>
      <w:r>
        <w:t xml:space="preserve"> </w:t>
      </w:r>
      <w:hyperlink w:anchor="ref-11">
        <w:r>
          <w:rPr>
            <w:rStyle w:val="Hyperlink"/>
          </w:rPr>
          <w:t xml:space="preserve">[11]</w:t>
        </w:r>
      </w:hyperlink>
      <w:r>
        <w:t xml:space="preserve">, and guidance-coupled [20, 23] settings, but it has graded catalog maintenance rather than discovery. This dissertation imports the information-gain metric into the in-situ planetary-science setting, defends the translation against the AEGIS operational record [7, 8, 9, 10], and demonstrates that the translated metric admits a regression treatment with the identification strategy the planetary-exploration literature</w:t>
      </w:r>
      <w:r>
        <w:t xml:space="preserve"> </w:t>
      </w:r>
      <w:hyperlink w:anchor="ref-1">
        <w:r>
          <w:rPr>
            <w:rStyle w:val="Hyperlink"/>
          </w:rPr>
          <w:t xml:space="preserve">[1]</w:t>
        </w:r>
      </w:hyperlink>
      <w:r>
        <w:t xml:space="preserve"> </w:t>
      </w:r>
      <w:r>
        <w:t xml:space="preserve">had not previously applied.</w:t>
      </w:r>
    </w:p>
    <w:p>
      <w:pPr>
        <w:pStyle w:val="BodyText"/>
        <w:spacing w:line="480" w:lineRule="auto"/>
        <w:ind w:firstLine="720"/>
      </w:pPr>
      <w:r>
        <w:t xml:space="preserve">Second, the dissertation closes the level-estimate gap. The planetary-exploration literature had demonstrated semi-autonomous targeting in the field and graded it by traverse success and habitability-assessment quality</w:t>
      </w:r>
      <w:r>
        <w:t xml:space="preserve"> </w:t>
      </w:r>
      <w:hyperlink w:anchor="ref-1">
        <w:r>
          <w:rPr>
            <w:rStyle w:val="Hyperlink"/>
          </w:rPr>
          <w:t xml:space="preserve">[1]</w:t>
        </w:r>
      </w:hyperlink>
      <w:r>
        <w:t xml:space="preserve">, and the agent-based mission-management literature had surveyed the architectural design space without quantifying the science-return consequences of any particular allocation of decision authority</w:t>
      </w:r>
      <w:r>
        <w:t xml:space="preserve"> </w:t>
      </w:r>
      <w:hyperlink w:anchor="ref-4">
        <w:r>
          <w:rPr>
            <w:rStyle w:val="Hyperlink"/>
          </w:rPr>
          <w:t xml:space="preserve">[4]</w:t>
        </w:r>
      </w:hyperlink>
      <w:r>
        <w:t xml:space="preserve">. Research paper one produces the missing number: a coefficient of 3.08 on autonomy share, conditional on traverse and downlink, with a p-value indistinguishable from zero on the twenty-eight sol-block panel. That number is the level the prospectus committed to estimate.</w:t>
      </w:r>
    </w:p>
    <w:p>
      <w:pPr>
        <w:pStyle w:val="BodyText"/>
        <w:spacing w:line="480" w:lineRule="auto"/>
        <w:ind w:firstLine="720"/>
      </w:pPr>
      <w:r>
        <w:t xml:space="preserve">Third, the dissertation closes the slope-estimate gap. Research paper two produces a cross-mission experience elasticity of 0.22, which the agent-based mission-management literature had treated as a research challenge but had not fitted</w:t>
      </w:r>
      <w:r>
        <w:t xml:space="preserve"> </w:t>
      </w:r>
      <w:hyperlink w:anchor="ref-4">
        <w:r>
          <w:rPr>
            <w:rStyle w:val="Hyperlink"/>
          </w:rPr>
          <w:t xml:space="preserve">[4]</w:t>
        </w:r>
      </w:hyperlink>
      <w:r>
        <w:t xml:space="preserve">, and which the planetary-exploration literature had not parameterized as a learning curve [1, 10]. That elasticity is the slope the prospectus committed to estimate. The combined level-and-slope contribution is the single, integrated estimate the dissertation set out to produce.</w:t>
      </w:r>
    </w:p>
    <w:p>
      <w:pPr>
        <w:pStyle w:val="BodyText"/>
        <w:spacing w:line="480" w:lineRule="auto"/>
        <w:ind w:firstLine="720"/>
      </w:pPr>
      <w:r>
        <w:t xml:space="preserve">A fourth contribution, methodological rather than substantive, is the within-mission counterfactual design. The identification strategy interleaves autonomously selected and ground-commanded observations within the same traverse and orbit, holds instrument and local target field constant, and uses orbital-geometry-driven communication latency as the source of exogenous variation in the assignment of decision locus where assignment is otherwise endogenous. That design is portable. It is available to any future mission whose operational record interleaves the two decision loci, and it is not specific to AEGIS or to the Mars surface case. The portability matters because the dissertation’s empirical reach is bounded by the AEGIS panel, and the methodological reach is what extends the contribution beyond it.</w:t>
      </w:r>
    </w:p>
    <w:bookmarkEnd w:id="153"/>
    <w:bookmarkStart w:id="154" w:name="boundaries-of-the-claim"/>
    <w:p>
      <w:pPr>
        <w:pStyle w:val="Heading2"/>
        <w:spacing w:line="480" w:lineRule="auto"/>
      </w:pPr>
      <w:r>
        <w:t xml:space="preserve">8.4 Boundaries of the Claim</w:t>
      </w:r>
    </w:p>
    <w:p>
      <w:pPr>
        <w:pStyle w:val="FirstParagraph"/>
        <w:spacing w:line="480" w:lineRule="auto"/>
      </w:pPr>
      <w:r>
        <w:t xml:space="preserve">The contribution is bounded in four respects, each acknowledged in the body of the dissertation and worth restating at the close.</w:t>
      </w:r>
    </w:p>
    <w:p>
      <w:pPr>
        <w:pStyle w:val="BodyText"/>
        <w:spacing w:line="480" w:lineRule="auto"/>
        <w:ind w:firstLine="720"/>
      </w:pPr>
      <w:r>
        <w:t xml:space="preserve">Begin with the data. The empirical panel is the three Mars surface missions on which AEGIS has flown [7, 8, 9, 10, 12, 13, 14, 15]. The level estimate and the experience elasticity are calibrated on that panel and on no other. Extrapolation to orbital remote-sensing, to outer-planet missions, and to deep-space high-latency regimes is supported by the latency interaction in the level specification and by the cross-mission portability of the slope specification, but is not directly tested. The prospectus reserved that test for future work and this chapter does not retract the reservation.</w:t>
      </w:r>
    </w:p>
    <w:p>
      <w:pPr>
        <w:pStyle w:val="BodyText"/>
        <w:spacing w:line="480" w:lineRule="auto"/>
        <w:ind w:firstLine="720"/>
      </w:pPr>
      <w:r>
        <w:t xml:space="preserve">The information-gain operationalization captures a continuous component of science yield. Categorical discovery, the unexpected detection that changes a mission’s scientific posture, is not well represented by an expected-information-gain metric and is the residual the sensitivity analysis with an independent expert-rated science-merit score is designed to bound. The bound is consistent with the level estimate and does not overturn its sign.</w:t>
      </w:r>
    </w:p>
    <w:p>
      <w:pPr>
        <w:pStyle w:val="BodyText"/>
        <w:spacing w:line="480" w:lineRule="auto"/>
        <w:ind w:firstLine="720"/>
      </w:pPr>
      <w:r>
        <w:t xml:space="preserve">The dependent variable in research paper one shares construction logic with the operational papers from which the panel is built [7, 8]. The robust standard errors widen the confidence intervals but do not purge correlated measurement error. The slope estimate in research paper two does not share that construction logic at the same level of intimacy because the experience axis is computed from independent mission-status milestones, but the dependent variable inherits the same caveat at the bin midpoints.</w:t>
      </w:r>
    </w:p>
    <w:p>
      <w:pPr>
        <w:pStyle w:val="BodyText"/>
        <w:spacing w:line="480" w:lineRule="auto"/>
        <w:ind w:firstLine="720"/>
      </w:pPr>
      <w:r>
        <w:t xml:space="preserve">A fourth bound concerns collinearity. The autonomy contrast across missions is partly confounded with platform-specific instrument generation, and the level coefficient absorbs a share of that effect. The dissertation reports the absorption rather than denies it, and the experience elasticity is the cross-mission estimate that is least sensitive to it, because the elasticity is fitted on a log-log surface in which an instrument-generation level shift does not bias the slope unless the shift is itself a function of cumulative experience, which the panel does not support.</w:t>
      </w:r>
    </w:p>
    <w:p>
      <w:pPr>
        <w:pStyle w:val="BodyText"/>
        <w:spacing w:line="480" w:lineRule="auto"/>
        <w:ind w:firstLine="720"/>
      </w:pPr>
      <w:r>
        <w:t xml:space="preserve">The combined effect of these four bounds is to constrain the dissertation’s claim to what the panel can support: a level and a slope on the AEGIS-class Mars surface case, with portable methods and a directionally honest extrapolation rule.</w:t>
      </w:r>
    </w:p>
    <w:bookmarkEnd w:id="154"/>
    <w:bookmarkStart w:id="155" w:name="implications-for-mission-design"/>
    <w:p>
      <w:pPr>
        <w:pStyle w:val="Heading2"/>
        <w:spacing w:line="480" w:lineRule="auto"/>
      </w:pPr>
      <w:r>
        <w:t xml:space="preserve">8.5 Implications for Mission Design</w:t>
      </w:r>
    </w:p>
    <w:p>
      <w:pPr>
        <w:pStyle w:val="FirstParagraph"/>
        <w:spacing w:line="480" w:lineRule="auto"/>
      </w:pPr>
      <w:r>
        <w:t xml:space="preserve">The dissertation’s two numbers map onto two operational questions that a planetary mission program office already asks at the design-review stage.</w:t>
      </w:r>
    </w:p>
    <w:p>
      <w:pPr>
        <w:pStyle w:val="BodyText"/>
        <w:spacing w:line="480" w:lineRule="auto"/>
        <w:ind w:firstLine="720"/>
      </w:pPr>
      <w:r>
        <w:t xml:space="preserve">Ask first about grant size. How much onboard targeting authority should a mission cede on first deployment? The level estimate supplies the answer at the margin. A ten-point lift in autonomy share is associated with about a tenth of a yield-index point per sol, downlink and traverse held constant. Compounded across a multi-thousand-sol mission, that margin is not small relative to the verification, validation, and operational-risk burden the autonomy imposes, and the sign of the trade-off is positive at every realistic point on the autonomy-share axis the AEGIS record covers.</w:t>
      </w:r>
    </w:p>
    <w:p>
      <w:pPr>
        <w:pStyle w:val="BodyText"/>
        <w:spacing w:line="480" w:lineRule="auto"/>
        <w:ind w:firstLine="720"/>
      </w:pPr>
      <w:r>
        <w:t xml:space="preserve">Ask next about maturation. How should a program plan for yield improvement as the deployment matures? The slope estimate supplies the answer. Each doubling of cumulative autonomous-targeting sols is associated with about a sixteen-and-a-half percent increase in mean per-sol yield, diminishing in the right shape. A program office that schedules its yield-improvement expectations on a log-linear curve fitted to the AEGIS panel will be neither over-optimistic in the long horizon nor under-resourced in the short one. The slope is also the right input to a portfolio decision about whether to fund a new AEGIS-class deployment on a non-Mars platform, because the cross-mission portability of the slope is the empirical case for treating AEGIS-class onboard targeting as a transferable technology rather than a per-mission bespoke capability</w:t>
      </w:r>
      <w:r>
        <w:t xml:space="preserve"> </w:t>
      </w:r>
      <w:hyperlink w:anchor="ref-4">
        <w:r>
          <w:rPr>
            <w:rStyle w:val="Hyperlink"/>
          </w:rPr>
          <w:t xml:space="preserve">[4]</w:t>
        </w:r>
      </w:hyperlink>
      <w:r>
        <w:t xml:space="preserve">.</w:t>
      </w:r>
    </w:p>
    <w:p>
      <w:pPr>
        <w:pStyle w:val="BodyText"/>
        <w:spacing w:line="480" w:lineRule="auto"/>
        <w:ind w:firstLine="720"/>
      </w:pPr>
      <w:r>
        <w:t xml:space="preserve">These two numbers do not displace the engineering judgment a mission design review brings to bear. They discipline it.</w:t>
      </w:r>
    </w:p>
    <w:bookmarkEnd w:id="155"/>
    <w:bookmarkStart w:id="156" w:name="closing-statement"/>
    <w:p>
      <w:pPr>
        <w:pStyle w:val="Heading2"/>
        <w:spacing w:line="480" w:lineRule="auto"/>
      </w:pPr>
      <w:r>
        <w:t xml:space="preserve">8.6 Closing Statement</w:t>
      </w:r>
    </w:p>
    <w:p>
      <w:pPr>
        <w:pStyle w:val="FirstParagraph"/>
        <w:spacing w:line="480" w:lineRule="auto"/>
      </w:pPr>
      <w:r>
        <w:t xml:space="preserve">The dissertation began with a sentence that committed it to a single falsifiable contribution: an estimate of the marginal science yield attributable to onboard autonomous targeting authority, expressed in units a mission planner can carry into a design review. The two research papers deliver that estimate at the two scales the operational question requires. The level is 3.08 yield-index points across the full autonomy-share range on the twenty-eight sol-block panel, statistically indistinguishable from a tight zero on the null. The slope is an experience elasticity of 0.22 on the thirty-bin cross-mission panel, with a 95 percent confidence interval that excludes zero by a wide margin. The two estimates are consistent with the value-of-information frame the prospectus advanced and with the information-gain metric the autonomous sensor-tasking literature has converged on, and they close the empirical gap the planetary-exploration and agent-based mission-management literatures had left open. The contribution is one estimate at two scales, calibrated on the AEGIS-class Mars surface panel, identified by a within-mission counterfactual and a cross-mission log-log surface, bounded by the four caveats the body of the dissertation has carried throughout, and portable in method beyond the panel on which it was fitted. That estimate is the dissertation’s claim on knowledge, and it is the claim a mission planner can now operate on.</w:t>
      </w:r>
    </w:p>
    <w:bookmarkEnd w:id="156"/>
    <w:bookmarkStart w:id="206" w:name="references"/>
    <w:p>
      <w:pPr>
        <w:pStyle w:val="Heading2"/>
        <w:spacing w:line="480" w:lineRule="auto"/>
      </w:pPr>
      <w:r>
        <w:t xml:space="preserve">References</w:t>
      </w:r>
    </w:p>
    <w:p>
      <w:pPr>
        <w:pStyle w:val="FirstParagraph"/>
        <w:spacing w:line="480" w:lineRule="auto"/>
      </w:pPr>
      <w:bookmarkStart w:id="157" w:name="ref-1"/>
      <w:bookmarkEnd w:id="157"/>
      <w:r>
        <w:t xml:space="preserve">1. R. A. Yingst, J. A. Berger, B. A. Cohen, B. M. Hynek, and M. E. Schmidt,</w:t>
      </w:r>
      <w:r>
        <w:t xml:space="preserve"> </w:t>
      </w:r>
      <w:r>
        <w:t xml:space="preserve">“Determining best practices in reconnoitering sites for habitability potential on Mars using a semi-autonomous rover: A GeoHeuristic Operational Strategies Test,”</w:t>
      </w:r>
      <w:r>
        <w:t xml:space="preserve"> </w:t>
      </w:r>
      <w:r>
        <w:rPr>
          <w:i/>
          <w:iCs/>
        </w:rPr>
        <w:t xml:space="preserve">Acta Astronautica</w:t>
      </w:r>
      <w:r>
        <w:t xml:space="preserve">, vol. 132, 2016. doi:</w:t>
      </w:r>
      <w:r>
        <w:t xml:space="preserve"> </w:t>
      </w:r>
      <w:hyperlink r:id="rId158">
        <w:r>
          <w:rPr>
            <w:rStyle w:val="Hyperlink"/>
          </w:rPr>
          <w:t xml:space="preserve">10.1016/j.actaastro.2016.12.018</w:t>
        </w:r>
      </w:hyperlink>
    </w:p>
    <w:p>
      <w:pPr>
        <w:pStyle w:val="BodyText"/>
        <w:spacing w:line="480" w:lineRule="auto"/>
        <w:ind w:firstLine="720"/>
      </w:pPr>
      <w:bookmarkStart w:id="159" w:name="ref-2"/>
      <w:bookmarkEnd w:id="159"/>
      <w:r>
        <w:t xml:space="preserve">2. J. Ferreira, I. Hussein, J. Gerber, and R. Sivilli,</w:t>
      </w:r>
      <w:r>
        <w:t xml:space="preserve"> </w:t>
      </w:r>
      <w:r>
        <w:t xml:space="preserve">“Optimal SSN Tasking to Enhance Real-time Space Situational Awareness,”</w:t>
      </w:r>
      <w:r>
        <w:t xml:space="preserve"> </w:t>
      </w:r>
      <w:r>
        <w:t xml:space="preserve">in</w:t>
      </w:r>
      <w:r>
        <w:t xml:space="preserve"> </w:t>
      </w:r>
      <w:r>
        <w:rPr>
          <w:i/>
          <w:iCs/>
        </w:rPr>
        <w:t xml:space="preserve">Proc. Advanced Maui Optical and Space Surveillance Technologies (AMOS) Conference</w:t>
      </w:r>
      <w:r>
        <w:t xml:space="preserve">, 2016.</w:t>
      </w:r>
    </w:p>
    <w:p>
      <w:pPr>
        <w:pStyle w:val="BodyText"/>
        <w:spacing w:line="480" w:lineRule="auto"/>
        <w:ind w:firstLine="720"/>
      </w:pPr>
      <w:bookmarkStart w:id="160" w:name="ref-3"/>
      <w:bookmarkEnd w:id="160"/>
      <w:r>
        <w:t xml:space="preserve">3. D. Huterer Prats, H. Schaub, and C. Wheeler,</w:t>
      </w:r>
      <w:r>
        <w:t xml:space="preserve"> </w:t>
      </w:r>
      <w:r>
        <w:t xml:space="preserve">“Reinforcement Learning for Space-to-Space Surveillance: Autonomous Scheduling for Resident Space Object Imaging,”</w:t>
      </w:r>
      <w:r>
        <w:t xml:space="preserve"> </w:t>
      </w:r>
      <w:r>
        <w:t xml:space="preserve">in</w:t>
      </w:r>
      <w:r>
        <w:t xml:space="preserve"> </w:t>
      </w:r>
      <w:r>
        <w:rPr>
          <w:i/>
          <w:iCs/>
        </w:rPr>
        <w:t xml:space="preserve">Proc. Advanced Maui Optical and Space Surveillance Technologies (AMOS) Conference</w:t>
      </w:r>
      <w:r>
        <w:t xml:space="preserve">, 2025. doi:</w:t>
      </w:r>
      <w:r>
        <w:t xml:space="preserve"> </w:t>
      </w:r>
      <w:hyperlink r:id="rId161">
        <w:r>
          <w:rPr>
            <w:rStyle w:val="Hyperlink"/>
          </w:rPr>
          <w:t xml:space="preserve">10.64861/DDFP2152</w:t>
        </w:r>
      </w:hyperlink>
    </w:p>
    <w:p>
      <w:pPr>
        <w:pStyle w:val="BodyText"/>
        <w:spacing w:line="480" w:lineRule="auto"/>
        <w:ind w:firstLine="720"/>
      </w:pPr>
      <w:bookmarkStart w:id="162" w:name="ref-4"/>
      <w:bookmarkEnd w:id="162"/>
      <w:r>
        <w:t xml:space="preserve">4. M. R. Jabbarpour, Q. B. Vo, G. El-Dalahmeh, H. Tahir, R. Kowalczyk, T. Bessell, and J. Barr,</w:t>
      </w:r>
      <w:r>
        <w:t xml:space="preserve"> </w:t>
      </w:r>
      <w:r>
        <w:t xml:space="preserve">“Agent-based approaches for distributed space systems and mission management: Methodologies, current practices and challenges,”</w:t>
      </w:r>
      <w:r>
        <w:t xml:space="preserve"> </w:t>
      </w:r>
      <w:r>
        <w:rPr>
          <w:i/>
          <w:iCs/>
        </w:rPr>
        <w:t xml:space="preserve">Acta Astronautica</w:t>
      </w:r>
      <w:r>
        <w:t xml:space="preserve">, vol. 238, 2025. doi:</w:t>
      </w:r>
      <w:r>
        <w:t xml:space="preserve"> </w:t>
      </w:r>
      <w:hyperlink r:id="rId163">
        <w:r>
          <w:rPr>
            <w:rStyle w:val="Hyperlink"/>
          </w:rPr>
          <w:t xml:space="preserve">10.1016/j.actaastro.2025.10.018</w:t>
        </w:r>
      </w:hyperlink>
    </w:p>
    <w:p>
      <w:pPr>
        <w:pStyle w:val="BodyText"/>
        <w:spacing w:line="480" w:lineRule="auto"/>
        <w:ind w:firstLine="720"/>
      </w:pPr>
      <w:bookmarkStart w:id="164" w:name="ref-5"/>
      <w:bookmarkEnd w:id="164"/>
      <w:r>
        <w:t xml:space="preserve">5. L. Weis and I. Hussein,</w:t>
      </w:r>
      <w:r>
        <w:t xml:space="preserve"> </w:t>
      </w:r>
      <w:r>
        <w:t xml:space="preserve">“Orbit Design of an Autonomous Space-Based SSA Swarm: Distributed Deep Learning at the Edge,”</w:t>
      </w:r>
      <w:r>
        <w:t xml:space="preserve"> </w:t>
      </w:r>
      <w:r>
        <w:t xml:space="preserve">in</w:t>
      </w:r>
      <w:r>
        <w:t xml:space="preserve"> </w:t>
      </w:r>
      <w:r>
        <w:rPr>
          <w:i/>
          <w:iCs/>
        </w:rPr>
        <w:t xml:space="preserve">Proc. Advanced Maui Optical and Space Surveillance Technologies (AMOS) Conference</w:t>
      </w:r>
      <w:r>
        <w:t xml:space="preserve">, 2019.</w:t>
      </w:r>
    </w:p>
    <w:p>
      <w:pPr>
        <w:pStyle w:val="BodyText"/>
        <w:spacing w:line="480" w:lineRule="auto"/>
        <w:ind w:firstLine="720"/>
      </w:pPr>
      <w:bookmarkStart w:id="165" w:name="ref-6"/>
      <w:bookmarkEnd w:id="165"/>
      <w:r>
        <w:t xml:space="preserve">6. R. Carden, D. Burchett, and H. Reed,</w:t>
      </w:r>
      <w:r>
        <w:t xml:space="preserve"> </w:t>
      </w:r>
      <w:r>
        <w:t xml:space="preserve">“SNARE (Sensor Network Autonomous Resilient Extensible): Decentralized Sensor Tasking Improves SDA Tactical Relevance,”</w:t>
      </w:r>
      <w:r>
        <w:t xml:space="preserve"> </w:t>
      </w:r>
      <w:r>
        <w:t xml:space="preserve">in</w:t>
      </w:r>
      <w:r>
        <w:t xml:space="preserve"> </w:t>
      </w:r>
      <w:r>
        <w:rPr>
          <w:i/>
          <w:iCs/>
        </w:rPr>
        <w:t xml:space="preserve">Proc. Advanced Maui Optical and Space Surveillance Technologies (AMOS) Conference</w:t>
      </w:r>
      <w:r>
        <w:t xml:space="preserve">, 2021.</w:t>
      </w:r>
    </w:p>
    <w:p>
      <w:pPr>
        <w:pStyle w:val="BodyText"/>
        <w:spacing w:line="480" w:lineRule="auto"/>
        <w:ind w:firstLine="720"/>
      </w:pPr>
      <w:bookmarkStart w:id="166" w:name="ref-7"/>
      <w:bookmarkEnd w:id="166"/>
      <w:r>
        <w:t xml:space="preserve">7. R. Francis, T. Estlin, G. Doran, S. Johnstone, D. Gaines, V. Verma, M. Burl, J. Frydenvang, S. Montaño, R. C. Wiens, S. Schaffer, O. Gasnault, L. DeFlores, D. Blaney, and B. Bornstein.</w:t>
      </w:r>
      <w:r>
        <w:t xml:space="preserve"> </w:t>
      </w:r>
      <w:r>
        <w:t xml:space="preserve">“AEGIS autonomous targeting for ChemCam on Mars Science Laboratory: Deployment and results of initial science team use.”</w:t>
      </w:r>
      <w:r>
        <w:t xml:space="preserve"> </w:t>
      </w:r>
      <w:r>
        <w:t xml:space="preserve">Science Robotics, 2(7), 2017. doi:</w:t>
      </w:r>
      <w:r>
        <w:t xml:space="preserve"> </w:t>
      </w:r>
      <w:hyperlink r:id="rId167">
        <w:r>
          <w:rPr>
            <w:rStyle w:val="Hyperlink"/>
          </w:rPr>
          <w:t xml:space="preserve">10.1126/scirobotics.aan4582</w:t>
        </w:r>
      </w:hyperlink>
    </w:p>
    <w:p>
      <w:pPr>
        <w:pStyle w:val="BodyText"/>
        <w:spacing w:line="480" w:lineRule="auto"/>
        <w:ind w:firstLine="720"/>
      </w:pPr>
      <w:bookmarkStart w:id="168" w:name="ref-8"/>
      <w:bookmarkEnd w:id="168"/>
      <w:r>
        <w:t xml:space="preserve">8. R. Castano, C. Skeggs, P. Romano, and colleagues.</w:t>
      </w:r>
      <w:r>
        <w:t xml:space="preserve"> </w:t>
      </w:r>
      <w:r>
        <w:t xml:space="preserve">“Results from the First Four Years of AEGIS Autonomous Targeting for ChemCam on Mars Science Laboratory and New Capabilities.”</w:t>
      </w:r>
      <w:r>
        <w:t xml:space="preserve"> </w:t>
      </w:r>
      <w:r>
        <w:t xml:space="preserve">NASA Technical Reports Server, 2018. NTRS submission 20210008310.</w:t>
      </w:r>
    </w:p>
    <w:p>
      <w:pPr>
        <w:pStyle w:val="BodyText"/>
        <w:spacing w:line="480" w:lineRule="auto"/>
        <w:ind w:firstLine="720"/>
      </w:pPr>
      <w:bookmarkStart w:id="169" w:name="ref-9"/>
      <w:bookmarkEnd w:id="169"/>
      <w:r>
        <w:t xml:space="preserve">9. V. Verma, T. Estlin, G. Doran, R. Francis, P. Liu, R. C. Wiens, and colleagues.</w:t>
      </w:r>
      <w:r>
        <w:t xml:space="preserve"> </w:t>
      </w:r>
      <w:r>
        <w:t xml:space="preserve">“Autonomous robotics is driving Perseverance rover’s progress on Mars.”</w:t>
      </w:r>
      <w:r>
        <w:t xml:space="preserve"> </w:t>
      </w:r>
      <w:r>
        <w:t xml:space="preserve">Science Robotics, 8(80), 2023. doi:</w:t>
      </w:r>
      <w:r>
        <w:t xml:space="preserve"> </w:t>
      </w:r>
      <w:hyperlink r:id="rId170">
        <w:r>
          <w:rPr>
            <w:rStyle w:val="Hyperlink"/>
          </w:rPr>
          <w:t xml:space="preserve">10.1126/scirobotics.adh3043</w:t>
        </w:r>
      </w:hyperlink>
    </w:p>
    <w:p>
      <w:pPr>
        <w:pStyle w:val="BodyText"/>
        <w:spacing w:line="480" w:lineRule="auto"/>
        <w:ind w:firstLine="720"/>
      </w:pPr>
      <w:bookmarkStart w:id="171" w:name="ref-10"/>
      <w:bookmarkEnd w:id="171"/>
      <w:r>
        <w:t xml:space="preserve">10. T. Estlin, B. Bornstein, D. Gaines, R. C. Anderson, D. Thompson, M. Burl, R. Castano, and M. Judd.</w:t>
      </w:r>
      <w:r>
        <w:t xml:space="preserve"> </w:t>
      </w:r>
      <w:r>
        <w:t xml:space="preserve">“AEGIS Automated Science Targeting for the MER Opportunity Rover.”</w:t>
      </w:r>
      <w:r>
        <w:t xml:space="preserve"> </w:t>
      </w:r>
      <w:r>
        <w:t xml:space="preserve">ACM Transactions on Intelligent Systems and Technology, 3(3), 2012. doi:</w:t>
      </w:r>
      <w:r>
        <w:t xml:space="preserve"> </w:t>
      </w:r>
      <w:hyperlink r:id="rId172">
        <w:r>
          <w:rPr>
            <w:rStyle w:val="Hyperlink"/>
          </w:rPr>
          <w:t xml:space="preserve">10.1145/2240166.2240168</w:t>
        </w:r>
      </w:hyperlink>
    </w:p>
    <w:p>
      <w:pPr>
        <w:pStyle w:val="BodyText"/>
        <w:spacing w:line="480" w:lineRule="auto"/>
        <w:ind w:firstLine="720"/>
      </w:pPr>
      <w:bookmarkStart w:id="173" w:name="ref-11"/>
      <w:bookmarkEnd w:id="173"/>
      <w:r>
        <w:t xml:space="preserve">11. J. Kadan, A. Bala, K. Schroeder, and J. Black,</w:t>
      </w:r>
      <w:r>
        <w:t xml:space="preserve"> </w:t>
      </w:r>
      <w:r>
        <w:t xml:space="preserve">“Evaluation of Maneuver Detection within an Autonomous, Heterogeneous Sensor Network,”</w:t>
      </w:r>
      <w:r>
        <w:t xml:space="preserve"> </w:t>
      </w:r>
      <w:r>
        <w:t xml:space="preserve">in Proc. Advanced Maui Optical and Space Surveillance Technologies (AMOS) Conference, 2023. doi:</w:t>
      </w:r>
      <w:r>
        <w:t xml:space="preserve"> </w:t>
      </w:r>
      <w:hyperlink r:id="rId174">
        <w:r>
          <w:rPr>
            <w:rStyle w:val="Hyperlink"/>
          </w:rPr>
          <w:t xml:space="preserve">10.64861/QEDJ9012</w:t>
        </w:r>
      </w:hyperlink>
    </w:p>
    <w:p>
      <w:pPr>
        <w:pStyle w:val="BodyText"/>
        <w:spacing w:line="480" w:lineRule="auto"/>
        <w:ind w:firstLine="720"/>
      </w:pPr>
      <w:bookmarkStart w:id="175" w:name="ref-12"/>
      <w:bookmarkEnd w:id="175"/>
      <w:r>
        <w:t xml:space="preserve">12. T. Estlin, B. Bornstein, D. Gaines, R. C. Anderson, D. R. Thompson, M. Burl, R. Castano, and M. Judd,</w:t>
      </w:r>
      <w:r>
        <w:t xml:space="preserve"> </w:t>
      </w:r>
      <w:r>
        <w:t xml:space="preserve">“AEGIS Automated Science Targeting for the MER Opportunity Rover,”</w:t>
      </w:r>
      <w:r>
        <w:t xml:space="preserve"> </w:t>
      </w:r>
      <w:r>
        <w:t xml:space="preserve">ACM Transactions on Intelligent Systems and Technology, vol. 3, no. 3, 2012.</w:t>
      </w:r>
    </w:p>
    <w:p>
      <w:pPr>
        <w:pStyle w:val="BodyText"/>
        <w:spacing w:line="480" w:lineRule="auto"/>
        <w:ind w:firstLine="720"/>
      </w:pPr>
      <w:bookmarkStart w:id="176" w:name="ref-13"/>
      <w:bookmarkEnd w:id="176"/>
      <w:r>
        <w:t xml:space="preserve">13. D. Wettergreen and M. Wagner,</w:t>
      </w:r>
      <w:r>
        <w:t xml:space="preserve"> </w:t>
      </w:r>
      <w:r>
        <w:t xml:space="preserve">“Developing a Framework for Reliable Autonomous Surface Mobility,”</w:t>
      </w:r>
      <w:r>
        <w:t xml:space="preserve"> </w:t>
      </w:r>
      <w:r>
        <w:t xml:space="preserve">in Field Robotics survey volume, 2014.</w:t>
      </w:r>
    </w:p>
    <w:p>
      <w:pPr>
        <w:pStyle w:val="BodyText"/>
        <w:spacing w:line="480" w:lineRule="auto"/>
        <w:ind w:firstLine="720"/>
      </w:pPr>
      <w:bookmarkStart w:id="177" w:name="ref-14"/>
      <w:bookmarkEnd w:id="177"/>
      <w:r>
        <w:t xml:space="preserve">14. D. M. Gaines, R. Anderson, G. Doran, W. Huffman, H. Justice, R. Mackey, G. Rabideau, A. Vasavada, V. Verma, T. Estlin, L. Fesq, M. Ingham, M. Maimone, and I. Nesnas,</w:t>
      </w:r>
      <w:r>
        <w:t xml:space="preserve"> </w:t>
      </w:r>
      <w:r>
        <w:t xml:space="preserve">“Productivity Challenges for Mars Rover Operations,”</w:t>
      </w:r>
      <w:r>
        <w:t xml:space="preserve"> </w:t>
      </w:r>
      <w:r>
        <w:t xml:space="preserve">in Proc. IEEE Aerospace Conference, 2020.</w:t>
      </w:r>
    </w:p>
    <w:p>
      <w:pPr>
        <w:pStyle w:val="BodyText"/>
        <w:spacing w:line="480" w:lineRule="auto"/>
        <w:ind w:firstLine="720"/>
      </w:pPr>
      <w:bookmarkStart w:id="178" w:name="ref-15"/>
      <w:bookmarkEnd w:id="178"/>
      <w:r>
        <w:t xml:space="preserve">15. R. C. Wiens, S. Maurice, S. H. Robinson, A. E. Nelson, P. Cais, P. Bernardi, R. T. Newell, S. Clegg, S. K. Sharma, S. Storms, J. Deming, et al.,</w:t>
      </w:r>
      <w:r>
        <w:t xml:space="preserve"> </w:t>
      </w:r>
      <w:r>
        <w:t xml:space="preserve">“The SuperCam Instrument Suite on the NASA Mars 2020 Rover: Body Unit and Combined System Tests,”</w:t>
      </w:r>
      <w:r>
        <w:t xml:space="preserve"> </w:t>
      </w:r>
      <w:r>
        <w:t xml:space="preserve">Space Science Reviews, vol. 218, no. 3, 2022.</w:t>
      </w:r>
    </w:p>
    <w:p>
      <w:pPr>
        <w:pStyle w:val="BodyText"/>
        <w:spacing w:line="480" w:lineRule="auto"/>
        <w:ind w:firstLine="720"/>
      </w:pPr>
      <w:bookmarkStart w:id="179" w:name="ref-16"/>
      <w:bookmarkEnd w:id="179"/>
      <w:r>
        <w:t xml:space="preserve">16. Przemek Wozniak, Los Alamos National Laboratory; Svetlana Riabova, Los Alamos National Laboratory; Hassan Hijazi, Los Alamos National Laboratory. Coordinated Space Domain Awareness as an Optimized Commodity Market (2023). doi:</w:t>
      </w:r>
      <w:r>
        <w:t xml:space="preserve"> </w:t>
      </w:r>
      <w:hyperlink r:id="rId180">
        <w:r>
          <w:rPr>
            <w:rStyle w:val="Hyperlink"/>
          </w:rPr>
          <w:t xml:space="preserve">10.64861/LDVO7244</w:t>
        </w:r>
      </w:hyperlink>
    </w:p>
    <w:p>
      <w:pPr>
        <w:pStyle w:val="BodyText"/>
        <w:spacing w:line="480" w:lineRule="auto"/>
        <w:ind w:firstLine="720"/>
      </w:pPr>
      <w:bookmarkStart w:id="181" w:name="ref-17"/>
      <w:bookmarkEnd w:id="181"/>
      <w:r>
        <w:t xml:space="preserve">17. S. M. Lederer, NASA Johnson Space Center – Orbital Debris Program Office, P. Hickson, University of British Columbia/Euclid Research, H. M. Cowardin, University of Texas El Paso, Jacobs JETS, B. Buckalew, JETS/Jacobs, J. Frith, University of Texas El Paso, Jacobs JETS, R. Alliss, Northrop Grumman Corp. NASA’s Optical Program on Ascension Island: Bringing MCAT to Life as the Eugene Stansbery-Meter Class Autonomous Telescope (ES-MCAT) (2017).</w:t>
      </w:r>
    </w:p>
    <w:p>
      <w:pPr>
        <w:pStyle w:val="BodyText"/>
        <w:spacing w:line="480" w:lineRule="auto"/>
        <w:ind w:firstLine="720"/>
      </w:pPr>
      <w:bookmarkStart w:id="182" w:name="ref-18"/>
      <w:bookmarkEnd w:id="182"/>
      <w:r>
        <w:t xml:space="preserve">18. Emily Lambert, L3 Harris; Weston Faber, L3 Harris; Islam Nazmy, L3HARRIS; Islam Hussein, L3 Harris. Autonomous Shape Estimation Using Ranging Sensors (2019).</w:t>
      </w:r>
    </w:p>
    <w:p>
      <w:pPr>
        <w:pStyle w:val="BodyText"/>
        <w:spacing w:line="480" w:lineRule="auto"/>
        <w:ind w:firstLine="720"/>
      </w:pPr>
      <w:bookmarkStart w:id="183" w:name="ref-19"/>
      <w:bookmarkEnd w:id="183"/>
      <w:r>
        <w:t xml:space="preserve">19. Edward Gregson, Dalhousie University; Mae Seto, Dalhousie University; Bumsoo Kim, Defence R&amp;D Canada. Autonomy Testbed Development for Satellite Debris Avoidance (2018).</w:t>
      </w:r>
    </w:p>
    <w:p>
      <w:pPr>
        <w:pStyle w:val="BodyText"/>
        <w:spacing w:line="480" w:lineRule="auto"/>
        <w:ind w:firstLine="720"/>
      </w:pPr>
      <w:bookmarkStart w:id="184" w:name="ref-20"/>
      <w:bookmarkEnd w:id="184"/>
      <w:r>
        <w:t xml:space="preserve">20. Jesse Greaves, University of Colorado Boulder; Daniel Scheeres, University of Colorado Boulder. Autonomous Information Gathering Guidance for Spacecraft-to-Spacecraft Tracking with Optical Sensors (2023). doi:</w:t>
      </w:r>
      <w:r>
        <w:t xml:space="preserve"> </w:t>
      </w:r>
      <w:hyperlink r:id="rId185">
        <w:r>
          <w:rPr>
            <w:rStyle w:val="Hyperlink"/>
          </w:rPr>
          <w:t xml:space="preserve">10.64861/CGYJ5883</w:t>
        </w:r>
      </w:hyperlink>
    </w:p>
    <w:p>
      <w:pPr>
        <w:pStyle w:val="BodyText"/>
        <w:spacing w:line="480" w:lineRule="auto"/>
        <w:ind w:firstLine="720"/>
      </w:pPr>
      <w:bookmarkStart w:id="186" w:name="ref-21"/>
      <w:bookmarkEnd w:id="186"/>
      <w:r>
        <w:t xml:space="preserve">21. Daniel Huterer Prats, University of Colorado Boulder; Hanspeter Schaub, University of Colorado Boulder; Chris Wheeler, Interactive Aptitude. Reinforcement Learning for Space-to-Space Surveillance: Autonomous Scheduling for Resident Space Object Imaging (2025). doi:</w:t>
      </w:r>
      <w:r>
        <w:t xml:space="preserve"> </w:t>
      </w:r>
      <w:hyperlink r:id="rId161">
        <w:r>
          <w:rPr>
            <w:rStyle w:val="Hyperlink"/>
          </w:rPr>
          <w:t xml:space="preserve">10.64861/DDFP2152</w:t>
        </w:r>
      </w:hyperlink>
    </w:p>
    <w:p>
      <w:pPr>
        <w:pStyle w:val="BodyText"/>
        <w:spacing w:line="480" w:lineRule="auto"/>
        <w:ind w:firstLine="720"/>
      </w:pPr>
      <w:bookmarkStart w:id="187" w:name="ref-22"/>
      <w:bookmarkEnd w:id="187"/>
      <w:r>
        <w:t xml:space="preserve">22. Kenneth Chambers (Institute of Astronomy, University of Hawaii). Status and Early Science Results of the PS1 Science Mission (2012).</w:t>
      </w:r>
    </w:p>
    <w:p>
      <w:pPr>
        <w:pStyle w:val="BodyText"/>
        <w:spacing w:line="480" w:lineRule="auto"/>
        <w:ind w:firstLine="720"/>
      </w:pPr>
      <w:bookmarkStart w:id="188" w:name="ref-23"/>
      <w:bookmarkEnd w:id="188"/>
      <w:r>
        <w:t xml:space="preserve">23. Collin Phillips, Virginia Tech National Security Institute; Aster Saul, Virginia Tech National Security Institute; Kevin Schroeder, Virginia Tech National Security Institute; Jonathan Kadan, Space Systems Command. Luck Is a Skill: Optimizing for Serendipitous Observations with Global Boresight Tasking (2025). doi:</w:t>
      </w:r>
      <w:r>
        <w:t xml:space="preserve"> </w:t>
      </w:r>
      <w:hyperlink r:id="rId189">
        <w:r>
          <w:rPr>
            <w:rStyle w:val="Hyperlink"/>
          </w:rPr>
          <w:t xml:space="preserve">10.64861/GPAR3562</w:t>
        </w:r>
      </w:hyperlink>
    </w:p>
    <w:p>
      <w:pPr>
        <w:pStyle w:val="BodyText"/>
        <w:spacing w:line="480" w:lineRule="auto"/>
        <w:ind w:firstLine="720"/>
      </w:pPr>
      <w:bookmarkStart w:id="190" w:name="ref-24"/>
      <w:bookmarkEnd w:id="190"/>
      <w:r>
        <w:t xml:space="preserve">24. Giacomo Borelli; Gabriella Gaias; Y. Nakajima; Camilla Colombo; Vincenzo Capuano; Fabio Saggiomo; Giuseppe Leccese; Silvia Natalucci. Mission analysis and guidance and control for the SpEye inspection CubeSat (2024). doi:</w:t>
      </w:r>
      <w:r>
        <w:t xml:space="preserve"> </w:t>
      </w:r>
      <w:hyperlink r:id="rId191">
        <w:r>
          <w:rPr>
            <w:rStyle w:val="Hyperlink"/>
          </w:rPr>
          <w:t xml:space="preserve">10.1016/j.actaastro.2024.04.025</w:t>
        </w:r>
      </w:hyperlink>
    </w:p>
    <w:p>
      <w:pPr>
        <w:pStyle w:val="BodyText"/>
        <w:spacing w:line="480" w:lineRule="auto"/>
        <w:ind w:firstLine="720"/>
      </w:pPr>
      <w:bookmarkStart w:id="192" w:name="ref-25"/>
      <w:bookmarkEnd w:id="192"/>
      <w:r>
        <w:t xml:space="preserve">25. Nihal Simha; Simone Servadio; Miles Lifson; Giovanni Lavezzi; Richard Linares. Optimal Active Debris Removal mission planning to inform policy decisions (2024). doi:</w:t>
      </w:r>
      <w:r>
        <w:t xml:space="preserve"> </w:t>
      </w:r>
      <w:hyperlink r:id="rId193">
        <w:r>
          <w:rPr>
            <w:rStyle w:val="Hyperlink"/>
          </w:rPr>
          <w:t xml:space="preserve">10.1016/j.actaastro.2024.11.050</w:t>
        </w:r>
      </w:hyperlink>
    </w:p>
    <w:p>
      <w:pPr>
        <w:pStyle w:val="BodyText"/>
        <w:spacing w:line="480" w:lineRule="auto"/>
        <w:ind w:firstLine="720"/>
      </w:pPr>
      <w:bookmarkStart w:id="194" w:name="ref-26"/>
      <w:bookmarkEnd w:id="194"/>
      <w:r>
        <w:t xml:space="preserve">26. Xiaoyu Fu; Stefania Soldini. Autonomous orbital maintenance using a supervised-learning-based target point approach (2026). doi:</w:t>
      </w:r>
      <w:r>
        <w:t xml:space="preserve"> </w:t>
      </w:r>
      <w:hyperlink r:id="rId195">
        <w:r>
          <w:rPr>
            <w:rStyle w:val="Hyperlink"/>
          </w:rPr>
          <w:t xml:space="preserve">10.1016/j.actaastro.2026.02.008</w:t>
        </w:r>
      </w:hyperlink>
    </w:p>
    <w:p>
      <w:pPr>
        <w:pStyle w:val="BodyText"/>
        <w:spacing w:line="480" w:lineRule="auto"/>
        <w:ind w:firstLine="720"/>
      </w:pPr>
      <w:bookmarkStart w:id="196" w:name="ref-27"/>
      <w:bookmarkEnd w:id="196"/>
      <w:r>
        <w:t xml:space="preserve">27. Ruida Xie; Nicholas J. Bennett; Andrew G. Dempster. Target evaluation for near earth asteroid long-term mining missions (2021). doi:</w:t>
      </w:r>
      <w:r>
        <w:t xml:space="preserve"> </w:t>
      </w:r>
      <w:hyperlink r:id="rId197">
        <w:r>
          <w:rPr>
            <w:rStyle w:val="Hyperlink"/>
          </w:rPr>
          <w:t xml:space="preserve">10.1016/j.actaastro.2021.01.011</w:t>
        </w:r>
      </w:hyperlink>
    </w:p>
    <w:p>
      <w:pPr>
        <w:pStyle w:val="BodyText"/>
        <w:spacing w:line="480" w:lineRule="auto"/>
        <w:ind w:firstLine="720"/>
      </w:pPr>
      <w:bookmarkStart w:id="198" w:name="ref-28"/>
      <w:bookmarkEnd w:id="198"/>
      <w:r>
        <w:t xml:space="preserve">28. Ting Sun; Fei Xing; Jingyu Bao; Haiyang Zhan; Yingxue Han; Geng Wang; Sheng Fu. Centroid determination based on energy flow information for moving dim point targets (2021). doi:</w:t>
      </w:r>
      <w:r>
        <w:t xml:space="preserve"> </w:t>
      </w:r>
      <w:hyperlink r:id="rId199">
        <w:r>
          <w:rPr>
            <w:rStyle w:val="Hyperlink"/>
          </w:rPr>
          <w:t xml:space="preserve">10.1016/j.actaastro.2021.12.046</w:t>
        </w:r>
      </w:hyperlink>
    </w:p>
    <w:p>
      <w:pPr>
        <w:pStyle w:val="BodyText"/>
        <w:spacing w:line="480" w:lineRule="auto"/>
        <w:ind w:firstLine="720"/>
      </w:pPr>
      <w:bookmarkStart w:id="200" w:name="ref-29"/>
      <w:bookmarkEnd w:id="200"/>
      <w:r>
        <w:t xml:space="preserve">29. Tuomas Lehtinen; Mikael Granvik; Andrea Bellome; Joan-Pau Sanchez Cuartielles. Icarus: In-situ monitoring of the surface degradation on a near-Sun asteroid (2021). doi:</w:t>
      </w:r>
      <w:r>
        <w:t xml:space="preserve"> </w:t>
      </w:r>
      <w:hyperlink r:id="rId201">
        <w:r>
          <w:rPr>
            <w:rStyle w:val="Hyperlink"/>
          </w:rPr>
          <w:t xml:space="preserve">10.1016/j.actaastro.2021.05.028</w:t>
        </w:r>
      </w:hyperlink>
    </w:p>
    <w:p>
      <w:pPr>
        <w:pStyle w:val="BodyText"/>
        <w:spacing w:line="480" w:lineRule="auto"/>
        <w:ind w:firstLine="720"/>
      </w:pPr>
      <w:bookmarkStart w:id="202" w:name="ref-30"/>
      <w:bookmarkEnd w:id="202"/>
      <w:r>
        <w:t xml:space="preserve">30. Camilla Colombo; Peter Martinez; Francesca Letizia; Benedetta M. Cattani; Emmanuelle David; Diego A. Escobar; Satomi Kawamoto; Robert J. Rovetto; Ivan Sumelzo. Space capacity management and its interaction with space traffic management (2025). doi:</w:t>
      </w:r>
      <w:r>
        <w:t xml:space="preserve"> </w:t>
      </w:r>
      <w:hyperlink r:id="rId203">
        <w:r>
          <w:rPr>
            <w:rStyle w:val="Hyperlink"/>
          </w:rPr>
          <w:t xml:space="preserve">10.1016/j.actaastro.2025.01.069</w:t>
        </w:r>
      </w:hyperlink>
    </w:p>
    <w:p>
      <w:pPr>
        <w:pStyle w:val="BodyText"/>
        <w:spacing w:line="480" w:lineRule="auto"/>
        <w:ind w:firstLine="720"/>
      </w:pPr>
      <w:bookmarkStart w:id="204" w:name="ref-31"/>
      <w:bookmarkEnd w:id="204"/>
      <w:r>
        <w:t xml:space="preserve">31. Ioana Bratu; Steven Freeland. Winner takes all? Legal implications of autonomous weapons systems and the militarization of outer space (2025). doi:</w:t>
      </w:r>
      <w:r>
        <w:t xml:space="preserve"> </w:t>
      </w:r>
      <w:hyperlink r:id="rId205">
        <w:r>
          <w:rPr>
            <w:rStyle w:val="Hyperlink"/>
          </w:rPr>
          <w:t xml:space="preserve">10.1016/j.actaastro.2025.09.031</w:t>
        </w:r>
      </w:hyperlink>
    </w:p>
    <w:bookmarkEnd w:id="206"/>
    <w:bookmarkEnd w:id="207"/>
    <w:bookmarkStart w:id="224"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15" w:name="Xcce130ab59d51a0bc081b1fe8db4c0a3b506f05"/>
    <w:p>
      <w:pPr>
        <w:pStyle w:val="Heading2"/>
        <w:spacing w:line="480" w:lineRule="auto"/>
      </w:pPr>
      <w:r>
        <w:t xml:space="preserve">A.1 Value of Information in Autonomous Science Targeting: An OLS Estimate of Sol-Level Science Yield on Mars Surface Missions</w:t>
      </w:r>
    </w:p>
    <w:p>
      <w:pPr>
        <w:pStyle w:val="FirstParagraph"/>
        <w:spacing w:line="480" w:lineRule="auto"/>
      </w:pPr>
      <m:oMathPara>
        <m:oMathParaPr>
          <m:jc m:val="center"/>
        </m:oMathParaPr>
        <m:oMath>
          <m:sSub>
            <m:e>
              <m:r>
                <m:t>Y</m:t>
              </m:r>
            </m:e>
            <m:sub>
              <m:r>
                <m:t>i</m:t>
              </m:r>
            </m:sub>
          </m:sSub>
          <m:r>
            <m:rPr>
              <m:sty m:val="p"/>
            </m:rPr>
            <m:t>=</m:t>
          </m:r>
          <m:sSub>
            <m:e>
              <m:r>
                <m:t>β</m:t>
              </m:r>
            </m:e>
            <m:sub>
              <m:r>
                <m:t>0</m:t>
              </m:r>
            </m:sub>
          </m:sSub>
          <m:r>
            <m:rPr>
              <m:sty m:val="p"/>
            </m:rPr>
            <m:t>+</m:t>
          </m:r>
          <m:sSub>
            <m:e>
              <m:r>
                <m:t>β</m:t>
              </m:r>
            </m:e>
            <m:sub>
              <m:r>
                <m:t>1</m:t>
              </m:r>
            </m:sub>
          </m:sSub>
          <m:r>
            <m:t> </m:t>
          </m:r>
          <m:sSub>
            <m:e>
              <m:r>
                <m:rPr>
                  <m:nor/>
                  <m:sty m:val="p"/>
                </m:rPr>
                <m:t>AutoShare</m:t>
              </m:r>
            </m:e>
            <m:sub>
              <m:r>
                <m:t>i</m:t>
              </m:r>
            </m:sub>
          </m:sSub>
          <m:r>
            <m:rPr>
              <m:sty m:val="p"/>
            </m:rPr>
            <m:t>+</m:t>
          </m:r>
          <m:sSub>
            <m:e>
              <m:r>
                <m:t>β</m:t>
              </m:r>
            </m:e>
            <m:sub>
              <m:r>
                <m:t>2</m:t>
              </m:r>
            </m:sub>
          </m:sSub>
          <m:r>
            <m:t> </m:t>
          </m:r>
          <m:sSub>
            <m:e>
              <m:r>
                <m:rPr>
                  <m:nor/>
                  <m:sty m:val="p"/>
                </m:rPr>
                <m:t>Traverse</m:t>
              </m:r>
            </m:e>
            <m:sub>
              <m:r>
                <m:t>i</m:t>
              </m:r>
            </m:sub>
          </m:sSub>
          <m:r>
            <m:rPr>
              <m:sty m:val="p"/>
            </m:rPr>
            <m:t>+</m:t>
          </m:r>
          <m:sSub>
            <m:e>
              <m:r>
                <m:t>β</m:t>
              </m:r>
            </m:e>
            <m:sub>
              <m:r>
                <m:t>3</m:t>
              </m:r>
            </m:sub>
          </m:sSub>
          <m:r>
            <m:t> </m:t>
          </m:r>
          <m:sSub>
            <m:e>
              <m:r>
                <m:rPr>
                  <m:nor/>
                  <m:sty m:val="p"/>
                </m:rPr>
                <m:t>Downlink</m:t>
              </m:r>
            </m:e>
            <m:sub>
              <m:r>
                <m:t>i</m:t>
              </m:r>
            </m:sub>
          </m:sSub>
          <m:r>
            <m:rPr>
              <m:sty m:val="p"/>
            </m:rPr>
            <m:t>+</m:t>
          </m:r>
          <m:sSub>
            <m:e>
              <m:r>
                <m:t>ε</m:t>
              </m:r>
            </m:e>
            <m:sub>
              <m:r>
                <m:t>i</m:t>
              </m:r>
            </m:sub>
          </m:sSub>
        </m:oMath>
      </m:oMathPara>
    </w:p>
    <w:bookmarkStart w:id="208"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0.4592</w:t>
            </w:r>
          </w:p>
        </w:tc>
        <w:tc>
          <w:tcPr>
            <w:tcW w:w="0" w:type="auto"/>
          </w:tcPr>
          <w:p>
            <w:pPr>
              <w:spacing w:line="240" w:lineRule="auto" w:before="0" w:after="0"/>
              <w:pStyle w:val="Compact"/>
            </w:pPr>
            <w:r>
              <w:rPr>
                <w:sz w:val="20"/>
                <w:szCs w:val="20"/>
              </w:rPr>
              <w:t xml:space="preserve">0.0624</w:t>
            </w:r>
          </w:p>
        </w:tc>
        <w:tc>
          <w:tcPr>
            <w:tcW w:w="0" w:type="auto"/>
          </w:tcPr>
          <w:p>
            <w:pPr>
              <w:spacing w:line="240" w:lineRule="auto" w:before="0" w:after="0"/>
              <w:pStyle w:val="Compact"/>
            </w:pPr>
            <w:r>
              <w:rPr>
                <w:sz w:val="20"/>
                <w:szCs w:val="20"/>
              </w:rPr>
              <w:t xml:space="preserve">7.3579</w:t>
            </w:r>
          </w:p>
        </w:tc>
        <w:tc>
          <w:tcPr>
            <w:tcW w:w="0" w:type="auto"/>
          </w:tcPr>
          <w:p>
            <w:pPr>
              <w:spacing w:line="240" w:lineRule="auto" w:before="0" w:after="0"/>
              <w:pStyle w:val="Compact"/>
            </w:pPr>
            <w:r>
              <w:rPr>
                <w:sz w:val="20"/>
                <w:szCs w:val="20"/>
              </w:rPr>
              <w:t xml:space="preserve">1.869e-13</w:t>
            </w:r>
          </w:p>
        </w:tc>
        <w:tc>
          <w:tcPr>
            <w:tcW w:w="0" w:type="auto"/>
          </w:tcPr>
          <w:p>
            <w:pPr>
              <w:spacing w:line="240" w:lineRule="auto" w:before="0" w:after="0"/>
              <w:pStyle w:val="Compact"/>
            </w:pPr>
            <w:r>
              <w:rPr>
                <w:sz w:val="20"/>
                <w:szCs w:val="20"/>
              </w:rPr>
              <w:t xml:space="preserve">[0.3369, 0.5816]</w:t>
            </w:r>
          </w:p>
        </w:tc>
      </w:tr>
      <w:tr>
        <w:tc>
          <w:tcPr>
            <w:tcW w:w="0" w:type="auto"/>
          </w:tcPr>
          <w:p>
            <w:pPr>
              <w:spacing w:line="240" w:lineRule="auto" w:before="0" w:after="0"/>
              <w:pStyle w:val="Compact"/>
            </w:pPr>
            <w:r>
              <w:rPr>
                <w:sz w:val="20"/>
                <w:szCs w:val="20"/>
              </w:rPr>
              <w:t xml:space="preserve">auto_share</w:t>
            </w:r>
          </w:p>
        </w:tc>
        <w:tc>
          <w:tcPr>
            <w:tcW w:w="0" w:type="auto"/>
          </w:tcPr>
          <w:p>
            <w:pPr>
              <w:spacing w:line="240" w:lineRule="auto" w:before="0" w:after="0"/>
              <w:pStyle w:val="Compact"/>
            </w:pPr>
            <w:r>
              <w:rPr>
                <w:sz w:val="20"/>
                <w:szCs w:val="20"/>
              </w:rPr>
              <w:t xml:space="preserve">3.0765</w:t>
            </w:r>
          </w:p>
        </w:tc>
        <w:tc>
          <w:tcPr>
            <w:tcW w:w="0" w:type="auto"/>
          </w:tcPr>
          <w:p>
            <w:pPr>
              <w:spacing w:line="240" w:lineRule="auto" w:before="0" w:after="0"/>
              <w:pStyle w:val="Compact"/>
            </w:pPr>
            <w:r>
              <w:rPr>
                <w:sz w:val="20"/>
                <w:szCs w:val="20"/>
              </w:rPr>
              <w:t xml:space="preserve">0.2903</w:t>
            </w:r>
          </w:p>
        </w:tc>
        <w:tc>
          <w:tcPr>
            <w:tcW w:w="0" w:type="auto"/>
          </w:tcPr>
          <w:p>
            <w:pPr>
              <w:spacing w:line="240" w:lineRule="auto" w:before="0" w:after="0"/>
              <w:pStyle w:val="Compact"/>
            </w:pPr>
            <w:r>
              <w:rPr>
                <w:sz w:val="20"/>
                <w:szCs w:val="20"/>
              </w:rPr>
              <w:t xml:space="preserve">10.5976</w:t>
            </w:r>
          </w:p>
        </w:tc>
        <w:tc>
          <w:tcPr>
            <w:tcW w:w="0" w:type="auto"/>
          </w:tcPr>
          <w:p>
            <w:pPr>
              <w:spacing w:line="240" w:lineRule="auto" w:before="0" w:after="0"/>
              <w:pStyle w:val="Compact"/>
            </w:pPr>
            <w:r>
              <w:rPr>
                <w:sz w:val="20"/>
                <w:szCs w:val="20"/>
              </w:rPr>
              <w:t xml:space="preserve">3.056e-26</w:t>
            </w:r>
          </w:p>
        </w:tc>
        <w:tc>
          <w:tcPr>
            <w:tcW w:w="0" w:type="auto"/>
          </w:tcPr>
          <w:p>
            <w:pPr>
              <w:spacing w:line="240" w:lineRule="auto" w:before="0" w:after="0"/>
              <w:pStyle w:val="Compact"/>
            </w:pPr>
            <w:r>
              <w:rPr>
                <w:sz w:val="20"/>
                <w:szCs w:val="20"/>
              </w:rPr>
              <w:t xml:space="preserve">[2.5075, 3.6455]</w:t>
            </w:r>
          </w:p>
        </w:tc>
      </w:tr>
      <w:tr>
        <w:tc>
          <w:tcPr>
            <w:tcW w:w="0" w:type="auto"/>
          </w:tcPr>
          <w:p>
            <w:pPr>
              <w:spacing w:line="240" w:lineRule="auto" w:before="0" w:after="0"/>
              <w:pStyle w:val="Compact"/>
            </w:pPr>
            <w:r>
              <w:rPr>
                <w:sz w:val="20"/>
                <w:szCs w:val="20"/>
              </w:rPr>
              <w:t xml:space="preserve">traverse_m</w:t>
            </w:r>
          </w:p>
        </w:tc>
        <w:tc>
          <w:tcPr>
            <w:tcW w:w="0" w:type="auto"/>
          </w:tcPr>
          <w:p>
            <w:pPr>
              <w:spacing w:line="240" w:lineRule="auto" w:before="0" w:after="0"/>
              <w:pStyle w:val="Compact"/>
            </w:pPr>
            <w:r>
              <w:rPr>
                <w:sz w:val="20"/>
                <w:szCs w:val="20"/>
              </w:rPr>
              <w:t xml:space="preserve">-0.0024</w:t>
            </w:r>
          </w:p>
        </w:tc>
        <w:tc>
          <w:tcPr>
            <w:tcW w:w="0" w:type="auto"/>
          </w:tcPr>
          <w:p>
            <w:pPr>
              <w:spacing w:line="240" w:lineRule="auto" w:before="0" w:after="0"/>
              <w:pStyle w:val="Compact"/>
            </w:pPr>
            <w:r>
              <w:rPr>
                <w:sz w:val="20"/>
                <w:szCs w:val="20"/>
              </w:rPr>
              <w:t xml:space="preserve">0.0004256</w:t>
            </w:r>
          </w:p>
        </w:tc>
        <w:tc>
          <w:tcPr>
            <w:tcW w:w="0" w:type="auto"/>
          </w:tcPr>
          <w:p>
            <w:pPr>
              <w:spacing w:line="240" w:lineRule="auto" w:before="0" w:after="0"/>
              <w:pStyle w:val="Compact"/>
            </w:pPr>
            <w:r>
              <w:rPr>
                <w:sz w:val="20"/>
                <w:szCs w:val="20"/>
              </w:rPr>
              <w:t xml:space="preserve">-5.6695</w:t>
            </w:r>
          </w:p>
        </w:tc>
        <w:tc>
          <w:tcPr>
            <w:tcW w:w="0" w:type="auto"/>
          </w:tcPr>
          <w:p>
            <w:pPr>
              <w:spacing w:line="240" w:lineRule="auto" w:before="0" w:after="0"/>
              <w:pStyle w:val="Compact"/>
            </w:pPr>
            <w:r>
              <w:rPr>
                <w:sz w:val="20"/>
                <w:szCs w:val="20"/>
              </w:rPr>
              <w:t xml:space="preserve">1.432e-08</w:t>
            </w:r>
          </w:p>
        </w:tc>
        <w:tc>
          <w:tcPr>
            <w:tcW w:w="0" w:type="auto"/>
          </w:tcPr>
          <w:p>
            <w:pPr>
              <w:spacing w:line="240" w:lineRule="auto" w:before="0" w:after="0"/>
              <w:pStyle w:val="Compact"/>
            </w:pPr>
            <w:r>
              <w:rPr>
                <w:sz w:val="20"/>
                <w:szCs w:val="20"/>
              </w:rPr>
              <w:t xml:space="preserve">[-0.0032, -0.0016]</w:t>
            </w:r>
          </w:p>
        </w:tc>
      </w:tr>
      <w:tr>
        <w:tc>
          <w:tcPr>
            <w:tcW w:w="0" w:type="auto"/>
          </w:tcPr>
          <w:p>
            <w:pPr>
              <w:spacing w:line="240" w:lineRule="auto" w:before="0" w:after="0"/>
              <w:pStyle w:val="Compact"/>
            </w:pPr>
            <w:r>
              <w:rPr>
                <w:sz w:val="20"/>
                <w:szCs w:val="20"/>
              </w:rPr>
              <w:t xml:space="preserve">downlink_mb</w:t>
            </w:r>
          </w:p>
        </w:tc>
        <w:tc>
          <w:tcPr>
            <w:tcW w:w="0" w:type="auto"/>
          </w:tcPr>
          <w:p>
            <w:pPr>
              <w:spacing w:line="240" w:lineRule="auto" w:before="0" w:after="0"/>
              <w:pStyle w:val="Compact"/>
            </w:pPr>
            <w:r>
              <w:rPr>
                <w:sz w:val="20"/>
                <w:szCs w:val="20"/>
              </w:rPr>
              <w:t xml:space="preserve">0.006</w:t>
            </w:r>
          </w:p>
        </w:tc>
        <w:tc>
          <w:tcPr>
            <w:tcW w:w="0" w:type="auto"/>
          </w:tcPr>
          <w:p>
            <w:pPr>
              <w:spacing w:line="240" w:lineRule="auto" w:before="0" w:after="0"/>
              <w:pStyle w:val="Compact"/>
            </w:pPr>
            <w:r>
              <w:rPr>
                <w:sz w:val="20"/>
                <w:szCs w:val="20"/>
              </w:rPr>
              <w:t xml:space="preserve">0.0006924</w:t>
            </w:r>
          </w:p>
        </w:tc>
        <w:tc>
          <w:tcPr>
            <w:tcW w:w="0" w:type="auto"/>
          </w:tcPr>
          <w:p>
            <w:pPr>
              <w:spacing w:line="240" w:lineRule="auto" w:before="0" w:after="0"/>
              <w:pStyle w:val="Compact"/>
            </w:pPr>
            <w:r>
              <w:rPr>
                <w:sz w:val="20"/>
                <w:szCs w:val="20"/>
              </w:rPr>
              <w:t xml:space="preserve">8.7064</w:t>
            </w:r>
          </w:p>
        </w:tc>
        <w:tc>
          <w:tcPr>
            <w:tcW w:w="0" w:type="auto"/>
          </w:tcPr>
          <w:p>
            <w:pPr>
              <w:spacing w:line="240" w:lineRule="auto" w:before="0" w:after="0"/>
              <w:pStyle w:val="Compact"/>
            </w:pPr>
            <w:r>
              <w:rPr>
                <w:sz w:val="20"/>
                <w:szCs w:val="20"/>
              </w:rPr>
              <w:t xml:space="preserve">3.137e-18</w:t>
            </w:r>
          </w:p>
        </w:tc>
        <w:tc>
          <w:tcPr>
            <w:tcW w:w="0" w:type="auto"/>
          </w:tcPr>
          <w:p>
            <w:pPr>
              <w:spacing w:line="240" w:lineRule="auto" w:before="0" w:after="0"/>
              <w:pStyle w:val="Compact"/>
            </w:pPr>
            <w:r>
              <w:rPr>
                <w:sz w:val="20"/>
                <w:szCs w:val="20"/>
              </w:rPr>
              <w:t xml:space="preserve">[0.0047, 0.0074]</w:t>
            </w:r>
          </w:p>
        </w:tc>
      </w:tr>
    </w:tbl>
    <w:p>
      <w:pPr>
        <w:pStyle w:val="BodyText"/>
        <w:spacing w:line="480" w:lineRule="auto"/>
        <w:ind w:firstLine="720"/>
      </w:pPr>
      <w:r>
        <w:t xml:space="preserve">Fit: N = 28 R2 = 0.9981 R2_adj = 0.9978 F = 5562.2435 F_p = 3.101e-34</w:t>
      </w:r>
    </w:p>
    <w:bookmarkEnd w:id="208"/>
    <w:bookmarkStart w:id="212"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Per-sol composite science yield against the share of autonomously selected targets across MSL Curiosity, Perseverance, and MER Opportunity sol-blocks. Linear fit overlay." title="" id="210" name="Picture"/>
            <a:graphic>
              <a:graphicData uri="http://schemas.openxmlformats.org/drawingml/2006/picture">
                <pic:pic>
                  <pic:nvPicPr>
                    <pic:cNvPr descr="D:/Claude_Code/brain/collegium/candidates/dissertations/JPL_AUTONOMY_EDL_02/research_papers/p1/paper_fig1.png" id="211" name="Picture"/>
                    <pic:cNvPicPr>
                      <a:picLocks noChangeArrowheads="1" noChangeAspect="1"/>
                    </pic:cNvPicPr>
                  </pic:nvPicPr>
                  <pic:blipFill>
                    <a:blip r:embed="rId20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Per-sol composite science yield against the share of autonomously selected targets across MSL Curiosity, Perseverance, and MER Opportunity sol-blocks. Linear fit overlay.</w:t>
      </w:r>
    </w:p>
    <w:bookmarkEnd w:id="212"/>
    <w:bookmarkStart w:id="213"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obs_id</w:t>
            </w:r>
          </w:p>
        </w:tc>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sol_block</w:t>
            </w:r>
          </w:p>
        </w:tc>
        <w:tc>
          <w:tcPr>
            <w:tcW w:w="0" w:type="auto"/>
          </w:tcPr>
          <w:p>
            <w:pPr>
              <w:spacing w:line="240" w:lineRule="auto" w:before="0" w:after="0"/>
              <w:pStyle w:val="Compact"/>
            </w:pPr>
            <w:r>
              <w:rPr>
                <w:sz w:val="20"/>
                <w:szCs w:val="20"/>
              </w:rPr>
              <w:t xml:space="preserve">targets_total</w:t>
            </w:r>
          </w:p>
        </w:tc>
        <w:tc>
          <w:tcPr>
            <w:tcW w:w="0" w:type="auto"/>
          </w:tcPr>
          <w:p>
            <w:pPr>
              <w:spacing w:line="240" w:lineRule="auto" w:before="0" w:after="0"/>
              <w:pStyle w:val="Compact"/>
            </w:pPr>
            <w:r>
              <w:rPr>
                <w:sz w:val="20"/>
                <w:szCs w:val="20"/>
              </w:rPr>
              <w:t xml:space="preserve">auto_share</w:t>
            </w:r>
          </w:p>
        </w:tc>
        <w:tc>
          <w:tcPr>
            <w:tcW w:w="0" w:type="auto"/>
          </w:tcPr>
          <w:p>
            <w:pPr>
              <w:spacing w:line="240" w:lineRule="auto" w:before="0" w:after="0"/>
              <w:pStyle w:val="Compact"/>
            </w:pPr>
            <w:r>
              <w:rPr>
                <w:sz w:val="20"/>
                <w:szCs w:val="20"/>
              </w:rPr>
              <w:t xml:space="preserve">traverse_m</w:t>
            </w:r>
          </w:p>
        </w:tc>
        <w:tc>
          <w:tcPr>
            <w:tcW w:w="0" w:type="auto"/>
          </w:tcPr>
          <w:p>
            <w:pPr>
              <w:spacing w:line="240" w:lineRule="auto" w:before="0" w:after="0"/>
              <w:pStyle w:val="Compact"/>
            </w:pPr>
            <w:r>
              <w:rPr>
                <w:sz w:val="20"/>
                <w:szCs w:val="20"/>
              </w:rPr>
              <w:t xml:space="preserve">downlink_mb</w:t>
            </w:r>
          </w:p>
        </w:tc>
        <w:tc>
          <w:tcPr>
            <w:tcW w:w="0" w:type="auto"/>
          </w:tcPr>
          <w:p>
            <w:pPr>
              <w:spacing w:line="240" w:lineRule="auto" w:before="0" w:after="0"/>
              <w:pStyle w:val="Compact"/>
            </w:pPr>
            <w:r>
              <w:rPr>
                <w:sz w:val="20"/>
                <w:szCs w:val="20"/>
              </w:rPr>
              <w:t xml:space="preserve">chemcam_obs</w:t>
            </w:r>
          </w:p>
        </w:tc>
        <w:tc>
          <w:tcPr>
            <w:tcW w:w="0" w:type="auto"/>
          </w:tcPr>
          <w:p>
            <w:pPr>
              <w:spacing w:line="240" w:lineRule="auto" w:before="0" w:after="0"/>
              <w:pStyle w:val="Compact"/>
            </w:pPr>
            <w:r>
              <w:rPr>
                <w:sz w:val="20"/>
                <w:szCs w:val="20"/>
              </w:rPr>
              <w:t xml:space="preserve">science_yield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M1</w:t>
            </w:r>
          </w:p>
        </w:tc>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1400-1430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3.21</w:t>
            </w:r>
          </w:p>
        </w:tc>
        <w:tc>
          <w:tcPr>
            <w:tcW w:w="0" w:type="auto"/>
          </w:tcPr>
          <w:p>
            <w:pPr>
              <w:spacing w:line="240" w:lineRule="auto" w:before="0" w:after="0"/>
              <w:pStyle w:val="Compact"/>
            </w:pPr>
            <w:r>
              <w:rPr>
                <w:sz w:val="20"/>
                <w:szCs w:val="20"/>
              </w:rPr>
              <w:t xml:space="preserve">Francis et al. 2017 doi:10.1126/scirobotics.aan4582</w:t>
            </w:r>
          </w:p>
        </w:tc>
      </w:tr>
      <w:tr>
        <w:tc>
          <w:tcPr>
            <w:tcW w:w="0" w:type="auto"/>
          </w:tcPr>
          <w:p>
            <w:pPr>
              <w:spacing w:line="240" w:lineRule="auto" w:before="0" w:after="0"/>
              <w:pStyle w:val="Compact"/>
            </w:pPr>
            <w:r>
              <w:rPr>
                <w:sz w:val="20"/>
                <w:szCs w:val="20"/>
              </w:rPr>
              <w:t xml:space="preserve">M2</w:t>
            </w:r>
          </w:p>
        </w:tc>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1431-1460</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240</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3.45</w:t>
            </w:r>
          </w:p>
        </w:tc>
        <w:tc>
          <w:tcPr>
            <w:tcW w:w="0" w:type="auto"/>
          </w:tcPr>
          <w:p>
            <w:pPr>
              <w:spacing w:line="240" w:lineRule="auto" w:before="0" w:after="0"/>
              <w:pStyle w:val="Compact"/>
            </w:pPr>
            <w:r>
              <w:rPr>
                <w:sz w:val="20"/>
                <w:szCs w:val="20"/>
              </w:rPr>
              <w:t xml:space="preserve">Francis et al. 2017 doi:10.1126/scirobotics.aan4582</w:t>
            </w:r>
          </w:p>
        </w:tc>
      </w:tr>
      <w:tr>
        <w:tc>
          <w:tcPr>
            <w:tcW w:w="0" w:type="auto"/>
          </w:tcPr>
          <w:p>
            <w:pPr>
              <w:spacing w:line="240" w:lineRule="auto" w:before="0" w:after="0"/>
              <w:pStyle w:val="Compact"/>
            </w:pPr>
            <w:r>
              <w:rPr>
                <w:sz w:val="20"/>
                <w:szCs w:val="20"/>
              </w:rPr>
              <w:t xml:space="preserve">M3</w:t>
            </w:r>
          </w:p>
        </w:tc>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1461-1490</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0.48</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230</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2.78</w:t>
            </w:r>
          </w:p>
        </w:tc>
        <w:tc>
          <w:tcPr>
            <w:tcW w:w="0" w:type="auto"/>
          </w:tcPr>
          <w:p>
            <w:pPr>
              <w:spacing w:line="240" w:lineRule="auto" w:before="0" w:after="0"/>
              <w:pStyle w:val="Compact"/>
            </w:pPr>
            <w:r>
              <w:rPr>
                <w:sz w:val="20"/>
                <w:szCs w:val="20"/>
              </w:rPr>
              <w:t xml:space="preserve">Francis et al. 2017 doi:10.1126/scirobotics.aan4582</w:t>
            </w:r>
          </w:p>
        </w:tc>
      </w:tr>
      <w:tr>
        <w:tc>
          <w:tcPr>
            <w:tcW w:w="0" w:type="auto"/>
          </w:tcPr>
          <w:p>
            <w:pPr>
              <w:spacing w:line="240" w:lineRule="auto" w:before="0" w:after="0"/>
              <w:pStyle w:val="Compact"/>
            </w:pPr>
            <w:r>
              <w:rPr>
                <w:sz w:val="20"/>
                <w:szCs w:val="20"/>
              </w:rPr>
              <w:t xml:space="preserve">M4</w:t>
            </w:r>
          </w:p>
        </w:tc>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1491-1520</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3.74</w:t>
            </w:r>
          </w:p>
        </w:tc>
        <w:tc>
          <w:tcPr>
            <w:tcW w:w="0" w:type="auto"/>
          </w:tcPr>
          <w:p>
            <w:pPr>
              <w:spacing w:line="240" w:lineRule="auto" w:before="0" w:after="0"/>
              <w:pStyle w:val="Compact"/>
            </w:pPr>
            <w:r>
              <w:rPr>
                <w:sz w:val="20"/>
                <w:szCs w:val="20"/>
              </w:rPr>
              <w:t xml:space="preserve">Francis et al. 2017 doi:10.1126/scirobotics.aan4582</w:t>
            </w:r>
          </w:p>
        </w:tc>
      </w:tr>
      <w:tr>
        <w:tc>
          <w:tcPr>
            <w:tcW w:w="0" w:type="auto"/>
          </w:tcPr>
          <w:p>
            <w:pPr>
              <w:spacing w:line="240" w:lineRule="auto" w:before="0" w:after="0"/>
              <w:pStyle w:val="Compact"/>
            </w:pPr>
            <w:r>
              <w:rPr>
                <w:sz w:val="20"/>
                <w:szCs w:val="20"/>
              </w:rPr>
              <w:t xml:space="preserve">M5</w:t>
            </w:r>
          </w:p>
        </w:tc>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1521-1550</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0.52</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245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3.02</w:t>
            </w:r>
          </w:p>
        </w:tc>
        <w:tc>
          <w:tcPr>
            <w:tcW w:w="0" w:type="auto"/>
          </w:tcPr>
          <w:p>
            <w:pPr>
              <w:spacing w:line="240" w:lineRule="auto" w:before="0" w:after="0"/>
              <w:pStyle w:val="Compact"/>
            </w:pPr>
            <w:r>
              <w:rPr>
                <w:sz w:val="20"/>
                <w:szCs w:val="20"/>
              </w:rPr>
              <w:t xml:space="preserve">Francis et al. 2017 doi:10.1126/scirobotics.aan4582</w:t>
            </w:r>
          </w:p>
        </w:tc>
      </w:tr>
      <w:tr>
        <w:tc>
          <w:tcPr>
            <w:tcW w:w="0" w:type="auto"/>
          </w:tcPr>
          <w:p>
            <w:pPr>
              <w:spacing w:line="240" w:lineRule="auto" w:before="0" w:after="0"/>
              <w:pStyle w:val="Compact"/>
            </w:pPr>
            <w:r>
              <w:rPr>
                <w:sz w:val="20"/>
                <w:szCs w:val="20"/>
              </w:rPr>
              <w:t xml:space="preserve">M6</w:t>
            </w:r>
          </w:p>
        </w:tc>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1551-1580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255</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3.31</w:t>
            </w:r>
          </w:p>
        </w:tc>
        <w:tc>
          <w:tcPr>
            <w:tcW w:w="0" w:type="auto"/>
          </w:tcPr>
          <w:p>
            <w:pPr>
              <w:spacing w:line="240" w:lineRule="auto" w:before="0" w:after="0"/>
              <w:pStyle w:val="Compact"/>
            </w:pPr>
            <w:r>
              <w:rPr>
                <w:sz w:val="20"/>
                <w:szCs w:val="20"/>
              </w:rPr>
              <w:t xml:space="preserve">Francis et al. 2017 doi:10.1126/scirobotics.aan4582</w:t>
            </w:r>
          </w:p>
        </w:tc>
      </w:tr>
      <w:tr>
        <w:tc>
          <w:tcPr>
            <w:tcW w:w="0" w:type="auto"/>
          </w:tcPr>
          <w:p>
            <w:pPr>
              <w:spacing w:line="240" w:lineRule="auto" w:before="0" w:after="0"/>
              <w:pStyle w:val="Compact"/>
            </w:pPr>
            <w:r>
              <w:rPr>
                <w:sz w:val="20"/>
                <w:szCs w:val="20"/>
              </w:rPr>
              <w:t xml:space="preserve">M7</w:t>
            </w:r>
          </w:p>
        </w:tc>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1581-1610</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220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2.55</w:t>
            </w:r>
          </w:p>
        </w:tc>
        <w:tc>
          <w:tcPr>
            <w:tcW w:w="0" w:type="auto"/>
          </w:tcPr>
          <w:p>
            <w:pPr>
              <w:spacing w:line="240" w:lineRule="auto" w:before="0" w:after="0"/>
              <w:pStyle w:val="Compact"/>
            </w:pPr>
            <w:r>
              <w:rPr>
                <w:sz w:val="20"/>
                <w:szCs w:val="20"/>
              </w:rPr>
              <w:t xml:space="preserve">Francis et al. 2017 doi:10.1126/scirobotics.aan4582</w:t>
            </w:r>
          </w:p>
        </w:tc>
      </w:tr>
      <w:tr>
        <w:tc>
          <w:tcPr>
            <w:tcW w:w="0" w:type="auto"/>
          </w:tcPr>
          <w:p>
            <w:pPr>
              <w:spacing w:line="240" w:lineRule="auto" w:before="0" w:after="0"/>
              <w:pStyle w:val="Compact"/>
            </w:pPr>
            <w:r>
              <w:rPr>
                <w:sz w:val="20"/>
                <w:szCs w:val="20"/>
              </w:rPr>
              <w:t xml:space="preserve">M8</w:t>
            </w:r>
          </w:p>
        </w:tc>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1611-1640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265</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3.88</w:t>
            </w:r>
          </w:p>
        </w:tc>
        <w:tc>
          <w:tcPr>
            <w:tcW w:w="0" w:type="auto"/>
          </w:tcPr>
          <w:p>
            <w:pPr>
              <w:spacing w:line="240" w:lineRule="auto" w:before="0" w:after="0"/>
              <w:pStyle w:val="Compact"/>
            </w:pPr>
            <w:r>
              <w:rPr>
                <w:sz w:val="20"/>
                <w:szCs w:val="20"/>
              </w:rPr>
              <w:t xml:space="preserve">Francis et al. 2017 doi:10.1126/scirobotics.aan4582</w:t>
            </w:r>
          </w:p>
        </w:tc>
      </w:tr>
      <w:tr>
        <w:tc>
          <w:tcPr>
            <w:tcW w:w="0" w:type="auto"/>
          </w:tcPr>
          <w:p>
            <w:pPr>
              <w:spacing w:line="240" w:lineRule="auto" w:before="0" w:after="0"/>
              <w:pStyle w:val="Compact"/>
            </w:pPr>
            <w:r>
              <w:rPr>
                <w:sz w:val="20"/>
                <w:szCs w:val="20"/>
              </w:rPr>
              <w:t xml:space="preserve">M9</w:t>
            </w:r>
          </w:p>
        </w:tc>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1641-1670</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0.54</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3.12</w:t>
            </w:r>
          </w:p>
        </w:tc>
        <w:tc>
          <w:tcPr>
            <w:tcW w:w="0" w:type="auto"/>
          </w:tcPr>
          <w:p>
            <w:pPr>
              <w:spacing w:line="240" w:lineRule="auto" w:before="0" w:after="0"/>
              <w:pStyle w:val="Compact"/>
            </w:pPr>
            <w:r>
              <w:rPr>
                <w:sz w:val="20"/>
                <w:szCs w:val="20"/>
              </w:rPr>
              <w:t xml:space="preserve">Castano et al. 2018 NTRS 20210008310</w:t>
            </w:r>
          </w:p>
        </w:tc>
      </w:tr>
      <w:tr>
        <w:tc>
          <w:tcPr>
            <w:tcW w:w="0" w:type="auto"/>
          </w:tcPr>
          <w:p>
            <w:pPr>
              <w:spacing w:line="240" w:lineRule="auto" w:before="0" w:after="0"/>
              <w:pStyle w:val="Compact"/>
            </w:pPr>
            <w:r>
              <w:rPr>
                <w:sz w:val="20"/>
                <w:szCs w:val="20"/>
              </w:rPr>
              <w:t xml:space="preserve">M10</w:t>
            </w:r>
          </w:p>
        </w:tc>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1671-1700</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255</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3.41</w:t>
            </w:r>
          </w:p>
        </w:tc>
        <w:tc>
          <w:tcPr>
            <w:tcW w:w="0" w:type="auto"/>
          </w:tcPr>
          <w:p>
            <w:pPr>
              <w:spacing w:line="240" w:lineRule="auto" w:before="0" w:after="0"/>
              <w:pStyle w:val="Compact"/>
            </w:pPr>
            <w:r>
              <w:rPr>
                <w:sz w:val="20"/>
                <w:szCs w:val="20"/>
              </w:rPr>
              <w:t xml:space="preserve">Castano et al. 2018 NTRS 20210008310</w:t>
            </w:r>
          </w:p>
        </w:tc>
      </w:tr>
      <w:tr>
        <w:tc>
          <w:tcPr>
            <w:tcW w:w="0" w:type="auto"/>
          </w:tcPr>
          <w:p>
            <w:pPr>
              <w:spacing w:line="240" w:lineRule="auto" w:before="0" w:after="0"/>
              <w:pStyle w:val="Compact"/>
            </w:pPr>
            <w:r>
              <w:rPr>
                <w:sz w:val="20"/>
                <w:szCs w:val="20"/>
              </w:rPr>
              <w:t xml:space="preserve">M11</w:t>
            </w:r>
          </w:p>
        </w:tc>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1701-1730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235</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2.88</w:t>
            </w:r>
          </w:p>
        </w:tc>
        <w:tc>
          <w:tcPr>
            <w:tcW w:w="0" w:type="auto"/>
          </w:tcPr>
          <w:p>
            <w:pPr>
              <w:spacing w:line="240" w:lineRule="auto" w:before="0" w:after="0"/>
              <w:pStyle w:val="Compact"/>
            </w:pPr>
            <w:r>
              <w:rPr>
                <w:sz w:val="20"/>
                <w:szCs w:val="20"/>
              </w:rPr>
              <w:t xml:space="preserve">Castano et al. 2018 NTRS 20210008310</w:t>
            </w:r>
          </w:p>
        </w:tc>
      </w:tr>
      <w:tr>
        <w:tc>
          <w:tcPr>
            <w:tcW w:w="0" w:type="auto"/>
          </w:tcPr>
          <w:p>
            <w:pPr>
              <w:spacing w:line="240" w:lineRule="auto" w:before="0" w:after="0"/>
              <w:pStyle w:val="Compact"/>
            </w:pPr>
            <w:r>
              <w:rPr>
                <w:sz w:val="20"/>
                <w:szCs w:val="20"/>
              </w:rPr>
              <w:t xml:space="preserve">M12</w:t>
            </w:r>
          </w:p>
        </w:tc>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1731-1760</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0.64</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Castano et al. 2018 NTRS 20210008310</w:t>
            </w:r>
          </w:p>
        </w:tc>
      </w:tr>
      <w:tr>
        <w:tc>
          <w:tcPr>
            <w:tcW w:w="0" w:type="auto"/>
          </w:tcPr>
          <w:p>
            <w:pPr>
              <w:spacing w:line="240" w:lineRule="auto" w:before="0" w:after="0"/>
              <w:pStyle w:val="Compact"/>
            </w:pPr>
            <w:r>
              <w:rPr>
                <w:sz w:val="20"/>
                <w:szCs w:val="20"/>
              </w:rPr>
              <w:t xml:space="preserve">P1</w:t>
            </w:r>
          </w:p>
        </w:tc>
        <w:tc>
          <w:tcPr>
            <w:tcW w:w="0" w:type="auto"/>
          </w:tcPr>
          <w:p>
            <w:pPr>
              <w:spacing w:line="240" w:lineRule="auto" w:before="0" w:after="0"/>
              <w:pStyle w:val="Compact"/>
            </w:pPr>
            <w:r>
              <w:rPr>
                <w:sz w:val="20"/>
                <w:szCs w:val="20"/>
              </w:rPr>
              <w:t xml:space="preserve">Perseverance_M2020</w:t>
            </w:r>
          </w:p>
        </w:tc>
        <w:tc>
          <w:tcPr>
            <w:tcW w:w="0" w:type="auto"/>
          </w:tcPr>
          <w:p>
            <w:pPr>
              <w:spacing w:line="240" w:lineRule="auto" w:before="0" w:after="0"/>
              <w:pStyle w:val="Compact"/>
            </w:pPr>
            <w:r>
              <w:rPr>
                <w:sz w:val="20"/>
                <w:szCs w:val="20"/>
              </w:rPr>
              <w:t xml:space="preserve">200-230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310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4.12</w:t>
            </w:r>
          </w:p>
        </w:tc>
        <w:tc>
          <w:tcPr>
            <w:tcW w:w="0" w:type="auto"/>
          </w:tcPr>
          <w:p>
            <w:pPr>
              <w:spacing w:line="240" w:lineRule="auto" w:before="0" w:after="0"/>
              <w:pStyle w:val="Compact"/>
            </w:pPr>
            <w:r>
              <w:rPr>
                <w:sz w:val="20"/>
                <w:szCs w:val="20"/>
              </w:rPr>
              <w:t xml:space="preserve">Verma et al. 2023 SciRobotics doi:10.1126/scirobotics.adh3043</w:t>
            </w:r>
          </w:p>
        </w:tc>
      </w:tr>
      <w:tr>
        <w:tc>
          <w:tcPr>
            <w:tcW w:w="0" w:type="auto"/>
          </w:tcPr>
          <w:p>
            <w:pPr>
              <w:spacing w:line="240" w:lineRule="auto" w:before="0" w:after="0"/>
              <w:pStyle w:val="Compact"/>
            </w:pPr>
            <w:r>
              <w:rPr>
                <w:sz w:val="20"/>
                <w:szCs w:val="20"/>
              </w:rPr>
              <w:t xml:space="preserve">P2</w:t>
            </w:r>
          </w:p>
        </w:tc>
        <w:tc>
          <w:tcPr>
            <w:tcW w:w="0" w:type="auto"/>
          </w:tcPr>
          <w:p>
            <w:pPr>
              <w:spacing w:line="240" w:lineRule="auto" w:before="0" w:after="0"/>
              <w:pStyle w:val="Compact"/>
            </w:pPr>
            <w:r>
              <w:rPr>
                <w:sz w:val="20"/>
                <w:szCs w:val="20"/>
              </w:rPr>
              <w:t xml:space="preserve">Perseverance_M2020</w:t>
            </w:r>
          </w:p>
        </w:tc>
        <w:tc>
          <w:tcPr>
            <w:tcW w:w="0" w:type="auto"/>
          </w:tcPr>
          <w:p>
            <w:pPr>
              <w:spacing w:line="240" w:lineRule="auto" w:before="0" w:after="0"/>
              <w:pStyle w:val="Compact"/>
            </w:pPr>
            <w:r>
              <w:rPr>
                <w:sz w:val="20"/>
                <w:szCs w:val="20"/>
              </w:rPr>
              <w:t xml:space="preserve">231-260</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0.68</w:t>
            </w:r>
          </w:p>
        </w:tc>
        <w:tc>
          <w:tcPr>
            <w:tcW w:w="0" w:type="auto"/>
          </w:tcPr>
          <w:p>
            <w:pPr>
              <w:spacing w:line="240" w:lineRule="auto" w:before="0" w:after="0"/>
              <w:pStyle w:val="Compact"/>
            </w:pPr>
            <w:r>
              <w:rPr>
                <w:sz w:val="20"/>
                <w:szCs w:val="20"/>
              </w:rPr>
              <w:t xml:space="preserve">175</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3.94</w:t>
            </w:r>
          </w:p>
        </w:tc>
        <w:tc>
          <w:tcPr>
            <w:tcW w:w="0" w:type="auto"/>
          </w:tcPr>
          <w:p>
            <w:pPr>
              <w:spacing w:line="240" w:lineRule="auto" w:before="0" w:after="0"/>
              <w:pStyle w:val="Compact"/>
            </w:pPr>
            <w:r>
              <w:rPr>
                <w:sz w:val="20"/>
                <w:szCs w:val="20"/>
              </w:rPr>
              <w:t xml:space="preserve">Verma et al. 2023 SciRobotics doi:10.1126/scirobotics.adh3043</w:t>
            </w:r>
          </w:p>
        </w:tc>
      </w:tr>
      <w:tr>
        <w:tc>
          <w:tcPr>
            <w:tcW w:w="0" w:type="auto"/>
          </w:tcPr>
          <w:p>
            <w:pPr>
              <w:spacing w:line="240" w:lineRule="auto" w:before="0" w:after="0"/>
              <w:pStyle w:val="Compact"/>
            </w:pPr>
            <w:r>
              <w:rPr>
                <w:sz w:val="20"/>
                <w:szCs w:val="20"/>
              </w:rPr>
              <w:t xml:space="preserve">P3</w:t>
            </w:r>
          </w:p>
        </w:tc>
        <w:tc>
          <w:tcPr>
            <w:tcW w:w="0" w:type="auto"/>
          </w:tcPr>
          <w:p>
            <w:pPr>
              <w:spacing w:line="240" w:lineRule="auto" w:before="0" w:after="0"/>
              <w:pStyle w:val="Compact"/>
            </w:pPr>
            <w:r>
              <w:rPr>
                <w:sz w:val="20"/>
                <w:szCs w:val="20"/>
              </w:rPr>
              <w:t xml:space="preserve">Perseverance_M2020</w:t>
            </w:r>
          </w:p>
        </w:tc>
        <w:tc>
          <w:tcPr>
            <w:tcW w:w="0" w:type="auto"/>
          </w:tcPr>
          <w:p>
            <w:pPr>
              <w:spacing w:line="240" w:lineRule="auto" w:before="0" w:after="0"/>
              <w:pStyle w:val="Compact"/>
            </w:pPr>
            <w:r>
              <w:rPr>
                <w:sz w:val="20"/>
                <w:szCs w:val="20"/>
              </w:rPr>
              <w:t xml:space="preserve">261-290</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145</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4.32</w:t>
            </w:r>
          </w:p>
        </w:tc>
        <w:tc>
          <w:tcPr>
            <w:tcW w:w="0" w:type="auto"/>
          </w:tcPr>
          <w:p>
            <w:pPr>
              <w:spacing w:line="240" w:lineRule="auto" w:before="0" w:after="0"/>
              <w:pStyle w:val="Compact"/>
            </w:pPr>
            <w:r>
              <w:rPr>
                <w:sz w:val="20"/>
                <w:szCs w:val="20"/>
              </w:rPr>
              <w:t xml:space="preserve">Verma et al. 2023 SciRobotics doi:10.1126/scirobotics.adh3043</w:t>
            </w:r>
          </w:p>
        </w:tc>
      </w:tr>
      <w:tr>
        <w:tc>
          <w:tcPr>
            <w:tcW w:w="0" w:type="auto"/>
          </w:tcPr>
          <w:p>
            <w:pPr>
              <w:spacing w:line="240" w:lineRule="auto" w:before="0" w:after="0"/>
              <w:pStyle w:val="Compact"/>
            </w:pPr>
            <w:r>
              <w:rPr>
                <w:sz w:val="20"/>
                <w:szCs w:val="20"/>
              </w:rPr>
              <w:t xml:space="preserve">P4</w:t>
            </w:r>
          </w:p>
        </w:tc>
        <w:tc>
          <w:tcPr>
            <w:tcW w:w="0" w:type="auto"/>
          </w:tcPr>
          <w:p>
            <w:pPr>
              <w:spacing w:line="240" w:lineRule="auto" w:before="0" w:after="0"/>
              <w:pStyle w:val="Compact"/>
            </w:pPr>
            <w:r>
              <w:rPr>
                <w:sz w:val="20"/>
                <w:szCs w:val="20"/>
              </w:rPr>
              <w:t xml:space="preserve">Perseverance_M2020</w:t>
            </w:r>
          </w:p>
        </w:tc>
        <w:tc>
          <w:tcPr>
            <w:tcW w:w="0" w:type="auto"/>
          </w:tcPr>
          <w:p>
            <w:pPr>
              <w:spacing w:line="240" w:lineRule="auto" w:before="0" w:after="0"/>
              <w:pStyle w:val="Compact"/>
            </w:pPr>
            <w:r>
              <w:rPr>
                <w:sz w:val="20"/>
                <w:szCs w:val="20"/>
              </w:rPr>
              <w:t xml:space="preserve">291-320</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0.63</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290</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3.78</w:t>
            </w:r>
          </w:p>
        </w:tc>
        <w:tc>
          <w:tcPr>
            <w:tcW w:w="0" w:type="auto"/>
          </w:tcPr>
          <w:p>
            <w:pPr>
              <w:spacing w:line="240" w:lineRule="auto" w:before="0" w:after="0"/>
              <w:pStyle w:val="Compact"/>
            </w:pPr>
            <w:r>
              <w:rPr>
                <w:sz w:val="20"/>
                <w:szCs w:val="20"/>
              </w:rPr>
              <w:t xml:space="preserve">Verma et al. 2023 SciRobotics doi:10.1126/scirobotics.adh3043</w:t>
            </w:r>
          </w:p>
        </w:tc>
      </w:tr>
      <w:tr>
        <w:tc>
          <w:tcPr>
            <w:tcW w:w="0" w:type="auto"/>
          </w:tcPr>
          <w:p>
            <w:pPr>
              <w:spacing w:line="240" w:lineRule="auto" w:before="0" w:after="0"/>
              <w:pStyle w:val="Compact"/>
            </w:pPr>
            <w:r>
              <w:rPr>
                <w:sz w:val="20"/>
                <w:szCs w:val="20"/>
              </w:rPr>
              <w:t xml:space="preserve">P5</w:t>
            </w:r>
          </w:p>
        </w:tc>
        <w:tc>
          <w:tcPr>
            <w:tcW w:w="0" w:type="auto"/>
          </w:tcPr>
          <w:p>
            <w:pPr>
              <w:spacing w:line="240" w:lineRule="auto" w:before="0" w:after="0"/>
              <w:pStyle w:val="Compact"/>
            </w:pPr>
            <w:r>
              <w:rPr>
                <w:sz w:val="20"/>
                <w:szCs w:val="20"/>
              </w:rPr>
              <w:t xml:space="preserve">Perseverance_M2020</w:t>
            </w:r>
          </w:p>
        </w:tc>
        <w:tc>
          <w:tcPr>
            <w:tcW w:w="0" w:type="auto"/>
          </w:tcPr>
          <w:p>
            <w:pPr>
              <w:spacing w:line="240" w:lineRule="auto" w:before="0" w:after="0"/>
              <w:pStyle w:val="Compact"/>
            </w:pPr>
            <w:r>
              <w:rPr>
                <w:sz w:val="20"/>
                <w:szCs w:val="20"/>
              </w:rPr>
              <w:t xml:space="preserve">321-350</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305</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4.05</w:t>
            </w:r>
          </w:p>
        </w:tc>
        <w:tc>
          <w:tcPr>
            <w:tcW w:w="0" w:type="auto"/>
          </w:tcPr>
          <w:p>
            <w:pPr>
              <w:spacing w:line="240" w:lineRule="auto" w:before="0" w:after="0"/>
              <w:pStyle w:val="Compact"/>
            </w:pPr>
            <w:r>
              <w:rPr>
                <w:sz w:val="20"/>
                <w:szCs w:val="20"/>
              </w:rPr>
              <w:t xml:space="preserve">Verma et al. 2023 SciRobotics doi:10.1126/scirobotics.adh3043</w:t>
            </w:r>
          </w:p>
        </w:tc>
      </w:tr>
      <w:tr>
        <w:tc>
          <w:tcPr>
            <w:tcW w:w="0" w:type="auto"/>
          </w:tcPr>
          <w:p>
            <w:pPr>
              <w:spacing w:line="240" w:lineRule="auto" w:before="0" w:after="0"/>
              <w:pStyle w:val="Compact"/>
            </w:pPr>
            <w:r>
              <w:rPr>
                <w:sz w:val="20"/>
                <w:szCs w:val="20"/>
              </w:rPr>
              <w:t xml:space="preserve">P6</w:t>
            </w:r>
          </w:p>
        </w:tc>
        <w:tc>
          <w:tcPr>
            <w:tcW w:w="0" w:type="auto"/>
          </w:tcPr>
          <w:p>
            <w:pPr>
              <w:spacing w:line="240" w:lineRule="auto" w:before="0" w:after="0"/>
              <w:pStyle w:val="Compact"/>
            </w:pPr>
            <w:r>
              <w:rPr>
                <w:sz w:val="20"/>
                <w:szCs w:val="20"/>
              </w:rPr>
              <w:t xml:space="preserve">Perseverance_M2020</w:t>
            </w:r>
          </w:p>
        </w:tc>
        <w:tc>
          <w:tcPr>
            <w:tcW w:w="0" w:type="auto"/>
          </w:tcPr>
          <w:p>
            <w:pPr>
              <w:spacing w:line="240" w:lineRule="auto" w:before="0" w:after="0"/>
              <w:pStyle w:val="Compact"/>
            </w:pPr>
            <w:r>
              <w:rPr>
                <w:sz w:val="20"/>
                <w:szCs w:val="20"/>
              </w:rPr>
              <w:t xml:space="preserve">351-380</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0.73</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315</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4.21</w:t>
            </w:r>
          </w:p>
        </w:tc>
        <w:tc>
          <w:tcPr>
            <w:tcW w:w="0" w:type="auto"/>
          </w:tcPr>
          <w:p>
            <w:pPr>
              <w:spacing w:line="240" w:lineRule="auto" w:before="0" w:after="0"/>
              <w:pStyle w:val="Compact"/>
            </w:pPr>
            <w:r>
              <w:rPr>
                <w:sz w:val="20"/>
                <w:szCs w:val="20"/>
              </w:rPr>
              <w:t xml:space="preserve">Verma et al. 2023 SciRobotics doi:10.1126/scirobotics.adh3043</w:t>
            </w:r>
          </w:p>
        </w:tc>
      </w:tr>
      <w:tr>
        <w:tc>
          <w:tcPr>
            <w:tcW w:w="0" w:type="auto"/>
          </w:tcPr>
          <w:p>
            <w:pPr>
              <w:spacing w:line="240" w:lineRule="auto" w:before="0" w:after="0"/>
              <w:pStyle w:val="Compact"/>
            </w:pPr>
            <w:r>
              <w:rPr>
                <w:sz w:val="20"/>
                <w:szCs w:val="20"/>
              </w:rPr>
              <w:t xml:space="preserve">O1</w:t>
            </w:r>
          </w:p>
        </w:tc>
        <w:tc>
          <w:tcPr>
            <w:tcW w:w="0" w:type="auto"/>
          </w:tcPr>
          <w:p>
            <w:pPr>
              <w:spacing w:line="240" w:lineRule="auto" w:before="0" w:after="0"/>
              <w:pStyle w:val="Compact"/>
            </w:pPr>
            <w:r>
              <w:rPr>
                <w:sz w:val="20"/>
                <w:szCs w:val="20"/>
              </w:rPr>
              <w:t xml:space="preserve">MER_Opportunity</w:t>
            </w:r>
          </w:p>
        </w:tc>
        <w:tc>
          <w:tcPr>
            <w:tcW w:w="0" w:type="auto"/>
          </w:tcPr>
          <w:p>
            <w:pPr>
              <w:spacing w:line="240" w:lineRule="auto" w:before="0" w:after="0"/>
              <w:pStyle w:val="Compact"/>
            </w:pPr>
            <w:r>
              <w:rPr>
                <w:sz w:val="20"/>
                <w:szCs w:val="20"/>
              </w:rPr>
              <w:t xml:space="preserve">1850-1880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Estlin et al. 2012 ACM TIST doi:10.1145/2240166.2240168</w:t>
            </w:r>
          </w:p>
        </w:tc>
      </w:tr>
      <w:tr>
        <w:tc>
          <w:tcPr>
            <w:tcW w:w="0" w:type="auto"/>
          </w:tcPr>
          <w:p>
            <w:pPr>
              <w:spacing w:line="240" w:lineRule="auto" w:before="0" w:after="0"/>
              <w:pStyle w:val="Compact"/>
            </w:pPr>
            <w:r>
              <w:rPr>
                <w:sz w:val="20"/>
                <w:szCs w:val="20"/>
              </w:rPr>
              <w:t xml:space="preserve">O2</w:t>
            </w:r>
          </w:p>
        </w:tc>
        <w:tc>
          <w:tcPr>
            <w:tcW w:w="0" w:type="auto"/>
          </w:tcPr>
          <w:p>
            <w:pPr>
              <w:spacing w:line="240" w:lineRule="auto" w:before="0" w:after="0"/>
              <w:pStyle w:val="Compact"/>
            </w:pPr>
            <w:r>
              <w:rPr>
                <w:sz w:val="20"/>
                <w:szCs w:val="20"/>
              </w:rPr>
              <w:t xml:space="preserve">MER_Opportunity</w:t>
            </w:r>
          </w:p>
        </w:tc>
        <w:tc>
          <w:tcPr>
            <w:tcW w:w="0" w:type="auto"/>
          </w:tcPr>
          <w:p>
            <w:pPr>
              <w:spacing w:line="240" w:lineRule="auto" w:before="0" w:after="0"/>
              <w:pStyle w:val="Compact"/>
            </w:pPr>
            <w:r>
              <w:rPr>
                <w:sz w:val="20"/>
                <w:szCs w:val="20"/>
              </w:rPr>
              <w:t xml:space="preserve">1881-1910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0.28</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Estlin et al. 2012 ACM TIST doi:10.1145/2240166.2240168</w:t>
            </w:r>
          </w:p>
        </w:tc>
      </w:tr>
      <w:tr>
        <w:tc>
          <w:tcPr>
            <w:tcW w:w="0" w:type="auto"/>
          </w:tcPr>
          <w:p>
            <w:pPr>
              <w:spacing w:line="240" w:lineRule="auto" w:before="0" w:after="0"/>
              <w:pStyle w:val="Compact"/>
            </w:pPr>
            <w:r>
              <w:rPr>
                <w:sz w:val="20"/>
                <w:szCs w:val="20"/>
              </w:rPr>
              <w:t xml:space="preserve">O3</w:t>
            </w:r>
          </w:p>
        </w:tc>
        <w:tc>
          <w:tcPr>
            <w:tcW w:w="0" w:type="auto"/>
          </w:tcPr>
          <w:p>
            <w:pPr>
              <w:spacing w:line="240" w:lineRule="auto" w:before="0" w:after="0"/>
              <w:pStyle w:val="Compact"/>
            </w:pPr>
            <w:r>
              <w:rPr>
                <w:sz w:val="20"/>
                <w:szCs w:val="20"/>
              </w:rPr>
              <w:t xml:space="preserve">MER_Opportunity</w:t>
            </w:r>
          </w:p>
        </w:tc>
        <w:tc>
          <w:tcPr>
            <w:tcW w:w="0" w:type="auto"/>
          </w:tcPr>
          <w:p>
            <w:pPr>
              <w:spacing w:line="240" w:lineRule="auto" w:before="0" w:after="0"/>
              <w:pStyle w:val="Compact"/>
            </w:pPr>
            <w:r>
              <w:rPr>
                <w:sz w:val="20"/>
                <w:szCs w:val="20"/>
              </w:rPr>
              <w:t xml:space="preserve">1911-1940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1.31</w:t>
            </w:r>
          </w:p>
        </w:tc>
        <w:tc>
          <w:tcPr>
            <w:tcW w:w="0" w:type="auto"/>
          </w:tcPr>
          <w:p>
            <w:pPr>
              <w:spacing w:line="240" w:lineRule="auto" w:before="0" w:after="0"/>
              <w:pStyle w:val="Compact"/>
            </w:pPr>
            <w:r>
              <w:rPr>
                <w:sz w:val="20"/>
                <w:szCs w:val="20"/>
              </w:rPr>
              <w:t xml:space="preserve">Estlin et al. 2012 ACM TIST doi:10.1145/2240166.2240168</w:t>
            </w:r>
          </w:p>
        </w:tc>
      </w:tr>
      <w:tr>
        <w:tc>
          <w:tcPr>
            <w:tcW w:w="0" w:type="auto"/>
          </w:tcPr>
          <w:p>
            <w:pPr>
              <w:spacing w:line="240" w:lineRule="auto" w:before="0" w:after="0"/>
              <w:pStyle w:val="Compact"/>
            </w:pPr>
            <w:r>
              <w:rPr>
                <w:sz w:val="20"/>
                <w:szCs w:val="20"/>
              </w:rPr>
              <w:t xml:space="preserve">O4</w:t>
            </w:r>
          </w:p>
        </w:tc>
        <w:tc>
          <w:tcPr>
            <w:tcW w:w="0" w:type="auto"/>
          </w:tcPr>
          <w:p>
            <w:pPr>
              <w:spacing w:line="240" w:lineRule="auto" w:before="0" w:after="0"/>
              <w:pStyle w:val="Compact"/>
            </w:pPr>
            <w:r>
              <w:rPr>
                <w:sz w:val="20"/>
                <w:szCs w:val="20"/>
              </w:rPr>
              <w:t xml:space="preserve">MER_Opportunity</w:t>
            </w:r>
          </w:p>
        </w:tc>
        <w:tc>
          <w:tcPr>
            <w:tcW w:w="0" w:type="auto"/>
          </w:tcPr>
          <w:p>
            <w:pPr>
              <w:spacing w:line="240" w:lineRule="auto" w:before="0" w:after="0"/>
              <w:pStyle w:val="Compact"/>
            </w:pPr>
            <w:r>
              <w:rPr>
                <w:sz w:val="20"/>
                <w:szCs w:val="20"/>
              </w:rPr>
              <w:t xml:space="preserve">1941-1970</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0.34</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1.88</w:t>
            </w:r>
          </w:p>
        </w:tc>
        <w:tc>
          <w:tcPr>
            <w:tcW w:w="0" w:type="auto"/>
          </w:tcPr>
          <w:p>
            <w:pPr>
              <w:spacing w:line="240" w:lineRule="auto" w:before="0" w:after="0"/>
              <w:pStyle w:val="Compact"/>
            </w:pPr>
            <w:r>
              <w:rPr>
                <w:sz w:val="20"/>
                <w:szCs w:val="20"/>
              </w:rPr>
              <w:t xml:space="preserve">Estlin et al. 2012 ACM TIST doi:10.1145/2240166.2240168</w:t>
            </w:r>
          </w:p>
        </w:tc>
      </w:tr>
      <w:tr>
        <w:tc>
          <w:tcPr>
            <w:tcW w:w="0" w:type="auto"/>
          </w:tcPr>
          <w:p>
            <w:pPr>
              <w:spacing w:line="240" w:lineRule="auto" w:before="0" w:after="0"/>
              <w:pStyle w:val="Compact"/>
            </w:pPr>
            <w:r>
              <w:rPr>
                <w:sz w:val="20"/>
                <w:szCs w:val="20"/>
              </w:rPr>
              <w:t xml:space="preserve">O5</w:t>
            </w:r>
          </w:p>
        </w:tc>
        <w:tc>
          <w:tcPr>
            <w:tcW w:w="0" w:type="auto"/>
          </w:tcPr>
          <w:p>
            <w:pPr>
              <w:spacing w:line="240" w:lineRule="auto" w:before="0" w:after="0"/>
              <w:pStyle w:val="Compact"/>
            </w:pPr>
            <w:r>
              <w:rPr>
                <w:sz w:val="20"/>
                <w:szCs w:val="20"/>
              </w:rPr>
              <w:t xml:space="preserve">MER_Opportunity</w:t>
            </w:r>
          </w:p>
        </w:tc>
        <w:tc>
          <w:tcPr>
            <w:tcW w:w="0" w:type="auto"/>
          </w:tcPr>
          <w:p>
            <w:pPr>
              <w:spacing w:line="240" w:lineRule="auto" w:before="0" w:after="0"/>
              <w:pStyle w:val="Compact"/>
            </w:pPr>
            <w:r>
              <w:rPr>
                <w:sz w:val="20"/>
                <w:szCs w:val="20"/>
              </w:rPr>
              <w:t xml:space="preserve">1971-2000</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0.24</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1.52</w:t>
            </w:r>
          </w:p>
        </w:tc>
        <w:tc>
          <w:tcPr>
            <w:tcW w:w="0" w:type="auto"/>
          </w:tcPr>
          <w:p>
            <w:pPr>
              <w:spacing w:line="240" w:lineRule="auto" w:before="0" w:after="0"/>
              <w:pStyle w:val="Compact"/>
            </w:pPr>
            <w:r>
              <w:rPr>
                <w:sz w:val="20"/>
                <w:szCs w:val="20"/>
              </w:rPr>
              <w:t xml:space="preserve">Estlin et al. 2012 ACM TIST doi:10.1145/2240166.2240168</w:t>
            </w:r>
          </w:p>
        </w:tc>
      </w:tr>
      <w:tr>
        <w:tc>
          <w:tcPr>
            <w:tcW w:w="0" w:type="auto"/>
          </w:tcPr>
          <w:p>
            <w:pPr>
              <w:spacing w:line="240" w:lineRule="auto" w:before="0" w:after="0"/>
              <w:pStyle w:val="Compact"/>
            </w:pPr>
            <w:r>
              <w:rPr>
                <w:sz w:val="20"/>
                <w:szCs w:val="20"/>
              </w:rPr>
              <w:t xml:space="preserve">O6</w:t>
            </w:r>
          </w:p>
        </w:tc>
        <w:tc>
          <w:tcPr>
            <w:tcW w:w="0" w:type="auto"/>
          </w:tcPr>
          <w:p>
            <w:pPr>
              <w:spacing w:line="240" w:lineRule="auto" w:before="0" w:after="0"/>
              <w:pStyle w:val="Compact"/>
            </w:pPr>
            <w:r>
              <w:rPr>
                <w:sz w:val="20"/>
                <w:szCs w:val="20"/>
              </w:rPr>
              <w:t xml:space="preserve">MER_Opportunity</w:t>
            </w:r>
          </w:p>
        </w:tc>
        <w:tc>
          <w:tcPr>
            <w:tcW w:w="0" w:type="auto"/>
          </w:tcPr>
          <w:p>
            <w:pPr>
              <w:spacing w:line="240" w:lineRule="auto" w:before="0" w:after="0"/>
              <w:pStyle w:val="Compact"/>
            </w:pPr>
            <w:r>
              <w:rPr>
                <w:sz w:val="20"/>
                <w:szCs w:val="20"/>
              </w:rPr>
              <w:t xml:space="preserve">2001-2030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1.94</w:t>
            </w:r>
          </w:p>
        </w:tc>
        <w:tc>
          <w:tcPr>
            <w:tcW w:w="0" w:type="auto"/>
          </w:tcPr>
          <w:p>
            <w:pPr>
              <w:spacing w:line="240" w:lineRule="auto" w:before="0" w:after="0"/>
              <w:pStyle w:val="Compact"/>
            </w:pPr>
            <w:r>
              <w:rPr>
                <w:sz w:val="20"/>
                <w:szCs w:val="20"/>
              </w:rPr>
              <w:t xml:space="preserve">Estlin et al. 2012 ACM TIST doi:10.1145/2240166.2240168</w:t>
            </w:r>
          </w:p>
        </w:tc>
      </w:tr>
      <w:tr>
        <w:tc>
          <w:tcPr>
            <w:tcW w:w="0" w:type="auto"/>
          </w:tcPr>
          <w:p>
            <w:pPr>
              <w:spacing w:line="240" w:lineRule="auto" w:before="0" w:after="0"/>
              <w:pStyle w:val="Compact"/>
            </w:pPr>
            <w:r>
              <w:rPr>
                <w:sz w:val="20"/>
                <w:szCs w:val="20"/>
              </w:rPr>
              <w:t xml:space="preserve">M13</w:t>
            </w:r>
          </w:p>
        </w:tc>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1761-1790</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215</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2.68</w:t>
            </w:r>
          </w:p>
        </w:tc>
        <w:tc>
          <w:tcPr>
            <w:tcW w:w="0" w:type="auto"/>
          </w:tcPr>
          <w:p>
            <w:pPr>
              <w:spacing w:line="240" w:lineRule="auto" w:before="0" w:after="0"/>
              <w:pStyle w:val="Compact"/>
            </w:pPr>
            <w:r>
              <w:rPr>
                <w:sz w:val="20"/>
                <w:szCs w:val="20"/>
              </w:rPr>
              <w:t xml:space="preserve">Francis et al. 2017 doi:10.1126/scirobotics.aan4582 [illustrative]</w:t>
            </w:r>
          </w:p>
        </w:tc>
      </w:tr>
      <w:tr>
        <w:tc>
          <w:tcPr>
            <w:tcW w:w="0" w:type="auto"/>
          </w:tcPr>
          <w:p>
            <w:pPr>
              <w:spacing w:line="240" w:lineRule="auto" w:before="0" w:after="0"/>
              <w:pStyle w:val="Compact"/>
            </w:pPr>
            <w:r>
              <w:rPr>
                <w:sz w:val="20"/>
                <w:szCs w:val="20"/>
              </w:rPr>
              <w:t xml:space="preserve">M14</w:t>
            </w:r>
          </w:p>
        </w:tc>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1791-1820</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0.67</w:t>
            </w:r>
          </w:p>
        </w:tc>
        <w:tc>
          <w:tcPr>
            <w:tcW w:w="0" w:type="auto"/>
          </w:tcPr>
          <w:p>
            <w:pPr>
              <w:spacing w:line="240" w:lineRule="auto" w:before="0" w:after="0"/>
              <w:pStyle w:val="Compact"/>
            </w:pPr>
            <w:r>
              <w:rPr>
                <w:sz w:val="20"/>
                <w:szCs w:val="20"/>
              </w:rPr>
              <w:t xml:space="preserve">145</w:t>
            </w:r>
          </w:p>
        </w:tc>
        <w:tc>
          <w:tcPr>
            <w:tcW w:w="0" w:type="auto"/>
          </w:tcPr>
          <w:p>
            <w:pPr>
              <w:spacing w:line="240" w:lineRule="auto" w:before="0" w:after="0"/>
              <w:pStyle w:val="Compact"/>
            </w:pPr>
            <w:r>
              <w:rPr>
                <w:sz w:val="20"/>
                <w:szCs w:val="20"/>
              </w:rPr>
              <w:t xml:space="preserve">265</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3.81</w:t>
            </w:r>
          </w:p>
        </w:tc>
        <w:tc>
          <w:tcPr>
            <w:tcW w:w="0" w:type="auto"/>
          </w:tcPr>
          <w:p>
            <w:pPr>
              <w:spacing w:line="240" w:lineRule="auto" w:before="0" w:after="0"/>
              <w:pStyle w:val="Compact"/>
            </w:pPr>
            <w:r>
              <w:rPr>
                <w:sz w:val="20"/>
                <w:szCs w:val="20"/>
              </w:rPr>
              <w:t xml:space="preserve">Francis et al. 2017 doi:10.1126/scirobotics.aan4582 [illustrative]</w:t>
            </w:r>
          </w:p>
        </w:tc>
      </w:tr>
      <w:tr>
        <w:tc>
          <w:tcPr>
            <w:tcW w:w="0" w:type="auto"/>
          </w:tcPr>
          <w:p>
            <w:pPr>
              <w:spacing w:line="240" w:lineRule="auto" w:before="0" w:after="0"/>
              <w:pStyle w:val="Compact"/>
            </w:pPr>
            <w:r>
              <w:rPr>
                <w:sz w:val="20"/>
                <w:szCs w:val="20"/>
              </w:rPr>
              <w:t xml:space="preserve">P7</w:t>
            </w:r>
          </w:p>
        </w:tc>
        <w:tc>
          <w:tcPr>
            <w:tcW w:w="0" w:type="auto"/>
          </w:tcPr>
          <w:p>
            <w:pPr>
              <w:spacing w:line="240" w:lineRule="auto" w:before="0" w:after="0"/>
              <w:pStyle w:val="Compact"/>
            </w:pPr>
            <w:r>
              <w:rPr>
                <w:sz w:val="20"/>
                <w:szCs w:val="20"/>
              </w:rPr>
              <w:t xml:space="preserve">Perseverance_M2020</w:t>
            </w:r>
          </w:p>
        </w:tc>
        <w:tc>
          <w:tcPr>
            <w:tcW w:w="0" w:type="auto"/>
          </w:tcPr>
          <w:p>
            <w:pPr>
              <w:spacing w:line="240" w:lineRule="auto" w:before="0" w:after="0"/>
              <w:pStyle w:val="Compact"/>
            </w:pPr>
            <w:r>
              <w:rPr>
                <w:sz w:val="20"/>
                <w:szCs w:val="20"/>
              </w:rPr>
              <w:t xml:space="preserve">381-410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295</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3.85</w:t>
            </w:r>
          </w:p>
        </w:tc>
        <w:tc>
          <w:tcPr>
            <w:tcW w:w="0" w:type="auto"/>
          </w:tcPr>
          <w:p>
            <w:pPr>
              <w:spacing w:line="240" w:lineRule="auto" w:before="0" w:after="0"/>
              <w:pStyle w:val="Compact"/>
            </w:pPr>
            <w:r>
              <w:rPr>
                <w:sz w:val="20"/>
                <w:szCs w:val="20"/>
              </w:rPr>
              <w:t xml:space="preserve">Verma et al. 2023 SciRobotics doi:10.1126/scirobotics.adh3043 [illustrative]</w:t>
            </w:r>
          </w:p>
        </w:tc>
      </w:tr>
      <w:tr>
        <w:tc>
          <w:tcPr>
            <w:tcW w:w="0" w:type="auto"/>
          </w:tcPr>
          <w:p>
            <w:pPr>
              <w:spacing w:line="240" w:lineRule="auto" w:before="0" w:after="0"/>
              <w:pStyle w:val="Compact"/>
            </w:pPr>
            <w:r>
              <w:rPr>
                <w:sz w:val="20"/>
                <w:szCs w:val="20"/>
              </w:rPr>
              <w:t xml:space="preserve">O7</w:t>
            </w:r>
          </w:p>
        </w:tc>
        <w:tc>
          <w:tcPr>
            <w:tcW w:w="0" w:type="auto"/>
          </w:tcPr>
          <w:p>
            <w:pPr>
              <w:spacing w:line="240" w:lineRule="auto" w:before="0" w:after="0"/>
              <w:pStyle w:val="Compact"/>
            </w:pPr>
            <w:r>
              <w:rPr>
                <w:sz w:val="20"/>
                <w:szCs w:val="20"/>
              </w:rPr>
              <w:t xml:space="preserve">MER_Opportunity</w:t>
            </w:r>
          </w:p>
        </w:tc>
        <w:tc>
          <w:tcPr>
            <w:tcW w:w="0" w:type="auto"/>
          </w:tcPr>
          <w:p>
            <w:pPr>
              <w:spacing w:line="240" w:lineRule="auto" w:before="0" w:after="0"/>
              <w:pStyle w:val="Compact"/>
            </w:pPr>
            <w:r>
              <w:rPr>
                <w:sz w:val="20"/>
                <w:szCs w:val="20"/>
              </w:rPr>
              <w:t xml:space="preserve">2031-2060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0.26</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Estlin et al. 2012 ACM TIST doi:10.1145/2240166.2240168 [illustrative]</w:t>
            </w:r>
          </w:p>
        </w:tc>
      </w:tr>
    </w:tbl>
    <w:bookmarkEnd w:id="213"/>
    <w:bookmarkStart w:id="214"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science_yield</w:t>
            </w:r>
          </w:p>
        </w:tc>
        <w:tc>
          <w:tcPr>
            <w:tcW w:w="0" w:type="auto"/>
          </w:tcPr>
          <w:p>
            <w:pPr>
              <w:spacing w:line="240" w:lineRule="auto" w:before="0" w:after="0"/>
              <w:pStyle w:val="Compact"/>
            </w:pPr>
            <w:r>
              <w:rPr>
                <w:sz w:val="20"/>
                <w:szCs w:val="20"/>
              </w:rPr>
              <w:t xml:space="preserve">Composite per-sol science yield index (ChemCam observations weighted by downstream archival use; higher equals more retained science value).</w:t>
            </w:r>
          </w:p>
        </w:tc>
        <w:tc>
          <w:tcPr>
            <w:tcW w:w="0" w:type="auto"/>
          </w:tcPr>
          <w:p>
            <w:pPr>
              <w:spacing w:line="240" w:lineRule="auto" w:before="0" w:after="0"/>
              <w:pStyle w:val="Compact"/>
            </w:pPr>
            <w:r>
              <w:rPr>
                <w:sz w:val="20"/>
                <w:szCs w:val="20"/>
              </w:rPr>
              <w:t xml:space="preserve">Constructed from per-sol Mars rover operations reports (Francis 2017; Castano 2018; Verma 2023; Estlin 2012).</w:t>
            </w:r>
          </w:p>
        </w:tc>
      </w:tr>
      <w:tr>
        <w:tc>
          <w:tcPr>
            <w:tcW w:w="0" w:type="auto"/>
          </w:tcPr>
          <w:p>
            <w:pPr>
              <w:spacing w:line="240" w:lineRule="auto" w:before="0" w:after="0"/>
              <w:pStyle w:val="Compact"/>
            </w:pPr>
            <w:r>
              <w:rPr>
                <w:sz w:val="20"/>
                <w:szCs w:val="20"/>
              </w:rPr>
              <w:t xml:space="preserve">auto_share</w:t>
            </w:r>
          </w:p>
        </w:tc>
        <w:tc>
          <w:tcPr>
            <w:tcW w:w="0" w:type="auto"/>
          </w:tcPr>
          <w:p>
            <w:pPr>
              <w:spacing w:line="240" w:lineRule="auto" w:before="0" w:after="0"/>
              <w:pStyle w:val="Compact"/>
            </w:pPr>
            <w:r>
              <w:rPr>
                <w:sz w:val="20"/>
                <w:szCs w:val="20"/>
              </w:rPr>
              <w:t xml:space="preserve">Share of targets in the sol-block selected by onboard autonomy (AEGIS / OASIS) rather than uplinked human selection.</w:t>
            </w:r>
          </w:p>
        </w:tc>
        <w:tc>
          <w:tcPr>
            <w:tcW w:w="0" w:type="auto"/>
          </w:tcPr>
          <w:p>
            <w:pPr>
              <w:spacing w:line="240" w:lineRule="auto" w:before="0" w:after="0"/>
              <w:pStyle w:val="Compact"/>
            </w:pPr>
            <w:r>
              <w:rPr>
                <w:sz w:val="20"/>
                <w:szCs w:val="20"/>
              </w:rPr>
              <w:t xml:space="preserve">Reported AEGIS targeting fractions in Francis et al. 2017 and Castano et al. 2018 NTRS 20210008310.</w:t>
            </w:r>
          </w:p>
        </w:tc>
      </w:tr>
      <w:tr>
        <w:tc>
          <w:tcPr>
            <w:tcW w:w="0" w:type="auto"/>
          </w:tcPr>
          <w:p>
            <w:pPr>
              <w:spacing w:line="240" w:lineRule="auto" w:before="0" w:after="0"/>
              <w:pStyle w:val="Compact"/>
            </w:pPr>
            <w:r>
              <w:rPr>
                <w:sz w:val="20"/>
                <w:szCs w:val="20"/>
              </w:rPr>
              <w:t xml:space="preserve">traverse_m</w:t>
            </w:r>
          </w:p>
        </w:tc>
        <w:tc>
          <w:tcPr>
            <w:tcW w:w="0" w:type="auto"/>
          </w:tcPr>
          <w:p>
            <w:pPr>
              <w:spacing w:line="240" w:lineRule="auto" w:before="0" w:after="0"/>
              <w:pStyle w:val="Compact"/>
            </w:pPr>
            <w:r>
              <w:rPr>
                <w:sz w:val="20"/>
                <w:szCs w:val="20"/>
              </w:rPr>
              <w:t xml:space="preserve">Total rover traverse distance during the sol-block, in meters.</w:t>
            </w:r>
          </w:p>
        </w:tc>
        <w:tc>
          <w:tcPr>
            <w:tcW w:w="0" w:type="auto"/>
          </w:tcPr>
          <w:p>
            <w:pPr>
              <w:spacing w:line="240" w:lineRule="auto" w:before="0" w:after="0"/>
              <w:pStyle w:val="Compact"/>
            </w:pPr>
            <w:r>
              <w:rPr>
                <w:sz w:val="20"/>
                <w:szCs w:val="20"/>
              </w:rPr>
              <w:t xml:space="preserve">MSL and Perseverance public traverse logs aggregated to sol-block totals.</w:t>
            </w:r>
          </w:p>
        </w:tc>
      </w:tr>
      <w:tr>
        <w:tc>
          <w:tcPr>
            <w:tcW w:w="0" w:type="auto"/>
          </w:tcPr>
          <w:p>
            <w:pPr>
              <w:spacing w:line="240" w:lineRule="auto" w:before="0" w:after="0"/>
              <w:pStyle w:val="Compact"/>
            </w:pPr>
            <w:r>
              <w:rPr>
                <w:sz w:val="20"/>
                <w:szCs w:val="20"/>
              </w:rPr>
              <w:t xml:space="preserve">downlink_mb</w:t>
            </w:r>
          </w:p>
        </w:tc>
        <w:tc>
          <w:tcPr>
            <w:tcW w:w="0" w:type="auto"/>
          </w:tcPr>
          <w:p>
            <w:pPr>
              <w:spacing w:line="240" w:lineRule="auto" w:before="0" w:after="0"/>
              <w:pStyle w:val="Compact"/>
            </w:pPr>
            <w:r>
              <w:rPr>
                <w:sz w:val="20"/>
                <w:szCs w:val="20"/>
              </w:rPr>
              <w:t xml:space="preserve">Downlink window in megabytes available for the sol-block.</w:t>
            </w:r>
          </w:p>
        </w:tc>
        <w:tc>
          <w:tcPr>
            <w:tcW w:w="0" w:type="auto"/>
          </w:tcPr>
          <w:p>
            <w:pPr>
              <w:spacing w:line="240" w:lineRule="auto" w:before="0" w:after="0"/>
              <w:pStyle w:val="Compact"/>
            </w:pPr>
            <w:r>
              <w:rPr>
                <w:sz w:val="20"/>
                <w:szCs w:val="20"/>
              </w:rPr>
              <w:t xml:space="preserve">Approximate per-sol MRO/Mars Relay reporting summarized in Francis 2017 and Verma 2023.</w:t>
            </w:r>
          </w:p>
        </w:tc>
      </w:tr>
      <w:t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Spacecraft platform (MSL Curiosity, Perseverance M2020, or MER Opportunity).</w:t>
            </w:r>
          </w:p>
        </w:tc>
        <w:tc>
          <w:tcPr>
            <w:tcW w:w="0" w:type="auto"/>
          </w:tcPr>
          <w:p>
            <w:pPr>
              <w:spacing w:line="240" w:lineRule="auto" w:before="0" w:after="0"/>
              <w:pStyle w:val="Compact"/>
            </w:pPr>
            <w:r>
              <w:rPr>
                <w:sz w:val="20"/>
                <w:szCs w:val="20"/>
              </w:rPr>
              <w:t xml:space="preserve">NASA mission ID.</w:t>
            </w:r>
          </w:p>
        </w:tc>
      </w:tr>
      <w:tr>
        <w:tc>
          <w:tcPr>
            <w:tcW w:w="0" w:type="auto"/>
          </w:tcPr>
          <w:p>
            <w:pPr>
              <w:spacing w:line="240" w:lineRule="auto" w:before="0" w:after="0"/>
              <w:pStyle w:val="Compact"/>
            </w:pPr>
            <w:r>
              <w:rPr>
                <w:sz w:val="20"/>
                <w:szCs w:val="20"/>
              </w:rPr>
              <w:t xml:space="preserve">sol_block</w:t>
            </w:r>
          </w:p>
        </w:tc>
        <w:tc>
          <w:tcPr>
            <w:tcW w:w="0" w:type="auto"/>
          </w:tcPr>
          <w:p>
            <w:pPr>
              <w:spacing w:line="240" w:lineRule="auto" w:before="0" w:after="0"/>
              <w:pStyle w:val="Compact"/>
            </w:pPr>
            <w:r>
              <w:rPr>
                <w:sz w:val="20"/>
                <w:szCs w:val="20"/>
              </w:rPr>
              <w:t xml:space="preserve">Sol range over which the observation aggregates.</w:t>
            </w:r>
          </w:p>
        </w:tc>
        <w:tc>
          <w:tcPr>
            <w:tcW w:w="0" w:type="auto"/>
          </w:tcPr>
          <w:p>
            <w:pPr>
              <w:spacing w:line="240" w:lineRule="auto" w:before="0" w:after="0"/>
              <w:pStyle w:val="Compact"/>
            </w:pPr>
            <w:r>
              <w:rPr>
                <w:sz w:val="20"/>
                <w:szCs w:val="20"/>
              </w:rPr>
              <w:t xml:space="preserve">Mission operations timeline.</w:t>
            </w:r>
          </w:p>
        </w:tc>
      </w:tr>
    </w:tbl>
    <w:bookmarkEnd w:id="214"/>
    <w:bookmarkEnd w:id="215"/>
    <w:bookmarkStart w:id="223" w:name="Xe5daf039ca0bd54a1e16cdc0cd3b691f5a25afd"/>
    <w:p>
      <w:pPr>
        <w:pStyle w:val="Heading2"/>
        <w:spacing w:line="480" w:lineRule="auto"/>
      </w:pPr>
      <w:r>
        <w:t xml:space="preserve">A.2 A Learning Curve for Onboard Autonomous Science Targeting: Estimating the Experience Elasticity of Per-Sol Science Yield Across Three Mars Rovers</w:t>
      </w:r>
    </w:p>
    <w:p>
      <w:pPr>
        <w:pStyle w:val="FirstParagraph"/>
        <w:spacing w:line="480" w:lineRule="auto"/>
      </w:pPr>
      <m:oMathPara>
        <m:oMathParaPr>
          <m:jc m:val="center"/>
        </m:oMathParaPr>
        <m:oMath>
          <m:r>
            <m:rPr>
              <m:sty m:val="p"/>
            </m:rPr>
            <m:t>ln</m:t>
          </m:r>
          <m:r>
            <m:rPr>
              <m:sty m:val="p"/>
            </m:rPr>
            <m:t>(</m:t>
          </m:r>
          <m:sSub>
            <m:e>
              <m:r>
                <m:rPr>
                  <m:nor/>
                  <m:sty m:val="p"/>
                </m:rPr>
                <m:t>sci_yield_per_sol</m:t>
              </m:r>
            </m:e>
            <m:sub>
              <m:r>
                <m:t>i</m:t>
              </m:r>
            </m:sub>
          </m:sSub>
          <m:r>
            <m:rPr>
              <m:sty m:val="p"/>
            </m:rPr>
            <m:t>)</m:t>
          </m:r>
          <m:r>
            <m:rPr>
              <m:sty m:val="p"/>
            </m:rPr>
            <m:t>=</m:t>
          </m:r>
          <m:r>
            <m:t>α</m:t>
          </m:r>
          <m:r>
            <m:rPr>
              <m:sty m:val="p"/>
            </m:rPr>
            <m:t>+</m:t>
          </m:r>
          <m:r>
            <m:t>β</m:t>
          </m:r>
          <m:r>
            <m:rPr>
              <m:sty m:val="p"/>
            </m:rPr>
            <m:t>⋅</m:t>
          </m:r>
          <m:r>
            <m:rPr>
              <m:sty m:val="p"/>
            </m:rPr>
            <m:t>ln</m:t>
          </m:r>
          <m:r>
            <m:rPr>
              <m:sty m:val="p"/>
            </m:rPr>
            <m:t>(</m:t>
          </m:r>
          <m:sSub>
            <m:e>
              <m:r>
                <m:rPr>
                  <m:nor/>
                  <m:sty m:val="p"/>
                </m:rPr>
                <m:t>cum_auton_sols</m:t>
              </m:r>
            </m:e>
            <m:sub>
              <m:r>
                <m:t>i</m:t>
              </m:r>
            </m:sub>
          </m:sSub>
          <m:r>
            <m:rPr>
              <m:sty m:val="p"/>
            </m:rPr>
            <m:t>)</m:t>
          </m:r>
          <m:r>
            <m:rPr>
              <m:sty m:val="p"/>
            </m:rPr>
            <m:t>+</m:t>
          </m:r>
          <m:sSub>
            <m:e>
              <m:r>
                <m:t>ε</m:t>
              </m:r>
            </m:e>
            <m:sub>
              <m:r>
                <m:t>i</m:t>
              </m:r>
            </m:sub>
          </m:sSub>
        </m:oMath>
      </m:oMathPara>
    </w:p>
    <w:bookmarkStart w:id="216"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0.5182</w:t>
            </w:r>
          </w:p>
        </w:tc>
        <w:tc>
          <w:tcPr>
            <w:tcW w:w="0" w:type="auto"/>
          </w:tcPr>
          <w:p>
            <w:pPr>
              <w:spacing w:line="240" w:lineRule="auto" w:before="0" w:after="0"/>
              <w:pStyle w:val="Compact"/>
            </w:pPr>
            <w:r>
              <w:rPr>
                <w:sz w:val="20"/>
                <w:szCs w:val="20"/>
              </w:rPr>
              <w:t xml:space="preserve">0.1018</w:t>
            </w:r>
          </w:p>
        </w:tc>
        <w:tc>
          <w:tcPr>
            <w:tcW w:w="0" w:type="auto"/>
          </w:tcPr>
          <w:p>
            <w:pPr>
              <w:spacing w:line="240" w:lineRule="auto" w:before="0" w:after="0"/>
              <w:pStyle w:val="Compact"/>
            </w:pPr>
            <w:r>
              <w:rPr>
                <w:sz w:val="20"/>
                <w:szCs w:val="20"/>
              </w:rPr>
              <w:t xml:space="preserve">5.0909</w:t>
            </w:r>
          </w:p>
        </w:tc>
        <w:tc>
          <w:tcPr>
            <w:tcW w:w="0" w:type="auto"/>
          </w:tcPr>
          <w:p>
            <w:pPr>
              <w:spacing w:line="240" w:lineRule="auto" w:before="0" w:after="0"/>
              <w:pStyle w:val="Compact"/>
            </w:pPr>
            <w:r>
              <w:rPr>
                <w:sz w:val="20"/>
                <w:szCs w:val="20"/>
              </w:rPr>
              <w:t xml:space="preserve">3.564e-07</w:t>
            </w:r>
          </w:p>
        </w:tc>
        <w:tc>
          <w:tcPr>
            <w:tcW w:w="0" w:type="auto"/>
          </w:tcPr>
          <w:p>
            <w:pPr>
              <w:spacing w:line="240" w:lineRule="auto" w:before="0" w:after="0"/>
              <w:pStyle w:val="Compact"/>
            </w:pPr>
            <w:r>
              <w:rPr>
                <w:sz w:val="20"/>
                <w:szCs w:val="20"/>
              </w:rPr>
              <w:t xml:space="preserve">[0.3187, 0.7177]</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0.2198</w:t>
            </w:r>
          </w:p>
        </w:tc>
        <w:tc>
          <w:tcPr>
            <w:tcW w:w="0" w:type="auto"/>
          </w:tcPr>
          <w:p>
            <w:pPr>
              <w:spacing w:line="240" w:lineRule="auto" w:before="0" w:after="0"/>
              <w:pStyle w:val="Compact"/>
            </w:pPr>
            <w:r>
              <w:rPr>
                <w:sz w:val="20"/>
                <w:szCs w:val="20"/>
              </w:rPr>
              <w:t xml:space="preserve">0.0175</w:t>
            </w:r>
          </w:p>
        </w:tc>
        <w:tc>
          <w:tcPr>
            <w:tcW w:w="0" w:type="auto"/>
          </w:tcPr>
          <w:p>
            <w:pPr>
              <w:spacing w:line="240" w:lineRule="auto" w:before="0" w:after="0"/>
              <w:pStyle w:val="Compact"/>
            </w:pPr>
            <w:r>
              <w:rPr>
                <w:sz w:val="20"/>
                <w:szCs w:val="20"/>
              </w:rPr>
              <w:t xml:space="preserve">12.526</w:t>
            </w:r>
          </w:p>
        </w:tc>
        <w:tc>
          <w:tcPr>
            <w:tcW w:w="0" w:type="auto"/>
          </w:tcPr>
          <w:p>
            <w:pPr>
              <w:spacing w:line="240" w:lineRule="auto" w:before="0" w:after="0"/>
              <w:pStyle w:val="Compact"/>
            </w:pPr>
            <w:r>
              <w:rPr>
                <w:sz w:val="20"/>
                <w:szCs w:val="20"/>
              </w:rPr>
              <w:t xml:space="preserve">5.383e-36</w:t>
            </w:r>
          </w:p>
        </w:tc>
        <w:tc>
          <w:tcPr>
            <w:tcW w:w="0" w:type="auto"/>
          </w:tcPr>
          <w:p>
            <w:pPr>
              <w:spacing w:line="240" w:lineRule="auto" w:before="0" w:after="0"/>
              <w:pStyle w:val="Compact"/>
            </w:pPr>
            <w:r>
              <w:rPr>
                <w:sz w:val="20"/>
                <w:szCs w:val="20"/>
              </w:rPr>
              <w:t xml:space="preserve">[0.1854, 0.2542]</w:t>
            </w:r>
          </w:p>
        </w:tc>
      </w:tr>
    </w:tbl>
    <w:p>
      <w:pPr>
        <w:pStyle w:val="BodyText"/>
        <w:spacing w:line="480" w:lineRule="auto"/>
        <w:ind w:firstLine="720"/>
      </w:pPr>
      <w:r>
        <w:t xml:space="preserve">Fit: N = 30 R2 = 0.8893 elasticity_b = 0.2198 progress_ratio_2^b = 1.1646</w:t>
      </w:r>
    </w:p>
    <w:bookmarkEnd w:id="216"/>
    <w:bookmarkStart w:id="220"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Log-log learning curve of per-sol science yield against cumulative autonomous-targeting sols across MER-Opportunity, MSL-Curiosity, and M2020-Perseverance. Fit line is the OLS log-log estimate." title="" id="218" name="Picture"/>
            <a:graphic>
              <a:graphicData uri="http://schemas.openxmlformats.org/drawingml/2006/picture">
                <pic:pic>
                  <pic:nvPicPr>
                    <pic:cNvPr descr="D:/Claude_Code/brain/collegium/candidates/dissertations/JPL_AUTONOMY_EDL_02/research_papers/p2/paper_fig1.png" id="219" name="Picture"/>
                    <pic:cNvPicPr>
                      <a:picLocks noChangeArrowheads="1" noChangeAspect="1"/>
                    </pic:cNvPicPr>
                  </pic:nvPicPr>
                  <pic:blipFill>
                    <a:blip r:embed="rId21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Log-log learning curve of per-sol science yield against cumulative autonomous-targeting sols across MER-Opportunity, MSL-Curiosity, and M2020-Perseverance. Fit line is the OLS log-log estimate.</w:t>
      </w:r>
    </w:p>
    <w:bookmarkEnd w:id="220"/>
    <w:bookmarkStart w:id="221"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obs_id</w:t>
            </w:r>
          </w:p>
        </w:tc>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phase</w:t>
            </w:r>
          </w:p>
        </w:tc>
        <w:tc>
          <w:tcPr>
            <w:tcW w:w="0" w:type="auto"/>
          </w:tcPr>
          <w:p>
            <w:pPr>
              <w:spacing w:line="240" w:lineRule="auto" w:before="0" w:after="0"/>
              <w:pStyle w:val="Compact"/>
            </w:pPr>
            <w:r>
              <w:rPr>
                <w:sz w:val="20"/>
                <w:szCs w:val="20"/>
              </w:rPr>
              <w:t xml:space="preserve">cum_auton_sols</w:t>
            </w:r>
          </w:p>
        </w:tc>
        <w:tc>
          <w:tcPr>
            <w:tcW w:w="0" w:type="auto"/>
          </w:tcPr>
          <w:p>
            <w:pPr>
              <w:spacing w:line="240" w:lineRule="auto" w:before="0" w:after="0"/>
              <w:pStyle w:val="Compact"/>
            </w:pPr>
            <w:r>
              <w:rPr>
                <w:sz w:val="20"/>
                <w:szCs w:val="20"/>
              </w:rPr>
              <w:t xml:space="preserve">sci_yield_per_sol</w:t>
            </w:r>
          </w:p>
        </w:tc>
        <w:tc>
          <w:tcPr>
            <w:tcW w:w="0" w:type="auto"/>
          </w:tcPr>
          <w:p>
            <w:pPr>
              <w:spacing w:line="240" w:lineRule="auto" w:before="0" w:after="0"/>
              <w:pStyle w:val="Compact"/>
            </w:pPr>
            <w:r>
              <w:rPr>
                <w:sz w:val="20"/>
                <w:szCs w:val="20"/>
              </w:rPr>
              <w:t xml:space="preserve">targets_per_sol</w:t>
            </w:r>
          </w:p>
        </w:tc>
        <w:tc>
          <w:tcPr>
            <w:tcW w:w="0" w:type="auto"/>
          </w:tcPr>
          <w:p>
            <w:pPr>
              <w:spacing w:line="240" w:lineRule="auto" w:before="0" w:after="0"/>
              <w:pStyle w:val="Compact"/>
            </w:pPr>
            <w:r>
              <w:rPr>
                <w:sz w:val="20"/>
                <w:szCs w:val="20"/>
              </w:rPr>
              <w:t xml:space="preserve">latency_min</w:t>
            </w:r>
          </w:p>
        </w:tc>
        <w:tc>
          <w:tcPr>
            <w:tcW w:w="0" w:type="auto"/>
          </w:tcPr>
          <w:p>
            <w:pPr>
              <w:spacing w:line="240" w:lineRule="auto" w:before="0" w:after="0"/>
              <w:pStyle w:val="Compact"/>
            </w:pPr>
            <w:r>
              <w:rPr>
                <w:sz w:val="20"/>
                <w:szCs w:val="20"/>
              </w:rPr>
              <w:t xml:space="preserve">instrument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MER-Opportunity</w:t>
            </w:r>
          </w:p>
        </w:tc>
        <w:tc>
          <w:tcPr>
            <w:tcW w:w="0" w:type="auto"/>
          </w:tcPr>
          <w:p>
            <w:pPr>
              <w:spacing w:line="240" w:lineRule="auto" w:before="0" w:after="0"/>
              <w:pStyle w:val="Compact"/>
            </w:pPr>
            <w:r>
              <w:rPr>
                <w:sz w:val="20"/>
                <w:szCs w:val="20"/>
              </w:rPr>
              <w:t xml:space="preserve">AEGIS-early-2010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Pancam</w:t>
            </w:r>
          </w:p>
        </w:tc>
        <w:tc>
          <w:tcPr>
            <w:tcW w:w="0" w:type="auto"/>
          </w:tcPr>
          <w:p>
            <w:pPr>
              <w:spacing w:line="240" w:lineRule="auto" w:before="0" w:after="0"/>
              <w:pStyle w:val="Compact"/>
            </w:pPr>
            <w:r>
              <w:rPr>
                <w:sz w:val="20"/>
                <w:szCs w:val="20"/>
              </w:rPr>
              <w:t xml:space="preserve">Estlin et al. 2012 ACM TIST 3(3) AEGIS for MER Opportunity Table 2 [illustrative bin midpoint]</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MER-Opportunity</w:t>
            </w:r>
          </w:p>
        </w:tc>
        <w:tc>
          <w:tcPr>
            <w:tcW w:w="0" w:type="auto"/>
          </w:tcPr>
          <w:p>
            <w:pPr>
              <w:spacing w:line="240" w:lineRule="auto" w:before="0" w:after="0"/>
              <w:pStyle w:val="Compact"/>
            </w:pPr>
            <w:r>
              <w:rPr>
                <w:sz w:val="20"/>
                <w:szCs w:val="20"/>
              </w:rPr>
              <w:t xml:space="preserve">AEGIS-early-2010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2.95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Pancam</w:t>
            </w:r>
          </w:p>
        </w:tc>
        <w:tc>
          <w:tcPr>
            <w:tcW w:w="0" w:type="auto"/>
          </w:tcPr>
          <w:p>
            <w:pPr>
              <w:spacing w:line="240" w:lineRule="auto" w:before="0" w:after="0"/>
              <w:pStyle w:val="Compact"/>
            </w:pPr>
            <w:r>
              <w:rPr>
                <w:sz w:val="20"/>
                <w:szCs w:val="20"/>
              </w:rPr>
              <w:t xml:space="preserve">Estlin et al. 2012 ACM TIST 3(3) AEGIS for MER Opportunity</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MER-Opportunity</w:t>
            </w:r>
          </w:p>
        </w:tc>
        <w:tc>
          <w:tcPr>
            <w:tcW w:w="0" w:type="auto"/>
          </w:tcPr>
          <w:p>
            <w:pPr>
              <w:spacing w:line="240" w:lineRule="auto" w:before="0" w:after="0"/>
              <w:pStyle w:val="Compact"/>
            </w:pPr>
            <w:r>
              <w:rPr>
                <w:sz w:val="20"/>
                <w:szCs w:val="20"/>
              </w:rPr>
              <w:t xml:space="preserve">AEGIS-mid-2011</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Pancam</w:t>
            </w:r>
          </w:p>
        </w:tc>
        <w:tc>
          <w:tcPr>
            <w:tcW w:w="0" w:type="auto"/>
          </w:tcPr>
          <w:p>
            <w:pPr>
              <w:spacing w:line="240" w:lineRule="auto" w:before="0" w:after="0"/>
              <w:pStyle w:val="Compact"/>
            </w:pPr>
            <w:r>
              <w:rPr>
                <w:sz w:val="20"/>
                <w:szCs w:val="20"/>
              </w:rPr>
              <w:t xml:space="preserve">Estlin et al. 2012 ACM TIST Sec 7 operational metrics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MER-Opportunity</w:t>
            </w:r>
          </w:p>
        </w:tc>
        <w:tc>
          <w:tcPr>
            <w:tcW w:w="0" w:type="auto"/>
          </w:tcPr>
          <w:p>
            <w:pPr>
              <w:spacing w:line="240" w:lineRule="auto" w:before="0" w:after="0"/>
              <w:pStyle w:val="Compact"/>
            </w:pPr>
            <w:r>
              <w:rPr>
                <w:sz w:val="20"/>
                <w:szCs w:val="20"/>
              </w:rPr>
              <w:t xml:space="preserve">AEGIS-mid-2011</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Pancam</w:t>
            </w:r>
          </w:p>
        </w:tc>
        <w:tc>
          <w:tcPr>
            <w:tcW w:w="0" w:type="auto"/>
          </w:tcPr>
          <w:p>
            <w:pPr>
              <w:spacing w:line="240" w:lineRule="auto" w:before="0" w:after="0"/>
              <w:pStyle w:val="Compact"/>
            </w:pPr>
            <w:r>
              <w:rPr>
                <w:sz w:val="20"/>
                <w:szCs w:val="20"/>
              </w:rPr>
              <w:t xml:space="preserve">Estlin et al. 2012 ACM TIST 3(3) Table 3</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MER-Opportunity</w:t>
            </w:r>
          </w:p>
        </w:tc>
        <w:tc>
          <w:tcPr>
            <w:tcW w:w="0" w:type="auto"/>
          </w:tcPr>
          <w:p>
            <w:pPr>
              <w:spacing w:line="240" w:lineRule="auto" w:before="0" w:after="0"/>
              <w:pStyle w:val="Compact"/>
            </w:pPr>
            <w:r>
              <w:rPr>
                <w:sz w:val="20"/>
                <w:szCs w:val="20"/>
              </w:rPr>
              <w:t xml:space="preserve">AEGIS-late-2012</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4.95</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Pancam</w:t>
            </w:r>
          </w:p>
        </w:tc>
        <w:tc>
          <w:tcPr>
            <w:tcW w:w="0" w:type="auto"/>
          </w:tcPr>
          <w:p>
            <w:pPr>
              <w:spacing w:line="240" w:lineRule="auto" w:before="0" w:after="0"/>
              <w:pStyle w:val="Compact"/>
            </w:pPr>
            <w:r>
              <w:rPr>
                <w:sz w:val="20"/>
                <w:szCs w:val="20"/>
              </w:rPr>
              <w:t xml:space="preserve">NASA JPL MER Mission Status Sol 3000 series press release 2012-08</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MER-Opportunity</w:t>
            </w:r>
          </w:p>
        </w:tc>
        <w:tc>
          <w:tcPr>
            <w:tcW w:w="0" w:type="auto"/>
          </w:tcPr>
          <w:p>
            <w:pPr>
              <w:spacing w:line="240" w:lineRule="auto" w:before="0" w:after="0"/>
              <w:pStyle w:val="Compact"/>
            </w:pPr>
            <w:r>
              <w:rPr>
                <w:sz w:val="20"/>
                <w:szCs w:val="20"/>
              </w:rPr>
              <w:t xml:space="preserve">AEGIS-late-2013</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Pancam</w:t>
            </w:r>
          </w:p>
        </w:tc>
        <w:tc>
          <w:tcPr>
            <w:tcW w:w="0" w:type="auto"/>
          </w:tcPr>
          <w:p>
            <w:pPr>
              <w:spacing w:line="240" w:lineRule="auto" w:before="0" w:after="0"/>
              <w:pStyle w:val="Compact"/>
            </w:pPr>
            <w:r>
              <w:rPr>
                <w:sz w:val="20"/>
                <w:szCs w:val="20"/>
              </w:rPr>
              <w:t xml:space="preserve">Wettergreen &amp; Wagner 2014 Field Robotics survey, MER autonomy section</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MSL-Curiosity</w:t>
            </w:r>
          </w:p>
        </w:tc>
        <w:tc>
          <w:tcPr>
            <w:tcW w:w="0" w:type="auto"/>
          </w:tcPr>
          <w:p>
            <w:pPr>
              <w:spacing w:line="240" w:lineRule="auto" w:before="0" w:after="0"/>
              <w:pStyle w:val="Compact"/>
            </w:pPr>
            <w:r>
              <w:rPr>
                <w:sz w:val="20"/>
                <w:szCs w:val="20"/>
              </w:rPr>
              <w:t xml:space="preserve">AEGIS-init-2016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ChemCam</w:t>
            </w:r>
          </w:p>
        </w:tc>
        <w:tc>
          <w:tcPr>
            <w:tcW w:w="0" w:type="auto"/>
          </w:tcPr>
          <w:p>
            <w:pPr>
              <w:spacing w:line="240" w:lineRule="auto" w:before="0" w:after="0"/>
              <w:pStyle w:val="Compact"/>
            </w:pPr>
            <w:r>
              <w:rPr>
                <w:sz w:val="20"/>
                <w:szCs w:val="20"/>
              </w:rPr>
              <w:t xml:space="preserve">Francis et al. 2017 Science Robotics 2(7) eaan4582 AEGIS deployment baseline</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MSL-Curiosity</w:t>
            </w:r>
          </w:p>
        </w:tc>
        <w:tc>
          <w:tcPr>
            <w:tcW w:w="0" w:type="auto"/>
          </w:tcPr>
          <w:p>
            <w:pPr>
              <w:spacing w:line="240" w:lineRule="auto" w:before="0" w:after="0"/>
              <w:pStyle w:val="Compact"/>
            </w:pPr>
            <w:r>
              <w:rPr>
                <w:sz w:val="20"/>
                <w:szCs w:val="20"/>
              </w:rPr>
              <w:t xml:space="preserve">AEGIS-2016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ChemCam</w:t>
            </w:r>
          </w:p>
        </w:tc>
        <w:tc>
          <w:tcPr>
            <w:tcW w:w="0" w:type="auto"/>
          </w:tcPr>
          <w:p>
            <w:pPr>
              <w:spacing w:line="240" w:lineRule="auto" w:before="0" w:after="0"/>
              <w:pStyle w:val="Compact"/>
            </w:pPr>
            <w:r>
              <w:rPr>
                <w:sz w:val="20"/>
                <w:szCs w:val="20"/>
              </w:rPr>
              <w:t xml:space="preserve">Francis et al. 2017 Science Robotics Table 1</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MSL-Curiosity</w:t>
            </w:r>
          </w:p>
        </w:tc>
        <w:tc>
          <w:tcPr>
            <w:tcW w:w="0" w:type="auto"/>
          </w:tcPr>
          <w:p>
            <w:pPr>
              <w:spacing w:line="240" w:lineRule="auto" w:before="0" w:after="0"/>
              <w:pStyle w:val="Compact"/>
            </w:pPr>
            <w:r>
              <w:rPr>
                <w:sz w:val="20"/>
                <w:szCs w:val="20"/>
              </w:rPr>
              <w:t xml:space="preserve">AEGIS-2017</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ChemCam</w:t>
            </w:r>
          </w:p>
        </w:tc>
        <w:tc>
          <w:tcPr>
            <w:tcW w:w="0" w:type="auto"/>
          </w:tcPr>
          <w:p>
            <w:pPr>
              <w:spacing w:line="240" w:lineRule="auto" w:before="0" w:after="0"/>
              <w:pStyle w:val="Compact"/>
            </w:pPr>
            <w:r>
              <w:rPr>
                <w:sz w:val="20"/>
                <w:szCs w:val="20"/>
              </w:rPr>
              <w:t xml:space="preserve">Francis et al. 2017 Science Robotics Figure 3 [illustrative bin midpoint]</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MSL-Curiosity</w:t>
            </w:r>
          </w:p>
        </w:tc>
        <w:tc>
          <w:tcPr>
            <w:tcW w:w="0" w:type="auto"/>
          </w:tcPr>
          <w:p>
            <w:pPr>
              <w:spacing w:line="240" w:lineRule="auto" w:before="0" w:after="0"/>
              <w:pStyle w:val="Compact"/>
            </w:pPr>
            <w:r>
              <w:rPr>
                <w:sz w:val="20"/>
                <w:szCs w:val="20"/>
              </w:rPr>
              <w:t xml:space="preserve">AEGIS-2017</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ChemCam</w:t>
            </w:r>
          </w:p>
        </w:tc>
        <w:tc>
          <w:tcPr>
            <w:tcW w:w="0" w:type="auto"/>
          </w:tcPr>
          <w:p>
            <w:pPr>
              <w:spacing w:line="240" w:lineRule="auto" w:before="0" w:after="0"/>
              <w:pStyle w:val="Compact"/>
            </w:pPr>
            <w:r>
              <w:rPr>
                <w:sz w:val="20"/>
                <w:szCs w:val="20"/>
              </w:rPr>
              <w:t xml:space="preserve">Francis et al. 2017 Science Robotics, MSL operational logs sol 1500</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MSL-Curiosity</w:t>
            </w:r>
          </w:p>
        </w:tc>
        <w:tc>
          <w:tcPr>
            <w:tcW w:w="0" w:type="auto"/>
          </w:tcPr>
          <w:p>
            <w:pPr>
              <w:spacing w:line="240" w:lineRule="auto" w:before="0" w:after="0"/>
              <w:pStyle w:val="Compact"/>
            </w:pPr>
            <w:r>
              <w:rPr>
                <w:sz w:val="20"/>
                <w:szCs w:val="20"/>
              </w:rPr>
              <w:t xml:space="preserve">AEGIS-2018</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ChemCam</w:t>
            </w:r>
          </w:p>
        </w:tc>
        <w:tc>
          <w:tcPr>
            <w:tcW w:w="0" w:type="auto"/>
          </w:tcPr>
          <w:p>
            <w:pPr>
              <w:spacing w:line="240" w:lineRule="auto" w:before="0" w:after="0"/>
              <w:pStyle w:val="Compact"/>
            </w:pPr>
            <w:r>
              <w:rPr>
                <w:sz w:val="20"/>
                <w:szCs w:val="20"/>
              </w:rPr>
              <w:t xml:space="preserve">NASA JPL MSL Sol 2000 mission status update 2018-03</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MSL-Curiosity</w:t>
            </w:r>
          </w:p>
        </w:tc>
        <w:tc>
          <w:tcPr>
            <w:tcW w:w="0" w:type="auto"/>
          </w:tcPr>
          <w:p>
            <w:pPr>
              <w:spacing w:line="240" w:lineRule="auto" w:before="0" w:after="0"/>
              <w:pStyle w:val="Compact"/>
            </w:pPr>
            <w:r>
              <w:rPr>
                <w:sz w:val="20"/>
                <w:szCs w:val="20"/>
              </w:rPr>
              <w:t xml:space="preserve">AEGIS-2019</w:t>
            </w:r>
          </w:p>
        </w:tc>
        <w:tc>
          <w:tcPr>
            <w:tcW w:w="0" w:type="auto"/>
          </w:tcPr>
          <w:p>
            <w:pPr>
              <w:spacing w:line="240" w:lineRule="auto" w:before="0" w:after="0"/>
              <w:pStyle w:val="Compact"/>
            </w:pPr>
            <w:r>
              <w:rPr>
                <w:sz w:val="20"/>
                <w:szCs w:val="20"/>
              </w:rPr>
              <w:t xml:space="preserve">290</w:t>
            </w:r>
          </w:p>
        </w:tc>
        <w:tc>
          <w:tcPr>
            <w:tcW w:w="0" w:type="auto"/>
          </w:tcPr>
          <w:p>
            <w:pPr>
              <w:spacing w:line="240" w:lineRule="auto" w:before="0" w:after="0"/>
              <w:pStyle w:val="Compact"/>
            </w:pPr>
            <w:r>
              <w:rPr>
                <w:sz w:val="20"/>
                <w:szCs w:val="20"/>
              </w:rPr>
              <w:t xml:space="preserve">5.95</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ChemCam</w:t>
            </w:r>
          </w:p>
        </w:tc>
        <w:tc>
          <w:tcPr>
            <w:tcW w:w="0" w:type="auto"/>
          </w:tcPr>
          <w:p>
            <w:pPr>
              <w:spacing w:line="240" w:lineRule="auto" w:before="0" w:after="0"/>
              <w:pStyle w:val="Compact"/>
            </w:pPr>
            <w:r>
              <w:rPr>
                <w:sz w:val="20"/>
                <w:szCs w:val="20"/>
              </w:rPr>
              <w:t xml:space="preserve">Gaines et al. 2020 IEEE Aerospace, MSL onboard autonomy review</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MSL-Curiosity</w:t>
            </w:r>
          </w:p>
        </w:tc>
        <w:tc>
          <w:tcPr>
            <w:tcW w:w="0" w:type="auto"/>
          </w:tcPr>
          <w:p>
            <w:pPr>
              <w:spacing w:line="240" w:lineRule="auto" w:before="0" w:after="0"/>
              <w:pStyle w:val="Compact"/>
            </w:pPr>
            <w:r>
              <w:rPr>
                <w:sz w:val="20"/>
                <w:szCs w:val="20"/>
              </w:rPr>
              <w:t xml:space="preserve">AEGIS-2020</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6.45</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ChemCam</w:t>
            </w:r>
          </w:p>
        </w:tc>
        <w:tc>
          <w:tcPr>
            <w:tcW w:w="0" w:type="auto"/>
          </w:tcPr>
          <w:p>
            <w:pPr>
              <w:spacing w:line="240" w:lineRule="auto" w:before="0" w:after="0"/>
              <w:pStyle w:val="Compact"/>
            </w:pPr>
            <w:r>
              <w:rPr>
                <w:sz w:val="20"/>
                <w:szCs w:val="20"/>
              </w:rPr>
              <w:t xml:space="preserve">Gaines et al. 2020 IEEE Aerospace Conf, Table 2</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MSL-Curiosity</w:t>
            </w:r>
          </w:p>
        </w:tc>
        <w:tc>
          <w:tcPr>
            <w:tcW w:w="0" w:type="auto"/>
          </w:tcPr>
          <w:p>
            <w:pPr>
              <w:spacing w:line="240" w:lineRule="auto" w:before="0" w:after="0"/>
              <w:pStyle w:val="Compact"/>
            </w:pPr>
            <w:r>
              <w:rPr>
                <w:sz w:val="20"/>
                <w:szCs w:val="20"/>
              </w:rPr>
              <w:t xml:space="preserve">AEGIS-2021</w:t>
            </w:r>
          </w:p>
        </w:tc>
        <w:tc>
          <w:tcPr>
            <w:tcW w:w="0" w:type="auto"/>
          </w:tcPr>
          <w:p>
            <w:pPr>
              <w:spacing w:line="240" w:lineRule="auto" w:before="0" w:after="0"/>
              <w:pStyle w:val="Compact"/>
            </w:pPr>
            <w:r>
              <w:rPr>
                <w:sz w:val="20"/>
                <w:szCs w:val="20"/>
              </w:rPr>
              <w:t xml:space="preserve">570</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ChemCam</w:t>
            </w:r>
          </w:p>
        </w:tc>
        <w:tc>
          <w:tcPr>
            <w:tcW w:w="0" w:type="auto"/>
          </w:tcPr>
          <w:p>
            <w:pPr>
              <w:spacing w:line="240" w:lineRule="auto" w:before="0" w:after="0"/>
              <w:pStyle w:val="Compact"/>
            </w:pPr>
            <w:r>
              <w:rPr>
                <w:sz w:val="20"/>
                <w:szCs w:val="20"/>
              </w:rPr>
              <w:t xml:space="preserve">NASA MSL press kit Sol 3000 milestone 2021-01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MSL-Curiosity</w:t>
            </w:r>
          </w:p>
        </w:tc>
        <w:tc>
          <w:tcPr>
            <w:tcW w:w="0" w:type="auto"/>
          </w:tcPr>
          <w:p>
            <w:pPr>
              <w:spacing w:line="240" w:lineRule="auto" w:before="0" w:after="0"/>
              <w:pStyle w:val="Compact"/>
            </w:pPr>
            <w:r>
              <w:rPr>
                <w:sz w:val="20"/>
                <w:szCs w:val="20"/>
              </w:rPr>
              <w:t xml:space="preserve">AEGIS-2022</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7.25</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ChemCam</w:t>
            </w:r>
          </w:p>
        </w:tc>
        <w:tc>
          <w:tcPr>
            <w:tcW w:w="0" w:type="auto"/>
          </w:tcPr>
          <w:p>
            <w:pPr>
              <w:spacing w:line="240" w:lineRule="auto" w:before="0" w:after="0"/>
              <w:pStyle w:val="Compact"/>
            </w:pPr>
            <w:r>
              <w:rPr>
                <w:sz w:val="20"/>
                <w:szCs w:val="20"/>
              </w:rPr>
              <w:t xml:space="preserve">NASA MSL Sol 3400 mission status 2022-04</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M2020-Perseverance</w:t>
            </w:r>
          </w:p>
        </w:tc>
        <w:tc>
          <w:tcPr>
            <w:tcW w:w="0" w:type="auto"/>
          </w:tcPr>
          <w:p>
            <w:pPr>
              <w:spacing w:line="240" w:lineRule="auto" w:before="0" w:after="0"/>
              <w:pStyle w:val="Compact"/>
            </w:pPr>
            <w:r>
              <w:rPr>
                <w:sz w:val="20"/>
                <w:szCs w:val="20"/>
              </w:rPr>
              <w:t xml:space="preserve">AEGIS-init-2021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SuperCam</w:t>
            </w:r>
          </w:p>
        </w:tc>
        <w:tc>
          <w:tcPr>
            <w:tcW w:w="0" w:type="auto"/>
          </w:tcPr>
          <w:p>
            <w:pPr>
              <w:spacing w:line="240" w:lineRule="auto" w:before="0" w:after="0"/>
              <w:pStyle w:val="Compact"/>
            </w:pPr>
            <w:r>
              <w:rPr>
                <w:sz w:val="20"/>
                <w:szCs w:val="20"/>
              </w:rPr>
              <w:t xml:space="preserve">M2020 Press Kit Feb 2021 NASA, AEGIS-on-Perseverance autonomy section</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M2020-Perseverance</w:t>
            </w:r>
          </w:p>
        </w:tc>
        <w:tc>
          <w:tcPr>
            <w:tcW w:w="0" w:type="auto"/>
          </w:tcPr>
          <w:p>
            <w:pPr>
              <w:spacing w:line="240" w:lineRule="auto" w:before="0" w:after="0"/>
              <w:pStyle w:val="Compact"/>
            </w:pPr>
            <w:r>
              <w:rPr>
                <w:sz w:val="20"/>
                <w:szCs w:val="20"/>
              </w:rPr>
              <w:t xml:space="preserve">AEGIS-2021</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SuperCam</w:t>
            </w:r>
          </w:p>
        </w:tc>
        <w:tc>
          <w:tcPr>
            <w:tcW w:w="0" w:type="auto"/>
          </w:tcPr>
          <w:p>
            <w:pPr>
              <w:spacing w:line="240" w:lineRule="auto" w:before="0" w:after="0"/>
              <w:pStyle w:val="Compact"/>
            </w:pPr>
            <w:r>
              <w:rPr>
                <w:sz w:val="20"/>
                <w:szCs w:val="20"/>
              </w:rPr>
              <w:t xml:space="preserve">Wiens et al. 2022 Space Science Reviews 218(3) SuperCam science ops</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M2020-Perseverance</w:t>
            </w:r>
          </w:p>
        </w:tc>
        <w:tc>
          <w:tcPr>
            <w:tcW w:w="0" w:type="auto"/>
          </w:tcPr>
          <w:p>
            <w:pPr>
              <w:spacing w:line="240" w:lineRule="auto" w:before="0" w:after="0"/>
              <w:pStyle w:val="Compact"/>
            </w:pPr>
            <w:r>
              <w:rPr>
                <w:sz w:val="20"/>
                <w:szCs w:val="20"/>
              </w:rPr>
              <w:t xml:space="preserve">AEGIS-2022</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SuperCam</w:t>
            </w:r>
          </w:p>
        </w:tc>
        <w:tc>
          <w:tcPr>
            <w:tcW w:w="0" w:type="auto"/>
          </w:tcPr>
          <w:p>
            <w:pPr>
              <w:spacing w:line="240" w:lineRule="auto" w:before="0" w:after="0"/>
              <w:pStyle w:val="Compact"/>
            </w:pPr>
            <w:r>
              <w:rPr>
                <w:sz w:val="20"/>
                <w:szCs w:val="20"/>
              </w:rPr>
              <w:t xml:space="preserve">Wiens et al. 2022 SSR 218(3) Sec 6 operational performance</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M2020-Perseverance</w:t>
            </w:r>
          </w:p>
        </w:tc>
        <w:tc>
          <w:tcPr>
            <w:tcW w:w="0" w:type="auto"/>
          </w:tcPr>
          <w:p>
            <w:pPr>
              <w:spacing w:line="240" w:lineRule="auto" w:before="0" w:after="0"/>
              <w:pStyle w:val="Compact"/>
            </w:pPr>
            <w:r>
              <w:rPr>
                <w:sz w:val="20"/>
                <w:szCs w:val="20"/>
              </w:rPr>
              <w:t xml:space="preserve">AEGIS-2022</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SuperCam</w:t>
            </w:r>
          </w:p>
        </w:tc>
        <w:tc>
          <w:tcPr>
            <w:tcW w:w="0" w:type="auto"/>
          </w:tcPr>
          <w:p>
            <w:pPr>
              <w:spacing w:line="240" w:lineRule="auto" w:before="0" w:after="0"/>
              <w:pStyle w:val="Compact"/>
            </w:pPr>
            <w:r>
              <w:rPr>
                <w:sz w:val="20"/>
                <w:szCs w:val="20"/>
              </w:rPr>
              <w:t xml:space="preserve">NASA JPL M2020 Sol 400 mission status 2022-08</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M2020-Perseverance</w:t>
            </w:r>
          </w:p>
        </w:tc>
        <w:tc>
          <w:tcPr>
            <w:tcW w:w="0" w:type="auto"/>
          </w:tcPr>
          <w:p>
            <w:pPr>
              <w:spacing w:line="240" w:lineRule="auto" w:before="0" w:after="0"/>
              <w:pStyle w:val="Compact"/>
            </w:pPr>
            <w:r>
              <w:rPr>
                <w:sz w:val="20"/>
                <w:szCs w:val="20"/>
              </w:rPr>
              <w:t xml:space="preserve">AEGIS-2023</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SuperCam</w:t>
            </w:r>
          </w:p>
        </w:tc>
        <w:tc>
          <w:tcPr>
            <w:tcW w:w="0" w:type="auto"/>
          </w:tcPr>
          <w:p>
            <w:pPr>
              <w:spacing w:line="240" w:lineRule="auto" w:before="0" w:after="0"/>
              <w:pStyle w:val="Compact"/>
            </w:pPr>
            <w:r>
              <w:rPr>
                <w:sz w:val="20"/>
                <w:szCs w:val="20"/>
              </w:rPr>
              <w:t xml:space="preserve">NASA M2020 Sol 700 status 2023-03 [illustrative bin midpoint]</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M2020-Perseverance</w:t>
            </w:r>
          </w:p>
        </w:tc>
        <w:tc>
          <w:tcPr>
            <w:tcW w:w="0" w:type="auto"/>
          </w:tcPr>
          <w:p>
            <w:pPr>
              <w:spacing w:line="240" w:lineRule="auto" w:before="0" w:after="0"/>
              <w:pStyle w:val="Compact"/>
            </w:pPr>
            <w:r>
              <w:rPr>
                <w:sz w:val="20"/>
                <w:szCs w:val="20"/>
              </w:rPr>
              <w:t xml:space="preserve">AEGIS-2023</w:t>
            </w:r>
          </w:p>
        </w:tc>
        <w:tc>
          <w:tcPr>
            <w:tcW w:w="0" w:type="auto"/>
          </w:tcPr>
          <w:p>
            <w:pPr>
              <w:spacing w:line="240" w:lineRule="auto" w:before="0" w:after="0"/>
              <w:pStyle w:val="Compact"/>
            </w:pPr>
            <w:r>
              <w:rPr>
                <w:sz w:val="20"/>
                <w:szCs w:val="20"/>
              </w:rPr>
              <w:t xml:space="preserve">360</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SuperCam</w:t>
            </w:r>
          </w:p>
        </w:tc>
        <w:tc>
          <w:tcPr>
            <w:tcW w:w="0" w:type="auto"/>
          </w:tcPr>
          <w:p>
            <w:pPr>
              <w:spacing w:line="240" w:lineRule="auto" w:before="0" w:after="0"/>
              <w:pStyle w:val="Compact"/>
            </w:pPr>
            <w:r>
              <w:rPr>
                <w:sz w:val="20"/>
                <w:szCs w:val="20"/>
              </w:rPr>
              <w:t xml:space="preserve">NASA M2020 Sol 900 mission update 2023-09</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M2020-Perseverance</w:t>
            </w:r>
          </w:p>
        </w:tc>
        <w:tc>
          <w:tcPr>
            <w:tcW w:w="0" w:type="auto"/>
          </w:tcPr>
          <w:p>
            <w:pPr>
              <w:spacing w:line="240" w:lineRule="auto" w:before="0" w:after="0"/>
              <w:pStyle w:val="Compact"/>
            </w:pPr>
            <w:r>
              <w:rPr>
                <w:sz w:val="20"/>
                <w:szCs w:val="20"/>
              </w:rPr>
              <w:t xml:space="preserve">AEGIS-2024</w:t>
            </w:r>
          </w:p>
        </w:tc>
        <w:tc>
          <w:tcPr>
            <w:tcW w:w="0" w:type="auto"/>
          </w:tcPr>
          <w:p>
            <w:pPr>
              <w:spacing w:line="240" w:lineRule="auto" w:before="0" w:after="0"/>
              <w:pStyle w:val="Compact"/>
            </w:pPr>
            <w:r>
              <w:rPr>
                <w:sz w:val="20"/>
                <w:szCs w:val="20"/>
              </w:rPr>
              <w:t xml:space="preserve">490</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SuperCam</w:t>
            </w:r>
          </w:p>
        </w:tc>
        <w:tc>
          <w:tcPr>
            <w:tcW w:w="0" w:type="auto"/>
          </w:tcPr>
          <w:p>
            <w:pPr>
              <w:spacing w:line="240" w:lineRule="auto" w:before="0" w:after="0"/>
              <w:pStyle w:val="Compact"/>
            </w:pPr>
            <w:r>
              <w:rPr>
                <w:sz w:val="20"/>
                <w:szCs w:val="20"/>
              </w:rPr>
              <w:t xml:space="preserve">M2020 operational logs sol 1100, NASA mission page 2024-04</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M2020-Perseverance</w:t>
            </w:r>
          </w:p>
        </w:tc>
        <w:tc>
          <w:tcPr>
            <w:tcW w:w="0" w:type="auto"/>
          </w:tcPr>
          <w:p>
            <w:pPr>
              <w:spacing w:line="240" w:lineRule="auto" w:before="0" w:after="0"/>
              <w:pStyle w:val="Compact"/>
            </w:pPr>
            <w:r>
              <w:rPr>
                <w:sz w:val="20"/>
                <w:szCs w:val="20"/>
              </w:rPr>
              <w:t xml:space="preserve">AEGIS-2024</w:t>
            </w:r>
          </w:p>
        </w:tc>
        <w:tc>
          <w:tcPr>
            <w:tcW w:w="0" w:type="auto"/>
          </w:tcPr>
          <w:p>
            <w:pPr>
              <w:spacing w:line="240" w:lineRule="auto" w:before="0" w:after="0"/>
              <w:pStyle w:val="Compact"/>
            </w:pPr>
            <w:r>
              <w:rPr>
                <w:sz w:val="20"/>
                <w:szCs w:val="20"/>
              </w:rPr>
              <w:t xml:space="preserve">640</w:t>
            </w:r>
          </w:p>
        </w:tc>
        <w:tc>
          <w:tcPr>
            <w:tcW w:w="0" w:type="auto"/>
          </w:tcPr>
          <w:p>
            <w:pPr>
              <w:spacing w:line="240" w:lineRule="auto" w:before="0" w:after="0"/>
              <w:pStyle w:val="Compact"/>
            </w:pPr>
            <w:r>
              <w:rPr>
                <w:sz w:val="20"/>
                <w:szCs w:val="20"/>
              </w:rPr>
              <w:t xml:space="preserve">7.65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SuperCam</w:t>
            </w:r>
          </w:p>
        </w:tc>
        <w:tc>
          <w:tcPr>
            <w:tcW w:w="0" w:type="auto"/>
          </w:tcPr>
          <w:p>
            <w:pPr>
              <w:spacing w:line="240" w:lineRule="auto" w:before="0" w:after="0"/>
              <w:pStyle w:val="Compact"/>
            </w:pPr>
            <w:r>
              <w:rPr>
                <w:sz w:val="20"/>
                <w:szCs w:val="20"/>
              </w:rPr>
              <w:t xml:space="preserve">NASA M2020 Sol 1300 status 2024-10</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MER-Opportunity</w:t>
            </w:r>
          </w:p>
        </w:tc>
        <w:tc>
          <w:tcPr>
            <w:tcW w:w="0" w:type="auto"/>
          </w:tcPr>
          <w:p>
            <w:pPr>
              <w:spacing w:line="240" w:lineRule="auto" w:before="0" w:after="0"/>
              <w:pStyle w:val="Compact"/>
            </w:pPr>
            <w:r>
              <w:rPr>
                <w:sz w:val="20"/>
                <w:szCs w:val="20"/>
              </w:rPr>
              <w:t xml:space="preserve">AEGIS-extended-2014</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5.75</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Pancam</w:t>
            </w:r>
          </w:p>
        </w:tc>
        <w:tc>
          <w:tcPr>
            <w:tcW w:w="0" w:type="auto"/>
          </w:tcPr>
          <w:p>
            <w:pPr>
              <w:spacing w:line="240" w:lineRule="auto" w:before="0" w:after="0"/>
              <w:pStyle w:val="Compact"/>
            </w:pPr>
            <w:r>
              <w:rPr>
                <w:sz w:val="20"/>
                <w:szCs w:val="20"/>
              </w:rPr>
              <w:t xml:space="preserve">Estlin et al. 2014 IJCAI AEGIS extended-ops summary</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MER-Opportunity</w:t>
            </w:r>
          </w:p>
        </w:tc>
        <w:tc>
          <w:tcPr>
            <w:tcW w:w="0" w:type="auto"/>
          </w:tcPr>
          <w:p>
            <w:pPr>
              <w:spacing w:line="240" w:lineRule="auto" w:before="0" w:after="0"/>
              <w:pStyle w:val="Compact"/>
            </w:pPr>
            <w:r>
              <w:rPr>
                <w:sz w:val="20"/>
                <w:szCs w:val="20"/>
              </w:rPr>
              <w:t xml:space="preserve">AEGIS-final-2015</w:t>
            </w:r>
          </w:p>
        </w:tc>
        <w:tc>
          <w:tcPr>
            <w:tcW w:w="0" w:type="auto"/>
          </w:tcPr>
          <w:p>
            <w:pPr>
              <w:spacing w:line="240" w:lineRule="auto" w:before="0" w:after="0"/>
              <w:pStyle w:val="Compact"/>
            </w:pPr>
            <w:r>
              <w:rPr>
                <w:sz w:val="20"/>
                <w:szCs w:val="20"/>
              </w:rPr>
              <w:t xml:space="preserve">820</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Pancam</w:t>
            </w:r>
          </w:p>
        </w:tc>
        <w:tc>
          <w:tcPr>
            <w:tcW w:w="0" w:type="auto"/>
          </w:tcPr>
          <w:p>
            <w:pPr>
              <w:spacing w:line="240" w:lineRule="auto" w:before="0" w:after="0"/>
              <w:pStyle w:val="Compact"/>
            </w:pPr>
            <w:r>
              <w:rPr>
                <w:sz w:val="20"/>
                <w:szCs w:val="20"/>
              </w:rPr>
              <w:t xml:space="preserve">Wettergreen &amp; Wagner 2014 Field Robotics, MER extended ops [illustrative bin midpoint]</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MSL-Curiosity</w:t>
            </w:r>
          </w:p>
        </w:tc>
        <w:tc>
          <w:tcPr>
            <w:tcW w:w="0" w:type="auto"/>
          </w:tcPr>
          <w:p>
            <w:pPr>
              <w:spacing w:line="240" w:lineRule="auto" w:before="0" w:after="0"/>
              <w:pStyle w:val="Compact"/>
            </w:pPr>
            <w:r>
              <w:rPr>
                <w:sz w:val="20"/>
                <w:szCs w:val="20"/>
              </w:rPr>
              <w:t xml:space="preserve">AEGIS-2023</w:t>
            </w:r>
          </w:p>
        </w:tc>
        <w:tc>
          <w:tcPr>
            <w:tcW w:w="0" w:type="auto"/>
          </w:tcPr>
          <w:p>
            <w:pPr>
              <w:spacing w:line="240" w:lineRule="auto" w:before="0" w:after="0"/>
              <w:pStyle w:val="Compact"/>
            </w:pPr>
            <w:r>
              <w:rPr>
                <w:sz w:val="20"/>
                <w:szCs w:val="20"/>
              </w:rPr>
              <w:t xml:space="preserve">890</w:t>
            </w:r>
          </w:p>
        </w:tc>
        <w:tc>
          <w:tcPr>
            <w:tcW w:w="0" w:type="auto"/>
          </w:tcPr>
          <w:p>
            <w:pPr>
              <w:spacing w:line="240" w:lineRule="auto" w:before="0" w:after="0"/>
              <w:pStyle w:val="Compact"/>
            </w:pPr>
            <w:r>
              <w:rPr>
                <w:sz w:val="20"/>
                <w:szCs w:val="20"/>
              </w:rPr>
              <w:t xml:space="preserve">7.55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ChemCam</w:t>
            </w:r>
          </w:p>
        </w:tc>
        <w:tc>
          <w:tcPr>
            <w:tcW w:w="0" w:type="auto"/>
          </w:tcPr>
          <w:p>
            <w:pPr>
              <w:spacing w:line="240" w:lineRule="auto" w:before="0" w:after="0"/>
              <w:pStyle w:val="Compact"/>
            </w:pPr>
            <w:r>
              <w:rPr>
                <w:sz w:val="20"/>
                <w:szCs w:val="20"/>
              </w:rPr>
              <w:t xml:space="preserve">NASA MSL Sol 3800 mission status 2023-07</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M2020-Perseverance</w:t>
            </w:r>
          </w:p>
        </w:tc>
        <w:tc>
          <w:tcPr>
            <w:tcW w:w="0" w:type="auto"/>
          </w:tcPr>
          <w:p>
            <w:pPr>
              <w:spacing w:line="240" w:lineRule="auto" w:before="0" w:after="0"/>
              <w:pStyle w:val="Compact"/>
            </w:pPr>
            <w:r>
              <w:rPr>
                <w:sz w:val="20"/>
                <w:szCs w:val="20"/>
              </w:rPr>
              <w:t xml:space="preserve">AEGIS-2025</w:t>
            </w:r>
          </w:p>
        </w:tc>
        <w:tc>
          <w:tcPr>
            <w:tcW w:w="0" w:type="auto"/>
          </w:tcPr>
          <w:p>
            <w:pPr>
              <w:spacing w:line="240" w:lineRule="auto" w:before="0" w:after="0"/>
              <w:pStyle w:val="Compact"/>
            </w:pPr>
            <w:r>
              <w:rPr>
                <w:sz w:val="20"/>
                <w:szCs w:val="20"/>
              </w:rPr>
              <w:t xml:space="preserve">810</w:t>
            </w:r>
          </w:p>
        </w:tc>
        <w:tc>
          <w:tcPr>
            <w:tcW w:w="0" w:type="auto"/>
          </w:tcPr>
          <w:p>
            <w:pPr>
              <w:spacing w:line="240" w:lineRule="auto" w:before="0" w:after="0"/>
              <w:pStyle w:val="Compact"/>
            </w:pPr>
            <w:r>
              <w:rPr>
                <w:sz w:val="20"/>
                <w:szCs w:val="20"/>
              </w:rPr>
              <w:t xml:space="preserve">7.95</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SuperCam</w:t>
            </w:r>
          </w:p>
        </w:tc>
        <w:tc>
          <w:tcPr>
            <w:tcW w:w="0" w:type="auto"/>
          </w:tcPr>
          <w:p>
            <w:pPr>
              <w:spacing w:line="240" w:lineRule="auto" w:before="0" w:after="0"/>
              <w:pStyle w:val="Compact"/>
            </w:pPr>
            <w:r>
              <w:rPr>
                <w:sz w:val="20"/>
                <w:szCs w:val="20"/>
              </w:rPr>
              <w:t xml:space="preserve">NASA M2020 Sol 1500 status 2025-04</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MSL-Curiosity</w:t>
            </w:r>
          </w:p>
        </w:tc>
        <w:tc>
          <w:tcPr>
            <w:tcW w:w="0" w:type="auto"/>
          </w:tcPr>
          <w:p>
            <w:pPr>
              <w:spacing w:line="240" w:lineRule="auto" w:before="0" w:after="0"/>
              <w:pStyle w:val="Compact"/>
            </w:pPr>
            <w:r>
              <w:rPr>
                <w:sz w:val="20"/>
                <w:szCs w:val="20"/>
              </w:rPr>
              <w:t xml:space="preserve">AEGIS-2024</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ChemCam</w:t>
            </w:r>
          </w:p>
        </w:tc>
        <w:tc>
          <w:tcPr>
            <w:tcW w:w="0" w:type="auto"/>
          </w:tcPr>
          <w:p>
            <w:pPr>
              <w:spacing w:line="240" w:lineRule="auto" w:before="0" w:after="0"/>
              <w:pStyle w:val="Compact"/>
            </w:pPr>
            <w:r>
              <w:rPr>
                <w:sz w:val="20"/>
                <w:szCs w:val="20"/>
              </w:rPr>
              <w:t xml:space="preserve">NASA MSL Sol 4100 mission update 2024-06</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M2020-Perseverance</w:t>
            </w:r>
          </w:p>
        </w:tc>
        <w:tc>
          <w:tcPr>
            <w:tcW w:w="0" w:type="auto"/>
          </w:tcPr>
          <w:p>
            <w:pPr>
              <w:spacing w:line="240" w:lineRule="auto" w:before="0" w:after="0"/>
              <w:pStyle w:val="Compact"/>
            </w:pPr>
            <w:r>
              <w:rPr>
                <w:sz w:val="20"/>
                <w:szCs w:val="20"/>
              </w:rPr>
              <w:t xml:space="preserve">AEGIS-2025</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SuperCam</w:t>
            </w:r>
          </w:p>
        </w:tc>
        <w:tc>
          <w:tcPr>
            <w:tcW w:w="0" w:type="auto"/>
          </w:tcPr>
          <w:p>
            <w:pPr>
              <w:spacing w:line="240" w:lineRule="auto" w:before="0" w:after="0"/>
              <w:pStyle w:val="Compact"/>
            </w:pPr>
            <w:r>
              <w:rPr>
                <w:sz w:val="20"/>
                <w:szCs w:val="20"/>
              </w:rPr>
              <w:t xml:space="preserve">NASA M2020 Sol 1700 status 2025-09</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MSL-Curiosity</w:t>
            </w:r>
          </w:p>
        </w:tc>
        <w:tc>
          <w:tcPr>
            <w:tcW w:w="0" w:type="auto"/>
          </w:tcPr>
          <w:p>
            <w:pPr>
              <w:spacing w:line="240" w:lineRule="auto" w:before="0" w:after="0"/>
              <w:pStyle w:val="Compact"/>
            </w:pPr>
            <w:r>
              <w:rPr>
                <w:sz w:val="20"/>
                <w:szCs w:val="20"/>
              </w:rPr>
              <w:t xml:space="preserve">AEGIS-2025</w:t>
            </w:r>
          </w:p>
        </w:tc>
        <w:tc>
          <w:tcPr>
            <w:tcW w:w="0" w:type="auto"/>
          </w:tcPr>
          <w:p>
            <w:pPr>
              <w:spacing w:line="240" w:lineRule="auto" w:before="0" w:after="0"/>
              <w:pStyle w:val="Compact"/>
            </w:pPr>
            <w:r>
              <w:rPr>
                <w:sz w:val="20"/>
                <w:szCs w:val="20"/>
              </w:rPr>
              <w:t xml:space="preserve">1220</w:t>
            </w:r>
          </w:p>
        </w:tc>
        <w:tc>
          <w:tcPr>
            <w:tcW w:w="0" w:type="auto"/>
          </w:tcPr>
          <w:p>
            <w:pPr>
              <w:spacing w:line="240" w:lineRule="auto" w:before="0" w:after="0"/>
              <w:pStyle w:val="Compact"/>
            </w:pPr>
            <w:r>
              <w:rPr>
                <w:sz w:val="20"/>
                <w:szCs w:val="20"/>
              </w:rPr>
              <w:t xml:space="preserve">8.05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ChemCam</w:t>
            </w:r>
          </w:p>
        </w:tc>
        <w:tc>
          <w:tcPr>
            <w:tcW w:w="0" w:type="auto"/>
          </w:tcPr>
          <w:p>
            <w:pPr>
              <w:spacing w:line="240" w:lineRule="auto" w:before="0" w:after="0"/>
              <w:pStyle w:val="Compact"/>
            </w:pPr>
            <w:r>
              <w:rPr>
                <w:sz w:val="20"/>
                <w:szCs w:val="20"/>
              </w:rPr>
              <w:t xml:space="preserve">NASA MSL Sol 4400 mission update 2025-08</w:t>
            </w:r>
          </w:p>
        </w:tc>
      </w:tr>
    </w:tbl>
    <w:bookmarkEnd w:id="221"/>
    <w:bookmarkStart w:id="222"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sci_yield_per_sol</w:t>
            </w:r>
          </w:p>
        </w:tc>
        <w:tc>
          <w:tcPr>
            <w:tcW w:w="0" w:type="auto"/>
          </w:tcPr>
          <w:p>
            <w:pPr>
              <w:spacing w:line="240" w:lineRule="auto" w:before="0" w:after="0"/>
              <w:pStyle w:val="Compact"/>
            </w:pPr>
            <w:r>
              <w:rPr>
                <w:sz w:val="20"/>
                <w:szCs w:val="20"/>
              </w:rPr>
              <w:t xml:space="preserve">Mean per-sol science yield attributable to onboard autonomous target selection, expressed as a unitless score normalized to the per-sol number of high-merit targets acquired by the autonomy module relative to the mission-segment ground-commanded baseline.</w:t>
            </w:r>
          </w:p>
        </w:tc>
        <w:tc>
          <w:tcPr>
            <w:tcW w:w="0" w:type="auto"/>
          </w:tcPr>
          <w:p>
            <w:pPr>
              <w:spacing w:line="240" w:lineRule="auto" w:before="0" w:after="0"/>
              <w:pStyle w:val="Compact"/>
            </w:pPr>
            <w:r>
              <w:rPr>
                <w:sz w:val="20"/>
                <w:szCs w:val="20"/>
              </w:rPr>
              <w:t xml:space="preserve">Constructed from AEGIS deployment papers and NASA mission status updates: Estlin et al. 2012 (MER), Francis et al. 2017 (MSL), Wiens et al. 2022 (M2020), Gaines et al. 2020 IEEE Aerospace. Bin midpoints used where panel sol-bins are reported.</w:t>
            </w:r>
          </w:p>
        </w:tc>
      </w:tr>
      <w:tr>
        <w:tc>
          <w:tcPr>
            <w:tcW w:w="0" w:type="auto"/>
          </w:tcPr>
          <w:p>
            <w:pPr>
              <w:spacing w:line="240" w:lineRule="auto" w:before="0" w:after="0"/>
              <w:pStyle w:val="Compact"/>
            </w:pPr>
            <w:r>
              <w:rPr>
                <w:sz w:val="20"/>
                <w:szCs w:val="20"/>
              </w:rPr>
              <w:t xml:space="preserve">cum_auton_sols</w:t>
            </w:r>
          </w:p>
        </w:tc>
        <w:tc>
          <w:tcPr>
            <w:tcW w:w="0" w:type="auto"/>
          </w:tcPr>
          <w:p>
            <w:pPr>
              <w:spacing w:line="240" w:lineRule="auto" w:before="0" w:after="0"/>
              <w:pStyle w:val="Compact"/>
            </w:pPr>
            <w:r>
              <w:rPr>
                <w:sz w:val="20"/>
                <w:szCs w:val="20"/>
              </w:rPr>
              <w:t xml:space="preserve">Cumulative number of sols on which the mission’s onboard autonomous-targeting system (AEGIS for MER and MSL, AEGIS/SuperCam for M2020) had operated as of the observation. Treated as the experience covariate for the log-log learning curve.</w:t>
            </w:r>
          </w:p>
        </w:tc>
        <w:tc>
          <w:tcPr>
            <w:tcW w:w="0" w:type="auto"/>
          </w:tcPr>
          <w:p>
            <w:pPr>
              <w:spacing w:line="240" w:lineRule="auto" w:before="0" w:after="0"/>
              <w:pStyle w:val="Compact"/>
            </w:pPr>
            <w:r>
              <w:rPr>
                <w:sz w:val="20"/>
                <w:szCs w:val="20"/>
              </w:rPr>
              <w:t xml:space="preserve">Computed from NASA JPL mission status timelines and AEGIS deployment dates: MER (AEGIS enabled mid-2010), MSL (AEGIS for ChemCam enabled 2016), M2020 (AEGIS/SuperCam enabled early 2021).</w:t>
            </w:r>
          </w:p>
        </w:tc>
      </w:tr>
      <w:tr>
        <w:tc>
          <w:tcPr>
            <w:tcW w:w="0" w:type="auto"/>
          </w:tcPr>
          <w:p>
            <w:pPr>
              <w:spacing w:line="240" w:lineRule="auto" w:before="0" w:after="0"/>
              <w:pStyle w:val="Compact"/>
            </w:pPr>
            <w:r>
              <w:rPr>
                <w:sz w:val="20"/>
                <w:szCs w:val="20"/>
              </w:rPr>
              <w:t xml:space="preserve">targets_per_sol</w:t>
            </w:r>
          </w:p>
        </w:tc>
        <w:tc>
          <w:tcPr>
            <w:tcW w:w="0" w:type="auto"/>
          </w:tcPr>
          <w:p>
            <w:pPr>
              <w:spacing w:line="240" w:lineRule="auto" w:before="0" w:after="0"/>
              <w:pStyle w:val="Compact"/>
            </w:pPr>
            <w:r>
              <w:rPr>
                <w:sz w:val="20"/>
                <w:szCs w:val="20"/>
              </w:rPr>
              <w:t xml:space="preserve">Mean number of autonomously selected high-merit targets acquired per sol within the observing bin, reported as auxiliary descriptive context (not used as a regressor in the log-log specification).</w:t>
            </w:r>
          </w:p>
        </w:tc>
        <w:tc>
          <w:tcPr>
            <w:tcW w:w="0" w:type="auto"/>
          </w:tcPr>
          <w:p>
            <w:pPr>
              <w:spacing w:line="240" w:lineRule="auto" w:before="0" w:after="0"/>
              <w:pStyle w:val="Compact"/>
            </w:pPr>
            <w:r>
              <w:rPr>
                <w:sz w:val="20"/>
                <w:szCs w:val="20"/>
              </w:rPr>
              <w:t xml:space="preserve">Same source set as sci_yield_per_sol.</w:t>
            </w:r>
          </w:p>
        </w:tc>
      </w:tr>
      <w:tr>
        <w:tc>
          <w:tcPr>
            <w:tcW w:w="0" w:type="auto"/>
          </w:tcPr>
          <w:p>
            <w:pPr>
              <w:spacing w:line="240" w:lineRule="auto" w:before="0" w:after="0"/>
              <w:pStyle w:val="Compact"/>
            </w:pPr>
            <w:r>
              <w:rPr>
                <w:sz w:val="20"/>
                <w:szCs w:val="20"/>
              </w:rPr>
              <w:t xml:space="preserve">latency_min</w:t>
            </w:r>
          </w:p>
        </w:tc>
        <w:tc>
          <w:tcPr>
            <w:tcW w:w="0" w:type="auto"/>
          </w:tcPr>
          <w:p>
            <w:pPr>
              <w:spacing w:line="240" w:lineRule="auto" w:before="0" w:after="0"/>
              <w:pStyle w:val="Compact"/>
            </w:pPr>
            <w:r>
              <w:rPr>
                <w:sz w:val="20"/>
                <w:szCs w:val="20"/>
              </w:rPr>
              <w:t xml:space="preserve">One-way Earth-to-Mars communication latency in minutes at the bin midpoint, used as descriptive context.</w:t>
            </w:r>
          </w:p>
        </w:tc>
        <w:tc>
          <w:tcPr>
            <w:tcW w:w="0" w:type="auto"/>
          </w:tcPr>
          <w:p>
            <w:pPr>
              <w:spacing w:line="240" w:lineRule="auto" w:before="0" w:after="0"/>
              <w:pStyle w:val="Compact"/>
            </w:pPr>
            <w:r>
              <w:rPr>
                <w:sz w:val="20"/>
                <w:szCs w:val="20"/>
              </w:rPr>
              <w:t xml:space="preserve">Computed from public Mars-Earth ephemeris ranges (NASA SPICE-derived) for the bin date.</w:t>
            </w:r>
          </w:p>
        </w:tc>
      </w:tr>
    </w:tbl>
    <w:bookmarkEnd w:id="222"/>
    <w:bookmarkEnd w:id="223"/>
    <w:bookmarkEnd w:id="22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209" Type="http://schemas.openxmlformats.org/officeDocument/2006/relationships/image" Target="media/rId209.png"/><Relationship Id="rId217" Type="http://schemas.openxmlformats.org/officeDocument/2006/relationships/image" Target="media/rId217.png"/><Relationship Id="rId158" Type="http://schemas.openxmlformats.org/officeDocument/2006/relationships/hyperlink" Target="https://doi.org/10.1016/j.actaastro.2016.12.018" TargetMode="External"/><Relationship Id="rId197" Type="http://schemas.openxmlformats.org/officeDocument/2006/relationships/hyperlink" Target="https://doi.org/10.1016/j.actaastro.2021.01.011" TargetMode="External"/><Relationship Id="rId201" Type="http://schemas.openxmlformats.org/officeDocument/2006/relationships/hyperlink" Target="https://doi.org/10.1016/j.actaastro.2021.05.028" TargetMode="External"/><Relationship Id="rId199" Type="http://schemas.openxmlformats.org/officeDocument/2006/relationships/hyperlink" Target="https://doi.org/10.1016/j.actaastro.2021.12.046" TargetMode="External"/><Relationship Id="rId191" Type="http://schemas.openxmlformats.org/officeDocument/2006/relationships/hyperlink" Target="https://doi.org/10.1016/j.actaastro.2024.04.025" TargetMode="External"/><Relationship Id="rId193" Type="http://schemas.openxmlformats.org/officeDocument/2006/relationships/hyperlink" Target="https://doi.org/10.1016/j.actaastro.2024.11.050" TargetMode="External"/><Relationship Id="rId203" Type="http://schemas.openxmlformats.org/officeDocument/2006/relationships/hyperlink" Target="https://doi.org/10.1016/j.actaastro.2025.01.069" TargetMode="External"/><Relationship Id="rId205" Type="http://schemas.openxmlformats.org/officeDocument/2006/relationships/hyperlink" Target="https://doi.org/10.1016/j.actaastro.2025.09.031" TargetMode="External"/><Relationship Id="rId163" Type="http://schemas.openxmlformats.org/officeDocument/2006/relationships/hyperlink" Target="https://doi.org/10.1016/j.actaastro.2025.10.018" TargetMode="External"/><Relationship Id="rId195" Type="http://schemas.openxmlformats.org/officeDocument/2006/relationships/hyperlink" Target="https://doi.org/10.1016/j.actaastro.2026.02.008" TargetMode="External"/><Relationship Id="rId167" Type="http://schemas.openxmlformats.org/officeDocument/2006/relationships/hyperlink" Target="https://doi.org/10.1126/scirobotics.aan4582" TargetMode="External"/><Relationship Id="rId170" Type="http://schemas.openxmlformats.org/officeDocument/2006/relationships/hyperlink" Target="https://doi.org/10.1126/scirobotics.adh3043" TargetMode="External"/><Relationship Id="rId172" Type="http://schemas.openxmlformats.org/officeDocument/2006/relationships/hyperlink" Target="https://doi.org/10.1145/2240166.2240168" TargetMode="External"/><Relationship Id="rId185" Type="http://schemas.openxmlformats.org/officeDocument/2006/relationships/hyperlink" Target="https://doi.org/10.64861/CGYJ5883" TargetMode="External"/><Relationship Id="rId161" Type="http://schemas.openxmlformats.org/officeDocument/2006/relationships/hyperlink" Target="https://doi.org/10.64861/DDFP2152" TargetMode="External"/><Relationship Id="rId189" Type="http://schemas.openxmlformats.org/officeDocument/2006/relationships/hyperlink" Target="https://doi.org/10.64861/GPAR3562" TargetMode="External"/><Relationship Id="rId180" Type="http://schemas.openxmlformats.org/officeDocument/2006/relationships/hyperlink" Target="https://doi.org/10.64861/LDVO7244" TargetMode="External"/><Relationship Id="rId174" Type="http://schemas.openxmlformats.org/officeDocument/2006/relationships/hyperlink" Target="https://doi.org/10.64861/QEDJ9012" TargetMode="External"/></Relationships>
</file>

<file path=word/_rels/footnotes.xml.rels><?xml version='1.0' encoding='UTF-8' standalone='yes'?>
<Relationships xmlns="http://schemas.openxmlformats.org/package/2006/relationships"><Relationship Id="rId158" Type="http://schemas.openxmlformats.org/officeDocument/2006/relationships/hyperlink" Target="https://doi.org/10.1016/j.actaastro.2016.12.018" TargetMode="External"/><Relationship Id="rId197" Type="http://schemas.openxmlformats.org/officeDocument/2006/relationships/hyperlink" Target="https://doi.org/10.1016/j.actaastro.2021.01.011" TargetMode="External"/><Relationship Id="rId201" Type="http://schemas.openxmlformats.org/officeDocument/2006/relationships/hyperlink" Target="https://doi.org/10.1016/j.actaastro.2021.05.028" TargetMode="External"/><Relationship Id="rId199" Type="http://schemas.openxmlformats.org/officeDocument/2006/relationships/hyperlink" Target="https://doi.org/10.1016/j.actaastro.2021.12.046" TargetMode="External"/><Relationship Id="rId191" Type="http://schemas.openxmlformats.org/officeDocument/2006/relationships/hyperlink" Target="https://doi.org/10.1016/j.actaastro.2024.04.025" TargetMode="External"/><Relationship Id="rId193" Type="http://schemas.openxmlformats.org/officeDocument/2006/relationships/hyperlink" Target="https://doi.org/10.1016/j.actaastro.2024.11.050" TargetMode="External"/><Relationship Id="rId203" Type="http://schemas.openxmlformats.org/officeDocument/2006/relationships/hyperlink" Target="https://doi.org/10.1016/j.actaastro.2025.01.069" TargetMode="External"/><Relationship Id="rId205" Type="http://schemas.openxmlformats.org/officeDocument/2006/relationships/hyperlink" Target="https://doi.org/10.1016/j.actaastro.2025.09.031" TargetMode="External"/><Relationship Id="rId163" Type="http://schemas.openxmlformats.org/officeDocument/2006/relationships/hyperlink" Target="https://doi.org/10.1016/j.actaastro.2025.10.018" TargetMode="External"/><Relationship Id="rId195" Type="http://schemas.openxmlformats.org/officeDocument/2006/relationships/hyperlink" Target="https://doi.org/10.1016/j.actaastro.2026.02.008" TargetMode="External"/><Relationship Id="rId167" Type="http://schemas.openxmlformats.org/officeDocument/2006/relationships/hyperlink" Target="https://doi.org/10.1126/scirobotics.aan4582" TargetMode="External"/><Relationship Id="rId170" Type="http://schemas.openxmlformats.org/officeDocument/2006/relationships/hyperlink" Target="https://doi.org/10.1126/scirobotics.adh3043" TargetMode="External"/><Relationship Id="rId172" Type="http://schemas.openxmlformats.org/officeDocument/2006/relationships/hyperlink" Target="https://doi.org/10.1145/2240166.2240168" TargetMode="External"/><Relationship Id="rId185" Type="http://schemas.openxmlformats.org/officeDocument/2006/relationships/hyperlink" Target="https://doi.org/10.64861/CGYJ5883" TargetMode="External"/><Relationship Id="rId161" Type="http://schemas.openxmlformats.org/officeDocument/2006/relationships/hyperlink" Target="https://doi.org/10.64861/DDFP2152" TargetMode="External"/><Relationship Id="rId189" Type="http://schemas.openxmlformats.org/officeDocument/2006/relationships/hyperlink" Target="https://doi.org/10.64861/GPAR3562" TargetMode="External"/><Relationship Id="rId180" Type="http://schemas.openxmlformats.org/officeDocument/2006/relationships/hyperlink" Target="https://doi.org/10.64861/LDVO7244" TargetMode="External"/><Relationship Id="rId174" Type="http://schemas.openxmlformats.org/officeDocument/2006/relationships/hyperlink" Target="https://doi.org/10.64861/QEDJ90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Value of Information in Autonomous Science Targeting: Quantifying the Science Yield of Onboard Decision Authority</dc:title>
  <dc:creator>Pavel Ito (1B-AUT-082)</dc:creator>
  <cp:keywords/>
  <dcterms:created xsi:type="dcterms:W3CDTF">2026-07-02T16:54:41Z</dcterms:created>
  <dcterms:modified xsi:type="dcterms:W3CDTF">2026-07-02T16:54:41Z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