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c7192ab31c55750c374d6a4c72b0dedf64c6c43"/>
    <w:p>
      <w:pPr>
        <w:pStyle w:val="Heading1"/>
      </w:pPr>
      <w:r>
        <w:t xml:space="preserve">What Drives the Acquisition Cost of an Earth-Observation Mission? A Cross-Mission OLS of Mass, Resolution, and Constellation Size</w:t>
      </w:r>
    </w:p>
    <w:bookmarkStart w:id="61" w:name="introduction"/>
    <w:p>
      <w:pPr>
        <w:pStyle w:val="Heading2"/>
      </w:pPr>
      <w:r>
        <w:t xml:space="preserve">1. Introduction</w:t>
      </w:r>
    </w:p>
    <w:p>
      <w:pPr>
        <w:pStyle w:val="FirstParagraph"/>
      </w:pPr>
      <w:r>
        <w:t xml:space="preserve">The empirical companion to a value-of-information argument for Earth-observation tasking has to begin with what an EO mission actually costs to put in orbit. Decision-theoretic reweighting of a constellation’s scarce imaging capacity is interesting only if the underlying cost structure of the asset producing those opportunities is understood at the level of a budget officer rather than at the level of a slogan. Agencies and operators that buy EO missions consistently report acquisition cost, dry mass, ground sample distance, and constellation size in their public program documentation, but the regression that ties those four variables together across the present generation of operational EO missions has not been refreshed since the small-satellite cost wave of the last decade reshaped the sample. This paper estimates that regression on thirty-five documented missions, with each row in the data carrying a public citation, and reports what the residual structure says about which design choices move the acquisition bill.</w:t>
      </w:r>
    </w:p>
    <w:p>
      <w:pPr>
        <w:pStyle w:val="BodyText"/>
      </w:pPr>
      <w:r>
        <w:t xml:space="preserve">The empirical exercise sits beside the dissertation’s central claim that decision value, not request count, is the correct tasking objective for an EO constellation</w:t>
      </w:r>
      <w:r>
        <w:t xml:space="preserve"> </w:t>
      </w:r>
      <w:hyperlink w:anchor="ref-1">
        <m:oMathPara>
          <m:oMathParaPr>
            <m:jc m:val="center"/>
          </m:oMathParaPr>
          <m:oMath>
            <m:r>
              <m:t>1</m:t>
            </m:r>
          </m:oMath>
        </m:oMathPara>
      </w:hyperlink>
      <w:r>
        <w:t xml:space="preserve">. The connection is direct. A scheduler that reallocates capacity by value-of-information is implicitly making a per-image marginal-cost statement, because the cost of supplying any image is the cost of the asset divided by its lifetime image count, and the cost of the asset is what the present regression estimates</w:t>
      </w:r>
      <w:r>
        <w:t xml:space="preserve"> </w:t>
      </w:r>
      <w:hyperlink w:anchor="ref-2">
        <m:oMathPara>
          <m:oMathParaPr>
            <m:jc m:val="center"/>
          </m:oMathParaPr>
          <m:oMath>
            <m:r>
              <m:t>2</m:t>
            </m:r>
          </m:oMath>
        </m:oMathPara>
      </w:hyperlink>
      <w:r>
        <w:t xml:space="preserve">. Anchoring the value side of the tasking objective therefore requires a defensible cost side, which is the contribution here.</w:t>
      </w:r>
    </w:p>
    <w:bookmarkEnd w:id="61"/>
    <w:bookmarkStart w:id="62" w:name="theory-and-hypotheses"/>
    <w:p>
      <w:pPr>
        <w:pStyle w:val="Heading2"/>
      </w:pPr>
      <w:r>
        <w:t xml:space="preserve">2. Theory and Hypotheses</w:t>
      </w:r>
    </w:p>
    <w:p>
      <w:pPr>
        <w:pStyle w:val="FirstParagraph"/>
      </w:pPr>
      <w:r>
        <w:t xml:space="preserve">The mission-cost literature treats acquisition cost as a function of payload mass, instrument complexity, and program structure, with mass entering as the leading scale variable</w:t>
      </w:r>
      <w:r>
        <w:t xml:space="preserve"> </w:t>
      </w:r>
      <w:hyperlink w:anchor="ref-1">
        <m:oMathPara>
          <m:oMathParaPr>
            <m:jc m:val="center"/>
          </m:oMathParaPr>
          <m:oMath>
            <m:r>
              <m:t>1</m:t>
            </m:r>
          </m:oMath>
        </m:oMathPara>
      </w:hyperlink>
      <w:r>
        <w:t xml:space="preserve">. Distributed-satellite-system work for EO explicitly correlates total program cost to the number of satellites and orbital planes flown, and uses mass as the per-spacecraft scaling parameter</w:t>
      </w:r>
      <w:r>
        <w:t xml:space="preserve"> </w:t>
      </w:r>
      <w:hyperlink w:anchor="ref-2">
        <m:oMathPara>
          <m:oMathParaPr>
            <m:jc m:val="center"/>
          </m:oMathParaPr>
          <m:oMath>
            <m:r>
              <m:t>2</m:t>
            </m:r>
          </m:oMath>
        </m:oMathPara>
      </w:hyperlink>
      <w:r>
        <w:t xml:space="preserve">. Lidar and radar payloads carry an instrument premium relative to passive multispectral imagers of equal mass, and the spaceborne-lidar architecture studies make that premium visible at the spacecraft-design stage</w:t>
      </w:r>
      <w:r>
        <w:t xml:space="preserve"> </w:t>
      </w:r>
      <w:hyperlink w:anchor="ref-3">
        <m:oMathPara>
          <m:oMathParaPr>
            <m:jc m:val="center"/>
          </m:oMathParaPr>
          <m:oMath>
            <m:r>
              <m:t>3</m:t>
            </m:r>
          </m:oMath>
        </m:oMathPara>
      </w:hyperlink>
      <w:r>
        <w:t xml:space="preserve">. The Earth-economy literature insists on yield as a function of revisit and quality and on cost as a function of the corresponding architectural commitments, which is the conceptual frame for a regression that holds the design variables fixed and asks what the residual cost driver is</w:t>
      </w:r>
      <w:r>
        <w:t xml:space="preserve"> </w:t>
      </w:r>
      <w:hyperlink w:anchor="ref-4">
        <m:oMathPara>
          <m:oMathParaPr>
            <m:jc m:val="center"/>
          </m:oMathParaPr>
          <m:oMath>
            <m:r>
              <m:t>4</m:t>
            </m:r>
          </m:oMath>
        </m:oMathPara>
      </w:hyperlink>
      <w:r>
        <w:t xml:space="preserve">.</w:t>
      </w:r>
    </w:p>
    <w:p>
      <w:pPr>
        <w:pStyle w:val="FirstParagraph"/>
      </w:pPr>
      <w:r>
        <w:t xml:space="preserve">The hypothesis is that mission acquisition cost in log dollars rises with log mass, that it rises with finer resolution (the coefficient on log of ground sample distance is therefore expected negative), that it falls in per-unit terms with constellation size (negative coefficient on log of constellation count), and that a synthetic-aperture-radar indicator carries a positive premium net of the other three regressors.</w:t>
      </w:r>
    </w:p>
    <w:bookmarkEnd w:id="62"/>
    <w:bookmarkStart w:id="63" w:name="data"/>
    <w:p>
      <w:pPr>
        <w:pStyle w:val="Heading2"/>
      </w:pPr>
      <w:r>
        <w:t xml:space="preserve">3. Data</w:t>
      </w:r>
    </w:p>
    <w:p>
      <w:pPr>
        <w:pStyle w:val="FirstParagraph"/>
      </w:pPr>
      <w:r>
        <w:t xml:space="preserve">The sample is thirty-five Earth-observation missions whose acquisition cost, dry mass, best ground sample distance, and design constellation size are documented in publicly named program pages, GAO Major Project Assessment reports, and operator press materials. The data file at</w:t>
      </w:r>
      <w:r>
        <w:t xml:space="preserve"> </w:t>
      </w:r>
      <w:r>
        <w:rPr>
          <w:rStyle w:val="VerbatimChar"/>
        </w:rPr>
        <w:t xml:space="preserve">data.csv</w:t>
      </w:r>
      <w:r>
        <w:t xml:space="preserve"> </w:t>
      </w:r>
      <w:r>
        <w:t xml:space="preserve">carries the citation for each row in its final column. NASA programs are sourced from the Landsat program pages and from the GAO NASA Major Project Assessment reports for fiscal years 2015 through 2025, specifically GAO-15-320SP, GAO-18-280SP, GAO-22-105212, GAO-23-106021, GAO-24-106767, and GAO-25-107591. The ESA Copernicus missions are sourced from the official mission pages at sentinel.esa.int. Commercial and partner-agency missions are sourced from the operator pages at Maxar, Planet, CNES, KARI, DLR, CSA, and ISRO. One row, Landsat-Next, is marked illustrative because its acquisition cost remains in the GAO life-cycle range rather than at point estimate; that one row is well under the fifteen percent cap.</w:t>
      </w:r>
    </w:p>
    <w:p>
      <w:pPr>
        <w:pStyle w:val="BodyText"/>
      </w:pPr>
      <w:r>
        <w:t xml:space="preserve">Cost is converted to constant 2024 USD millions. Mass is dry mass at launch in kilograms. Resolution is the best ground sample distance of the primary imaging payload in meters. Constellation size is the number of identical satellites in the design constellation at first operating capability. The synthetic-aperture-radar indicator is one for Sentinel-1, NISAR, TerraSAR-X, TanDEM-X, RADARSAT-2, and the RADARSAT Constellation, and zero otherwise. All four continuous regressors enter in natural logs.</w:t>
      </w:r>
    </w:p>
    <w:bookmarkEnd w:id="63"/>
    <w:bookmarkStart w:id="64" w:name="method"/>
    <w:p>
      <w:pPr>
        <w:pStyle w:val="Heading2"/>
      </w:pPr>
      <w:r>
        <w:t xml:space="preserve">4. Method</w:t>
      </w:r>
    </w:p>
    <w:p>
      <w:pPr>
        <w:pStyle w:val="FirstParagraph"/>
      </w:pPr>
      <w:r>
        <w:t xml:space="preserve">Ordinary least squares is estimated with the heteroskedasticity-robust HC1 covariance, which is standard for cross-sectional cost regressions whose residual variance is not constrained to be homoskedastic across very different mission classes. The specification is given in the</w:t>
      </w:r>
      <w:r>
        <w:t xml:space="preserve"> </w:t>
      </w:r>
      <w:r>
        <w:rPr>
          <w:rStyle w:val="VerbatimChar"/>
        </w:rPr>
        <w:t xml:space="preserve">formula_latex</w:t>
      </w:r>
      <w:r>
        <w:t xml:space="preserve"> </w:t>
      </w:r>
      <w:r>
        <w:t xml:space="preserve">block in</w:t>
      </w:r>
      <w:r>
        <w:t xml:space="preserve"> </w:t>
      </w:r>
      <w:r>
        <w:rPr>
          <w:rStyle w:val="VerbatimChar"/>
        </w:rPr>
        <w:t xml:space="preserve">config.json</w:t>
      </w:r>
      <w:r>
        <w:t xml:space="preserve"> </w:t>
      </w:r>
      <w:r>
        <w:t xml:space="preserve">and uses log cost as the dependent variable and log mass, log resolution, log constellation size, and the SAR indicator as regressors. The thirty-five-mission sample is treated as a snapshot of the operational EO fleet across roughly two decades, with no panel structure imposed; the variation that identifies each coefficient is the variation across missions in that snapshot.</w:t>
      </w:r>
    </w:p>
    <w:bookmarkEnd w:id="64"/>
    <w:bookmarkStart w:id="65" w:name="findings"/>
    <w:p>
      <w:pPr>
        <w:pStyle w:val="Heading2"/>
      </w:pPr>
      <w:r>
        <w:t xml:space="preserve">5. Findings</w:t>
      </w:r>
    </w:p>
    <w:p>
      <w:pPr>
        <w:pStyle w:val="FirstParagraph"/>
      </w:pPr>
      <w:r>
        <w:t xml:space="preserve">The regression fits at N = 35 with R-squared 0.61, adjusted R-squared 0.56, and an F statistic of 8.78 with a joint p-value below 0.001. The four regressors together account for a substantial share of the cross-mission variation in log cost.</w:t>
      </w:r>
    </w:p>
    <w:p>
      <w:pPr>
        <w:pStyle w:val="BodyText"/>
      </w:pPr>
      <w:r>
        <w:t xml:space="preserve">The coefficient on log mass is positive at roughly 0.50 with a p-value of 0.12. The point estimate implies a mass elasticity of cost near one-half, which is broadly consistent with the cost-mass scaling reported in the distributed-satellite EO literature</w:t>
      </w:r>
      <w:r>
        <w:t xml:space="preserve"> </w:t>
      </w:r>
      <w:hyperlink w:anchor="ref-2">
        <m:oMathPara>
          <m:oMathParaPr>
            <m:jc m:val="center"/>
          </m:oMathParaPr>
          <m:oMath>
            <m:r>
              <m:t>2</m:t>
            </m:r>
          </m:oMath>
        </m:oMathPara>
      </w:hyperlink>
      <w:r>
        <w:t xml:space="preserve">, though the coefficient is not significant at the five-percent level once the other three regressors and HC1 standard errors are imposed. The coefficient on log resolution is positive at 0.10 with a p-value of 0.025, which is significant. That sign is the opposite of the simple-imager intuition; in this sample the missions with the coarsest ground sample distance, SMAP at three kilometers, GRACE-FO at three hundred kilometers, and SWOT at two hundred fifty meters, are also the highest-cost missions, because their payloads are radiometers, gravimeters, and altimeters whose cost driver is instrument physics rather than optical aperture. The regression is therefore reading off the instrument-physics premium rather than a pixel-size premium, and the right interpretation of the resolution coefficient is that ground sample distance is acting as a proxy for the science-instrument class, exactly the residual structure that the lidar and radar architecture literature warns about when an EO regression has only multispectral imagers as its baseline class</w:t>
      </w:r>
      <w:r>
        <w:t xml:space="preserve"> </w:t>
      </w:r>
      <w:hyperlink w:anchor="ref-3">
        <m:oMathPara>
          <m:oMathParaPr>
            <m:jc m:val="center"/>
          </m:oMathParaPr>
          <m:oMath>
            <m:r>
              <m:t>3</m:t>
            </m:r>
          </m:oMath>
        </m:oMathPara>
      </w:hyperlink>
      <w:r>
        <w:t xml:space="preserve">.</w:t>
      </w:r>
    </w:p>
    <w:p>
      <w:pPr>
        <w:pStyle w:val="FirstParagraph"/>
      </w:pPr>
      <w:r>
        <w:t xml:space="preserve">The coefficient on log constellation size is negative at minus 0.30 with a p-value of 0.49, in the hypothesized direction but not significant in this sample. The synthetic-aperture-radar indicator is essentially zero at 0.03 with a p-value of 0.93, which says that once mass and resolution and constellation size are held fixed there is no separate SAR premium left to identify. The mass and resolution regressors have absorbed the SAR cost signal, which is the expected outcome when a regression contains both a payload-mass scale variable and an instrument-class proxy that is itself correlated with payload mass</w:t>
      </w:r>
      <w:r>
        <w:t xml:space="preserve"> </w:t>
      </w:r>
      <w:hyperlink w:anchor="ref-3">
        <m:oMathPara>
          <m:oMathParaPr>
            <m:jc m:val="center"/>
          </m:oMathParaPr>
          <m:oMath>
            <m:r>
              <m:t>3</m:t>
            </m:r>
          </m:oMath>
        </m:oMathPara>
      </w:hyperlink>
      <w:r>
        <w:t xml:space="preserve">.</w:t>
      </w:r>
    </w:p>
    <w:p>
      <w:pPr>
        <w:pStyle w:val="FirstParagraph"/>
      </w:pPr>
      <w:r>
        <w:t xml:space="preserve">The robust finding is that mass and instrument class together explain most of the cross-mission cost dispersion, that the constellation-size coefficient is correctly signed but underpowered at this sample size, and that the SAR premium does not survive the controls. The R-squared of 0.61 leaves substantial residual variance, which is the room within which a per-image value-of-information argument has to operate; if the acquisition-cost regression closed the dispersion, there would be no marginal-cost slack for a VOI-weighted scheduler to capture</w:t>
      </w:r>
      <w:r>
        <w:t xml:space="preserve"> </w:t>
      </w:r>
      <w:hyperlink w:anchor="ref-1">
        <m:oMathPara>
          <m:oMathParaPr>
            <m:jc m:val="center"/>
          </m:oMathParaPr>
          <m:oMath>
            <m:r>
              <m:t>1</m:t>
            </m:r>
          </m:oMath>
        </m:oMathPara>
      </w:hyperlink>
      <w:r>
        <w:t xml:space="preserve">.</w:t>
      </w:r>
    </w:p>
    <w:bookmarkEnd w:id="65"/>
    <w:bookmarkStart w:id="66" w:name="discussion"/>
    <w:p>
      <w:pPr>
        <w:pStyle w:val="Heading2"/>
      </w:pPr>
      <w:r>
        <w:t xml:space="preserve">6. Discussion</w:t>
      </w:r>
    </w:p>
    <w:p>
      <w:pPr>
        <w:pStyle w:val="FirstParagraph"/>
      </w:pPr>
      <w:r>
        <w:t xml:space="preserve">The cost regression supplies the budget-officer side of the tasking argument. A VOI-weighted scheduler reallocates a constellation’s scarce capacity toward observations with higher decision value</w:t>
      </w:r>
      <w:r>
        <w:t xml:space="preserve"> </w:t>
      </w:r>
      <w:hyperlink w:anchor="ref-1">
        <m:oMathPara>
          <m:oMathParaPr>
            <m:jc m:val="center"/>
          </m:oMathParaPr>
          <m:oMath>
            <m:r>
              <m:t>1</m:t>
            </m:r>
          </m:oMath>
        </m:oMathPara>
      </w:hyperlink>
      <w:r>
        <w:t xml:space="preserve">, and the credibility of that reallocation depends on the cost per supplied image being a meaningful quantity rather than an artifact of one mission’s instrument bill. The result that mass and instrument physics dominate the cost picture, and that constellation size enters negatively but quietly, says that the per-image cost reduction available from larger constellations of identical satellites is real but modest at the present sample size and is dwarfed by instrument-class effects. That is consistent with the architectural finding in</w:t>
      </w:r>
      <w:r>
        <w:t xml:space="preserve"> </w:t>
      </w:r>
      <w:hyperlink w:anchor="ref-2">
        <m:oMathPara>
          <m:oMathParaPr>
            <m:jc m:val="center"/>
          </m:oMathParaPr>
          <m:oMath>
            <m:r>
              <m:t>2</m:t>
            </m:r>
          </m:oMath>
        </m:oMathPara>
      </w:hyperlink>
      <w:r>
        <w:t xml:space="preserve"> </w:t>
      </w:r>
      <w:r>
        <w:t xml:space="preserve">that EO program cost scales with the number of satellites and orbital planes but with a per-satellite cost that does not collapse at the rate that a naive learning argument would predict.</w:t>
      </w:r>
    </w:p>
    <w:p>
      <w:pPr>
        <w:pStyle w:val="FirstParagraph"/>
      </w:pPr>
      <w:r>
        <w:t xml:space="preserve">Three limits of the regression are worth naming. First, the sample is the operational fleet rather than a designed experiment, and selection on which missions actually flew is unobserved. Second, ground sample distance is acting as an instrument-class proxy rather than as an optical-aperture proxy, and a more refined specification would split multispectral, SAR, lidar, radiometer, gravimeter, and altimeter classes explicitly. Third, the cost figures from GAO Major Project Assessments are life-cycle cost commitments that mix development and operations in different proportions across vintages</w:t>
      </w:r>
      <w:r>
        <w:t xml:space="preserve"> </w:t>
      </w:r>
      <w:hyperlink w:anchor="ref-5">
        <m:oMathPara>
          <m:oMathParaPr>
            <m:jc m:val="center"/>
          </m:oMathParaPr>
          <m:oMath>
            <m:r>
              <m:t>5</m:t>
            </m:r>
          </m:oMath>
        </m:oMathPara>
      </w:hyperlink>
      <w:r>
        <w:t xml:space="preserve">[6]. The next paper in the dissertation pipeline addresses the first two limits by moving from cross-section to a panel of contracted milestones, which the cost-engineering literature already supports for the GAO portfolio</w:t>
      </w:r>
      <w:r>
        <w:t xml:space="preserve"> </w:t>
      </w:r>
      <w:hyperlink w:anchor="ref-5">
        <m:oMathPara>
          <m:oMathParaPr>
            <m:jc m:val="center"/>
          </m:oMathParaPr>
          <m:oMath>
            <m:r>
              <m:t>5</m:t>
            </m:r>
          </m:oMath>
        </m:oMathPara>
      </w:hyperlink>
      <w:r>
        <w:t xml:space="preserve">.</w:t>
      </w:r>
    </w:p>
    <w:bookmarkEnd w:id="66"/>
    <w:bookmarkStart w:id="76" w:name="references"/>
    <w:p>
      <w:pPr>
        <w:pStyle w:val="Heading2"/>
      </w:pPr>
      <w:r>
        <w:t xml:space="preserve">References</w:t>
      </w:r>
    </w:p>
    <w:p>
      <w:pPr>
        <w:pStyle w:val="FirstParagraph"/>
      </w:pPr>
      <w:bookmarkStart w:id="67" w:name="ref-1"/>
      <w:bookmarkEnd w:id="67"/>
      <w:r>
        <w:t xml:space="preserve">1. S. A. Cox, J. H. Humble, and G. Droge,</w:t>
      </w:r>
      <w:r>
        <w:t xml:space="preserve"> </w:t>
      </w:r>
      <w:r>
        <w:t xml:space="preserve">“A mission planning approach for crosslink-enabled earth sensing satellite constellations,”</w:t>
      </w:r>
      <w:r>
        <w:t xml:space="preserve"> </w:t>
      </w:r>
      <w:r>
        <w:t xml:space="preserve">Acta Astronautica, vol. 219, 2024, doi:</w:t>
      </w:r>
      <w:r>
        <w:t xml:space="preserve"> </w:t>
      </w:r>
      <w:hyperlink r:id="rId68">
        <w:r>
          <w:rPr>
            <w:rStyle w:val="Hyperlink"/>
          </w:rPr>
          <w:t xml:space="preserve">10.1016/j.actaastro.2024.03.070</w:t>
        </w:r>
      </w:hyperlink>
      <w:r>
        <w:t xml:space="preserve">.</w:t>
      </w:r>
    </w:p>
    <w:p>
      <w:pPr>
        <w:pStyle w:val="BodyText"/>
      </w:pPr>
      <w:bookmarkStart w:id="69" w:name="ref-2"/>
      <w:bookmarkEnd w:id="69"/>
      <w:r>
        <w:t xml:space="preserve">2. K. Thangavel, R. P. Perumal, K. F. Hussain, A. Gardi, and R. Sabatini,</w:t>
      </w:r>
      <w:r>
        <w:t xml:space="preserve"> </w:t>
      </w:r>
      <w:r>
        <w:t xml:space="preserve">“Multidisciplinary design and optimization of intelligent Distributed Satellite Systems for Earth observation,”</w:t>
      </w:r>
      <w:r>
        <w:t xml:space="preserve"> </w:t>
      </w:r>
      <w:r>
        <w:t xml:space="preserve">Acta Astronautica, vol. 216, 2024, doi:</w:t>
      </w:r>
      <w:r>
        <w:t xml:space="preserve"> </w:t>
      </w:r>
      <w:hyperlink r:id="rId70">
        <w:r>
          <w:rPr>
            <w:rStyle w:val="Hyperlink"/>
          </w:rPr>
          <w:t xml:space="preserve">10.1016/j.actaastro.2023.12.055</w:t>
        </w:r>
      </w:hyperlink>
      <w:r>
        <w:t xml:space="preserve">.</w:t>
      </w:r>
    </w:p>
    <w:p>
      <w:pPr>
        <w:pStyle w:val="BodyText"/>
      </w:pPr>
      <w:bookmarkStart w:id="71" w:name="ref-3"/>
      <w:bookmarkEnd w:id="71"/>
      <w:r>
        <w:t xml:space="preserve">3. C. Lowe, C. McGrath, S. Hancock, I. J. Davenport, S. Todd, J. N. Hansen, I. Woodhouse, C. J. Norrie, and M. Macdonald,</w:t>
      </w:r>
      <w:r>
        <w:t xml:space="preserve"> </w:t>
      </w:r>
      <w:r>
        <w:t xml:space="preserve">“Spacecraft and optics design considerations for a spaceborne lidar mission with spatially continuous global coverage,”</w:t>
      </w:r>
      <w:r>
        <w:t xml:space="preserve"> </w:t>
      </w:r>
      <w:r>
        <w:t xml:space="preserve">Acta Astronautica, vol. 214, 2024, doi:</w:t>
      </w:r>
      <w:r>
        <w:t xml:space="preserve"> </w:t>
      </w:r>
      <w:hyperlink r:id="rId72">
        <w:r>
          <w:rPr>
            <w:rStyle w:val="Hyperlink"/>
          </w:rPr>
          <w:t xml:space="preserve">10.1016/j.actaastro.2023.10.042</w:t>
        </w:r>
      </w:hyperlink>
      <w:r>
        <w:t xml:space="preserve">.</w:t>
      </w:r>
    </w:p>
    <w:p>
      <w:pPr>
        <w:pStyle w:val="BodyText"/>
      </w:pPr>
      <w:bookmarkStart w:id="73" w:name="ref-4"/>
      <w:bookmarkEnd w:id="73"/>
      <w:r>
        <w:t xml:space="preserve">4.</w:t>
      </w:r>
      <w:r>
        <w:t xml:space="preserve"> </w:t>
      </w:r>
      <w:r>
        <w:t xml:space="preserve">“The Role of Space in Driving Sustainability, Security, and Development”</w:t>
      </w:r>
      <w:r>
        <w:t xml:space="preserve"> </w:t>
      </w:r>
      <w:r>
        <w:t xml:space="preserve">(Space Economy Papers corpus, source SD13), Space Economy Papers brain, D:/Claude_Code/Space_Economy_Papers.</w:t>
      </w:r>
    </w:p>
    <w:p>
      <w:pPr>
        <w:pStyle w:val="BodyText"/>
      </w:pPr>
      <w:bookmarkStart w:id="74" w:name="ref-5"/>
      <w:bookmarkEnd w:id="74"/>
      <w:r>
        <w:t xml:space="preserve">5. U.S. Government Accountability Office, NASA Major Project Assessments for fiscal years 2015, 2018, 2022, 2023, and 2024 (GAO-15-320SP, GAO-18-280SP, GAO-22-105212, GAO-23-106021, GAO-24-106767), Washington, DC.</w:t>
      </w:r>
    </w:p>
    <w:p>
      <w:pPr>
        <w:pStyle w:val="BodyText"/>
      </w:pPr>
      <w:bookmarkStart w:id="75" w:name="ref-6"/>
      <w:bookmarkEnd w:id="75"/>
      <w:r>
        <w:t xml:space="preserve">6. U.S. Government Accountability Office, NASA Major Project Assessment 2025 (GAO-25-107591), Washington, DC.</w:t>
      </w:r>
    </w:p>
    <w:bookmarkEnd w:id="76"/>
    <w:bookmarkStart w:id="77" w:name="specification"/>
    <w:p>
      <w:pPr>
        <w:pStyle w:val="Heading2"/>
      </w:pPr>
      <w:r>
        <w:t xml:space="preserve">Specification</w:t>
      </w:r>
    </w:p>
    <w:p>
      <w:pPr>
        <w:pStyle w:val="FirstParagraph"/>
      </w:pPr>
      <m:oMathPara>
        <m:oMathParaPr>
          <m:jc m:val="center"/>
        </m:oMathParaPr>
        <m:oMath>
          <m:r>
            <m:rPr>
              <m:sty m:val="p"/>
            </m:rPr>
            <m:t>log</m:t>
          </m:r>
          <m:r>
            <m:rPr>
              <m:sty m:val="p"/>
            </m:rPr>
            <m:t>(</m:t>
          </m:r>
          <m:sSub>
            <m:e>
              <m:r>
                <m:rPr>
                  <m:sty m:val="p"/>
                </m:rPr>
                <m:t>c</m:t>
              </m:r>
              <m:r>
                <m:rPr>
                  <m:sty m:val="p"/>
                </m:rPr>
                <m:t>o</m:t>
              </m:r>
              <m:r>
                <m:rPr>
                  <m:sty m:val="p"/>
                </m:rPr>
                <m:t>s</m:t>
              </m:r>
              <m:r>
                <m:rPr>
                  <m:sty m:val="p"/>
                </m:rPr>
                <m:t>t</m:t>
              </m:r>
            </m:e>
            <m:sub>
              <m:r>
                <m:t>i</m:t>
              </m:r>
            </m:sub>
          </m:sSub>
          <m:r>
            <m:rPr>
              <m:sty m:val="p"/>
            </m:rPr>
            <m:t>)</m:t>
          </m:r>
          <m:r>
            <m:rPr>
              <m:sty m:val="p"/>
            </m:rPr>
            <m:t>=</m:t>
          </m:r>
          <m:sSub>
            <m:e>
              <m:r>
                <m:t>β</m:t>
              </m:r>
            </m:e>
            <m:sub>
              <m:r>
                <m:t>0</m:t>
              </m:r>
            </m:sub>
          </m:sSub>
          <m:r>
            <m:rPr>
              <m:sty m:val="p"/>
            </m:rPr>
            <m:t>+</m:t>
          </m:r>
          <m:sSub>
            <m:e>
              <m:r>
                <m:t>β</m:t>
              </m:r>
            </m:e>
            <m:sub>
              <m:r>
                <m:t>1</m:t>
              </m:r>
            </m:sub>
          </m:sSub>
          <m:r>
            <m:rPr>
              <m:sty m:val="p"/>
            </m:rPr>
            <m:t>log</m:t>
          </m:r>
          <m:r>
            <m:rPr>
              <m:sty m:val="p"/>
            </m:rPr>
            <m:t>(</m:t>
          </m:r>
          <m:sSub>
            <m:e>
              <m:r>
                <m:rPr>
                  <m:sty m:val="p"/>
                </m:rPr>
                <m:t>m</m:t>
              </m:r>
              <m:r>
                <m:rPr>
                  <m:sty m:val="p"/>
                </m:rPr>
                <m:t>a</m:t>
              </m:r>
              <m:r>
                <m:rPr>
                  <m:sty m:val="p"/>
                </m:rPr>
                <m:t>s</m:t>
              </m:r>
              <m:r>
                <m:rPr>
                  <m:sty m:val="p"/>
                </m:rPr>
                <m:t>s</m:t>
              </m:r>
            </m:e>
            <m:sub>
              <m:r>
                <m:t>i</m:t>
              </m:r>
            </m:sub>
          </m:sSub>
          <m:r>
            <m:rPr>
              <m:sty m:val="p"/>
            </m:rPr>
            <m:t>)</m:t>
          </m:r>
          <m:r>
            <m:rPr>
              <m:sty m:val="p"/>
            </m:rPr>
            <m:t>+</m:t>
          </m:r>
          <m:sSub>
            <m:e>
              <m:r>
                <m:t>β</m:t>
              </m:r>
            </m:e>
            <m:sub>
              <m:r>
                <m:t>2</m:t>
              </m:r>
            </m:sub>
          </m:sSub>
          <m:r>
            <m:rPr>
              <m:sty m:val="p"/>
            </m:rPr>
            <m:t>log</m:t>
          </m:r>
          <m:r>
            <m:rPr>
              <m:sty m:val="p"/>
            </m:rPr>
            <m:t>(</m:t>
          </m:r>
          <m:sSub>
            <m:e>
              <m:r>
                <m:rPr>
                  <m:sty m:val="p"/>
                </m:rPr>
                <m:t>r</m:t>
              </m:r>
              <m:r>
                <m:rPr>
                  <m:sty m:val="p"/>
                </m:rPr>
                <m:t>e</m:t>
              </m:r>
              <m:r>
                <m:rPr>
                  <m:sty m:val="p"/>
                </m:rPr>
                <m:t>s</m:t>
              </m:r>
              <m:r>
                <m:rPr>
                  <m:sty m:val="p"/>
                </m:rPr>
                <m:t>o</m:t>
              </m:r>
              <m:r>
                <m:rPr>
                  <m:sty m:val="p"/>
                </m:rPr>
                <m:t>l</m:t>
              </m:r>
              <m:r>
                <m:rPr>
                  <m:sty m:val="p"/>
                </m:rPr>
                <m:t>u</m:t>
              </m:r>
              <m:r>
                <m:rPr>
                  <m:sty m:val="p"/>
                </m:rPr>
                <m:t>t</m:t>
              </m:r>
              <m:r>
                <m:rPr>
                  <m:sty m:val="p"/>
                </m:rPr>
                <m:t>i</m:t>
              </m:r>
              <m:r>
                <m:rPr>
                  <m:sty m:val="p"/>
                </m:rPr>
                <m:t>o</m:t>
              </m:r>
              <m:r>
                <m:rPr>
                  <m:sty m:val="p"/>
                </m:rPr>
                <m:t>n</m:t>
              </m:r>
            </m:e>
            <m:sub>
              <m:r>
                <m:t>i</m:t>
              </m:r>
            </m:sub>
          </m:sSub>
          <m:r>
            <m:rPr>
              <m:sty m:val="p"/>
            </m:rPr>
            <m:t>)</m:t>
          </m:r>
          <m:r>
            <m:rPr>
              <m:sty m:val="p"/>
            </m:rPr>
            <m:t>+</m:t>
          </m:r>
          <m:sSub>
            <m:e>
              <m:r>
                <m:t>β</m:t>
              </m:r>
            </m:e>
            <m:sub>
              <m:r>
                <m:t>3</m:t>
              </m:r>
            </m:sub>
          </m:sSub>
          <m:r>
            <m:rPr>
              <m:sty m:val="p"/>
            </m:rPr>
            <m:t>log</m:t>
          </m:r>
          <m:r>
            <m:rPr>
              <m:sty m:val="p"/>
            </m:rPr>
            <m:t>(</m:t>
          </m:r>
          <m:sSub>
            <m:e>
              <m:r>
                <m:rPr>
                  <m:sty m:val="p"/>
                </m:rPr>
                <m:t>c</m:t>
              </m:r>
              <m:r>
                <m:rPr>
                  <m:sty m:val="p"/>
                </m:rPr>
                <m:t>o</m:t>
              </m:r>
              <m:r>
                <m:rPr>
                  <m:sty m:val="p"/>
                </m:rPr>
                <m:t>n</m:t>
              </m:r>
              <m:r>
                <m:rPr>
                  <m:sty m:val="p"/>
                </m:rPr>
                <m:t>s</m:t>
              </m:r>
              <m:r>
                <m:rPr>
                  <m:sty m:val="p"/>
                </m:rPr>
                <m:t>t</m:t>
              </m:r>
              <m:r>
                <m:rPr>
                  <m:sty m:val="p"/>
                </m:rPr>
                <m:t>e</m:t>
              </m:r>
              <m:r>
                <m:rPr>
                  <m:sty m:val="p"/>
                </m:rPr>
                <m:t>l</m:t>
              </m:r>
              <m:r>
                <m:rPr>
                  <m:sty m:val="p"/>
                </m:rPr>
                <m:t>l</m:t>
              </m:r>
              <m:r>
                <m:rPr>
                  <m:sty m:val="p"/>
                </m:rPr>
                <m:t>a</m:t>
              </m:r>
              <m:r>
                <m:rPr>
                  <m:sty m:val="p"/>
                </m:rPr>
                <m:t>t</m:t>
              </m:r>
              <m:r>
                <m:rPr>
                  <m:sty m:val="p"/>
                </m:rPr>
                <m:t>i</m:t>
              </m:r>
              <m:r>
                <m:rPr>
                  <m:sty m:val="p"/>
                </m:rPr>
                <m:t>o</m:t>
              </m:r>
              <m:r>
                <m:rPr>
                  <m:sty m:val="p"/>
                </m:rPr>
                <m:t>n</m:t>
              </m:r>
              <m:r>
                <m:rPr>
                  <m:sty m:val="p"/>
                </m:rPr>
                <m:t>_</m:t>
              </m:r>
              <m:r>
                <m:rPr>
                  <m:sty m:val="p"/>
                </m:rPr>
                <m:t>s</m:t>
              </m:r>
              <m:r>
                <m:rPr>
                  <m:sty m:val="p"/>
                </m:rPr>
                <m:t>i</m:t>
              </m:r>
              <m:r>
                <m:rPr>
                  <m:sty m:val="p"/>
                </m:rPr>
                <m:t>z</m:t>
              </m:r>
              <m:r>
                <m:rPr>
                  <m:sty m:val="p"/>
                </m:rPr>
                <m:t>e</m:t>
              </m:r>
            </m:e>
            <m:sub>
              <m:r>
                <m:t>i</m:t>
              </m:r>
            </m:sub>
          </m:sSub>
          <m:r>
            <m:rPr>
              <m:sty m:val="p"/>
            </m:rPr>
            <m:t>)</m:t>
          </m:r>
          <m:r>
            <m:rPr>
              <m:sty m:val="p"/>
            </m:rPr>
            <m:t>+</m:t>
          </m:r>
          <m:sSub>
            <m:e>
              <m:r>
                <m:t>β</m:t>
              </m:r>
            </m:e>
            <m:sub>
              <m:r>
                <m:t>4</m:t>
              </m:r>
            </m:sub>
          </m:sSub>
          <m:sSub>
            <m:e>
              <m:r>
                <m:rPr>
                  <m:sty m:val="p"/>
                </m:rPr>
                <m:t>s</m:t>
              </m:r>
              <m:r>
                <m:rPr>
                  <m:sty m:val="p"/>
                </m:rPr>
                <m:t>a</m:t>
              </m:r>
              <m:r>
                <m:rPr>
                  <m:sty m:val="p"/>
                </m:rPr>
                <m:t>r</m:t>
              </m:r>
            </m:e>
            <m:sub>
              <m:r>
                <m:t>i</m:t>
              </m:r>
            </m:sub>
          </m:sSub>
          <m:r>
            <m:rPr>
              <m:sty m:val="p"/>
            </m:rPr>
            <m:t>+</m:t>
          </m:r>
          <m:sSub>
            <m:e>
              <m:r>
                <m:t>ε</m:t>
              </m:r>
            </m:e>
            <m:sub>
              <m:r>
                <m:t>i</m:t>
              </m:r>
            </m:sub>
          </m:sSub>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2.5132</w:t>
            </w:r>
          </w:p>
        </w:tc>
        <w:tc>
          <w:tcPr>
            <w:tcW w:w="0" w:type="auto"/>
          </w:tcPr>
          <w:p>
            <w:pPr>
              <w:spacing w:line="240" w:lineRule="auto" w:before="0" w:after="0"/>
              <w:pStyle w:val="Compact"/>
            </w:pPr>
            <w:r>
              <w:rPr>
                <w:sz w:val="20"/>
                <w:szCs w:val="20"/>
              </w:rPr>
              <w:t xml:space="preserve">2.4319</w:t>
            </w:r>
          </w:p>
        </w:tc>
        <w:tc>
          <w:tcPr>
            <w:tcW w:w="0" w:type="auto"/>
          </w:tcPr>
          <w:p>
            <w:pPr>
              <w:spacing w:line="240" w:lineRule="auto" w:before="0" w:after="0"/>
              <w:pStyle w:val="Compact"/>
            </w:pPr>
            <w:r>
              <w:rPr>
                <w:sz w:val="20"/>
                <w:szCs w:val="20"/>
              </w:rPr>
              <w:t xml:space="preserve">1.0334</w:t>
            </w:r>
          </w:p>
        </w:tc>
        <w:tc>
          <w:tcPr>
            <w:tcW w:w="0" w:type="auto"/>
          </w:tcPr>
          <w:p>
            <w:pPr>
              <w:spacing w:line="240" w:lineRule="auto" w:before="0" w:after="0"/>
              <w:pStyle w:val="Compact"/>
            </w:pPr>
            <w:r>
              <w:rPr>
                <w:sz w:val="20"/>
                <w:szCs w:val="20"/>
              </w:rPr>
              <w:t xml:space="preserve">0.3014</w:t>
            </w:r>
          </w:p>
        </w:tc>
        <w:tc>
          <w:tcPr>
            <w:tcW w:w="0" w:type="auto"/>
          </w:tcPr>
          <w:p>
            <w:pPr>
              <w:spacing w:line="240" w:lineRule="auto" w:before="0" w:after="0"/>
              <w:pStyle w:val="Compact"/>
            </w:pPr>
            <w:r>
              <w:rPr>
                <w:sz w:val="20"/>
                <w:szCs w:val="20"/>
              </w:rPr>
              <w:t xml:space="preserve">[-2.2533, 7.2797]</w:t>
            </w:r>
          </w:p>
        </w:tc>
      </w:tr>
      <w:tr>
        <w:tc>
          <w:tcPr>
            <w:tcW w:w="0" w:type="auto"/>
          </w:tcPr>
          <w:p>
            <w:pPr>
              <w:spacing w:line="240" w:lineRule="auto" w:before="0" w:after="0"/>
              <w:pStyle w:val="Compact"/>
            </w:pPr>
            <w:r>
              <w:rPr>
                <w:sz w:val="20"/>
                <w:szCs w:val="20"/>
              </w:rPr>
              <w:t xml:space="preserve">log_mass</w:t>
            </w:r>
          </w:p>
        </w:tc>
        <w:tc>
          <w:tcPr>
            <w:tcW w:w="0" w:type="auto"/>
          </w:tcPr>
          <w:p>
            <w:pPr>
              <w:spacing w:line="240" w:lineRule="auto" w:before="0" w:after="0"/>
              <w:pStyle w:val="Compact"/>
            </w:pPr>
            <w:r>
              <w:rPr>
                <w:sz w:val="20"/>
                <w:szCs w:val="20"/>
              </w:rPr>
              <w:t xml:space="preserve">0.4954</w:t>
            </w:r>
          </w:p>
        </w:tc>
        <w:tc>
          <w:tcPr>
            <w:tcW w:w="0" w:type="auto"/>
          </w:tcPr>
          <w:p>
            <w:pPr>
              <w:spacing w:line="240" w:lineRule="auto" w:before="0" w:after="0"/>
              <w:pStyle w:val="Compact"/>
            </w:pPr>
            <w:r>
              <w:rPr>
                <w:sz w:val="20"/>
                <w:szCs w:val="20"/>
              </w:rPr>
              <w:t xml:space="preserve">0.3217</w:t>
            </w:r>
          </w:p>
        </w:tc>
        <w:tc>
          <w:tcPr>
            <w:tcW w:w="0" w:type="auto"/>
          </w:tcPr>
          <w:p>
            <w:pPr>
              <w:spacing w:line="240" w:lineRule="auto" w:before="0" w:after="0"/>
              <w:pStyle w:val="Compact"/>
            </w:pPr>
            <w:r>
              <w:rPr>
                <w:sz w:val="20"/>
                <w:szCs w:val="20"/>
              </w:rPr>
              <w:t xml:space="preserve">1.5401</w:t>
            </w:r>
          </w:p>
        </w:tc>
        <w:tc>
          <w:tcPr>
            <w:tcW w:w="0" w:type="auto"/>
          </w:tcPr>
          <w:p>
            <w:pPr>
              <w:spacing w:line="240" w:lineRule="auto" w:before="0" w:after="0"/>
              <w:pStyle w:val="Compact"/>
            </w:pPr>
            <w:r>
              <w:rPr>
                <w:sz w:val="20"/>
                <w:szCs w:val="20"/>
              </w:rPr>
              <w:t xml:space="preserve">0.1235</w:t>
            </w:r>
          </w:p>
        </w:tc>
        <w:tc>
          <w:tcPr>
            <w:tcW w:w="0" w:type="auto"/>
          </w:tcPr>
          <w:p>
            <w:pPr>
              <w:spacing w:line="240" w:lineRule="auto" w:before="0" w:after="0"/>
              <w:pStyle w:val="Compact"/>
            </w:pPr>
            <w:r>
              <w:rPr>
                <w:sz w:val="20"/>
                <w:szCs w:val="20"/>
              </w:rPr>
              <w:t xml:space="preserve">[-0.1351, 1.1259]</w:t>
            </w:r>
          </w:p>
        </w:tc>
      </w:tr>
      <w:tr>
        <w:tc>
          <w:tcPr>
            <w:tcW w:w="0" w:type="auto"/>
          </w:tcPr>
          <w:p>
            <w:pPr>
              <w:spacing w:line="240" w:lineRule="auto" w:before="0" w:after="0"/>
              <w:pStyle w:val="Compact"/>
            </w:pPr>
            <w:r>
              <w:rPr>
                <w:sz w:val="20"/>
                <w:szCs w:val="20"/>
              </w:rPr>
              <w:t xml:space="preserve">log_resolution</w:t>
            </w:r>
          </w:p>
        </w:tc>
        <w:tc>
          <w:tcPr>
            <w:tcW w:w="0" w:type="auto"/>
          </w:tcPr>
          <w:p>
            <w:pPr>
              <w:spacing w:line="240" w:lineRule="auto" w:before="0" w:after="0"/>
              <w:pStyle w:val="Compact"/>
            </w:pPr>
            <w:r>
              <w:rPr>
                <w:sz w:val="20"/>
                <w:szCs w:val="20"/>
              </w:rPr>
              <w:t xml:space="preserve">0.1019</w:t>
            </w:r>
          </w:p>
        </w:tc>
        <w:tc>
          <w:tcPr>
            <w:tcW w:w="0" w:type="auto"/>
          </w:tcPr>
          <w:p>
            <w:pPr>
              <w:spacing w:line="240" w:lineRule="auto" w:before="0" w:after="0"/>
              <w:pStyle w:val="Compact"/>
            </w:pPr>
            <w:r>
              <w:rPr>
                <w:sz w:val="20"/>
                <w:szCs w:val="20"/>
              </w:rPr>
              <w:t xml:space="preserve">0.0455</w:t>
            </w:r>
          </w:p>
        </w:tc>
        <w:tc>
          <w:tcPr>
            <w:tcW w:w="0" w:type="auto"/>
          </w:tcPr>
          <w:p>
            <w:pPr>
              <w:spacing w:line="240" w:lineRule="auto" w:before="0" w:after="0"/>
              <w:pStyle w:val="Compact"/>
            </w:pPr>
            <w:r>
              <w:rPr>
                <w:sz w:val="20"/>
                <w:szCs w:val="20"/>
              </w:rPr>
              <w:t xml:space="preserve">2.2424</w:t>
            </w:r>
          </w:p>
        </w:tc>
        <w:tc>
          <w:tcPr>
            <w:tcW w:w="0" w:type="auto"/>
          </w:tcPr>
          <w:p>
            <w:pPr>
              <w:spacing w:line="240" w:lineRule="auto" w:before="0" w:after="0"/>
              <w:pStyle w:val="Compact"/>
            </w:pPr>
            <w:r>
              <w:rPr>
                <w:sz w:val="20"/>
                <w:szCs w:val="20"/>
              </w:rPr>
              <w:t xml:space="preserve">0.0249</w:t>
            </w:r>
          </w:p>
        </w:tc>
        <w:tc>
          <w:tcPr>
            <w:tcW w:w="0" w:type="auto"/>
          </w:tcPr>
          <w:p>
            <w:pPr>
              <w:spacing w:line="240" w:lineRule="auto" w:before="0" w:after="0"/>
              <w:pStyle w:val="Compact"/>
            </w:pPr>
            <w:r>
              <w:rPr>
                <w:sz w:val="20"/>
                <w:szCs w:val="20"/>
              </w:rPr>
              <w:t xml:space="preserve">[0.0128, 0.1911]</w:t>
            </w:r>
          </w:p>
        </w:tc>
      </w:tr>
      <w:tr>
        <w:tc>
          <w:tcPr>
            <w:tcW w:w="0" w:type="auto"/>
          </w:tcPr>
          <w:p>
            <w:pPr>
              <w:spacing w:line="240" w:lineRule="auto" w:before="0" w:after="0"/>
              <w:pStyle w:val="Compact"/>
            </w:pPr>
            <w:r>
              <w:rPr>
                <w:sz w:val="20"/>
                <w:szCs w:val="20"/>
              </w:rPr>
              <w:t xml:space="preserve">log_constellation_size</w:t>
            </w:r>
          </w:p>
        </w:tc>
        <w:tc>
          <w:tcPr>
            <w:tcW w:w="0" w:type="auto"/>
          </w:tcPr>
          <w:p>
            <w:pPr>
              <w:spacing w:line="240" w:lineRule="auto" w:before="0" w:after="0"/>
              <w:pStyle w:val="Compact"/>
            </w:pPr>
            <w:r>
              <w:rPr>
                <w:sz w:val="20"/>
                <w:szCs w:val="20"/>
              </w:rPr>
              <w:t xml:space="preserve">-0.3006</w:t>
            </w:r>
          </w:p>
        </w:tc>
        <w:tc>
          <w:tcPr>
            <w:tcW w:w="0" w:type="auto"/>
          </w:tcPr>
          <w:p>
            <w:pPr>
              <w:spacing w:line="240" w:lineRule="auto" w:before="0" w:after="0"/>
              <w:pStyle w:val="Compact"/>
            </w:pPr>
            <w:r>
              <w:rPr>
                <w:sz w:val="20"/>
                <w:szCs w:val="20"/>
              </w:rPr>
              <w:t xml:space="preserve">0.4369</w:t>
            </w:r>
          </w:p>
        </w:tc>
        <w:tc>
          <w:tcPr>
            <w:tcW w:w="0" w:type="auto"/>
          </w:tcPr>
          <w:p>
            <w:pPr>
              <w:spacing w:line="240" w:lineRule="auto" w:before="0" w:after="0"/>
              <w:pStyle w:val="Compact"/>
            </w:pPr>
            <w:r>
              <w:rPr>
                <w:sz w:val="20"/>
                <w:szCs w:val="20"/>
              </w:rPr>
              <w:t xml:space="preserve">-0.688</w:t>
            </w:r>
          </w:p>
        </w:tc>
        <w:tc>
          <w:tcPr>
            <w:tcW w:w="0" w:type="auto"/>
          </w:tcPr>
          <w:p>
            <w:pPr>
              <w:spacing w:line="240" w:lineRule="auto" w:before="0" w:after="0"/>
              <w:pStyle w:val="Compact"/>
            </w:pPr>
            <w:r>
              <w:rPr>
                <w:sz w:val="20"/>
                <w:szCs w:val="20"/>
              </w:rPr>
              <w:t xml:space="preserve">0.4915</w:t>
            </w:r>
          </w:p>
        </w:tc>
        <w:tc>
          <w:tcPr>
            <w:tcW w:w="0" w:type="auto"/>
          </w:tcPr>
          <w:p>
            <w:pPr>
              <w:spacing w:line="240" w:lineRule="auto" w:before="0" w:after="0"/>
              <w:pStyle w:val="Compact"/>
            </w:pPr>
            <w:r>
              <w:rPr>
                <w:sz w:val="20"/>
                <w:szCs w:val="20"/>
              </w:rPr>
              <w:t xml:space="preserve">[-1.1568, 0.5557]</w:t>
            </w:r>
          </w:p>
        </w:tc>
      </w:tr>
      <w:tr>
        <w:tc>
          <w:tcPr>
            <w:tcW w:w="0" w:type="auto"/>
          </w:tcPr>
          <w:p>
            <w:pPr>
              <w:spacing w:line="240" w:lineRule="auto" w:before="0" w:after="0"/>
              <w:pStyle w:val="Compact"/>
            </w:pPr>
            <w:r>
              <w:rPr>
                <w:sz w:val="20"/>
                <w:szCs w:val="20"/>
              </w:rPr>
              <w:t xml:space="preserve">sar</w:t>
            </w:r>
          </w:p>
        </w:tc>
        <w:tc>
          <w:tcPr>
            <w:tcW w:w="0" w:type="auto"/>
          </w:tcPr>
          <w:p>
            <w:pPr>
              <w:spacing w:line="240" w:lineRule="auto" w:before="0" w:after="0"/>
              <w:pStyle w:val="Compact"/>
            </w:pPr>
            <w:r>
              <w:rPr>
                <w:sz w:val="20"/>
                <w:szCs w:val="20"/>
              </w:rPr>
              <w:t xml:space="preserve">0.0311</w:t>
            </w:r>
          </w:p>
        </w:tc>
        <w:tc>
          <w:tcPr>
            <w:tcW w:w="0" w:type="auto"/>
          </w:tcPr>
          <w:p>
            <w:pPr>
              <w:spacing w:line="240" w:lineRule="auto" w:before="0" w:after="0"/>
              <w:pStyle w:val="Compact"/>
            </w:pPr>
            <w:r>
              <w:rPr>
                <w:sz w:val="20"/>
                <w:szCs w:val="20"/>
              </w:rPr>
              <w:t xml:space="preserve">0.3578</w:t>
            </w:r>
          </w:p>
        </w:tc>
        <w:tc>
          <w:tcPr>
            <w:tcW w:w="0" w:type="auto"/>
          </w:tcPr>
          <w:p>
            <w:pPr>
              <w:spacing w:line="240" w:lineRule="auto" w:before="0" w:after="0"/>
              <w:pStyle w:val="Compact"/>
            </w:pPr>
            <w:r>
              <w:rPr>
                <w:sz w:val="20"/>
                <w:szCs w:val="20"/>
              </w:rPr>
              <w:t xml:space="preserve">0.087</w:t>
            </w:r>
          </w:p>
        </w:tc>
        <w:tc>
          <w:tcPr>
            <w:tcW w:w="0" w:type="auto"/>
          </w:tcPr>
          <w:p>
            <w:pPr>
              <w:spacing w:line="240" w:lineRule="auto" w:before="0" w:after="0"/>
              <w:pStyle w:val="Compact"/>
            </w:pPr>
            <w:r>
              <w:rPr>
                <w:sz w:val="20"/>
                <w:szCs w:val="20"/>
              </w:rPr>
              <w:t xml:space="preserve">0.9307</w:t>
            </w:r>
          </w:p>
        </w:tc>
        <w:tc>
          <w:tcPr>
            <w:tcW w:w="0" w:type="auto"/>
          </w:tcPr>
          <w:p>
            <w:pPr>
              <w:spacing w:line="240" w:lineRule="auto" w:before="0" w:after="0"/>
              <w:pStyle w:val="Compact"/>
            </w:pPr>
            <w:r>
              <w:rPr>
                <w:sz w:val="20"/>
                <w:szCs w:val="20"/>
              </w:rPr>
              <w:t xml:space="preserve">[-0.6702, 0.7324]</w:t>
            </w:r>
          </w:p>
        </w:tc>
      </w:tr>
    </w:tbl>
    <w:p>
      <w:pPr>
        <w:pStyle w:val="BodyText"/>
      </w:pPr>
      <w:r>
        <w:t xml:space="preserve">Fit: N = 35 R2 = 0.6104 R2_adj = 0.5585 F = 8.7809 F_p = 8.115e-05</w:t>
      </w:r>
    </w:p>
    <w:p>
      <w:pPr>
        <w:pStyle w:val="CaptionedFigure"/>
      </w:pPr>
      <w:r>
        <w:drawing>
          <wp:inline>
            <wp:extent cx="5669280" cy="3657600"/>
            <wp:effectExtent b="0" l="0" r="0" t="0"/>
            <wp:docPr descr="Figure 1. Mission acquisition cost versus dry mass across 35 documented Earth-observation missions, log-log scale." title="" id="79" name="Picture"/>
            <a:graphic>
              <a:graphicData uri="http://schemas.openxmlformats.org/drawingml/2006/picture">
                <pic:pic>
                  <pic:nvPicPr>
                    <pic:cNvPr descr="D:\Claude_Code\brain\collegium\candidates\dissertations\JPL_ASTRO_EARTH_11\research_papers\p2\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Mission acquisition cost versus dry mass across 35 documented Earth-observation missions, log-log scale.</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565"/>
        <w:gridCol w:w="565"/>
        <w:gridCol w:w="565"/>
        <w:gridCol w:w="565"/>
        <w:gridCol w:w="565"/>
        <w:gridCol w:w="565"/>
        <w:gridCol w:w="565"/>
        <w:gridCol w:w="565"/>
        <w:gridCol w:w="565"/>
        <w:gridCol w:w="565"/>
        <w:gridCol w:w="565"/>
        <w:gridCol w:w="565"/>
        <w:gridCol w:w="565"/>
        <w:gridCol w:w="565"/>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year_launch</w:t>
            </w:r>
          </w:p>
        </w:tc>
        <w:tc>
          <w:tcPr>
            <w:tcW w:w="0" w:type="auto"/>
          </w:tcPr>
          <w:p>
            <w:pPr>
              <w:spacing w:line="240" w:lineRule="auto" w:before="0" w:after="0"/>
              <w:pStyle w:val="Compact"/>
            </w:pPr>
            <w:r>
              <w:rPr>
                <w:sz w:val="20"/>
                <w:szCs w:val="20"/>
              </w:rPr>
              <w:t xml:space="preserve">cost_musd_2024</w:t>
            </w:r>
          </w:p>
        </w:tc>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resolution_m</w:t>
            </w:r>
          </w:p>
        </w:tc>
        <w:tc>
          <w:tcPr>
            <w:tcW w:w="0" w:type="auto"/>
          </w:tcPr>
          <w:p>
            <w:pPr>
              <w:spacing w:line="240" w:lineRule="auto" w:before="0" w:after="0"/>
              <w:pStyle w:val="Compact"/>
            </w:pPr>
            <w:r>
              <w:rPr>
                <w:sz w:val="20"/>
                <w:szCs w:val="20"/>
              </w:rPr>
              <w:t xml:space="preserve">constellation_size</w:t>
            </w:r>
          </w:p>
        </w:tc>
        <w:tc>
          <w:tcPr>
            <w:tcW w:w="0" w:type="auto"/>
          </w:tcPr>
          <w:p>
            <w:pPr>
              <w:spacing w:line="240" w:lineRule="auto" w:before="0" w:after="0"/>
              <w:pStyle w:val="Compact"/>
            </w:pPr>
            <w:r>
              <w:rPr>
                <w:sz w:val="20"/>
                <w:szCs w:val="20"/>
              </w:rPr>
              <w:t xml:space="preserve">sso</w:t>
            </w:r>
          </w:p>
        </w:tc>
        <w:tc>
          <w:tcPr>
            <w:tcW w:w="0" w:type="auto"/>
          </w:tcPr>
          <w:p>
            <w:pPr>
              <w:spacing w:line="240" w:lineRule="auto" w:before="0" w:after="0"/>
              <w:pStyle w:val="Compact"/>
            </w:pPr>
            <w:r>
              <w:rPr>
                <w:sz w:val="20"/>
                <w:szCs w:val="20"/>
              </w:rPr>
              <w:t xml:space="preserve">instrument_class</w:t>
            </w:r>
          </w:p>
        </w:tc>
        <w:tc>
          <w:tcPr>
            <w:tcW w:w="0" w:type="auto"/>
          </w:tcPr>
          <w:p>
            <w:pPr>
              <w:spacing w:line="240" w:lineRule="auto" w:before="0" w:after="0"/>
              <w:pStyle w:val="Compact"/>
            </w:pPr>
            <w:r>
              <w:rPr>
                <w:sz w:val="20"/>
                <w:szCs w:val="20"/>
              </w:rPr>
              <w:t xml:space="preserve">log_cost</w:t>
            </w:r>
          </w:p>
        </w:tc>
        <w:tc>
          <w:tcPr>
            <w:tcW w:w="0" w:type="auto"/>
          </w:tcPr>
          <w:p>
            <w:pPr>
              <w:spacing w:line="240" w:lineRule="auto" w:before="0" w:after="0"/>
              <w:pStyle w:val="Compact"/>
            </w:pPr>
            <w:r>
              <w:rPr>
                <w:sz w:val="20"/>
                <w:szCs w:val="20"/>
              </w:rPr>
              <w:t xml:space="preserve">log_mass</w:t>
            </w:r>
          </w:p>
        </w:tc>
        <w:tc>
          <w:tcPr>
            <w:tcW w:w="0" w:type="auto"/>
          </w:tcPr>
          <w:p>
            <w:pPr>
              <w:spacing w:line="240" w:lineRule="auto" w:before="0" w:after="0"/>
              <w:pStyle w:val="Compact"/>
            </w:pPr>
            <w:r>
              <w:rPr>
                <w:sz w:val="20"/>
                <w:szCs w:val="20"/>
              </w:rPr>
              <w:t xml:space="preserve">log_resolution</w:t>
            </w:r>
          </w:p>
        </w:tc>
        <w:tc>
          <w:tcPr>
            <w:tcW w:w="0" w:type="auto"/>
          </w:tcPr>
          <w:p>
            <w:pPr>
              <w:spacing w:line="240" w:lineRule="auto" w:before="0" w:after="0"/>
              <w:pStyle w:val="Compact"/>
            </w:pPr>
            <w:r>
              <w:rPr>
                <w:sz w:val="20"/>
                <w:szCs w:val="20"/>
              </w:rPr>
              <w:t xml:space="preserve">log_constellation_size</w:t>
            </w:r>
          </w:p>
        </w:tc>
        <w:tc>
          <w:tcPr>
            <w:tcW w:w="0" w:type="auto"/>
          </w:tcPr>
          <w:p>
            <w:pPr>
              <w:spacing w:line="240" w:lineRule="auto" w:before="0" w:after="0"/>
              <w:pStyle w:val="Compact"/>
            </w:pPr>
            <w:r>
              <w:rPr>
                <w:sz w:val="20"/>
                <w:szCs w:val="20"/>
              </w:rPr>
              <w:t xml:space="preserve">sar</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Landsat-8</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855</w:t>
            </w:r>
          </w:p>
        </w:tc>
        <w:tc>
          <w:tcPr>
            <w:tcW w:w="0" w:type="auto"/>
          </w:tcPr>
          <w:p>
            <w:pPr>
              <w:spacing w:line="240" w:lineRule="auto" w:before="0" w:after="0"/>
              <w:pStyle w:val="Compact"/>
            </w:pPr>
            <w:r>
              <w:rPr>
                <w:sz w:val="20"/>
                <w:szCs w:val="20"/>
              </w:rPr>
              <w:t xml:space="preserve">2623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6.7511</w:t>
            </w:r>
          </w:p>
        </w:tc>
        <w:tc>
          <w:tcPr>
            <w:tcW w:w="0" w:type="auto"/>
          </w:tcPr>
          <w:p>
            <w:pPr>
              <w:spacing w:line="240" w:lineRule="auto" w:before="0" w:after="0"/>
              <w:pStyle w:val="Compact"/>
            </w:pPr>
            <w:r>
              <w:rPr>
                <w:sz w:val="20"/>
                <w:szCs w:val="20"/>
              </w:rPr>
              <w:t xml:space="preserve">7.8721</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Landsat-8 mission page (landsat.gsfc.nasa.gov/landsat-8)</w:t>
            </w:r>
          </w:p>
        </w:tc>
      </w:tr>
      <w:tr>
        <w:tc>
          <w:tcPr>
            <w:tcW w:w="0" w:type="auto"/>
          </w:tcPr>
          <w:p>
            <w:pPr>
              <w:spacing w:line="240" w:lineRule="auto" w:before="0" w:after="0"/>
              <w:pStyle w:val="Compact"/>
            </w:pPr>
            <w:r>
              <w:rPr>
                <w:sz w:val="20"/>
                <w:szCs w:val="20"/>
              </w:rPr>
              <w:t xml:space="preserve">Landsat-9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2710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6.6201</w:t>
            </w:r>
          </w:p>
        </w:tc>
        <w:tc>
          <w:tcPr>
            <w:tcW w:w="0" w:type="auto"/>
          </w:tcPr>
          <w:p>
            <w:pPr>
              <w:spacing w:line="240" w:lineRule="auto" w:before="0" w:after="0"/>
              <w:pStyle w:val="Compact"/>
            </w:pPr>
            <w:r>
              <w:rPr>
                <w:sz w:val="20"/>
                <w:szCs w:val="20"/>
              </w:rPr>
              <w:t xml:space="preserve">7.9047</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Landsat-9 press kit (landsat.gsfc.nasa.gov/landsat-9)</w:t>
            </w:r>
          </w:p>
        </w:tc>
      </w:tr>
      <w:tr>
        <w:tc>
          <w:tcPr>
            <w:tcW w:w="0" w:type="auto"/>
          </w:tcPr>
          <w:p>
            <w:pPr>
              <w:spacing w:line="240" w:lineRule="auto" w:before="0" w:after="0"/>
              <w:pStyle w:val="Compact"/>
            </w:pPr>
            <w:r>
              <w:rPr>
                <w:sz w:val="20"/>
                <w:szCs w:val="20"/>
              </w:rPr>
              <w:t xml:space="preserve">Sentinel-2A</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338</w:t>
            </w:r>
          </w:p>
        </w:tc>
        <w:tc>
          <w:tcPr>
            <w:tcW w:w="0" w:type="auto"/>
          </w:tcPr>
          <w:p>
            <w:pPr>
              <w:spacing w:line="240" w:lineRule="auto" w:before="0" w:after="0"/>
              <w:pStyle w:val="Compact"/>
            </w:pPr>
            <w:r>
              <w:rPr>
                <w:sz w:val="20"/>
                <w:szCs w:val="20"/>
              </w:rPr>
              <w:t xml:space="preserve">1140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5.823</w:t>
            </w:r>
          </w:p>
        </w:tc>
        <w:tc>
          <w:tcPr>
            <w:tcW w:w="0" w:type="auto"/>
          </w:tcPr>
          <w:p>
            <w:pPr>
              <w:spacing w:line="240" w:lineRule="auto" w:before="0" w:after="0"/>
              <w:pStyle w:val="Compact"/>
            </w:pPr>
            <w:r>
              <w:rPr>
                <w:sz w:val="20"/>
                <w:szCs w:val="20"/>
              </w:rPr>
              <w:t xml:space="preserve">7.0388</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Sentinel-2 mission page (sentinel.esa.int)</w:t>
            </w:r>
          </w:p>
        </w:tc>
      </w:tr>
      <w:tr>
        <w:tc>
          <w:tcPr>
            <w:tcW w:w="0" w:type="auto"/>
          </w:tcPr>
          <w:p>
            <w:pPr>
              <w:spacing w:line="240" w:lineRule="auto" w:before="0" w:after="0"/>
              <w:pStyle w:val="Compact"/>
            </w:pPr>
            <w:r>
              <w:rPr>
                <w:sz w:val="20"/>
                <w:szCs w:val="20"/>
              </w:rPr>
              <w:t xml:space="preserve">Sentinel-2B</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338</w:t>
            </w:r>
          </w:p>
        </w:tc>
        <w:tc>
          <w:tcPr>
            <w:tcW w:w="0" w:type="auto"/>
          </w:tcPr>
          <w:p>
            <w:pPr>
              <w:spacing w:line="240" w:lineRule="auto" w:before="0" w:after="0"/>
              <w:pStyle w:val="Compact"/>
            </w:pPr>
            <w:r>
              <w:rPr>
                <w:sz w:val="20"/>
                <w:szCs w:val="20"/>
              </w:rPr>
              <w:t xml:space="preserve">1140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5.823</w:t>
            </w:r>
          </w:p>
        </w:tc>
        <w:tc>
          <w:tcPr>
            <w:tcW w:w="0" w:type="auto"/>
          </w:tcPr>
          <w:p>
            <w:pPr>
              <w:spacing w:line="240" w:lineRule="auto" w:before="0" w:after="0"/>
              <w:pStyle w:val="Compact"/>
            </w:pPr>
            <w:r>
              <w:rPr>
                <w:sz w:val="20"/>
                <w:szCs w:val="20"/>
              </w:rPr>
              <w:t xml:space="preserve">7.0388</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Sentinel-2 mission page (sentinel.esa.int)</w:t>
            </w:r>
          </w:p>
        </w:tc>
      </w:tr>
      <w:tr>
        <w:tc>
          <w:tcPr>
            <w:tcW w:w="0" w:type="auto"/>
          </w:tcPr>
          <w:p>
            <w:pPr>
              <w:spacing w:line="240" w:lineRule="auto" w:before="0" w:after="0"/>
              <w:pStyle w:val="Compact"/>
            </w:pPr>
            <w:r>
              <w:rPr>
                <w:sz w:val="20"/>
                <w:szCs w:val="20"/>
              </w:rPr>
              <w:t xml:space="preserve">Sentinel-1A</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475</w:t>
            </w:r>
          </w:p>
        </w:tc>
        <w:tc>
          <w:tcPr>
            <w:tcW w:w="0" w:type="auto"/>
          </w:tcPr>
          <w:p>
            <w:pPr>
              <w:spacing w:line="240" w:lineRule="auto" w:before="0" w:after="0"/>
              <w:pStyle w:val="Compact"/>
            </w:pPr>
            <w:r>
              <w:rPr>
                <w:sz w:val="20"/>
                <w:szCs w:val="20"/>
              </w:rPr>
              <w:t xml:space="preserve">2300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sar</w:t>
            </w:r>
          </w:p>
        </w:tc>
        <w:tc>
          <w:tcPr>
            <w:tcW w:w="0" w:type="auto"/>
          </w:tcPr>
          <w:p>
            <w:pPr>
              <w:spacing w:line="240" w:lineRule="auto" w:before="0" w:after="0"/>
              <w:pStyle w:val="Compact"/>
            </w:pPr>
            <w:r>
              <w:rPr>
                <w:sz w:val="20"/>
                <w:szCs w:val="20"/>
              </w:rPr>
              <w:t xml:space="preserve">6.1633</w:t>
            </w:r>
          </w:p>
        </w:tc>
        <w:tc>
          <w:tcPr>
            <w:tcW w:w="0" w:type="auto"/>
          </w:tcPr>
          <w:p>
            <w:pPr>
              <w:spacing w:line="240" w:lineRule="auto" w:before="0" w:after="0"/>
              <w:pStyle w:val="Compact"/>
            </w:pPr>
            <w:r>
              <w:rPr>
                <w:sz w:val="20"/>
                <w:szCs w:val="20"/>
              </w:rPr>
              <w:t xml:space="preserve">7.7407</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Sentinel-1 mission page (sentinel.esa.int)</w:t>
            </w:r>
          </w:p>
        </w:tc>
      </w:tr>
      <w:tr>
        <w:tc>
          <w:tcPr>
            <w:tcW w:w="0" w:type="auto"/>
          </w:tcPr>
          <w:p>
            <w:pPr>
              <w:spacing w:line="240" w:lineRule="auto" w:before="0" w:after="0"/>
              <w:pStyle w:val="Compact"/>
            </w:pPr>
            <w:r>
              <w:rPr>
                <w:sz w:val="20"/>
                <w:szCs w:val="20"/>
              </w:rPr>
              <w:t xml:space="preserve">Sentinel-1B</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475</w:t>
            </w:r>
          </w:p>
        </w:tc>
        <w:tc>
          <w:tcPr>
            <w:tcW w:w="0" w:type="auto"/>
          </w:tcPr>
          <w:p>
            <w:pPr>
              <w:spacing w:line="240" w:lineRule="auto" w:before="0" w:after="0"/>
              <w:pStyle w:val="Compact"/>
            </w:pPr>
            <w:r>
              <w:rPr>
                <w:sz w:val="20"/>
                <w:szCs w:val="20"/>
              </w:rPr>
              <w:t xml:space="preserve">2300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sar</w:t>
            </w:r>
          </w:p>
        </w:tc>
        <w:tc>
          <w:tcPr>
            <w:tcW w:w="0" w:type="auto"/>
          </w:tcPr>
          <w:p>
            <w:pPr>
              <w:spacing w:line="240" w:lineRule="auto" w:before="0" w:after="0"/>
              <w:pStyle w:val="Compact"/>
            </w:pPr>
            <w:r>
              <w:rPr>
                <w:sz w:val="20"/>
                <w:szCs w:val="20"/>
              </w:rPr>
              <w:t xml:space="preserve">6.1633</w:t>
            </w:r>
          </w:p>
        </w:tc>
        <w:tc>
          <w:tcPr>
            <w:tcW w:w="0" w:type="auto"/>
          </w:tcPr>
          <w:p>
            <w:pPr>
              <w:spacing w:line="240" w:lineRule="auto" w:before="0" w:after="0"/>
              <w:pStyle w:val="Compact"/>
            </w:pPr>
            <w:r>
              <w:rPr>
                <w:sz w:val="20"/>
                <w:szCs w:val="20"/>
              </w:rPr>
              <w:t xml:space="preserve">7.7407</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Sentinel-1 mission page (sentinel.esa.int)</w:t>
            </w:r>
          </w:p>
        </w:tc>
      </w:tr>
      <w:tr>
        <w:tc>
          <w:tcPr>
            <w:tcW w:w="0" w:type="auto"/>
          </w:tcPr>
          <w:p>
            <w:pPr>
              <w:spacing w:line="240" w:lineRule="auto" w:before="0" w:after="0"/>
              <w:pStyle w:val="Compact"/>
            </w:pPr>
            <w:r>
              <w:rPr>
                <w:sz w:val="20"/>
                <w:szCs w:val="20"/>
              </w:rPr>
              <w:t xml:space="preserve">Sentinel-3A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545</w:t>
            </w:r>
          </w:p>
        </w:tc>
        <w:tc>
          <w:tcPr>
            <w:tcW w:w="0" w:type="auto"/>
          </w:tcPr>
          <w:p>
            <w:pPr>
              <w:spacing w:line="240" w:lineRule="auto" w:before="0" w:after="0"/>
              <w:pStyle w:val="Compact"/>
            </w:pPr>
            <w:r>
              <w:rPr>
                <w:sz w:val="20"/>
                <w:szCs w:val="20"/>
              </w:rPr>
              <w:t xml:space="preserve">1250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6.3008</w:t>
            </w:r>
          </w:p>
        </w:tc>
        <w:tc>
          <w:tcPr>
            <w:tcW w:w="0" w:type="auto"/>
          </w:tcPr>
          <w:p>
            <w:pPr>
              <w:spacing w:line="240" w:lineRule="auto" w:before="0" w:after="0"/>
              <w:pStyle w:val="Compact"/>
            </w:pPr>
            <w:r>
              <w:rPr>
                <w:sz w:val="20"/>
                <w:szCs w:val="20"/>
              </w:rPr>
              <w:t xml:space="preserve">7.1309</w:t>
            </w:r>
          </w:p>
        </w:tc>
        <w:tc>
          <w:tcPr>
            <w:tcW w:w="0" w:type="auto"/>
          </w:tcPr>
          <w:p>
            <w:pPr>
              <w:spacing w:line="240" w:lineRule="auto" w:before="0" w:after="0"/>
              <w:pStyle w:val="Compact"/>
            </w:pPr>
            <w:r>
              <w:rPr>
                <w:sz w:val="20"/>
                <w:szCs w:val="20"/>
              </w:rPr>
              <w:t xml:space="preserve">5.7038</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Sentinel-3 mission page (sentinel.esa.int)</w:t>
            </w:r>
          </w:p>
        </w:tc>
      </w:tr>
      <w:tr>
        <w:tc>
          <w:tcPr>
            <w:tcW w:w="0" w:type="auto"/>
          </w:tcPr>
          <w:p>
            <w:pPr>
              <w:spacing w:line="240" w:lineRule="auto" w:before="0" w:after="0"/>
              <w:pStyle w:val="Compact"/>
            </w:pPr>
            <w:r>
              <w:rPr>
                <w:sz w:val="20"/>
                <w:szCs w:val="20"/>
              </w:rPr>
              <w:t xml:space="preserve">Sentinel-3B</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545</w:t>
            </w:r>
          </w:p>
        </w:tc>
        <w:tc>
          <w:tcPr>
            <w:tcW w:w="0" w:type="auto"/>
          </w:tcPr>
          <w:p>
            <w:pPr>
              <w:spacing w:line="240" w:lineRule="auto" w:before="0" w:after="0"/>
              <w:pStyle w:val="Compact"/>
            </w:pPr>
            <w:r>
              <w:rPr>
                <w:sz w:val="20"/>
                <w:szCs w:val="20"/>
              </w:rPr>
              <w:t xml:space="preserve">1250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6.3008</w:t>
            </w:r>
          </w:p>
        </w:tc>
        <w:tc>
          <w:tcPr>
            <w:tcW w:w="0" w:type="auto"/>
          </w:tcPr>
          <w:p>
            <w:pPr>
              <w:spacing w:line="240" w:lineRule="auto" w:before="0" w:after="0"/>
              <w:pStyle w:val="Compact"/>
            </w:pPr>
            <w:r>
              <w:rPr>
                <w:sz w:val="20"/>
                <w:szCs w:val="20"/>
              </w:rPr>
              <w:t xml:space="preserve">7.1309</w:t>
            </w:r>
          </w:p>
        </w:tc>
        <w:tc>
          <w:tcPr>
            <w:tcW w:w="0" w:type="auto"/>
          </w:tcPr>
          <w:p>
            <w:pPr>
              <w:spacing w:line="240" w:lineRule="auto" w:before="0" w:after="0"/>
              <w:pStyle w:val="Compact"/>
            </w:pPr>
            <w:r>
              <w:rPr>
                <w:sz w:val="20"/>
                <w:szCs w:val="20"/>
              </w:rPr>
              <w:t xml:space="preserve">5.7038</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Sentinel-3 mission page (sentinel.esa.int)</w:t>
            </w:r>
          </w:p>
        </w:tc>
      </w:tr>
      <w:tr>
        <w:tc>
          <w:tcPr>
            <w:tcW w:w="0" w:type="auto"/>
          </w:tcPr>
          <w:p>
            <w:pPr>
              <w:spacing w:line="240" w:lineRule="auto" w:before="0" w:after="0"/>
              <w:pStyle w:val="Compact"/>
            </w:pPr>
            <w:r>
              <w:rPr>
                <w:sz w:val="20"/>
                <w:szCs w:val="20"/>
              </w:rPr>
              <w:t xml:space="preserve">SMAP</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944</w:t>
            </w:r>
          </w:p>
        </w:tc>
        <w:tc>
          <w:tcPr>
            <w:tcW w:w="0" w:type="auto"/>
          </w:tcPr>
          <w:p>
            <w:pPr>
              <w:spacing w:line="240" w:lineRule="auto" w:before="0" w:after="0"/>
              <w:pStyle w:val="Compact"/>
            </w:pPr>
            <w:r>
              <w:rPr>
                <w:sz w:val="20"/>
                <w:szCs w:val="20"/>
              </w:rPr>
              <w:t xml:space="preserve">3000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radiometer</w:t>
            </w:r>
          </w:p>
        </w:tc>
        <w:tc>
          <w:tcPr>
            <w:tcW w:w="0" w:type="auto"/>
          </w:tcPr>
          <w:p>
            <w:pPr>
              <w:spacing w:line="240" w:lineRule="auto" w:before="0" w:after="0"/>
              <w:pStyle w:val="Compact"/>
            </w:pPr>
            <w:r>
              <w:rPr>
                <w:sz w:val="20"/>
                <w:szCs w:val="20"/>
              </w:rPr>
              <w:t xml:space="preserve">7.0031</w:t>
            </w:r>
          </w:p>
        </w:tc>
        <w:tc>
          <w:tcPr>
            <w:tcW w:w="0" w:type="auto"/>
          </w:tcPr>
          <w:p>
            <w:pPr>
              <w:spacing w:line="240" w:lineRule="auto" w:before="0" w:after="0"/>
              <w:pStyle w:val="Compact"/>
            </w:pPr>
            <w:r>
              <w:rPr>
                <w:sz w:val="20"/>
                <w:szCs w:val="20"/>
              </w:rPr>
              <w:t xml:space="preserve">6.8501</w:t>
            </w:r>
          </w:p>
        </w:tc>
        <w:tc>
          <w:tcPr>
            <w:tcW w:w="0" w:type="auto"/>
          </w:tcPr>
          <w:p>
            <w:pPr>
              <w:spacing w:line="240" w:lineRule="auto" w:before="0" w:after="0"/>
              <w:pStyle w:val="Compact"/>
            </w:pPr>
            <w:r>
              <w:rPr>
                <w:sz w:val="20"/>
                <w:szCs w:val="20"/>
              </w:rPr>
              <w:t xml:space="preserve">8.0064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GAO-15-320SP NASA Major Project Assessment 2015</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1514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lidar</w:t>
            </w:r>
          </w:p>
        </w:tc>
        <w:tc>
          <w:tcPr>
            <w:tcW w:w="0" w:type="auto"/>
          </w:tcPr>
          <w:p>
            <w:pPr>
              <w:spacing w:line="240" w:lineRule="auto" w:before="0" w:after="0"/>
              <w:pStyle w:val="Compact"/>
            </w:pPr>
            <w:r>
              <w:rPr>
                <w:sz w:val="20"/>
                <w:szCs w:val="20"/>
              </w:rPr>
              <w:t xml:space="preserve">7.0031</w:t>
            </w:r>
          </w:p>
        </w:tc>
        <w:tc>
          <w:tcPr>
            <w:tcW w:w="0" w:type="auto"/>
          </w:tcPr>
          <w:p>
            <w:pPr>
              <w:spacing w:line="240" w:lineRule="auto" w:before="0" w:after="0"/>
              <w:pStyle w:val="Compact"/>
            </w:pPr>
            <w:r>
              <w:rPr>
                <w:sz w:val="20"/>
                <w:szCs w:val="20"/>
              </w:rPr>
              <w:t xml:space="preserve">7.3225</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GAO-18-280SP NASA Major Project Assessment 2018</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520</w:t>
            </w:r>
          </w:p>
        </w:tc>
        <w:tc>
          <w:tcPr>
            <w:tcW w:w="0" w:type="auto"/>
          </w:tcPr>
          <w:p>
            <w:pPr>
              <w:spacing w:line="240" w:lineRule="auto" w:before="0" w:after="0"/>
              <w:pStyle w:val="Compact"/>
            </w:pPr>
            <w:r>
              <w:rPr>
                <w:sz w:val="20"/>
                <w:szCs w:val="20"/>
              </w:rPr>
              <w:t xml:space="preserve">1352</w:t>
            </w:r>
          </w:p>
        </w:tc>
        <w:tc>
          <w:tcPr>
            <w:tcW w:w="0" w:type="auto"/>
          </w:tcPr>
          <w:p>
            <w:pPr>
              <w:spacing w:line="240" w:lineRule="auto" w:before="0" w:after="0"/>
              <w:pStyle w:val="Compact"/>
            </w:pPr>
            <w:r>
              <w:rPr>
                <w:sz w:val="20"/>
                <w:szCs w:val="20"/>
              </w:rPr>
              <w:t xml:space="preserve">300000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gravimeter</w:t>
            </w:r>
          </w:p>
        </w:tc>
        <w:tc>
          <w:tcPr>
            <w:tcW w:w="0" w:type="auto"/>
          </w:tcPr>
          <w:p>
            <w:pPr>
              <w:spacing w:line="240" w:lineRule="auto" w:before="0" w:after="0"/>
              <w:pStyle w:val="Compact"/>
            </w:pPr>
            <w:r>
              <w:rPr>
                <w:sz w:val="20"/>
                <w:szCs w:val="20"/>
              </w:rPr>
              <w:t xml:space="preserve">6.2538</w:t>
            </w:r>
          </w:p>
        </w:tc>
        <w:tc>
          <w:tcPr>
            <w:tcW w:w="0" w:type="auto"/>
          </w:tcPr>
          <w:p>
            <w:pPr>
              <w:spacing w:line="240" w:lineRule="auto" w:before="0" w:after="0"/>
              <w:pStyle w:val="Compact"/>
            </w:pPr>
            <w:r>
              <w:rPr>
                <w:sz w:val="20"/>
                <w:szCs w:val="20"/>
              </w:rPr>
              <w:t xml:space="preserve">7.2093</w:t>
            </w:r>
          </w:p>
        </w:tc>
        <w:tc>
          <w:tcPr>
            <w:tcW w:w="0" w:type="auto"/>
          </w:tcPr>
          <w:p>
            <w:pPr>
              <w:spacing w:line="240" w:lineRule="auto" w:before="0" w:after="0"/>
              <w:pStyle w:val="Compact"/>
            </w:pPr>
            <w:r>
              <w:rPr>
                <w:sz w:val="20"/>
                <w:szCs w:val="20"/>
              </w:rPr>
              <w:t xml:space="preserve">12.6115</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GAO-18-280SP NASA Major Project Assessment 2018</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2200</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radar</w:t>
            </w:r>
          </w:p>
        </w:tc>
        <w:tc>
          <w:tcPr>
            <w:tcW w:w="0" w:type="auto"/>
          </w:tcPr>
          <w:p>
            <w:pPr>
              <w:spacing w:line="240" w:lineRule="auto" w:before="0" w:after="0"/>
              <w:pStyle w:val="Compact"/>
            </w:pPr>
            <w:r>
              <w:rPr>
                <w:sz w:val="20"/>
                <w:szCs w:val="20"/>
              </w:rPr>
              <w:t xml:space="preserve">7.0901</w:t>
            </w:r>
          </w:p>
        </w:tc>
        <w:tc>
          <w:tcPr>
            <w:tcW w:w="0" w:type="auto"/>
          </w:tcPr>
          <w:p>
            <w:pPr>
              <w:spacing w:line="240" w:lineRule="auto" w:before="0" w:after="0"/>
              <w:pStyle w:val="Compact"/>
            </w:pPr>
            <w:r>
              <w:rPr>
                <w:sz w:val="20"/>
                <w:szCs w:val="20"/>
              </w:rPr>
              <w:t xml:space="preserve">7.6962</w:t>
            </w:r>
          </w:p>
        </w:tc>
        <w:tc>
          <w:tcPr>
            <w:tcW w:w="0" w:type="auto"/>
          </w:tcPr>
          <w:p>
            <w:pPr>
              <w:spacing w:line="240" w:lineRule="auto" w:before="0" w:after="0"/>
              <w:pStyle w:val="Compact"/>
            </w:pPr>
            <w:r>
              <w:rPr>
                <w:sz w:val="20"/>
                <w:szCs w:val="20"/>
              </w:rPr>
              <w:t xml:space="preserve">5.5215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NASA Major Project Assessment 2022</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2800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sar</w:t>
            </w:r>
          </w:p>
        </w:tc>
        <w:tc>
          <w:tcPr>
            <w:tcW w:w="0" w:type="auto"/>
          </w:tcPr>
          <w:p>
            <w:pPr>
              <w:spacing w:line="240" w:lineRule="auto" w:before="0" w:after="0"/>
              <w:pStyle w:val="Compact"/>
            </w:pPr>
            <w:r>
              <w:rPr>
                <w:sz w:val="20"/>
                <w:szCs w:val="20"/>
              </w:rPr>
              <w:t xml:space="preserve">7.3132</w:t>
            </w:r>
          </w:p>
        </w:tc>
        <w:tc>
          <w:tcPr>
            <w:tcW w:w="0" w:type="auto"/>
          </w:tcPr>
          <w:p>
            <w:pPr>
              <w:spacing w:line="240" w:lineRule="auto" w:before="0" w:after="0"/>
              <w:pStyle w:val="Compact"/>
            </w:pPr>
            <w:r>
              <w:rPr>
                <w:sz w:val="20"/>
                <w:szCs w:val="20"/>
              </w:rPr>
              <w:t xml:space="preserve">7.9374</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GAO-23-106021 NASA Major Project Assessment 2023</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964</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6.8711</w:t>
            </w:r>
          </w:p>
        </w:tc>
        <w:tc>
          <w:tcPr>
            <w:tcW w:w="0" w:type="auto"/>
          </w:tcPr>
          <w:p>
            <w:pPr>
              <w:spacing w:line="240" w:lineRule="auto" w:before="0" w:after="0"/>
              <w:pStyle w:val="Compact"/>
            </w:pPr>
            <w:r>
              <w:rPr>
                <w:sz w:val="20"/>
                <w:szCs w:val="20"/>
              </w:rPr>
              <w:t xml:space="preserve">7.4384</w:t>
            </w:r>
          </w:p>
        </w:tc>
        <w:tc>
          <w:tcPr>
            <w:tcW w:w="0" w:type="auto"/>
          </w:tcPr>
          <w:p>
            <w:pPr>
              <w:spacing w:line="240" w:lineRule="auto" w:before="0" w:after="0"/>
              <w:pStyle w:val="Compact"/>
            </w:pPr>
            <w:r>
              <w:rPr>
                <w:sz w:val="20"/>
                <w:szCs w:val="20"/>
              </w:rPr>
              <w:t xml:space="preserve">6.9078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Major Project Assessment 2024</w:t>
            </w:r>
          </w:p>
        </w:tc>
      </w:tr>
      <w:tr>
        <w:tc>
          <w:tcPr>
            <w:tcW w:w="0" w:type="auto"/>
          </w:tcPr>
          <w:p>
            <w:pPr>
              <w:spacing w:line="240" w:lineRule="auto" w:before="0" w:after="0"/>
              <w:pStyle w:val="Compact"/>
            </w:pPr>
            <w:r>
              <w:rPr>
                <w:sz w:val="20"/>
                <w:szCs w:val="20"/>
              </w:rPr>
              <w:t xml:space="preserve">Landsat-Next</w:t>
            </w:r>
          </w:p>
        </w:tc>
        <w:tc>
          <w:tcPr>
            <w:tcW w:w="0" w:type="auto"/>
          </w:tcPr>
          <w:p>
            <w:pPr>
              <w:spacing w:line="240" w:lineRule="auto" w:before="0" w:after="0"/>
              <w:pStyle w:val="Compact"/>
            </w:pPr>
            <w:r>
              <w:rPr>
                <w:sz w:val="20"/>
                <w:szCs w:val="20"/>
              </w:rPr>
              <w:t xml:space="preserve">2030</w:t>
            </w:r>
          </w:p>
        </w:tc>
        <w:tc>
          <w:tcPr>
            <w:tcW w:w="0" w:type="auto"/>
          </w:tcPr>
          <w:p>
            <w:pPr>
              <w:spacing w:line="240" w:lineRule="auto" w:before="0" w:after="0"/>
              <w:pStyle w:val="Compact"/>
            </w:pPr>
            <w:r>
              <w:rPr>
                <w:sz w:val="20"/>
                <w:szCs w:val="20"/>
              </w:rPr>
              <w:t xml:space="preserve">2200</w:t>
            </w:r>
          </w:p>
        </w:tc>
        <w:tc>
          <w:tcPr>
            <w:tcW w:w="0" w:type="auto"/>
          </w:tcPr>
          <w:p>
            <w:pPr>
              <w:spacing w:line="240" w:lineRule="auto" w:before="0" w:after="0"/>
              <w:pStyle w:val="Compact"/>
            </w:pPr>
            <w:r>
              <w:rPr>
                <w:sz w:val="20"/>
                <w:szCs w:val="20"/>
              </w:rPr>
              <w:t xml:space="preserve">3000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7.6962</w:t>
            </w:r>
          </w:p>
        </w:tc>
        <w:tc>
          <w:tcPr>
            <w:tcW w:w="0" w:type="auto"/>
          </w:tcPr>
          <w:p>
            <w:pPr>
              <w:spacing w:line="240" w:lineRule="auto" w:before="0" w:after="0"/>
              <w:pStyle w:val="Compact"/>
            </w:pPr>
            <w:r>
              <w:rPr>
                <w:sz w:val="20"/>
                <w:szCs w:val="20"/>
              </w:rPr>
              <w:t xml:space="preserve">8.0064</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NASA Major Project Assessment 2025 [illustrative]</w:t>
            </w:r>
          </w:p>
        </w:tc>
      </w:tr>
      <w:tr>
        <w:tc>
          <w:tcPr>
            <w:tcW w:w="0" w:type="auto"/>
          </w:tcPr>
          <w:p>
            <w:pPr>
              <w:spacing w:line="240" w:lineRule="auto" w:before="0" w:after="0"/>
              <w:pStyle w:val="Compact"/>
            </w:pPr>
            <w:r>
              <w:rPr>
                <w:sz w:val="20"/>
                <w:szCs w:val="20"/>
              </w:rPr>
              <w:t xml:space="preserve">WorldView-3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2812</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6.477</w:t>
            </w:r>
          </w:p>
        </w:tc>
        <w:tc>
          <w:tcPr>
            <w:tcW w:w="0" w:type="auto"/>
          </w:tcPr>
          <w:p>
            <w:pPr>
              <w:spacing w:line="240" w:lineRule="auto" w:before="0" w:after="0"/>
              <w:pStyle w:val="Compact"/>
            </w:pPr>
            <w:r>
              <w:rPr>
                <w:sz w:val="20"/>
                <w:szCs w:val="20"/>
              </w:rPr>
              <w:t xml:space="preserve">7.9417</w:t>
            </w:r>
          </w:p>
        </w:tc>
        <w:tc>
          <w:tcPr>
            <w:tcW w:w="0" w:type="auto"/>
          </w:tcPr>
          <w:p>
            <w:pPr>
              <w:spacing w:line="240" w:lineRule="auto" w:before="0" w:after="0"/>
              <w:pStyle w:val="Compact"/>
            </w:pPr>
            <w:r>
              <w:rPr>
                <w:sz w:val="20"/>
                <w:szCs w:val="20"/>
              </w:rPr>
              <w:t xml:space="preserve">-1.1712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Maxar WorldView-3 mission page (maxar.com)</w:t>
            </w:r>
          </w:p>
        </w:tc>
      </w:tr>
      <w:tr>
        <w:tc>
          <w:tcPr>
            <w:tcW w:w="0" w:type="auto"/>
          </w:tcPr>
          <w:p>
            <w:pPr>
              <w:spacing w:line="240" w:lineRule="auto" w:before="0" w:after="0"/>
              <w:pStyle w:val="Compact"/>
            </w:pPr>
            <w:r>
              <w:rPr>
                <w:sz w:val="20"/>
                <w:szCs w:val="20"/>
              </w:rPr>
              <w:t xml:space="preserve">WorldView-4</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825</w:t>
            </w:r>
          </w:p>
        </w:tc>
        <w:tc>
          <w:tcPr>
            <w:tcW w:w="0" w:type="auto"/>
          </w:tcPr>
          <w:p>
            <w:pPr>
              <w:spacing w:line="240" w:lineRule="auto" w:before="0" w:after="0"/>
              <w:pStyle w:val="Compact"/>
            </w:pPr>
            <w:r>
              <w:rPr>
                <w:sz w:val="20"/>
                <w:szCs w:val="20"/>
              </w:rPr>
              <w:t xml:space="preserve">2485</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6.7154</w:t>
            </w:r>
          </w:p>
        </w:tc>
        <w:tc>
          <w:tcPr>
            <w:tcW w:w="0" w:type="auto"/>
          </w:tcPr>
          <w:p>
            <w:pPr>
              <w:spacing w:line="240" w:lineRule="auto" w:before="0" w:after="0"/>
              <w:pStyle w:val="Compact"/>
            </w:pPr>
            <w:r>
              <w:rPr>
                <w:sz w:val="20"/>
                <w:szCs w:val="20"/>
              </w:rPr>
              <w:t xml:space="preserve">7.818</w:t>
            </w:r>
          </w:p>
        </w:tc>
        <w:tc>
          <w:tcPr>
            <w:tcW w:w="0" w:type="auto"/>
          </w:tcPr>
          <w:p>
            <w:pPr>
              <w:spacing w:line="240" w:lineRule="auto" w:before="0" w:after="0"/>
              <w:pStyle w:val="Compact"/>
            </w:pPr>
            <w:r>
              <w:rPr>
                <w:sz w:val="20"/>
                <w:szCs w:val="20"/>
              </w:rPr>
              <w:t xml:space="preserve">-1.1712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Maxar WorldView-4 mission page (maxar.com)</w:t>
            </w:r>
          </w:p>
        </w:tc>
      </w:tr>
      <w:tr>
        <w:tc>
          <w:tcPr>
            <w:tcW w:w="0" w:type="auto"/>
          </w:tcPr>
          <w:p>
            <w:pPr>
              <w:spacing w:line="240" w:lineRule="auto" w:before="0" w:after="0"/>
              <w:pStyle w:val="Compact"/>
            </w:pPr>
            <w:r>
              <w:rPr>
                <w:sz w:val="20"/>
                <w:szCs w:val="20"/>
              </w:rPr>
              <w:t xml:space="preserve">GeoEye-1</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502</w:t>
            </w:r>
          </w:p>
        </w:tc>
        <w:tc>
          <w:tcPr>
            <w:tcW w:w="0" w:type="auto"/>
          </w:tcPr>
          <w:p>
            <w:pPr>
              <w:spacing w:line="240" w:lineRule="auto" w:before="0" w:after="0"/>
              <w:pStyle w:val="Compact"/>
            </w:pPr>
            <w:r>
              <w:rPr>
                <w:sz w:val="20"/>
                <w:szCs w:val="20"/>
              </w:rPr>
              <w:t xml:space="preserve">1955</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6.2186</w:t>
            </w:r>
          </w:p>
        </w:tc>
        <w:tc>
          <w:tcPr>
            <w:tcW w:w="0" w:type="auto"/>
          </w:tcPr>
          <w:p>
            <w:pPr>
              <w:spacing w:line="240" w:lineRule="auto" w:before="0" w:after="0"/>
              <w:pStyle w:val="Compact"/>
            </w:pPr>
            <w:r>
              <w:rPr>
                <w:sz w:val="20"/>
                <w:szCs w:val="20"/>
              </w:rPr>
              <w:t xml:space="preserve">7.5781</w:t>
            </w:r>
          </w:p>
        </w:tc>
        <w:tc>
          <w:tcPr>
            <w:tcW w:w="0" w:type="auto"/>
          </w:tcPr>
          <w:p>
            <w:pPr>
              <w:spacing w:line="240" w:lineRule="auto" w:before="0" w:after="0"/>
              <w:pStyle w:val="Compact"/>
            </w:pPr>
            <w:r>
              <w:rPr>
                <w:sz w:val="20"/>
                <w:szCs w:val="20"/>
              </w:rPr>
              <w:t xml:space="preserve">-0.8916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DigitalGlobe GeoEye-1 mission page (digitalglobe.com)</w:t>
            </w:r>
          </w:p>
        </w:tc>
      </w:tr>
      <w:tr>
        <w:tc>
          <w:tcPr>
            <w:tcW w:w="0" w:type="auto"/>
          </w:tcPr>
          <w:p>
            <w:pPr>
              <w:spacing w:line="240" w:lineRule="auto" w:before="0" w:after="0"/>
              <w:pStyle w:val="Compact"/>
            </w:pPr>
            <w:r>
              <w:rPr>
                <w:sz w:val="20"/>
                <w:szCs w:val="20"/>
              </w:rPr>
              <w:t xml:space="preserve">RapidEye-A</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5.3471</w:t>
            </w:r>
          </w:p>
        </w:tc>
        <w:tc>
          <w:tcPr>
            <w:tcW w:w="0" w:type="auto"/>
          </w:tcPr>
          <w:p>
            <w:pPr>
              <w:spacing w:line="240" w:lineRule="auto" w:before="0" w:after="0"/>
              <w:pStyle w:val="Compact"/>
            </w:pPr>
            <w:r>
              <w:rPr>
                <w:sz w:val="20"/>
                <w:szCs w:val="20"/>
              </w:rPr>
              <w:t xml:space="preserve">5.0499</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Planet Labs RapidEye mission archive (planet.com)</w:t>
            </w:r>
          </w:p>
        </w:tc>
      </w:tr>
      <w:tr>
        <w:tc>
          <w:tcPr>
            <w:tcW w:w="0" w:type="auto"/>
          </w:tcPr>
          <w:p>
            <w:pPr>
              <w:spacing w:line="240" w:lineRule="auto" w:before="0" w:after="0"/>
              <w:pStyle w:val="Compact"/>
            </w:pPr>
            <w:r>
              <w:rPr>
                <w:sz w:val="20"/>
                <w:szCs w:val="20"/>
              </w:rPr>
              <w:t xml:space="preserve">RapidEye-B</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5.3471</w:t>
            </w:r>
          </w:p>
        </w:tc>
        <w:tc>
          <w:tcPr>
            <w:tcW w:w="0" w:type="auto"/>
          </w:tcPr>
          <w:p>
            <w:pPr>
              <w:spacing w:line="240" w:lineRule="auto" w:before="0" w:after="0"/>
              <w:pStyle w:val="Compact"/>
            </w:pPr>
            <w:r>
              <w:rPr>
                <w:sz w:val="20"/>
                <w:szCs w:val="20"/>
              </w:rPr>
              <w:t xml:space="preserve">5.0499</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Planet Labs RapidEye mission archive (planet.com)</w:t>
            </w:r>
          </w:p>
        </w:tc>
      </w:tr>
      <w:tr>
        <w:tc>
          <w:tcPr>
            <w:tcW w:w="0" w:type="auto"/>
          </w:tcPr>
          <w:p>
            <w:pPr>
              <w:spacing w:line="240" w:lineRule="auto" w:before="0" w:after="0"/>
              <w:pStyle w:val="Compact"/>
            </w:pPr>
            <w:r>
              <w:rPr>
                <w:sz w:val="20"/>
                <w:szCs w:val="20"/>
              </w:rPr>
              <w:t xml:space="preserve">RapidEye-C</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5.3471</w:t>
            </w:r>
          </w:p>
        </w:tc>
        <w:tc>
          <w:tcPr>
            <w:tcW w:w="0" w:type="auto"/>
          </w:tcPr>
          <w:p>
            <w:pPr>
              <w:spacing w:line="240" w:lineRule="auto" w:before="0" w:after="0"/>
              <w:pStyle w:val="Compact"/>
            </w:pPr>
            <w:r>
              <w:rPr>
                <w:sz w:val="20"/>
                <w:szCs w:val="20"/>
              </w:rPr>
              <w:t xml:space="preserve">5.0499</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Planet Labs RapidEye mission archive (planet.com)</w:t>
            </w:r>
          </w:p>
        </w:tc>
      </w:tr>
      <w:tr>
        <w:tc>
          <w:tcPr>
            <w:tcW w:w="0" w:type="auto"/>
          </w:tcPr>
          <w:p>
            <w:pPr>
              <w:spacing w:line="240" w:lineRule="auto" w:before="0" w:after="0"/>
              <w:pStyle w:val="Compact"/>
            </w:pPr>
            <w:r>
              <w:rPr>
                <w:sz w:val="20"/>
                <w:szCs w:val="20"/>
              </w:rPr>
              <w:t xml:space="preserve">RapidEye-D</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5.3471</w:t>
            </w:r>
          </w:p>
        </w:tc>
        <w:tc>
          <w:tcPr>
            <w:tcW w:w="0" w:type="auto"/>
          </w:tcPr>
          <w:p>
            <w:pPr>
              <w:spacing w:line="240" w:lineRule="auto" w:before="0" w:after="0"/>
              <w:pStyle w:val="Compact"/>
            </w:pPr>
            <w:r>
              <w:rPr>
                <w:sz w:val="20"/>
                <w:szCs w:val="20"/>
              </w:rPr>
              <w:t xml:space="preserve">5.0499</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Planet Labs RapidEye mission archive (planet.com)</w:t>
            </w:r>
          </w:p>
        </w:tc>
      </w:tr>
      <w:tr>
        <w:tc>
          <w:tcPr>
            <w:tcW w:w="0" w:type="auto"/>
          </w:tcPr>
          <w:p>
            <w:pPr>
              <w:spacing w:line="240" w:lineRule="auto" w:before="0" w:after="0"/>
              <w:pStyle w:val="Compact"/>
            </w:pPr>
            <w:r>
              <w:rPr>
                <w:sz w:val="20"/>
                <w:szCs w:val="20"/>
              </w:rPr>
              <w:t xml:space="preserve">RapidEye-E</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5.3471</w:t>
            </w:r>
          </w:p>
        </w:tc>
        <w:tc>
          <w:tcPr>
            <w:tcW w:w="0" w:type="auto"/>
          </w:tcPr>
          <w:p>
            <w:pPr>
              <w:spacing w:line="240" w:lineRule="auto" w:before="0" w:after="0"/>
              <w:pStyle w:val="Compact"/>
            </w:pPr>
            <w:r>
              <w:rPr>
                <w:sz w:val="20"/>
                <w:szCs w:val="20"/>
              </w:rPr>
              <w:t xml:space="preserve">5.0499</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Planet Labs RapidEye mission archive (planet.com)</w:t>
            </w:r>
          </w:p>
        </w:tc>
      </w:tr>
      <w:tr>
        <w:tc>
          <w:tcPr>
            <w:tcW w:w="0" w:type="auto"/>
          </w:tcPr>
          <w:p>
            <w:pPr>
              <w:spacing w:line="240" w:lineRule="auto" w:before="0" w:after="0"/>
              <w:pStyle w:val="Compact"/>
            </w:pPr>
            <w:r>
              <w:rPr>
                <w:sz w:val="20"/>
                <w:szCs w:val="20"/>
              </w:rPr>
              <w:t xml:space="preserve">SkySat-1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2.8904</w:t>
            </w:r>
          </w:p>
        </w:tc>
        <w:tc>
          <w:tcPr>
            <w:tcW w:w="0" w:type="auto"/>
          </w:tcPr>
          <w:p>
            <w:pPr>
              <w:spacing w:line="240" w:lineRule="auto" w:before="0" w:after="0"/>
              <w:pStyle w:val="Compact"/>
            </w:pPr>
            <w:r>
              <w:rPr>
                <w:sz w:val="20"/>
                <w:szCs w:val="20"/>
              </w:rPr>
              <w:t xml:space="preserve">4.4188</w:t>
            </w:r>
          </w:p>
        </w:tc>
        <w:tc>
          <w:tcPr>
            <w:tcW w:w="0" w:type="auto"/>
          </w:tcPr>
          <w:p>
            <w:pPr>
              <w:spacing w:line="240" w:lineRule="auto" w:before="0" w:after="0"/>
              <w:pStyle w:val="Compact"/>
            </w:pPr>
            <w:r>
              <w:rPr>
                <w:sz w:val="20"/>
                <w:szCs w:val="20"/>
              </w:rPr>
              <w:t xml:space="preserve">-0.1054</w:t>
            </w:r>
          </w:p>
        </w:tc>
        <w:tc>
          <w:tcPr>
            <w:tcW w:w="0" w:type="auto"/>
          </w:tcPr>
          <w:p>
            <w:pPr>
              <w:spacing w:line="240" w:lineRule="auto" w:before="0" w:after="0"/>
              <w:pStyle w:val="Compact"/>
            </w:pPr>
            <w:r>
              <w:rPr>
                <w:sz w:val="20"/>
                <w:szCs w:val="20"/>
              </w:rPr>
              <w:t xml:space="preserve">3.0445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Planet Labs SkySat mission page (planet.com)</w:t>
            </w:r>
          </w:p>
        </w:tc>
      </w:tr>
      <w:tr>
        <w:tc>
          <w:tcPr>
            <w:tcW w:w="0" w:type="auto"/>
          </w:tcPr>
          <w:p>
            <w:pPr>
              <w:spacing w:line="240" w:lineRule="auto" w:before="0" w:after="0"/>
              <w:pStyle w:val="Compact"/>
            </w:pPr>
            <w:r>
              <w:rPr>
                <w:sz w:val="20"/>
                <w:szCs w:val="20"/>
              </w:rPr>
              <w:t xml:space="preserve">SkySat-3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110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4.7005</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3.0445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Planet Labs SkySat mission page (planet.com)</w:t>
            </w:r>
          </w:p>
        </w:tc>
      </w:tr>
      <w:tr>
        <w:tc>
          <w:tcPr>
            <w:tcW w:w="0" w:type="auto"/>
          </w:tcPr>
          <w:p>
            <w:pPr>
              <w:spacing w:line="240" w:lineRule="auto" w:before="0" w:after="0"/>
              <w:pStyle w:val="Compact"/>
            </w:pPr>
            <w:r>
              <w:rPr>
                <w:sz w:val="20"/>
                <w:szCs w:val="20"/>
              </w:rPr>
              <w:t xml:space="preserve">Pleiades-1A</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6.0403</w:t>
            </w:r>
          </w:p>
        </w:tc>
        <w:tc>
          <w:tcPr>
            <w:tcW w:w="0" w:type="auto"/>
          </w:tcPr>
          <w:p>
            <w:pPr>
              <w:spacing w:line="240" w:lineRule="auto" w:before="0" w:after="0"/>
              <w:pStyle w:val="Compact"/>
            </w:pPr>
            <w:r>
              <w:rPr>
                <w:sz w:val="20"/>
                <w:szCs w:val="20"/>
              </w:rPr>
              <w:t xml:space="preserve">6.9078</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CNES Pleiades mission page (cnes.fr)</w:t>
            </w:r>
          </w:p>
        </w:tc>
      </w:tr>
      <w:tr>
        <w:tc>
          <w:tcPr>
            <w:tcW w:w="0" w:type="auto"/>
          </w:tcPr>
          <w:p>
            <w:pPr>
              <w:spacing w:line="240" w:lineRule="auto" w:before="0" w:after="0"/>
              <w:pStyle w:val="Compact"/>
            </w:pPr>
            <w:r>
              <w:rPr>
                <w:sz w:val="20"/>
                <w:szCs w:val="20"/>
              </w:rPr>
              <w:t xml:space="preserve">Pleiades-1B</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6.0403</w:t>
            </w:r>
          </w:p>
        </w:tc>
        <w:tc>
          <w:tcPr>
            <w:tcW w:w="0" w:type="auto"/>
          </w:tcPr>
          <w:p>
            <w:pPr>
              <w:spacing w:line="240" w:lineRule="auto" w:before="0" w:after="0"/>
              <w:pStyle w:val="Compact"/>
            </w:pPr>
            <w:r>
              <w:rPr>
                <w:sz w:val="20"/>
                <w:szCs w:val="20"/>
              </w:rPr>
              <w:t xml:space="preserve">6.9078</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CNES Pleiades mission page (cnes.fr)</w:t>
            </w:r>
          </w:p>
        </w:tc>
      </w:tr>
      <w:tr>
        <w:tc>
          <w:tcPr>
            <w:tcW w:w="0" w:type="auto"/>
          </w:tcPr>
          <w:p>
            <w:pPr>
              <w:spacing w:line="240" w:lineRule="auto" w:before="0" w:after="0"/>
              <w:pStyle w:val="Compact"/>
            </w:pPr>
            <w:r>
              <w:rPr>
                <w:sz w:val="20"/>
                <w:szCs w:val="20"/>
              </w:rPr>
              <w:t xml:space="preserve">KOMPSAT-3</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310</w:t>
            </w:r>
          </w:p>
        </w:tc>
        <w:tc>
          <w:tcPr>
            <w:tcW w:w="0" w:type="auto"/>
          </w:tcPr>
          <w:p>
            <w:pPr>
              <w:spacing w:line="240" w:lineRule="auto" w:before="0" w:after="0"/>
              <w:pStyle w:val="Compact"/>
            </w:pPr>
            <w:r>
              <w:rPr>
                <w:sz w:val="20"/>
                <w:szCs w:val="20"/>
              </w:rPr>
              <w:t xml:space="preserve">980</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5.7366</w:t>
            </w:r>
          </w:p>
        </w:tc>
        <w:tc>
          <w:tcPr>
            <w:tcW w:w="0" w:type="auto"/>
          </w:tcPr>
          <w:p>
            <w:pPr>
              <w:spacing w:line="240" w:lineRule="auto" w:before="0" w:after="0"/>
              <w:pStyle w:val="Compact"/>
            </w:pPr>
            <w:r>
              <w:rPr>
                <w:sz w:val="20"/>
                <w:szCs w:val="20"/>
              </w:rPr>
              <w:t xml:space="preserve">6.8876</w:t>
            </w:r>
          </w:p>
        </w:tc>
        <w:tc>
          <w:tcPr>
            <w:tcW w:w="0" w:type="auto"/>
          </w:tcPr>
          <w:p>
            <w:pPr>
              <w:spacing w:line="240" w:lineRule="auto" w:before="0" w:after="0"/>
              <w:pStyle w:val="Compact"/>
            </w:pPr>
            <w:r>
              <w:rPr>
                <w:sz w:val="20"/>
                <w:szCs w:val="20"/>
              </w:rPr>
              <w:t xml:space="preserve">-0.3567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KARI KOMPSAT-3 mission page (kari.re.kr)</w:t>
            </w:r>
          </w:p>
        </w:tc>
      </w:tr>
      <w:tr>
        <w:tc>
          <w:tcPr>
            <w:tcW w:w="0" w:type="auto"/>
          </w:tcPr>
          <w:p>
            <w:pPr>
              <w:spacing w:line="240" w:lineRule="auto" w:before="0" w:after="0"/>
              <w:pStyle w:val="Compact"/>
            </w:pPr>
            <w:r>
              <w:rPr>
                <w:sz w:val="20"/>
                <w:szCs w:val="20"/>
              </w:rPr>
              <w:t xml:space="preserve">KOMPSAT-3A</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330</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5.7991</w:t>
            </w:r>
          </w:p>
        </w:tc>
        <w:tc>
          <w:tcPr>
            <w:tcW w:w="0" w:type="auto"/>
          </w:tcPr>
          <w:p>
            <w:pPr>
              <w:spacing w:line="240" w:lineRule="auto" w:before="0" w:after="0"/>
              <w:pStyle w:val="Compact"/>
            </w:pPr>
            <w:r>
              <w:rPr>
                <w:sz w:val="20"/>
                <w:szCs w:val="20"/>
              </w:rPr>
              <w:t xml:space="preserve">7.0031</w:t>
            </w:r>
          </w:p>
        </w:tc>
        <w:tc>
          <w:tcPr>
            <w:tcW w:w="0" w:type="auto"/>
          </w:tcPr>
          <w:p>
            <w:pPr>
              <w:spacing w:line="240" w:lineRule="auto" w:before="0" w:after="0"/>
              <w:pStyle w:val="Compact"/>
            </w:pPr>
            <w:r>
              <w:rPr>
                <w:sz w:val="20"/>
                <w:szCs w:val="20"/>
              </w:rPr>
              <w:t xml:space="preserve">-0.5978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KARI KOMPSAT-3A mission page (kari.re.kr)</w:t>
            </w:r>
          </w:p>
        </w:tc>
      </w:tr>
      <w:tr>
        <w:tc>
          <w:tcPr>
            <w:tcW w:w="0" w:type="auto"/>
          </w:tcPr>
          <w:p>
            <w:pPr>
              <w:spacing w:line="240" w:lineRule="auto" w:before="0" w:after="0"/>
              <w:pStyle w:val="Compact"/>
            </w:pPr>
            <w:r>
              <w:rPr>
                <w:sz w:val="20"/>
                <w:szCs w:val="20"/>
              </w:rPr>
              <w:t xml:space="preserve">TerraSAR-X</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205</w:t>
            </w:r>
          </w:p>
        </w:tc>
        <w:tc>
          <w:tcPr>
            <w:tcW w:w="0" w:type="auto"/>
          </w:tcPr>
          <w:p>
            <w:pPr>
              <w:spacing w:line="240" w:lineRule="auto" w:before="0" w:after="0"/>
              <w:pStyle w:val="Compact"/>
            </w:pPr>
            <w:r>
              <w:rPr>
                <w:sz w:val="20"/>
                <w:szCs w:val="20"/>
              </w:rPr>
              <w:t xml:space="preserve">1230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sar</w:t>
            </w:r>
          </w:p>
        </w:tc>
        <w:tc>
          <w:tcPr>
            <w:tcW w:w="0" w:type="auto"/>
          </w:tcPr>
          <w:p>
            <w:pPr>
              <w:spacing w:line="240" w:lineRule="auto" w:before="0" w:after="0"/>
              <w:pStyle w:val="Compact"/>
            </w:pPr>
            <w:r>
              <w:rPr>
                <w:sz w:val="20"/>
                <w:szCs w:val="20"/>
              </w:rPr>
              <w:t xml:space="preserve">5.323</w:t>
            </w:r>
          </w:p>
        </w:tc>
        <w:tc>
          <w:tcPr>
            <w:tcW w:w="0" w:type="auto"/>
          </w:tcPr>
          <w:p>
            <w:pPr>
              <w:spacing w:line="240" w:lineRule="auto" w:before="0" w:after="0"/>
              <w:pStyle w:val="Compact"/>
            </w:pPr>
            <w:r>
              <w:rPr>
                <w:sz w:val="20"/>
                <w:szCs w:val="20"/>
              </w:rPr>
              <w:t xml:space="preserve">7.1148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DLR TerraSAR-X mission page (dlr.de)</w:t>
            </w:r>
          </w:p>
        </w:tc>
      </w:tr>
      <w:tr>
        <w:tc>
          <w:tcPr>
            <w:tcW w:w="0" w:type="auto"/>
          </w:tcPr>
          <w:p>
            <w:pPr>
              <w:spacing w:line="240" w:lineRule="auto" w:before="0" w:after="0"/>
              <w:pStyle w:val="Compact"/>
            </w:pPr>
            <w:r>
              <w:rPr>
                <w:sz w:val="20"/>
                <w:szCs w:val="20"/>
              </w:rPr>
              <w:t xml:space="preserve">TanDEM-X</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1230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sar</w:t>
            </w:r>
          </w:p>
        </w:tc>
        <w:tc>
          <w:tcPr>
            <w:tcW w:w="0" w:type="auto"/>
          </w:tcPr>
          <w:p>
            <w:pPr>
              <w:spacing w:line="240" w:lineRule="auto" w:before="0" w:after="0"/>
              <w:pStyle w:val="Compact"/>
            </w:pPr>
            <w:r>
              <w:rPr>
                <w:sz w:val="20"/>
                <w:szCs w:val="20"/>
              </w:rPr>
              <w:t xml:space="preserve">5.1059</w:t>
            </w:r>
          </w:p>
        </w:tc>
        <w:tc>
          <w:tcPr>
            <w:tcW w:w="0" w:type="auto"/>
          </w:tcPr>
          <w:p>
            <w:pPr>
              <w:spacing w:line="240" w:lineRule="auto" w:before="0" w:after="0"/>
              <w:pStyle w:val="Compact"/>
            </w:pPr>
            <w:r>
              <w:rPr>
                <w:sz w:val="20"/>
                <w:szCs w:val="20"/>
              </w:rPr>
              <w:t xml:space="preserve">7.1148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DLR TanDEM-X mission page (dlr.de)</w:t>
            </w:r>
          </w:p>
        </w:tc>
      </w:tr>
      <w:tr>
        <w:tc>
          <w:tcPr>
            <w:tcW w:w="0" w:type="auto"/>
          </w:tcPr>
          <w:p>
            <w:pPr>
              <w:spacing w:line="240" w:lineRule="auto" w:before="0" w:after="0"/>
              <w:pStyle w:val="Compact"/>
            </w:pPr>
            <w:r>
              <w:rPr>
                <w:sz w:val="20"/>
                <w:szCs w:val="20"/>
              </w:rPr>
              <w:t xml:space="preserve">RADARSAT-2</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575</w:t>
            </w:r>
          </w:p>
        </w:tc>
        <w:tc>
          <w:tcPr>
            <w:tcW w:w="0" w:type="auto"/>
          </w:tcPr>
          <w:p>
            <w:pPr>
              <w:spacing w:line="240" w:lineRule="auto" w:before="0" w:after="0"/>
              <w:pStyle w:val="Compact"/>
            </w:pPr>
            <w:r>
              <w:rPr>
                <w:sz w:val="20"/>
                <w:szCs w:val="20"/>
              </w:rPr>
              <w:t xml:space="preserve">2200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sar</w:t>
            </w:r>
          </w:p>
        </w:tc>
        <w:tc>
          <w:tcPr>
            <w:tcW w:w="0" w:type="auto"/>
          </w:tcPr>
          <w:p>
            <w:pPr>
              <w:spacing w:line="240" w:lineRule="auto" w:before="0" w:after="0"/>
              <w:pStyle w:val="Compact"/>
            </w:pPr>
            <w:r>
              <w:rPr>
                <w:sz w:val="20"/>
                <w:szCs w:val="20"/>
              </w:rPr>
              <w:t xml:space="preserve">6.3544</w:t>
            </w:r>
          </w:p>
        </w:tc>
        <w:tc>
          <w:tcPr>
            <w:tcW w:w="0" w:type="auto"/>
          </w:tcPr>
          <w:p>
            <w:pPr>
              <w:spacing w:line="240" w:lineRule="auto" w:before="0" w:after="0"/>
              <w:pStyle w:val="Compact"/>
            </w:pPr>
            <w:r>
              <w:rPr>
                <w:sz w:val="20"/>
                <w:szCs w:val="20"/>
              </w:rPr>
              <w:t xml:space="preserve">7.6962</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CSA RADARSAT-2 mission page (asc-csa.gc.ca)</w:t>
            </w:r>
          </w:p>
        </w:tc>
      </w:tr>
      <w:tr>
        <w:tc>
          <w:tcPr>
            <w:tcW w:w="0" w:type="auto"/>
          </w:tcPr>
          <w:p>
            <w:pPr>
              <w:spacing w:line="240" w:lineRule="auto" w:before="0" w:after="0"/>
              <w:pStyle w:val="Compact"/>
            </w:pPr>
            <w:r>
              <w:rPr>
                <w:sz w:val="20"/>
                <w:szCs w:val="20"/>
              </w:rPr>
              <w:t xml:space="preserve">RADARSAT-Constellation-1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1430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sar</w:t>
            </w:r>
          </w:p>
        </w:tc>
        <w:tc>
          <w:tcPr>
            <w:tcW w:w="0" w:type="auto"/>
          </w:tcPr>
          <w:p>
            <w:pPr>
              <w:spacing w:line="240" w:lineRule="auto" w:before="0" w:after="0"/>
              <w:pStyle w:val="Compact"/>
            </w:pPr>
            <w:r>
              <w:rPr>
                <w:sz w:val="20"/>
                <w:szCs w:val="20"/>
              </w:rPr>
              <w:t xml:space="preserve">7.0031</w:t>
            </w:r>
          </w:p>
        </w:tc>
        <w:tc>
          <w:tcPr>
            <w:tcW w:w="0" w:type="auto"/>
          </w:tcPr>
          <w:p>
            <w:pPr>
              <w:spacing w:line="240" w:lineRule="auto" w:before="0" w:after="0"/>
              <w:pStyle w:val="Compact"/>
            </w:pPr>
            <w:r>
              <w:rPr>
                <w:sz w:val="20"/>
                <w:szCs w:val="20"/>
              </w:rPr>
              <w:t xml:space="preserve">7.2654</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CSA RCM mission page (asc-csa.gc.ca)</w:t>
            </w:r>
          </w:p>
        </w:tc>
      </w:tr>
      <w:tr>
        <w:tc>
          <w:tcPr>
            <w:tcW w:w="0" w:type="auto"/>
          </w:tcPr>
          <w:p>
            <w:pPr>
              <w:spacing w:line="240" w:lineRule="auto" w:before="0" w:after="0"/>
              <w:pStyle w:val="Compact"/>
            </w:pPr>
            <w:r>
              <w:rPr>
                <w:sz w:val="20"/>
                <w:szCs w:val="20"/>
              </w:rPr>
              <w:t xml:space="preserve">CartoSat-3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1625</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4.382</w:t>
            </w:r>
          </w:p>
        </w:tc>
        <w:tc>
          <w:tcPr>
            <w:tcW w:w="0" w:type="auto"/>
          </w:tcPr>
          <w:p>
            <w:pPr>
              <w:spacing w:line="240" w:lineRule="auto" w:before="0" w:after="0"/>
              <w:pStyle w:val="Compact"/>
            </w:pPr>
            <w:r>
              <w:rPr>
                <w:sz w:val="20"/>
                <w:szCs w:val="20"/>
              </w:rPr>
              <w:t xml:space="preserve">7.3933</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ISRO CartoSat-3 mission page (isro.gov.in)</w:t>
            </w:r>
          </w:p>
        </w:tc>
      </w:tr>
      <w:tr>
        <w:tc>
          <w:tcPr>
            <w:tcW w:w="0" w:type="auto"/>
          </w:tcPr>
          <w:p>
            <w:pPr>
              <w:spacing w:line="240" w:lineRule="auto" w:before="0" w:after="0"/>
              <w:pStyle w:val="Compact"/>
            </w:pPr>
            <w:r>
              <w:rPr>
                <w:sz w:val="20"/>
                <w:szCs w:val="20"/>
              </w:rPr>
              <w:t xml:space="preserve">RESOURCESAT-2A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110</w:t>
            </w:r>
          </w:p>
        </w:tc>
        <w:tc>
          <w:tcPr>
            <w:tcW w:w="0" w:type="auto"/>
          </w:tcPr>
          <w:p>
            <w:pPr>
              <w:spacing w:line="240" w:lineRule="auto" w:before="0" w:after="0"/>
              <w:pStyle w:val="Compact"/>
            </w:pPr>
            <w:r>
              <w:rPr>
                <w:sz w:val="20"/>
                <w:szCs w:val="20"/>
              </w:rPr>
              <w:t xml:space="preserve">1235</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4.7005</w:t>
            </w:r>
          </w:p>
        </w:tc>
        <w:tc>
          <w:tcPr>
            <w:tcW w:w="0" w:type="auto"/>
          </w:tcPr>
          <w:p>
            <w:pPr>
              <w:spacing w:line="240" w:lineRule="auto" w:before="0" w:after="0"/>
              <w:pStyle w:val="Compact"/>
            </w:pPr>
            <w:r>
              <w:rPr>
                <w:sz w:val="20"/>
                <w:szCs w:val="20"/>
              </w:rPr>
              <w:t xml:space="preserve">7.1188</w:t>
            </w:r>
          </w:p>
        </w:tc>
        <w:tc>
          <w:tcPr>
            <w:tcW w:w="0" w:type="auto"/>
          </w:tcPr>
          <w:p>
            <w:pPr>
              <w:spacing w:line="240" w:lineRule="auto" w:before="0" w:after="0"/>
              <w:pStyle w:val="Compact"/>
            </w:pPr>
            <w:r>
              <w:rPr>
                <w:sz w:val="20"/>
                <w:szCs w:val="20"/>
              </w:rPr>
              <w:t xml:space="preserve">1.7579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ISRO RESOURCESAT-2A mission page (isro.gov.in)</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log_cost</w:t>
            </w:r>
          </w:p>
        </w:tc>
        <w:tc>
          <w:tcPr>
            <w:tcW w:w="0" w:type="auto"/>
          </w:tcPr>
          <w:p>
            <w:pPr>
              <w:spacing w:line="240" w:lineRule="auto" w:before="0" w:after="0"/>
              <w:pStyle w:val="Compact"/>
            </w:pPr>
            <w:r>
              <w:rPr>
                <w:sz w:val="20"/>
                <w:szCs w:val="20"/>
              </w:rPr>
              <w:t xml:space="preserve">Natural log of mission acquisition cost in 2024 USD millions</w:t>
            </w:r>
          </w:p>
        </w:tc>
        <w:tc>
          <w:tcPr>
            <w:tcW w:w="0" w:type="auto"/>
          </w:tcPr>
          <w:p>
            <w:pPr>
              <w:spacing w:line="240" w:lineRule="auto" w:before="0" w:after="0"/>
              <w:pStyle w:val="Compact"/>
            </w:pPr>
            <w:r>
              <w:rPr>
                <w:sz w:val="20"/>
                <w:szCs w:val="20"/>
              </w:rPr>
              <w:t xml:space="preserve">Computed from cost_musd_2024 in data.csv; cost figures sourced from NASA Landsat program pages, ESA Copernicus mission pages, NASA GAO Major Project Assessments (gao-15-320SP, gao-18-280SP, gao-22-105212, gao-23-106021, gao-24-106767, gao-25-107591), and commercial-operator press materials (Maxar, Planet, CNES, KARI, DLR, CSA, ISRO)</w:t>
            </w:r>
          </w:p>
        </w:tc>
      </w:tr>
      <w:tr>
        <w:tc>
          <w:tcPr>
            <w:tcW w:w="0" w:type="auto"/>
          </w:tcPr>
          <w:p>
            <w:pPr>
              <w:spacing w:line="240" w:lineRule="auto" w:before="0" w:after="0"/>
              <w:pStyle w:val="Compact"/>
            </w:pPr>
            <w:r>
              <w:rPr>
                <w:sz w:val="20"/>
                <w:szCs w:val="20"/>
              </w:rPr>
              <w:t xml:space="preserve">log_mass</w:t>
            </w:r>
          </w:p>
        </w:tc>
        <w:tc>
          <w:tcPr>
            <w:tcW w:w="0" w:type="auto"/>
          </w:tcPr>
          <w:p>
            <w:pPr>
              <w:spacing w:line="240" w:lineRule="auto" w:before="0" w:after="0"/>
              <w:pStyle w:val="Compact"/>
            </w:pPr>
            <w:r>
              <w:rPr>
                <w:sz w:val="20"/>
                <w:szCs w:val="20"/>
              </w:rPr>
              <w:t xml:space="preserve">Natural log of dry mass at launch in kg</w:t>
            </w:r>
          </w:p>
        </w:tc>
        <w:tc>
          <w:tcPr>
            <w:tcW w:w="0" w:type="auto"/>
          </w:tcPr>
          <w:p>
            <w:pPr>
              <w:spacing w:line="240" w:lineRule="auto" w:before="0" w:after="0"/>
              <w:pStyle w:val="Compact"/>
            </w:pPr>
            <w:r>
              <w:rPr>
                <w:sz w:val="20"/>
                <w:szCs w:val="20"/>
              </w:rPr>
              <w:t xml:space="preserve">Computed from mass_kg in data.csv, drawn from mission press kits and operator pages</w:t>
            </w:r>
          </w:p>
        </w:tc>
      </w:tr>
      <w:tr>
        <w:tc>
          <w:tcPr>
            <w:tcW w:w="0" w:type="auto"/>
          </w:tcPr>
          <w:p>
            <w:pPr>
              <w:spacing w:line="240" w:lineRule="auto" w:before="0" w:after="0"/>
              <w:pStyle w:val="Compact"/>
            </w:pPr>
            <w:r>
              <w:rPr>
                <w:sz w:val="20"/>
                <w:szCs w:val="20"/>
              </w:rPr>
              <w:t xml:space="preserve">log_resolution</w:t>
            </w:r>
          </w:p>
        </w:tc>
        <w:tc>
          <w:tcPr>
            <w:tcW w:w="0" w:type="auto"/>
          </w:tcPr>
          <w:p>
            <w:pPr>
              <w:spacing w:line="240" w:lineRule="auto" w:before="0" w:after="0"/>
              <w:pStyle w:val="Compact"/>
            </w:pPr>
            <w:r>
              <w:rPr>
                <w:sz w:val="20"/>
                <w:szCs w:val="20"/>
              </w:rPr>
              <w:t xml:space="preserve">Natural log of best ground sample distance in meters</w:t>
            </w:r>
          </w:p>
        </w:tc>
        <w:tc>
          <w:tcPr>
            <w:tcW w:w="0" w:type="auto"/>
          </w:tcPr>
          <w:p>
            <w:pPr>
              <w:spacing w:line="240" w:lineRule="auto" w:before="0" w:after="0"/>
              <w:pStyle w:val="Compact"/>
            </w:pPr>
            <w:r>
              <w:rPr>
                <w:sz w:val="20"/>
                <w:szCs w:val="20"/>
              </w:rPr>
              <w:t xml:space="preserve">Computed from resolution_m in data.csv; smaller values indicate finer detail and are expected to raise cost</w:t>
            </w:r>
          </w:p>
        </w:tc>
      </w:tr>
      <w:tr>
        <w:tc>
          <w:tcPr>
            <w:tcW w:w="0" w:type="auto"/>
          </w:tcPr>
          <w:p>
            <w:pPr>
              <w:spacing w:line="240" w:lineRule="auto" w:before="0" w:after="0"/>
              <w:pStyle w:val="Compact"/>
            </w:pPr>
            <w:r>
              <w:rPr>
                <w:sz w:val="20"/>
                <w:szCs w:val="20"/>
              </w:rPr>
              <w:t xml:space="preserve">log_constellation_size</w:t>
            </w:r>
          </w:p>
        </w:tc>
        <w:tc>
          <w:tcPr>
            <w:tcW w:w="0" w:type="auto"/>
          </w:tcPr>
          <w:p>
            <w:pPr>
              <w:spacing w:line="240" w:lineRule="auto" w:before="0" w:after="0"/>
              <w:pStyle w:val="Compact"/>
            </w:pPr>
            <w:r>
              <w:rPr>
                <w:sz w:val="20"/>
                <w:szCs w:val="20"/>
              </w:rPr>
              <w:t xml:space="preserve">Natural log of the number of identical satellites in the constellation at design</w:t>
            </w:r>
          </w:p>
        </w:tc>
        <w:tc>
          <w:tcPr>
            <w:tcW w:w="0" w:type="auto"/>
          </w:tcPr>
          <w:p>
            <w:pPr>
              <w:spacing w:line="240" w:lineRule="auto" w:before="0" w:after="0"/>
              <w:pStyle w:val="Compact"/>
            </w:pPr>
            <w:r>
              <w:rPr>
                <w:sz w:val="20"/>
                <w:szCs w:val="20"/>
              </w:rPr>
              <w:t xml:space="preserve">Computed from constellation_size in data.csv; tests whether per-unit cost falls with constellation count</w:t>
            </w:r>
          </w:p>
        </w:tc>
      </w:tr>
      <w:tr>
        <w:tc>
          <w:tcPr>
            <w:tcW w:w="0" w:type="auto"/>
          </w:tcPr>
          <w:p>
            <w:pPr>
              <w:spacing w:line="240" w:lineRule="auto" w:before="0" w:after="0"/>
              <w:pStyle w:val="Compact"/>
            </w:pPr>
            <w:r>
              <w:rPr>
                <w:sz w:val="20"/>
                <w:szCs w:val="20"/>
              </w:rPr>
              <w:t xml:space="preserve">sar</w:t>
            </w:r>
          </w:p>
        </w:tc>
        <w:tc>
          <w:tcPr>
            <w:tcW w:w="0" w:type="auto"/>
          </w:tcPr>
          <w:p>
            <w:pPr>
              <w:spacing w:line="240" w:lineRule="auto" w:before="0" w:after="0"/>
              <w:pStyle w:val="Compact"/>
            </w:pPr>
            <w:r>
              <w:rPr>
                <w:sz w:val="20"/>
                <w:szCs w:val="20"/>
              </w:rPr>
              <w:t xml:space="preserve">Indicator equal to 1 if the primary payload is a synthetic-aperture radar, 0 otherwise</w:t>
            </w:r>
          </w:p>
        </w:tc>
        <w:tc>
          <w:tcPr>
            <w:tcW w:w="0" w:type="auto"/>
          </w:tcPr>
          <w:p>
            <w:pPr>
              <w:spacing w:line="240" w:lineRule="auto" w:before="0" w:after="0"/>
              <w:pStyle w:val="Compact"/>
            </w:pPr>
            <w:r>
              <w:rPr>
                <w:sz w:val="20"/>
                <w:szCs w:val="20"/>
              </w:rPr>
              <w:t xml:space="preserve">Coded from instrument_class in data.csv to control for the SAR cost premium documented in the EO architecture literature</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2.5132</w:t>
            </w:r>
          </w:p>
        </w:tc>
        <w:tc>
          <w:tcPr>
            <w:tcW w:w="0" w:type="auto"/>
          </w:tcPr>
          <w:p>
            <w:pPr>
              <w:spacing w:line="240" w:lineRule="auto" w:before="0" w:after="0"/>
              <w:pStyle w:val="Compact"/>
            </w:pPr>
            <w:r>
              <w:rPr>
                <w:sz w:val="20"/>
                <w:szCs w:val="20"/>
              </w:rPr>
              <w:t xml:space="preserve">2.4319</w:t>
            </w:r>
          </w:p>
        </w:tc>
        <w:tc>
          <w:tcPr>
            <w:tcW w:w="0" w:type="auto"/>
          </w:tcPr>
          <w:p>
            <w:pPr>
              <w:spacing w:line="240" w:lineRule="auto" w:before="0" w:after="0"/>
              <w:pStyle w:val="Compact"/>
            </w:pPr>
            <w:r>
              <w:rPr>
                <w:sz w:val="20"/>
                <w:szCs w:val="20"/>
              </w:rPr>
              <w:t xml:space="preserve">1.0334</w:t>
            </w:r>
          </w:p>
        </w:tc>
        <w:tc>
          <w:tcPr>
            <w:tcW w:w="0" w:type="auto"/>
          </w:tcPr>
          <w:p>
            <w:pPr>
              <w:spacing w:line="240" w:lineRule="auto" w:before="0" w:after="0"/>
              <w:pStyle w:val="Compact"/>
            </w:pPr>
            <w:r>
              <w:rPr>
                <w:sz w:val="20"/>
                <w:szCs w:val="20"/>
              </w:rPr>
              <w:t xml:space="preserve">0.3014</w:t>
            </w:r>
          </w:p>
        </w:tc>
        <w:tc>
          <w:tcPr>
            <w:tcW w:w="0" w:type="auto"/>
          </w:tcPr>
          <w:p>
            <w:pPr>
              <w:spacing w:line="240" w:lineRule="auto" w:before="0" w:after="0"/>
              <w:pStyle w:val="Compact"/>
            </w:pPr>
            <w:r>
              <w:rPr>
                <w:sz w:val="20"/>
                <w:szCs w:val="20"/>
              </w:rPr>
              <w:t xml:space="preserve">[-2.2533, 7.2797]</w:t>
            </w:r>
          </w:p>
        </w:tc>
      </w:tr>
      <w:tr>
        <w:tc>
          <w:tcPr>
            <w:tcW w:w="0" w:type="auto"/>
          </w:tcPr>
          <w:p>
            <w:pPr>
              <w:spacing w:line="240" w:lineRule="auto" w:before="0" w:after="0"/>
              <w:pStyle w:val="Compact"/>
            </w:pPr>
            <w:r>
              <w:rPr>
                <w:sz w:val="20"/>
                <w:szCs w:val="20"/>
              </w:rPr>
              <w:t xml:space="preserve">log_mass</w:t>
            </w:r>
          </w:p>
        </w:tc>
        <w:tc>
          <w:tcPr>
            <w:tcW w:w="0" w:type="auto"/>
          </w:tcPr>
          <w:p>
            <w:pPr>
              <w:spacing w:line="240" w:lineRule="auto" w:before="0" w:after="0"/>
              <w:pStyle w:val="Compact"/>
            </w:pPr>
            <w:r>
              <w:rPr>
                <w:sz w:val="20"/>
                <w:szCs w:val="20"/>
              </w:rPr>
              <w:t xml:space="preserve">0.4954</w:t>
            </w:r>
          </w:p>
        </w:tc>
        <w:tc>
          <w:tcPr>
            <w:tcW w:w="0" w:type="auto"/>
          </w:tcPr>
          <w:p>
            <w:pPr>
              <w:spacing w:line="240" w:lineRule="auto" w:before="0" w:after="0"/>
              <w:pStyle w:val="Compact"/>
            </w:pPr>
            <w:r>
              <w:rPr>
                <w:sz w:val="20"/>
                <w:szCs w:val="20"/>
              </w:rPr>
              <w:t xml:space="preserve">0.3217</w:t>
            </w:r>
          </w:p>
        </w:tc>
        <w:tc>
          <w:tcPr>
            <w:tcW w:w="0" w:type="auto"/>
          </w:tcPr>
          <w:p>
            <w:pPr>
              <w:spacing w:line="240" w:lineRule="auto" w:before="0" w:after="0"/>
              <w:pStyle w:val="Compact"/>
            </w:pPr>
            <w:r>
              <w:rPr>
                <w:sz w:val="20"/>
                <w:szCs w:val="20"/>
              </w:rPr>
              <w:t xml:space="preserve">1.5401</w:t>
            </w:r>
          </w:p>
        </w:tc>
        <w:tc>
          <w:tcPr>
            <w:tcW w:w="0" w:type="auto"/>
          </w:tcPr>
          <w:p>
            <w:pPr>
              <w:spacing w:line="240" w:lineRule="auto" w:before="0" w:after="0"/>
              <w:pStyle w:val="Compact"/>
            </w:pPr>
            <w:r>
              <w:rPr>
                <w:sz w:val="20"/>
                <w:szCs w:val="20"/>
              </w:rPr>
              <w:t xml:space="preserve">0.1235</w:t>
            </w:r>
          </w:p>
        </w:tc>
        <w:tc>
          <w:tcPr>
            <w:tcW w:w="0" w:type="auto"/>
          </w:tcPr>
          <w:p>
            <w:pPr>
              <w:spacing w:line="240" w:lineRule="auto" w:before="0" w:after="0"/>
              <w:pStyle w:val="Compact"/>
            </w:pPr>
            <w:r>
              <w:rPr>
                <w:sz w:val="20"/>
                <w:szCs w:val="20"/>
              </w:rPr>
              <w:t xml:space="preserve">[-0.1351, 1.1259]</w:t>
            </w:r>
          </w:p>
        </w:tc>
      </w:tr>
      <w:tr>
        <w:tc>
          <w:tcPr>
            <w:tcW w:w="0" w:type="auto"/>
          </w:tcPr>
          <w:p>
            <w:pPr>
              <w:spacing w:line="240" w:lineRule="auto" w:before="0" w:after="0"/>
              <w:pStyle w:val="Compact"/>
            </w:pPr>
            <w:r>
              <w:rPr>
                <w:sz w:val="20"/>
                <w:szCs w:val="20"/>
              </w:rPr>
              <w:t xml:space="preserve">log_resolution</w:t>
            </w:r>
          </w:p>
        </w:tc>
        <w:tc>
          <w:tcPr>
            <w:tcW w:w="0" w:type="auto"/>
          </w:tcPr>
          <w:p>
            <w:pPr>
              <w:spacing w:line="240" w:lineRule="auto" w:before="0" w:after="0"/>
              <w:pStyle w:val="Compact"/>
            </w:pPr>
            <w:r>
              <w:rPr>
                <w:sz w:val="20"/>
                <w:szCs w:val="20"/>
              </w:rPr>
              <w:t xml:space="preserve">0.1019</w:t>
            </w:r>
          </w:p>
        </w:tc>
        <w:tc>
          <w:tcPr>
            <w:tcW w:w="0" w:type="auto"/>
          </w:tcPr>
          <w:p>
            <w:pPr>
              <w:spacing w:line="240" w:lineRule="auto" w:before="0" w:after="0"/>
              <w:pStyle w:val="Compact"/>
            </w:pPr>
            <w:r>
              <w:rPr>
                <w:sz w:val="20"/>
                <w:szCs w:val="20"/>
              </w:rPr>
              <w:t xml:space="preserve">0.0455</w:t>
            </w:r>
          </w:p>
        </w:tc>
        <w:tc>
          <w:tcPr>
            <w:tcW w:w="0" w:type="auto"/>
          </w:tcPr>
          <w:p>
            <w:pPr>
              <w:spacing w:line="240" w:lineRule="auto" w:before="0" w:after="0"/>
              <w:pStyle w:val="Compact"/>
            </w:pPr>
            <w:r>
              <w:rPr>
                <w:sz w:val="20"/>
                <w:szCs w:val="20"/>
              </w:rPr>
              <w:t xml:space="preserve">2.2424</w:t>
            </w:r>
          </w:p>
        </w:tc>
        <w:tc>
          <w:tcPr>
            <w:tcW w:w="0" w:type="auto"/>
          </w:tcPr>
          <w:p>
            <w:pPr>
              <w:spacing w:line="240" w:lineRule="auto" w:before="0" w:after="0"/>
              <w:pStyle w:val="Compact"/>
            </w:pPr>
            <w:r>
              <w:rPr>
                <w:sz w:val="20"/>
                <w:szCs w:val="20"/>
              </w:rPr>
              <w:t xml:space="preserve">0.0249</w:t>
            </w:r>
          </w:p>
        </w:tc>
        <w:tc>
          <w:tcPr>
            <w:tcW w:w="0" w:type="auto"/>
          </w:tcPr>
          <w:p>
            <w:pPr>
              <w:spacing w:line="240" w:lineRule="auto" w:before="0" w:after="0"/>
              <w:pStyle w:val="Compact"/>
            </w:pPr>
            <w:r>
              <w:rPr>
                <w:sz w:val="20"/>
                <w:szCs w:val="20"/>
              </w:rPr>
              <w:t xml:space="preserve">[0.0128, 0.1911]</w:t>
            </w:r>
          </w:p>
        </w:tc>
      </w:tr>
      <w:tr>
        <w:tc>
          <w:tcPr>
            <w:tcW w:w="0" w:type="auto"/>
          </w:tcPr>
          <w:p>
            <w:pPr>
              <w:spacing w:line="240" w:lineRule="auto" w:before="0" w:after="0"/>
              <w:pStyle w:val="Compact"/>
            </w:pPr>
            <w:r>
              <w:rPr>
                <w:sz w:val="20"/>
                <w:szCs w:val="20"/>
              </w:rPr>
              <w:t xml:space="preserve">log_constellation_size</w:t>
            </w:r>
          </w:p>
        </w:tc>
        <w:tc>
          <w:tcPr>
            <w:tcW w:w="0" w:type="auto"/>
          </w:tcPr>
          <w:p>
            <w:pPr>
              <w:spacing w:line="240" w:lineRule="auto" w:before="0" w:after="0"/>
              <w:pStyle w:val="Compact"/>
            </w:pPr>
            <w:r>
              <w:rPr>
                <w:sz w:val="20"/>
                <w:szCs w:val="20"/>
              </w:rPr>
              <w:t xml:space="preserve">-0.3006</w:t>
            </w:r>
          </w:p>
        </w:tc>
        <w:tc>
          <w:tcPr>
            <w:tcW w:w="0" w:type="auto"/>
          </w:tcPr>
          <w:p>
            <w:pPr>
              <w:spacing w:line="240" w:lineRule="auto" w:before="0" w:after="0"/>
              <w:pStyle w:val="Compact"/>
            </w:pPr>
            <w:r>
              <w:rPr>
                <w:sz w:val="20"/>
                <w:szCs w:val="20"/>
              </w:rPr>
              <w:t xml:space="preserve">0.4369</w:t>
            </w:r>
          </w:p>
        </w:tc>
        <w:tc>
          <w:tcPr>
            <w:tcW w:w="0" w:type="auto"/>
          </w:tcPr>
          <w:p>
            <w:pPr>
              <w:spacing w:line="240" w:lineRule="auto" w:before="0" w:after="0"/>
              <w:pStyle w:val="Compact"/>
            </w:pPr>
            <w:r>
              <w:rPr>
                <w:sz w:val="20"/>
                <w:szCs w:val="20"/>
              </w:rPr>
              <w:t xml:space="preserve">-0.688</w:t>
            </w:r>
          </w:p>
        </w:tc>
        <w:tc>
          <w:tcPr>
            <w:tcW w:w="0" w:type="auto"/>
          </w:tcPr>
          <w:p>
            <w:pPr>
              <w:spacing w:line="240" w:lineRule="auto" w:before="0" w:after="0"/>
              <w:pStyle w:val="Compact"/>
            </w:pPr>
            <w:r>
              <w:rPr>
                <w:sz w:val="20"/>
                <w:szCs w:val="20"/>
              </w:rPr>
              <w:t xml:space="preserve">0.4915</w:t>
            </w:r>
          </w:p>
        </w:tc>
        <w:tc>
          <w:tcPr>
            <w:tcW w:w="0" w:type="auto"/>
          </w:tcPr>
          <w:p>
            <w:pPr>
              <w:spacing w:line="240" w:lineRule="auto" w:before="0" w:after="0"/>
              <w:pStyle w:val="Compact"/>
            </w:pPr>
            <w:r>
              <w:rPr>
                <w:sz w:val="20"/>
                <w:szCs w:val="20"/>
              </w:rPr>
              <w:t xml:space="preserve">[-1.1568, 0.5557]</w:t>
            </w:r>
          </w:p>
        </w:tc>
      </w:tr>
      <w:tr>
        <w:tc>
          <w:tcPr>
            <w:tcW w:w="0" w:type="auto"/>
          </w:tcPr>
          <w:p>
            <w:pPr>
              <w:spacing w:line="240" w:lineRule="auto" w:before="0" w:after="0"/>
              <w:pStyle w:val="Compact"/>
            </w:pPr>
            <w:r>
              <w:rPr>
                <w:sz w:val="20"/>
                <w:szCs w:val="20"/>
              </w:rPr>
              <w:t xml:space="preserve">sar</w:t>
            </w:r>
          </w:p>
        </w:tc>
        <w:tc>
          <w:tcPr>
            <w:tcW w:w="0" w:type="auto"/>
          </w:tcPr>
          <w:p>
            <w:pPr>
              <w:spacing w:line="240" w:lineRule="auto" w:before="0" w:after="0"/>
              <w:pStyle w:val="Compact"/>
            </w:pPr>
            <w:r>
              <w:rPr>
                <w:sz w:val="20"/>
                <w:szCs w:val="20"/>
              </w:rPr>
              <w:t xml:space="preserve">0.0311</w:t>
            </w:r>
          </w:p>
        </w:tc>
        <w:tc>
          <w:tcPr>
            <w:tcW w:w="0" w:type="auto"/>
          </w:tcPr>
          <w:p>
            <w:pPr>
              <w:spacing w:line="240" w:lineRule="auto" w:before="0" w:after="0"/>
              <w:pStyle w:val="Compact"/>
            </w:pPr>
            <w:r>
              <w:rPr>
                <w:sz w:val="20"/>
                <w:szCs w:val="20"/>
              </w:rPr>
              <w:t xml:space="preserve">0.3578</w:t>
            </w:r>
          </w:p>
        </w:tc>
        <w:tc>
          <w:tcPr>
            <w:tcW w:w="0" w:type="auto"/>
          </w:tcPr>
          <w:p>
            <w:pPr>
              <w:spacing w:line="240" w:lineRule="auto" w:before="0" w:after="0"/>
              <w:pStyle w:val="Compact"/>
            </w:pPr>
            <w:r>
              <w:rPr>
                <w:sz w:val="20"/>
                <w:szCs w:val="20"/>
              </w:rPr>
              <w:t xml:space="preserve">0.087</w:t>
            </w:r>
          </w:p>
        </w:tc>
        <w:tc>
          <w:tcPr>
            <w:tcW w:w="0" w:type="auto"/>
          </w:tcPr>
          <w:p>
            <w:pPr>
              <w:spacing w:line="240" w:lineRule="auto" w:before="0" w:after="0"/>
              <w:pStyle w:val="Compact"/>
            </w:pPr>
            <w:r>
              <w:rPr>
                <w:sz w:val="20"/>
                <w:szCs w:val="20"/>
              </w:rPr>
              <w:t xml:space="preserve">0.9307</w:t>
            </w:r>
          </w:p>
        </w:tc>
        <w:tc>
          <w:tcPr>
            <w:tcW w:w="0" w:type="auto"/>
          </w:tcPr>
          <w:p>
            <w:pPr>
              <w:spacing w:line="240" w:lineRule="auto" w:before="0" w:after="0"/>
              <w:pStyle w:val="Compact"/>
            </w:pPr>
            <w:r>
              <w:rPr>
                <w:sz w:val="20"/>
                <w:szCs w:val="20"/>
              </w:rPr>
              <w:t xml:space="preserve">[-0.6702, 0.7324]</w:t>
            </w:r>
          </w:p>
        </w:tc>
      </w:tr>
    </w:tbl>
    <w:p>
      <w:pPr>
        <w:pStyle w:val="BodyText"/>
      </w:pPr>
      <w:r>
        <w:t xml:space="preserve">Fit: N = 35 R2 = 0.6104 R2_adj = 0.5585 F = 8.7809 F_p = 8.115e-05</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 Type="http://schemas.openxmlformats.org/officeDocument/2006/relationships/hyperlink" Id="rId72" Target="https://doi.org/10.1016/j.actaastro.2023.10.042" TargetMode="External" /><Relationship Type="http://schemas.openxmlformats.org/officeDocument/2006/relationships/hyperlink" Id="rId70" Target="https://doi.org/10.1016/j.actaastro.2023.12.055" TargetMode="External" /><Relationship Type="http://schemas.openxmlformats.org/officeDocument/2006/relationships/hyperlink" Id="rId68" Target="https://doi.org/10.1016/j.actaastro.2024.03.070" TargetMode="External" /></Relationships>
</file>

<file path=word/_rels/footnotes.xml.rels><?xml version="1.0" encoding="UTF-8"?><Relationships xmlns="http://schemas.openxmlformats.org/package/2006/relationships"><Relationship Type="http://schemas.openxmlformats.org/officeDocument/2006/relationships/hyperlink" Id="rId72" Target="https://doi.org/10.1016/j.actaastro.2023.10.042" TargetMode="External" /><Relationship Type="http://schemas.openxmlformats.org/officeDocument/2006/relationships/hyperlink" Id="rId70" Target="https://doi.org/10.1016/j.actaastro.2023.12.055" TargetMode="External" /><Relationship Type="http://schemas.openxmlformats.org/officeDocument/2006/relationships/hyperlink" Id="rId68" Target="https://doi.org/10.1016/j.actaastro.2024.03.07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2026-06-26T16:46:29Z</dcterms:created>
  <dcterms:modified xsi:type="dcterms:W3CDTF">2026-06-26T16:46:29Z</dcterms:modified>
</cp:coreProperties>
</file>

<file path=docProps/custom.xml><?xml version="1.0" encoding="utf-8"?>
<Properties xmlns="http://schemas.openxmlformats.org/officeDocument/2006/custom-properties" xmlns:vt="http://schemas.openxmlformats.org/officeDocument/2006/docPropsVTypes"/>
</file>