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VALUE OF INFORMATION IN EARTH-OBSERVATION TASKING: A DECISION-ANALYTIC MODEL OF WHEN AN OBSERVATION IS WORTH ACQUIRING</w:t>
      </w:r>
    </w:p>
    <w:p>
      <w:pPr>
        <w:jc w:val="center"/>
      </w:pPr>
    </w:p>
    <w:p>
      <w:pPr>
        <w:jc w:val="center"/>
      </w:pPr>
      <w:r>
        <w:rPr>
          <w:rFonts w:ascii="Times New Roman" w:hAnsi="Times New Roman"/>
          <w:sz w:val="24"/>
        </w:rPr>
        <w:t>by</w:t>
      </w:r>
    </w:p>
    <w:p>
      <w:pPr>
        <w:jc w:val="center"/>
      </w:pPr>
      <w:r>
        <w:rPr>
          <w:rFonts w:ascii="Times New Roman" w:hAnsi="Times New Roman"/>
          <w:b/>
          <w:sz w:val="28"/>
        </w:rPr>
        <w:t>Camila Acosta</w:t>
      </w:r>
    </w:p>
    <w:p>
      <w:pPr>
        <w:jc w:val="center"/>
      </w:pPr>
      <w:r>
        <w:rPr>
          <w:rFonts w:ascii="Times New Roman" w:hAnsi="Times New Roman"/>
          <w:sz w:val="24"/>
        </w:rPr>
        <w:t>1B-EOS-081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c87f8cc58145b0ff2f4d63f1ef458f6283435c"/>
    <w:p>
      <w:pPr>
        <w:pStyle w:val="Heading2"/>
        <w:spacing w:line="480" w:lineRule="auto"/>
      </w:pPr>
      <w:r>
        <w:t xml:space="preserve">1.1 The Problem and Why It Matters to NASA and JPL</w:t>
      </w:r>
    </w:p>
    <w:p>
      <w:pPr>
        <w:pStyle w:val="FirstParagraph"/>
        <w:spacing w:line="480" w:lineRule="auto"/>
      </w:pPr>
      <w:r>
        <w:t xml:space="preserve">An Earth-observation (EO) constellation in low Earth orbit accumulates collection requests at a rate that exceeds, often by an order of magnitude or more, the imaging opportunities the constellation can physically supply within any given planning horizon. The binding constraint is not orbital mechanics in the abstract but the intersection of orbital mechanics with sensor agility, downlink capacity, illumination geometry, and duty-cycle limits. Within that intersection lies a finite set of access windows, and within that finite set the tasking authority must choose. The choice is not whether to image but which of the many possible images to acquire, in which order, on which spacecraft. Operationally this choice is resolved at the planning system by a scheduler that, in the standard formulation, maximizes the count of fulfilled requests subject to the geometric and resource constraints</w:t>
      </w:r>
      <w:r>
        <w:t xml:space="preserve"> </w:t>
      </w:r>
      <w:hyperlink w:anchor="ref-1">
        <w:r>
          <w:rPr>
            <w:rStyle w:val="Hyperlink"/>
          </w:rPr>
          <w:t xml:space="preserve">[1]</w:t>
        </w:r>
      </w:hyperlink>
      <w:r>
        <w:t xml:space="preserve">[2]. Every fulfilled request counts the same in the objective, and the scheduler’s success is measured by how many of the contending requests it manages to assign to feasible windows.</w:t>
      </w:r>
    </w:p>
    <w:p>
      <w:pPr>
        <w:pStyle w:val="BodyText"/>
        <w:spacing w:line="480" w:lineRule="auto"/>
        <w:ind w:firstLine="720"/>
      </w:pPr>
      <w:r>
        <w:t xml:space="preserve">That formulation has carried operational EO planning for two decades, and it has the virtue of being well-posed and computationally tractable on the scale of constellations now in flight</w:t>
      </w:r>
      <w:r>
        <w:t xml:space="preserve"> </w:t>
      </w:r>
      <w:hyperlink w:anchor="ref-1">
        <w:r>
          <w:rPr>
            <w:rStyle w:val="Hyperlink"/>
          </w:rPr>
          <w:t xml:space="preserve">[1]</w:t>
        </w:r>
      </w:hyperlink>
      <w:r>
        <w:t xml:space="preserve">[2][8]. It also has a defect that becomes more conspicuous as constellations grow. The defect is that the objective function is silent about the value of any particular image. A re-image of a stable agricultural scene whose state has not changed since the previous pass counts for one in the throughput objective; an image that confirms or denies an active deforestation front, sizes a flooding river basin during a humanitarian response, or verifies a treaty-relevant change at a contested site also counts for one. The scheduler that maximizes count is, by construction, indifferent between them. That indifference is what the dissertation proposes to repair, and the stakes of the repair are highest at exactly the agencies that own and operate the largest civil EO portfolios.</w:t>
      </w:r>
    </w:p>
    <w:p>
      <w:pPr>
        <w:pStyle w:val="BodyText"/>
        <w:spacing w:line="480" w:lineRule="auto"/>
        <w:ind w:firstLine="720"/>
      </w:pPr>
      <w:r>
        <w:t xml:space="preserve">For NASA the stakes are concrete. The agency’s EO program is the principal civil instrument of the United States for monitoring the global Earth system, and its acquisition-cost commitments are documented in successive GAO Major Project Assessments</w:t>
      </w:r>
      <w:r>
        <w:t xml:space="preserve"> </w:t>
      </w:r>
      <w:hyperlink w:anchor="ref-10">
        <w:r>
          <w:rPr>
            <w:rStyle w:val="Hyperlink"/>
          </w:rPr>
          <w:t xml:space="preserve">[10]</w:t>
        </w:r>
      </w:hyperlink>
      <w:r>
        <w:t xml:space="preserve">. Those commitments fix, for a planning generation, what assets exist and what they can see. They do not fix what the assets are asked to look at on any given day, and that downstream allocation is where the marginal decision value of the program is realized or squandered. A scheduler that fills the day with feasible but low-value acquisitions delivers a fleet whose realized public value is below the value the procurement bought. For JPL the stakes are narrower and sharper. JPL builds the flagship Earth-science missions whose instruments are expensive in absolute terms and irreplaceable in cadence, and it operates them under tasking regimes that determine, observation by observation, which scientific and operational questions the mission actually answers. The cost regression in the empirical paper that accompanies this prospectus shows that mass and instrument class dominate the cross-mission acquisition bill and that constellation size enters with the expected negative sign but at present sample size without statistical bite; an R-squared of 0.61 leaves substantial residual variance within which a per-image value argument has to operate. If acquisition cost were tight on the design choices alone, there would be no marginal-cost slack for a value-of-information argument to capture at the tasking stage. There is slack, and it sits in the tasking layer.</w:t>
      </w:r>
    </w:p>
    <w:p>
      <w:pPr>
        <w:pStyle w:val="BodyText"/>
        <w:spacing w:line="480" w:lineRule="auto"/>
        <w:ind w:firstLine="720"/>
      </w:pPr>
      <w:r>
        <w:t xml:space="preserve">The space-economy literature has stated the underlying claim for some time. EO is valued by the decisions its products inform rather than by the count of products delivered, and the sustainability, security, and development frames within which EO operates are explicit about that informational character</w:t>
      </w:r>
      <w:r>
        <w:t xml:space="preserve"> </w:t>
      </w:r>
      <w:hyperlink w:anchor="ref-5">
        <w:r>
          <w:rPr>
            <w:rStyle w:val="Hyperlink"/>
          </w:rPr>
          <w:t xml:space="preserve">[5]</w:t>
        </w:r>
      </w:hyperlink>
      <w:r>
        <w:t xml:space="preserve">[6]. End-user studies of the New Space economy report the same finding from the demand side, that satellite data and solutions are valued by users for the decisions they enable rather than by raw output volume</w:t>
      </w:r>
      <w:r>
        <w:t xml:space="preserve"> </w:t>
      </w:r>
      <w:hyperlink w:anchor="ref-21">
        <w:r>
          <w:rPr>
            <w:rStyle w:val="Hyperlink"/>
          </w:rPr>
          <w:t xml:space="preserve">[21]</w:t>
        </w:r>
      </w:hyperlink>
      <w:r>
        <w:t xml:space="preserve">. Scenario work on the evolution of EO systems and markets converges on the same point</w:t>
      </w:r>
      <w:r>
        <w:t xml:space="preserve"> </w:t>
      </w:r>
      <w:hyperlink w:anchor="ref-20">
        <w:r>
          <w:rPr>
            <w:rStyle w:val="Hyperlink"/>
          </w:rPr>
          <w:t xml:space="preserve">[20]</w:t>
        </w:r>
      </w:hyperlink>
      <w:r>
        <w:t xml:space="preserve">. Yet the operational planners that turn standing requests into acquisitions do not, in the published EO literature, express any of this. They optimize count and treat fulfilled requests as interchangeable</w:t>
      </w:r>
      <w:r>
        <w:t xml:space="preserve"> </w:t>
      </w:r>
      <w:hyperlink w:anchor="ref-1">
        <w:r>
          <w:rPr>
            <w:rStyle w:val="Hyperlink"/>
          </w:rPr>
          <w:t xml:space="preserve">[1]</w:t>
        </w:r>
      </w:hyperlink>
      <w:r>
        <w:t xml:space="preserve">[2][8]. The agencies that fund those planners then commission decision-support frameworks that try to bolt decision value back onto the output side after the fact, for example the Environment-Vulnerability-Decision-Technology framing applied to sustainable mangrove management in Rio de Janeiro</w:t>
      </w:r>
      <w:r>
        <w:t xml:space="preserve"> </w:t>
      </w:r>
      <w:hyperlink w:anchor="ref-23">
        <w:r>
          <w:rPr>
            <w:rStyle w:val="Hyperlink"/>
          </w:rPr>
          <w:t xml:space="preserve">[23]</w:t>
        </w:r>
      </w:hyperlink>
      <w:r>
        <w:t xml:space="preserve">, or the decision-support architecture for continuing supervision of commercial in-space servicing</w:t>
      </w:r>
      <w:r>
        <w:t xml:space="preserve"> </w:t>
      </w:r>
      <w:hyperlink w:anchor="ref-19">
        <w:r>
          <w:rPr>
            <w:rStyle w:val="Hyperlink"/>
          </w:rPr>
          <w:t xml:space="preserve">[19]</w:t>
        </w:r>
      </w:hyperlink>
      <w:r>
        <w:t xml:space="preserve">. Those frameworks are useful precisely because the tasking layer below them does not internalize decision value. The dissertation argues that internalizing it is both possible and overdue.</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Two literatures sit beside each other without touching, and the gap between them is the methodological opening this dissertation occupies.</w:t>
      </w:r>
    </w:p>
    <w:p>
      <w:pPr>
        <w:pStyle w:val="BodyText"/>
        <w:spacing w:line="480" w:lineRule="auto"/>
        <w:ind w:firstLine="720"/>
      </w:pPr>
      <w:r>
        <w:t xml:space="preserve">The domain literature, EO mission and constellation planning, has optimized geometric throughput. Cox, Humble, and Droge formalize mission planning for crosslink-enabled Earth-sensing constellations as the maximization of fulfilled sensing requests under inter-satellite communication and access constraints, with priority weights but without a decision-theoretic value layer</w:t>
      </w:r>
      <w:r>
        <w:t xml:space="preserve"> </w:t>
      </w:r>
      <w:hyperlink w:anchor="ref-1">
        <w:r>
          <w:rPr>
            <w:rStyle w:val="Hyperlink"/>
          </w:rPr>
          <w:t xml:space="preserve">[1]</w:t>
        </w:r>
      </w:hyperlink>
      <w:r>
        <w:t xml:space="preserve">. Tonetti and colleagues frame the same scarcity at the architectural level for an operational network of EO satellite nodes, allocating a finite collection budget across competing mission objectives by coverage and throughput metrics</w:t>
      </w:r>
      <w:r>
        <w:t xml:space="preserve"> </w:t>
      </w:r>
      <w:hyperlink w:anchor="ref-2">
        <w:r>
          <w:rPr>
            <w:rStyle w:val="Hyperlink"/>
          </w:rPr>
          <w:t xml:space="preserve">[2]</w:t>
        </w:r>
      </w:hyperlink>
      <w:r>
        <w:t xml:space="preserve">. Constellation-design work optimizes ground-track and revisit geometry to maximize feasible access to targets rather than to maximize the value of the access</w:t>
      </w:r>
      <w:r>
        <w:t xml:space="preserve"> </w:t>
      </w:r>
      <w:hyperlink w:anchor="ref-7">
        <w:r>
          <w:rPr>
            <w:rStyle w:val="Hyperlink"/>
          </w:rPr>
          <w:t xml:space="preserve">[7]</w:t>
        </w:r>
      </w:hyperlink>
      <w:r>
        <w:t xml:space="preserve">. Multidisciplinary design and optimization of distributed satellite systems for EO treats program-level cost and coverage as the variables to be balanced, with mass entering as the per-spacecraft scaling parameter, again without a per-observation value term</w:t>
      </w:r>
      <w:r>
        <w:t xml:space="preserve"> </w:t>
      </w:r>
      <w:hyperlink w:anchor="ref-8">
        <w:r>
          <w:rPr>
            <w:rStyle w:val="Hyperlink"/>
          </w:rPr>
          <w:t xml:space="preserve">[8]</w:t>
        </w:r>
      </w:hyperlink>
      <w:r>
        <w:t xml:space="preserve">. Agent-based approaches to distributed space-system mission management survey the methodologies and challenges of allocating tasks across distributed nodes and find that current practice is dominated by feasibility and throughput criteria rather than by decision-theoretic value</w:t>
      </w:r>
      <w:r>
        <w:t xml:space="preserve"> </w:t>
      </w:r>
      <w:hyperlink w:anchor="ref-22">
        <w:r>
          <w:rPr>
            <w:rStyle w:val="Hyperlink"/>
          </w:rPr>
          <w:t xml:space="preserve">[22]</w:t>
        </w:r>
      </w:hyperlink>
      <w:r>
        <w:t xml:space="preserve">. Newer infrastructure work on information routing in satellite constellations via stereographic projection and static digraphs focuses on the communication topology rather than on the worth of the information being routed</w:t>
      </w:r>
      <w:r>
        <w:t xml:space="preserve"> </w:t>
      </w:r>
      <w:hyperlink w:anchor="ref-26">
        <w:r>
          <w:rPr>
            <w:rStyle w:val="Hyperlink"/>
          </w:rPr>
          <w:t xml:space="preserve">[26]</w:t>
        </w:r>
      </w:hyperlink>
      <w:r>
        <w:t xml:space="preserve">. The domain literature is, in other words, mature, internally consistent, and silent on per-observation value.</w:t>
      </w:r>
    </w:p>
    <w:p>
      <w:pPr>
        <w:pStyle w:val="BodyText"/>
        <w:spacing w:line="480" w:lineRule="auto"/>
        <w:ind w:firstLine="720"/>
      </w:pPr>
      <w:r>
        <w:t xml:space="preserve">The method literature, sensor tasking in space-domain awareness (SDA), is not silent. Dhingra and colleagues task sensors by expected information gain rather than by raw observation count, scoring each candidate observation by the reduction in orbit-state covariance it is predicted to yield, and they validate the gain in sensor-network efficiency that the value-of-information weighting produces</w:t>
      </w:r>
      <w:r>
        <w:t xml:space="preserve"> </w:t>
      </w:r>
      <w:hyperlink w:anchor="ref-3">
        <w:r>
          <w:rPr>
            <w:rStyle w:val="Hyperlink"/>
          </w:rPr>
          <w:t xml:space="preserve">[3]</w:t>
        </w:r>
      </w:hyperlink>
      <w:r>
        <w:t xml:space="preserve">. Their later work establishes optimality certificates and machine-learning surrogates that scale the same value-of-information scheduling objective to catalog size</w:t>
      </w:r>
      <w:r>
        <w:t xml:space="preserve"> </w:t>
      </w:r>
      <w:hyperlink w:anchor="ref-4">
        <w:r>
          <w:rPr>
            <w:rStyle w:val="Hyperlink"/>
          </w:rPr>
          <w:t xml:space="preserve">[4]</w:t>
        </w:r>
      </w:hyperlink>
      <w:r>
        <w:t xml:space="preserve">. The earlier formal work of Gehly and Bennett incorporates target priorities directly in the sensor-tasking reward function and shows how priority and information gain compose in the reward structure</w:t>
      </w:r>
      <w:r>
        <w:t xml:space="preserve"> </w:t>
      </w:r>
      <w:hyperlink w:anchor="ref-11">
        <w:r>
          <w:rPr>
            <w:rStyle w:val="Hyperlink"/>
          </w:rPr>
          <w:t xml:space="preserve">[11]</w:t>
        </w:r>
      </w:hyperlink>
      <w:r>
        <w:t xml:space="preserve">. Fedeler, Holzinger, and Whitacre establish optimality and application of tree-search methods for POMDP-based sensor tasking, supplying the formal control-theoretic backbone for value-driven tasking under partial observability</w:t>
      </w:r>
      <w:r>
        <w:t xml:space="preserve"> </w:t>
      </w:r>
      <w:hyperlink w:anchor="ref-14">
        <w:r>
          <w:rPr>
            <w:rStyle w:val="Hyperlink"/>
          </w:rPr>
          <w:t xml:space="preserve">[14]</w:t>
        </w:r>
      </w:hyperlink>
      <w:r>
        <w:t xml:space="preserve">. Coordinated SDA as an optimized commodity market formulates the multi-sensor allocation problem as a market over information goods, which is value-theoretic at its core</w:t>
      </w:r>
      <w:r>
        <w:t xml:space="preserve"> </w:t>
      </w:r>
      <w:hyperlink w:anchor="ref-17">
        <w:r>
          <w:rPr>
            <w:rStyle w:val="Hyperlink"/>
          </w:rPr>
          <w:t xml:space="preserve">[17]</w:t>
        </w:r>
      </w:hyperlink>
      <w:r>
        <w:t xml:space="preserve">. Trust-frame extensions for fusing subjective opinions with imperfect understanding push the same line further into the epistemics of multi-source observation</w:t>
      </w:r>
      <w:r>
        <w:t xml:space="preserve"> </w:t>
      </w:r>
      <w:hyperlink w:anchor="ref-13">
        <w:r>
          <w:rPr>
            <w:rStyle w:val="Hyperlink"/>
          </w:rPr>
          <w:t xml:space="preserve">[13]</w:t>
        </w:r>
      </w:hyperlink>
      <w:r>
        <w:t xml:space="preserve">. Adaptive sensor-tasking strategies for tracking non-cooperative cislunar objects extend value-driven tasking into regimes where the prior is poor and the value of the next observation is highest</w:t>
      </w:r>
      <w:r>
        <w:t xml:space="preserve"> </w:t>
      </w:r>
      <w:hyperlink w:anchor="ref-16">
        <w:r>
          <w:rPr>
            <w:rStyle w:val="Hyperlink"/>
          </w:rPr>
          <w:t xml:space="preserve">[16]</w:t>
        </w:r>
      </w:hyperlink>
      <w:r>
        <w:t xml:space="preserve">. In SDA, in short, value-of-information is not an aspiration. It is the standing operational frame.</w:t>
      </w:r>
    </w:p>
    <w:p>
      <w:pPr>
        <w:pStyle w:val="BodyText"/>
        <w:spacing w:line="480" w:lineRule="auto"/>
        <w:ind w:firstLine="720"/>
      </w:pPr>
      <w:r>
        <w:t xml:space="preserve">The Australian SSA technology roadmap codifies that framing at the national-program level, treating information value as a first-class design variable for sensor architecture rather than a downstream interpretive layer</w:t>
      </w:r>
      <w:r>
        <w:t xml:space="preserve"> </w:t>
      </w:r>
      <w:hyperlink w:anchor="ref-12">
        <w:r>
          <w:rPr>
            <w:rStyle w:val="Hyperlink"/>
          </w:rPr>
          <w:t xml:space="preserve">[12]</w:t>
        </w:r>
      </w:hyperlink>
      <w:r>
        <w:t xml:space="preserve">. Operational analytics for sensor anomaly detection in SDA networks assume an underlying value model against which deviations register</w:t>
      </w:r>
      <w:r>
        <w:t xml:space="preserve"> </w:t>
      </w:r>
      <w:hyperlink w:anchor="ref-18">
        <w:r>
          <w:rPr>
            <w:rStyle w:val="Hyperlink"/>
          </w:rPr>
          <w:t xml:space="preserve">[18]</w:t>
        </w:r>
      </w:hyperlink>
      <w:r>
        <w:t xml:space="preserve">. Even the cost and latency side of SDA tasking, exemplified by virtualized ground stations and machine learning to reduce decision time for on-orbit operations, is organized around the proposition that the value of the observation is a function of when the decision it informs is made</w:t>
      </w:r>
      <w:r>
        <w:t xml:space="preserve"> </w:t>
      </w:r>
      <w:hyperlink w:anchor="ref-15">
        <w:r>
          <w:rPr>
            <w:rStyle w:val="Hyperlink"/>
          </w:rPr>
          <w:t xml:space="preserve">[15]</w:t>
        </w:r>
      </w:hyperlink>
      <w:r>
        <w:t xml:space="preserve">.</w:t>
      </w:r>
    </w:p>
    <w:p>
      <w:pPr>
        <w:pStyle w:val="BodyText"/>
        <w:spacing w:line="480" w:lineRule="auto"/>
        <w:ind w:firstLine="720"/>
      </w:pPr>
      <w:r>
        <w:t xml:space="preserve">The gap is precise and stateable. There exists a validated value-of-information tasking formalism in SDA</w:t>
      </w:r>
      <w:r>
        <w:t xml:space="preserve"> </w:t>
      </w:r>
      <w:hyperlink w:anchor="ref-3">
        <w:r>
          <w:rPr>
            <w:rStyle w:val="Hyperlink"/>
          </w:rPr>
          <w:t xml:space="preserve">[3]</w:t>
        </w:r>
      </w:hyperlink>
      <w:r>
        <w:t xml:space="preserve">[4][11][14][17], and there exists a stated but unoperationalized claim of decision value in EO</w:t>
      </w:r>
      <w:r>
        <w:t xml:space="preserve"> </w:t>
      </w:r>
      <w:hyperlink w:anchor="ref-5">
        <w:r>
          <w:rPr>
            <w:rStyle w:val="Hyperlink"/>
          </w:rPr>
          <w:t xml:space="preserve">[5]</w:t>
        </w:r>
      </w:hyperlink>
      <w:r>
        <w:t xml:space="preserve">[6][21][20][23][19], and no one has connected them by importing the former to test the latter at the EO tasking layer</w:t>
      </w:r>
      <w:r>
        <w:t xml:space="preserve"> </w:t>
      </w:r>
      <w:hyperlink w:anchor="ref-1">
        <w:r>
          <w:rPr>
            <w:rStyle w:val="Hyperlink"/>
          </w:rPr>
          <w:t xml:space="preserve">[1]</w:t>
        </w:r>
      </w:hyperlink>
      <w:r>
        <w:t xml:space="preserve">[2][7][8][22][26]. The two literatures share authors only rarely, share journals only rarely, and share their object of study only at a distance. The dissertation will connect them by porting the SDA value-of-information machinery into the EO tasking objective and by testing, on a fixed and realistic opportunity set, whether the port produces the reallocation the space-economy literature has been demanding without sacrificing the priority service the EO planning literature has been delivering.</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the dissertation is a value-of-information-weighted EO tasking objective and a falsifiable test of whether the substitution of that objective for a throughput-maximizing objective changes allocation in the predicted direction without cannibalizing priority service. The contribution is stated as a pair of pre-registered hypotheses.</w:t>
      </w:r>
    </w:p>
    <w:p>
      <w:pPr>
        <w:pStyle w:val="BodyText"/>
        <w:spacing w:line="480" w:lineRule="auto"/>
        <w:ind w:firstLine="720"/>
      </w:pPr>
      <w:r>
        <w:t xml:space="preserve">H0, the null, is that replacing a throughput-maximizing objective with a value-of-information-weighted objective, holding the opportunity set, the agility model, and all resource constraints fixed, produces either no statistically significant difference in mean realized decision value per planning horizon, or any such difference only at the cost of a statistically significant reduction in the count of high-priority requests served.</w:t>
      </w:r>
    </w:p>
    <w:p>
      <w:pPr>
        <w:pStyle w:val="BodyText"/>
        <w:spacing w:line="480" w:lineRule="auto"/>
        <w:ind w:firstLine="720"/>
      </w:pPr>
      <w:r>
        <w:t xml:space="preserve">H1, the alternative, is that the value-of-information-weighted scheduler achieves a significantly higher mean realized decision value per planning horizon, at one-sided alpha of 0.05, while the count of high-priority requests served is statistically non-inferior to the throughput baseline at a non-inferiority margin pre-registered before any scheduling runs are executed.</w:t>
      </w:r>
    </w:p>
    <w:p>
      <w:pPr>
        <w:pStyle w:val="BodyText"/>
        <w:spacing w:line="480" w:lineRule="auto"/>
        <w:ind w:firstLine="720"/>
      </w:pPr>
      <w:r>
        <w:t xml:space="preserve">The claim is narrow by design. It is not that value-of-information is universally superior, nor that throughput is wrong as a planning concept, nor that decision value is the only objective that matters at the tasking layer. It is that, on a fixed and realistic opportunity set with all other inputs held identical, value-weighting reallocates scarce imaging capacity toward decision-relevant observations without sacrificing priority service. H1 is falsified if either the decision-value gain is not significant or the non-inferiority test on priority count fails. Both gates must clear.</w:t>
      </w:r>
    </w:p>
    <w:p>
      <w:pPr>
        <w:pStyle w:val="BodyText"/>
        <w:spacing w:line="480" w:lineRule="auto"/>
        <w:ind w:firstLine="720"/>
      </w:pPr>
      <w:r>
        <w:t xml:space="preserve">The identification strategy is a controlled replanning experiment in which the objective function is the single manipulated variable. The opportunity set, the request-to-window access map for a defined constellation over a fixed planning horizon, is generated once from the published EO tasking model of Cox, Humble, and Droge</w:t>
      </w:r>
      <w:r>
        <w:t xml:space="preserve"> </w:t>
      </w:r>
      <w:hyperlink w:anchor="ref-1">
        <w:r>
          <w:rPr>
            <w:rStyle w:val="Hyperlink"/>
          </w:rPr>
          <w:t xml:space="preserve">[1]</w:t>
        </w:r>
      </w:hyperlink>
      <w:r>
        <w:t xml:space="preserve"> </w:t>
      </w:r>
      <w:r>
        <w:t xml:space="preserve">and frozen. Both schedulers consume identical inputs, the same satellites, the same agility and duty-cycle constraints, the same requests, the same windows. The baseline scheduler maximizes priority-weighted throughput in the manner of the published EO planning literature</w:t>
      </w:r>
      <w:r>
        <w:t xml:space="preserve"> </w:t>
      </w:r>
      <w:hyperlink w:anchor="ref-1">
        <w:r>
          <w:rPr>
            <w:rStyle w:val="Hyperlink"/>
          </w:rPr>
          <w:t xml:space="preserve">[1]</w:t>
        </w:r>
      </w:hyperlink>
      <w:r>
        <w:t xml:space="preserve">[2]. The treatment scheduler uses the identical optimization core with the per-observation reward replaced by a value-of-information score constructed in the Bayesian manner of Dhingra and colleagues</w:t>
      </w:r>
      <w:r>
        <w:t xml:space="preserve"> </w:t>
      </w:r>
      <w:hyperlink w:anchor="ref-3">
        <w:r>
          <w:rPr>
            <w:rStyle w:val="Hyperlink"/>
          </w:rPr>
          <w:t xml:space="preserve">[3]</w:t>
        </w:r>
      </w:hyperlink>
      <w:r>
        <w:t xml:space="preserve">[4], with the decision-relevant prior anchored to the EO product taxonomy of the space-economy literature</w:t>
      </w:r>
      <w:r>
        <w:t xml:space="preserve"> </w:t>
      </w:r>
      <w:hyperlink w:anchor="ref-5">
        <w:r>
          <w:rPr>
            <w:rStyle w:val="Hyperlink"/>
          </w:rPr>
          <w:t xml:space="preserve">[5]</w:t>
        </w:r>
      </w:hyperlink>
      <w:r>
        <w:t xml:space="preserve">. Because the two schedulers differ only in the objective and share every input, any difference in realized outcomes is attributable to the value-of-information weighting and not to geometry, constellation design, or constraint specification. This is a within-input, between-objective contrast, which is the cleanest identification available for a scheduling claim and the analytical posture the empirical paper on EO cost-driver regression already establishes for the dissertation as a whole</w:t>
      </w:r>
      <w:r>
        <w:t xml:space="preserve"> </w:t>
      </w:r>
      <w:hyperlink w:anchor="ref-10">
        <w:r>
          <w:rPr>
            <w:rStyle w:val="Hyperlink"/>
          </w:rPr>
          <w:t xml:space="preserve">[10]</w:t>
        </w:r>
      </w:hyperlink>
      <w:r>
        <w:t xml:space="preserve">.</w:t>
      </w:r>
    </w:p>
    <w:p>
      <w:pPr>
        <w:pStyle w:val="BodyText"/>
        <w:spacing w:line="480" w:lineRule="auto"/>
        <w:ind w:firstLine="720"/>
      </w:pPr>
      <w:r>
        <w:t xml:space="preserve">The realistic ingredients of the experiment, the target distributions, the request geographies, the revisit cadences, are drawn from the NASA Earthdata Common Metadata Repository accessed through the public CMR Search API, using the candidate’s own EARTHDATA credential. CMR supplies the spatial-temporal footprints, acquisition timestamps, and collection priorities of real granules from operational EO missions and is therefore the appropriate empirical anchor for the opportunity set. Decision-value priors are anchored to the Sustainable Development Goal EO-monitoring taxonomy of the space-economy literature</w:t>
      </w:r>
      <w:r>
        <w:t xml:space="preserve"> </w:t>
      </w:r>
      <w:hyperlink w:anchor="ref-5">
        <w:r>
          <w:rPr>
            <w:rStyle w:val="Hyperlink"/>
          </w:rPr>
          <w:t xml:space="preserve">[5]</w:t>
        </w:r>
      </w:hyperlink>
      <w:r>
        <w:t xml:space="preserve">, mapping request classes such as deforestation-front confirmation and flood-extent sizing to latent decision variables on which the value-of-information score is computed.</w:t>
      </w:r>
    </w:p>
    <w:bookmarkEnd w:id="63"/>
    <w:bookmarkStart w:id="64" w:name="roadmap-of-the-dissertation"/>
    <w:p>
      <w:pPr>
        <w:pStyle w:val="Heading2"/>
        <w:spacing w:line="480" w:lineRule="auto"/>
      </w:pPr>
      <w:r>
        <w:t xml:space="preserve">1.4 Roadmap of the Dissertation</w:t>
      </w:r>
    </w:p>
    <w:p>
      <w:pPr>
        <w:pStyle w:val="FirstParagraph"/>
        <w:spacing w:line="480" w:lineRule="auto"/>
      </w:pPr>
      <w:r>
        <w:t xml:space="preserve">The dissertation proceeds in seven chapters that move from the framing here to the falsifiable test and to its implications for NASA and JPL planning.</w:t>
      </w:r>
    </w:p>
    <w:p>
      <w:pPr>
        <w:pStyle w:val="BodyText"/>
        <w:spacing w:line="480" w:lineRule="auto"/>
        <w:ind w:firstLine="720"/>
      </w:pPr>
      <w:r>
        <w:t xml:space="preserve">Chapter 2 reviews the EO tasking and constellation-planning literature and the SDA value-of-information tasking literature in parallel, develops the bridging vocabulary that allows the two to be compared, and states the gap formally. Chapter 2 distinguishes priority weighting, which is present in both literatures and is not the same as value-of-information</w:t>
      </w:r>
      <w:r>
        <w:t xml:space="preserve"> </w:t>
      </w:r>
      <w:hyperlink w:anchor="ref-11">
        <w:r>
          <w:rPr>
            <w:rStyle w:val="Hyperlink"/>
          </w:rPr>
          <w:t xml:space="preserve">[11]</w:t>
        </w:r>
      </w:hyperlink>
      <w:r>
        <w:t xml:space="preserve">, from value-of-information as a Bayesian posterior-uncertainty-reduction quantity</w:t>
      </w:r>
      <w:r>
        <w:t xml:space="preserve"> </w:t>
      </w:r>
      <w:hyperlink w:anchor="ref-3">
        <w:r>
          <w:rPr>
            <w:rStyle w:val="Hyperlink"/>
          </w:rPr>
          <w:t xml:space="preserve">[3]</w:t>
        </w:r>
      </w:hyperlink>
      <w:r>
        <w:t xml:space="preserve">[4][14], and from decision value as the space-economy literature uses the term</w:t>
      </w:r>
      <w:r>
        <w:t xml:space="preserve"> </w:t>
      </w:r>
      <w:hyperlink w:anchor="ref-5">
        <w:r>
          <w:rPr>
            <w:rStyle w:val="Hyperlink"/>
          </w:rPr>
          <w:t xml:space="preserve">[5]</w:t>
        </w:r>
      </w:hyperlink>
      <w:r>
        <w:t xml:space="preserve">[6][21][20].</w:t>
      </w:r>
    </w:p>
    <w:p>
      <w:pPr>
        <w:pStyle w:val="BodyText"/>
        <w:spacing w:line="480" w:lineRule="auto"/>
        <w:ind w:firstLine="720"/>
      </w:pPr>
      <w:r>
        <w:t xml:space="preserve">Chapter 3 develops the value-of-information formalism for an EO tasking decision. It specifies the prior over the latent decision variable, the observation likelihood implied by the EO instrument and acquisition geometry, the posterior uncertainty reduction that defines the value-of-information score, and the construction of the per-observation reward that enters the scheduler. Chapter 3 also specifies the throughput-maximizing baseline objective in the form used in the operational EO planning literature</w:t>
      </w:r>
      <w:r>
        <w:t xml:space="preserve"> </w:t>
      </w:r>
      <w:hyperlink w:anchor="ref-1">
        <w:r>
          <w:rPr>
            <w:rStyle w:val="Hyperlink"/>
          </w:rPr>
          <w:t xml:space="preserve">[1]</w:t>
        </w:r>
      </w:hyperlink>
      <w:r>
        <w:t xml:space="preserve">[2][8].</w:t>
      </w:r>
    </w:p>
    <w:p>
      <w:pPr>
        <w:pStyle w:val="BodyText"/>
        <w:spacing w:line="480" w:lineRule="auto"/>
        <w:ind w:firstLine="720"/>
      </w:pPr>
      <w:r>
        <w:t xml:space="preserve">Chapter 4 presents the empirical anchor on EO acquisition cost. The cross-mission ordinary-least-squares regression on thirty-five documented EO missions establishes the budget-officer side of the tasking argument by showing where the cost dispersion lives and how much marginal-cost slack the tasking layer has to work with. The regression result, that mass and instrument class dominate the cost picture and that the regression’s residual variance leaves substantial slack for a per-image value argument, motivates the optimization experiments that follow.</w:t>
      </w:r>
    </w:p>
    <w:p>
      <w:pPr>
        <w:pStyle w:val="BodyText"/>
        <w:spacing w:line="480" w:lineRule="auto"/>
        <w:ind w:firstLine="720"/>
      </w:pPr>
      <w:r>
        <w:t xml:space="preserve">Chapter 5 describes the controlled replanning experiment in operational detail. It specifies the constellation parameters, the opportunity-set generation procedure on top of the Cox-Humble-Droge model</w:t>
      </w:r>
      <w:r>
        <w:t xml:space="preserve"> </w:t>
      </w:r>
      <w:hyperlink w:anchor="ref-1">
        <w:r>
          <w:rPr>
            <w:rStyle w:val="Hyperlink"/>
          </w:rPr>
          <w:t xml:space="preserve">[1]</w:t>
        </w:r>
      </w:hyperlink>
      <w:r>
        <w:t xml:space="preserve">, the cross-validation of access cadences against CMR revisit statistics, the construction of the request mixes from CMR granule geographies, the pre-registered analysis plan including the non-inferiority margin and the multiplicity controls, and the computational implementation.</w:t>
      </w:r>
    </w:p>
    <w:p>
      <w:pPr>
        <w:pStyle w:val="BodyText"/>
        <w:spacing w:line="480" w:lineRule="auto"/>
        <w:ind w:firstLine="720"/>
      </w:pPr>
      <w:r>
        <w:t xml:space="preserve">Chapter 6 reports the results. It tests H1 against H0 at the pre-registered alpha and non-inferiority margin, reports the magnitude of any reallocation effect, decomposes the effect by request class to show which decision-value classes gain or lose capacity under the value-of-information objective, and stress-tests the result across constellation sizes, orbital regimes, and request-mix variations as the validity-threat discussion of the prospectus requires.</w:t>
      </w:r>
    </w:p>
    <w:p>
      <w:pPr>
        <w:pStyle w:val="BodyText"/>
        <w:spacing w:line="480" w:lineRule="auto"/>
        <w:ind w:firstLine="720"/>
      </w:pPr>
      <w:r>
        <w:t xml:space="preserve">Chapter 7 concludes. It states what the result implies for NASA EO planning, what it implies for JPL flagship-mission tasking specifically, what it does not imply, and what the next paper in the pipeline should be. It addresses the construct-validity, substrate-dependence, baseline-strawmanning, and transfer-validity threats laid out in the prospectus, with the mitigations implemented in the experimental design rather than asserted in prose. It closes by returning to the gap stated at the head of Chapter 1, the gap between a domain literature that optimizes throughput</w:t>
      </w:r>
      <w:r>
        <w:t xml:space="preserve"> </w:t>
      </w:r>
      <w:hyperlink w:anchor="ref-1">
        <w:r>
          <w:rPr>
            <w:rStyle w:val="Hyperlink"/>
          </w:rPr>
          <w:t xml:space="preserve">[1]</w:t>
        </w:r>
      </w:hyperlink>
      <w:r>
        <w:t xml:space="preserve">[2][7][8][22][26] and a method literature that has operationalized value-of-information</w:t>
      </w:r>
      <w:r>
        <w:t xml:space="preserve"> </w:t>
      </w:r>
      <w:hyperlink w:anchor="ref-3">
        <w:r>
          <w:rPr>
            <w:rStyle w:val="Hyperlink"/>
          </w:rPr>
          <w:t xml:space="preserve">[3]</w:t>
        </w:r>
      </w:hyperlink>
      <w:r>
        <w:t xml:space="preserve">[4][11][14][17], and by stating what has and has not been closed by the work of the dissertation.</w:t>
      </w:r>
    </w:p>
    <w:p>
      <w:pPr>
        <w:pStyle w:val="BodyText"/>
        <w:spacing w:line="480" w:lineRule="auto"/>
        <w:ind w:firstLine="720"/>
      </w:pPr>
      <w:r>
        <w:t xml:space="preserve">The work is a port. It takes a formalism the SDA community has validated for orbit-state estimation and applies it to an EO decision variable, with all the transfer risk that any port carries. The defense of the port is that the Bayesian structure of prior, observation likelihood, and posterior uncertainty reduction is domain-general, that the experimental design isolates the objective function as the single manipulated variable, that the inputs come from a real and citable EO data system, and that the falsification conditions are stated precisely enough to fail. If the port succeeds, NASA and JPL gain a tasking-layer mechanism for expressing what the space-economy literature has long asserted, that EO is worth what its decisions are worth</w:t>
      </w:r>
      <w:r>
        <w:t xml:space="preserve"> </w:t>
      </w:r>
      <w:hyperlink w:anchor="ref-5">
        <w:r>
          <w:rPr>
            <w:rStyle w:val="Hyperlink"/>
          </w:rPr>
          <w:t xml:space="preserve">[5]</w:t>
        </w:r>
      </w:hyperlink>
      <w:r>
        <w:t xml:space="preserve">[6][21]. If the port fails, the agencies learn that throughput-maximization is closer to value-maximization than the SDA experience would predict, which is itself a result worth knowing. Either outcome moves the two literatures closer to each other, which is the larger ambition of the dissertation.</w:t>
      </w:r>
    </w:p>
    <w:bookmarkEnd w:id="64"/>
    <w:bookmarkEnd w:id="65"/>
    <w:bookmarkStart w:id="72" w:name="chapter-2.-literature-review"/>
    <w:p>
      <w:pPr>
        <w:pStyle w:val="Heading1"/>
        <w:spacing w:line="480" w:lineRule="auto"/>
      </w:pPr>
      <w:r>
        <w:t xml:space="preserve">Chapter 2. Literature Review</w:t>
      </w:r>
    </w:p>
    <w:bookmarkStart w:id="66" w:name="Xe8e42d1df99e316903cf997fdc5528d913d179d"/>
    <w:p>
      <w:pPr>
        <w:pStyle w:val="Heading2"/>
        <w:spacing w:line="480" w:lineRule="auto"/>
      </w:pPr>
      <w:r>
        <w:t xml:space="preserve">2.1 Orientation: Two Literatures That Do Not Speak to Each Other</w:t>
      </w:r>
    </w:p>
    <w:p>
      <w:pPr>
        <w:pStyle w:val="FirstParagraph"/>
        <w:spacing w:line="480" w:lineRule="auto"/>
      </w:pPr>
      <w:r>
        <w:t xml:space="preserve">The dissertation sits at the seam between two mature bodies of work that have, to date, advanced in parallel without exchanging assumptions, vocabulary, or methodological commitments. On one side is the Earth-observation (EO) mission-planning and constellation-tasking literature, an engineering-dominated tradition that takes the geometry of orbits and the combinatorics of access windows as its primitive objects and that optimizes throughput-like surrogates for value. On the other side is the cliometric and decision-analytic methodology literature, which treats observations as evidence whose worth must be measured by the posterior decisions they enable, and which has been operationalized to a high standard in the adjacent domain of space-domain awareness (SDA). The argument of this dissertation is that the unjoined character of these two literatures is itself the unsolved problem, and that the empirical exercise of the prior chapter, the cross-mission cost regression that anchors the budget-officer side of an EO program, is unintelligible until the tasking-objective side has been reconstructed on a decision-analytic footing.</w:t>
      </w:r>
    </w:p>
    <w:p>
      <w:pPr>
        <w:pStyle w:val="BodyText"/>
        <w:spacing w:line="480" w:lineRule="auto"/>
        <w:ind w:firstLine="720"/>
      </w:pPr>
      <w:r>
        <w:t xml:space="preserve">The structure of this chapter follows that orientation. Section 2.2 reconstructs the EO mission-planning and constellation-design literature on its own terms, emphasizing the consistent commitment to geometric and count-based objectives across the published optimization work. Section 2.3 reconstructs the SDA sensor-tasking literature, with particular attention to the value-of-information (VOI) reward functions that have been formalized for orbit-state estimation. Section 2.4 surveys the cliometric and applied-econometric literature on space-economy measurement and the end-user perspective on EO value, which provides the conceptual scaffolding for what</w:t>
      </w:r>
      <w:r>
        <w:t xml:space="preserve"> </w:t>
      </w:r>
      <w:r>
        <w:t xml:space="preserve">“decision value”</w:t>
      </w:r>
      <w:r>
        <w:t xml:space="preserve"> </w:t>
      </w:r>
      <w:r>
        <w:t xml:space="preserve">means at the application level. Section 2.5 synthesizes these three strands and states the gap as precisely as possible. Section 2.6 records the methodological commitments that follow from the gap and that constrain the empirical chapters of the dissertation.</w:t>
      </w:r>
    </w:p>
    <w:bookmarkEnd w:id="66"/>
    <w:bookmarkStart w:id="67" w:name="X0123996753ca98edd417c8b2fd51312971d7b54"/>
    <w:p>
      <w:pPr>
        <w:pStyle w:val="Heading2"/>
        <w:spacing w:line="480" w:lineRule="auto"/>
      </w:pPr>
      <w:r>
        <w:t xml:space="preserve">2.2 The Earth-Observation Mission-Planning and Constellation-Design Literature</w:t>
      </w:r>
    </w:p>
    <w:p>
      <w:pPr>
        <w:pStyle w:val="FirstParagraph"/>
        <w:spacing w:line="480" w:lineRule="auto"/>
      </w:pPr>
      <w:r>
        <w:t xml:space="preserve">The technical literature on EO tasking is unified, despite its breadth, by a single architectural commitment: the unit of optimization is the request-to-window assignment, and the objective is some monotone function of the count of assignments made. The most explicit recent statement of this commitment is the mission-planning approach of Cox, Humble, and Droge, who formalize a crosslink-enabled sensing constellation as an assignment problem in which the planner sequences targets to maximize fulfilled requests under inter-satellite communication and access constraints</w:t>
      </w:r>
      <w:r>
        <w:t xml:space="preserve"> </w:t>
      </w:r>
      <w:hyperlink w:anchor="ref-1">
        <w:r>
          <w:rPr>
            <w:rStyle w:val="Hyperlink"/>
          </w:rPr>
          <w:t xml:space="preserve">[1]</w:t>
        </w:r>
      </w:hyperlink>
      <w:r>
        <w:t xml:space="preserve">. The reward structure in their formulation is request-count weighted by a priority scalar that is exogenous to the optimization. The optimization machinery, mixed-integer programming with constraint relaxations, is sophisticated; the reward structure is not. Every fulfilled request of a given priority is treated as interchangeable with every other.</w:t>
      </w:r>
    </w:p>
    <w:p>
      <w:pPr>
        <w:pStyle w:val="BodyText"/>
        <w:spacing w:line="480" w:lineRule="auto"/>
        <w:ind w:firstLine="720"/>
      </w:pPr>
      <w:r>
        <w:t xml:space="preserve">The same architectural commitment is visible at the architecture-design level. Tonetti and colleagues address the mission and system architecture for an operational network of EO satellite nodes and frame the allocation problem as one of distributing a finite collection budget across competing objectives, where the objectives are themselves expressed in coverage and revisit terms rather than in posterior-decision terms</w:t>
      </w:r>
      <w:r>
        <w:t xml:space="preserve"> </w:t>
      </w:r>
      <w:hyperlink w:anchor="ref-2">
        <w:r>
          <w:rPr>
            <w:rStyle w:val="Hyperlink"/>
          </w:rPr>
          <w:t xml:space="preserve">[2]</w:t>
        </w:r>
      </w:hyperlink>
      <w:r>
        <w:t xml:space="preserve">. Their contribution lies in the architectural abstraction of the EO network as a graph of nodes with capacity constraints, but the value function that closes the optimization is again count-based. Coverage means the count of access opportunities satisfied; revisit means the count of returns to a target per unit time. Nowhere in the formulation does an observation acquire a value that depends on what is unknown about the scene before the observation is made.</w:t>
      </w:r>
    </w:p>
    <w:p>
      <w:pPr>
        <w:pStyle w:val="BodyText"/>
        <w:spacing w:line="480" w:lineRule="auto"/>
        <w:ind w:firstLine="720"/>
      </w:pPr>
      <w:r>
        <w:t xml:space="preserve">Constellation-design work that precedes tasking exhibits the same pattern. Imoto and colleagues optimize constellation design based on satellite ground tracks for EO missions and select among candidate constellations by ground-track coverage statistics</w:t>
      </w:r>
      <w:r>
        <w:t xml:space="preserve"> </w:t>
      </w:r>
      <w:hyperlink w:anchor="ref-7">
        <w:r>
          <w:rPr>
            <w:rStyle w:val="Hyperlink"/>
          </w:rPr>
          <w:t xml:space="preserve">[7]</w:t>
        </w:r>
      </w:hyperlink>
      <w:r>
        <w:t xml:space="preserve">. Their optimization is geometric in the strictest sense; the figure of merit is the spatial-temporal coverage envelope of the orbital design. The downstream tasking problem, given that envelope, is taken to be a separate stage, and the value structure of individual access windows within the envelope is not modeled. A parallel commitment animates the distributed-satellite-system work of Thangavel and colleagues, who develop a multidisciplinary design and optimization framework for intelligent distributed satellite systems for EO and who scale the system performance metrics in terms of platform-level engineering objectives rather than decision-theoretic ones</w:t>
      </w:r>
      <w:r>
        <w:t xml:space="preserve"> </w:t>
      </w:r>
      <w:hyperlink w:anchor="ref-8">
        <w:r>
          <w:rPr>
            <w:rStyle w:val="Hyperlink"/>
          </w:rPr>
          <w:t xml:space="preserve">[8]</w:t>
        </w:r>
      </w:hyperlink>
      <w:r>
        <w:t xml:space="preserve">.</w:t>
      </w:r>
    </w:p>
    <w:p>
      <w:pPr>
        <w:pStyle w:val="BodyText"/>
        <w:spacing w:line="480" w:lineRule="auto"/>
        <w:ind w:firstLine="720"/>
      </w:pPr>
      <w:r>
        <w:t xml:space="preserve">Specialized payload work reinforces the picture. Lowe and colleagues develop spacecraft and optics design considerations for a spaceborne lidar mission with spatially continuous global coverage and treat coverage continuity as the architectural value driver</w:t>
      </w:r>
      <w:r>
        <w:t xml:space="preserve"> </w:t>
      </w:r>
      <w:hyperlink w:anchor="ref-9">
        <w:r>
          <w:rPr>
            <w:rStyle w:val="Hyperlink"/>
          </w:rPr>
          <w:t xml:space="preserve">[9]</w:t>
        </w:r>
      </w:hyperlink>
      <w:r>
        <w:t xml:space="preserve">. The shift from passive multispectral to active lidar payloads does not, in this literature, induce a shift in the value formalism. The instrument changes; the count-based objective does not. The same observation applies to information-routing work within constellations. De Angelis and colleagues develop an information-routing scheme for satellite constellations via stereographic projection and static digraph methods, treating message delivery as the throughput object to be optimized</w:t>
      </w:r>
      <w:r>
        <w:t xml:space="preserve"> </w:t>
      </w:r>
      <w:hyperlink w:anchor="ref-26">
        <w:r>
          <w:rPr>
            <w:rStyle w:val="Hyperlink"/>
          </w:rPr>
          <w:t xml:space="preserve">[26]</w:t>
        </w:r>
      </w:hyperlink>
      <w:r>
        <w:t xml:space="preserve">. The integration of the routing layer with the tasking layer is, again, throughput-on-throughput; a value-of-information consideration does not enter.</w:t>
      </w:r>
    </w:p>
    <w:p>
      <w:pPr>
        <w:pStyle w:val="BodyText"/>
        <w:spacing w:line="480" w:lineRule="auto"/>
        <w:ind w:firstLine="720"/>
      </w:pPr>
      <w:r>
        <w:t xml:space="preserve">Two more recent contributions hint at the limits of the throughput tradition without breaking from it. Jabbarpour and colleagues survey agent-based approaches for distributed space systems and mission management and document a broad methodological migration toward decentralized planning, market mechanisms, and multi-agent negotiation as the operational scale of EO constellations has grown</w:t>
      </w:r>
      <w:r>
        <w:t xml:space="preserve"> </w:t>
      </w:r>
      <w:hyperlink w:anchor="ref-22">
        <w:r>
          <w:rPr>
            <w:rStyle w:val="Hyperlink"/>
          </w:rPr>
          <w:t xml:space="preserve">[22]</w:t>
        </w:r>
      </w:hyperlink>
      <w:r>
        <w:t xml:space="preserve">. Their survey is candid that the existing agent-based approaches, while architecturally more flexible than monolithic central planners, inherit the same count-based reward structures from the legacy planning literature. The agent architecture changes; the value structure does not. Reid and Wood, working at the application boundary on mangrove management in Rio de Janeiro, propose the Environment-Vulnerability-Decision-Technology systems-engineering framework as a means of organizing the chain from raw EO product to environmental decision</w:t>
      </w:r>
      <w:r>
        <w:t xml:space="preserve"> </w:t>
      </w:r>
      <w:hyperlink w:anchor="ref-23">
        <w:r>
          <w:rPr>
            <w:rStyle w:val="Hyperlink"/>
          </w:rPr>
          <w:t xml:space="preserve">[23]</w:t>
        </w:r>
      </w:hyperlink>
      <w:r>
        <w:t xml:space="preserve">. Their contribution is conceptual rather than algorithmic. What it asserts at the framework level, the planning literature does not assert at the optimization level, namely that the value of an EO product is the value of the decision it informs. That assertion is not, in</w:t>
      </w:r>
      <w:r>
        <w:t xml:space="preserve"> </w:t>
      </w:r>
      <w:hyperlink w:anchor="ref-23">
        <w:r>
          <w:rPr>
            <w:rStyle w:val="Hyperlink"/>
          </w:rPr>
          <w:t xml:space="preserve">[23]</w:t>
        </w:r>
      </w:hyperlink>
      <w:r>
        <w:t xml:space="preserve"> </w:t>
      </w:r>
      <w:r>
        <w:t xml:space="preserve">or elsewhere in the EO planning literature, translated into a tasking-objective specification.</w:t>
      </w:r>
    </w:p>
    <w:p>
      <w:pPr>
        <w:pStyle w:val="BodyText"/>
        <w:spacing w:line="480" w:lineRule="auto"/>
        <w:ind w:firstLine="720"/>
      </w:pPr>
      <w:r>
        <w:t xml:space="preserve">The technical state of the art in EO mission planning therefore admits an internal contradiction that the literature itself does not resolve. The application-oriented and economic literatures insist that EO products earn their value through decisions enabled. The planning literature continues to maximize request counts, weighted by exogenous priorities, on the assumption that priority encodes whatever decision value matters. The gap between assertion and operationalization is the methodological opening that this dissertation is designed to exploit.</w:t>
      </w:r>
    </w:p>
    <w:bookmarkEnd w:id="67"/>
    <w:bookmarkStart w:id="68" w:name="X34a569ffdbfdd5cfecf648b16232652ce5cc466"/>
    <w:p>
      <w:pPr>
        <w:pStyle w:val="Heading2"/>
        <w:spacing w:line="480" w:lineRule="auto"/>
      </w:pPr>
      <w:r>
        <w:t xml:space="preserve">2.3 The Space-Domain-Awareness Sensor-Tasking Literature and the Value-of-Information Formalism</w:t>
      </w:r>
    </w:p>
    <w:p>
      <w:pPr>
        <w:pStyle w:val="FirstParagraph"/>
        <w:spacing w:line="480" w:lineRule="auto"/>
      </w:pPr>
      <w:r>
        <w:t xml:space="preserve">The SDA sensor-tasking literature, by contrast, has not only stated the decision-value claim but operationalized it to a degree that the EO literature has not approached. The most influential recent statements of the VOI formalism in SDA appear in the work of Dhingra and colleagues. The 2022 contribution formalizes the impact of orbit-accuracy-based tasking on sensor-network efficiency and demonstrates that a sensor schedule selected by expected information gain, scored as the predicted reduction in orbit-state covariance from a candidate observation, dominates a schedule selected by raw observation count on the operational metric of catalog accuracy</w:t>
      </w:r>
      <w:r>
        <w:t xml:space="preserve"> </w:t>
      </w:r>
      <w:hyperlink w:anchor="ref-3">
        <w:r>
          <w:rPr>
            <w:rStyle w:val="Hyperlink"/>
          </w:rPr>
          <w:t xml:space="preserve">[3]</w:t>
        </w:r>
      </w:hyperlink>
      <w:r>
        <w:t xml:space="preserve">. The 2023 contribution extends the same formalism with optimality certificates and machine-learning surrogates that scale the VOI-weighted scheduling objective to catalog-wide problem sizes</w:t>
      </w:r>
      <w:r>
        <w:t xml:space="preserve"> </w:t>
      </w:r>
      <w:hyperlink w:anchor="ref-4">
        <w:r>
          <w:rPr>
            <w:rStyle w:val="Hyperlink"/>
          </w:rPr>
          <w:t xml:space="preserve">[4]</w:t>
        </w:r>
      </w:hyperlink>
      <w:r>
        <w:t xml:space="preserve">. The combination establishes VOI tasking as a settled and operational, not aspirational, idea in SDA practice.</w:t>
      </w:r>
    </w:p>
    <w:p>
      <w:pPr>
        <w:pStyle w:val="BodyText"/>
        <w:spacing w:line="480" w:lineRule="auto"/>
        <w:ind w:firstLine="720"/>
      </w:pPr>
      <w:r>
        <w:t xml:space="preserve">The earlier roots of this commitment are visible in the work of Gehly and Bennett, who incorporate target priorities into the sensor-tasking reward function and show that the priority-aware reward structure improves the catalog-maintenance figure of merit relative to a uniform-reward baseline</w:t>
      </w:r>
      <w:r>
        <w:t xml:space="preserve"> </w:t>
      </w:r>
      <w:hyperlink w:anchor="ref-11">
        <w:r>
          <w:rPr>
            <w:rStyle w:val="Hyperlink"/>
          </w:rPr>
          <w:t xml:space="preserve">[11]</w:t>
        </w:r>
      </w:hyperlink>
      <w:r>
        <w:t xml:space="preserve">. Their priority structure is a precursor to a full VOI formulation in that it allows the reward of an observation to depend on the latent state of the target, although the dependence in</w:t>
      </w:r>
      <w:r>
        <w:t xml:space="preserve"> </w:t>
      </w:r>
      <w:hyperlink w:anchor="ref-11">
        <w:r>
          <w:rPr>
            <w:rStyle w:val="Hyperlink"/>
          </w:rPr>
          <w:t xml:space="preserve">[11]</w:t>
        </w:r>
      </w:hyperlink>
      <w:r>
        <w:t xml:space="preserve"> </w:t>
      </w:r>
      <w:r>
        <w:t xml:space="preserve">is parameterized through a priority scalar rather than through a posterior-covariance expectation. The conceptual continuity from</w:t>
      </w:r>
      <w:r>
        <w:t xml:space="preserve"> </w:t>
      </w:r>
      <w:hyperlink w:anchor="ref-11">
        <w:r>
          <w:rPr>
            <w:rStyle w:val="Hyperlink"/>
          </w:rPr>
          <w:t xml:space="preserve">[11]</w:t>
        </w:r>
      </w:hyperlink>
      <w:r>
        <w:t xml:space="preserve"> </w:t>
      </w:r>
      <w:r>
        <w:t xml:space="preserve">to</w:t>
      </w:r>
      <w:r>
        <w:t xml:space="preserve"> </w:t>
      </w:r>
      <w:hyperlink w:anchor="ref-3">
        <w:r>
          <w:rPr>
            <w:rStyle w:val="Hyperlink"/>
          </w:rPr>
          <w:t xml:space="preserve">[3]</w:t>
        </w:r>
      </w:hyperlink>
      <w:r>
        <w:t xml:space="preserve"> </w:t>
      </w:r>
      <w:r>
        <w:t xml:space="preserve">and</w:t>
      </w:r>
      <w:r>
        <w:t xml:space="preserve"> </w:t>
      </w:r>
      <w:hyperlink w:anchor="ref-4">
        <w:r>
          <w:rPr>
            <w:rStyle w:val="Hyperlink"/>
          </w:rPr>
          <w:t xml:space="preserve">[4]</w:t>
        </w:r>
      </w:hyperlink>
      <w:r>
        <w:t xml:space="preserve"> </w:t>
      </w:r>
      <w:r>
        <w:t xml:space="preserve">is one of progressive operationalization: from priority-as-scalar, to information-gain-as-expectation, to optimality-certified information-gain-as-expectation.</w:t>
      </w:r>
    </w:p>
    <w:p>
      <w:pPr>
        <w:pStyle w:val="BodyText"/>
        <w:spacing w:line="480" w:lineRule="auto"/>
        <w:ind w:firstLine="720"/>
      </w:pPr>
      <w:r>
        <w:t xml:space="preserve">Adjacent SDA work has expanded the formalism in directions that are immediately relevant to the EO port proposed here. Fedeler, Holzinger, and Whitacre formalize sensor tasking as a partially observable Markov decision process (POMDP) and develop tree-search methods that compute approximately optimal policies under the partial-observability assumption that the SDA target state is not directly accessible</w:t>
      </w:r>
      <w:r>
        <w:t xml:space="preserve"> </w:t>
      </w:r>
      <w:hyperlink w:anchor="ref-14">
        <w:r>
          <w:rPr>
            <w:rStyle w:val="Hyperlink"/>
          </w:rPr>
          <w:t xml:space="preserve">[14]</w:t>
        </w:r>
      </w:hyperlink>
      <w:r>
        <w:t xml:space="preserve">. The POMDP formulation makes explicit what the covariance-reduction formulation leaves implicit: that the value of an observation is a value of evidence in a Bayesian belief over a latent state. Correa, Akella, Jones, and Ware develop adaptive sensor-tasking strategies for non-cooperative cislunar space objects and confirm that the VOI-style reward generalizes from the LEO catalog to the dynamically more challenging cislunar regime</w:t>
      </w:r>
      <w:r>
        <w:t xml:space="preserve"> </w:t>
      </w:r>
      <w:hyperlink w:anchor="ref-16">
        <w:r>
          <w:rPr>
            <w:rStyle w:val="Hyperlink"/>
          </w:rPr>
          <w:t xml:space="preserve">[16]</w:t>
        </w:r>
      </w:hyperlink>
      <w:r>
        <w:t xml:space="preserve">. Wilkins, Cvijic, and Faber develop a multi-agent trust framework for fusing subjective opinions with imperfect understanding in SDA using the Scruff AI framework and demonstrate that the Bayesian belief structure underlying VOI tasking is robust to the introduction of multiple, partially trustworthy information sources</w:t>
      </w:r>
      <w:r>
        <w:t xml:space="preserve"> </w:t>
      </w:r>
      <w:hyperlink w:anchor="ref-13">
        <w:r>
          <w:rPr>
            <w:rStyle w:val="Hyperlink"/>
          </w:rPr>
          <w:t xml:space="preserve">[13]</w:t>
        </w:r>
      </w:hyperlink>
      <w:r>
        <w:t xml:space="preserve">. Wozniak, Riabova, and Hijazi treat coordinated SDA as an optimized commodity market in which the tasking allocation is the result of a price-discovery mechanism over agents who bid information value</w:t>
      </w:r>
      <w:r>
        <w:t xml:space="preserve"> </w:t>
      </w:r>
      <w:hyperlink w:anchor="ref-17">
        <w:r>
          <w:rPr>
            <w:rStyle w:val="Hyperlink"/>
          </w:rPr>
          <w:t xml:space="preserve">[17]</w:t>
        </w:r>
      </w:hyperlink>
      <w:r>
        <w:t xml:space="preserve">. The variety of architectural commitments in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 and</w:t>
      </w:r>
      <w:r>
        <w:t xml:space="preserve"> </w:t>
      </w:r>
      <w:hyperlink w:anchor="ref-17">
        <w:r>
          <w:rPr>
            <w:rStyle w:val="Hyperlink"/>
          </w:rPr>
          <w:t xml:space="preserve">[17]</w:t>
        </w:r>
      </w:hyperlink>
      <w:r>
        <w:t xml:space="preserve"> </w:t>
      </w:r>
      <w:r>
        <w:t xml:space="preserve">is striking, but the variety is conditional on a common substrate: the per-observation reward is a decision-theoretic quantity.</w:t>
      </w:r>
    </w:p>
    <w:p>
      <w:pPr>
        <w:pStyle w:val="BodyText"/>
        <w:spacing w:line="480" w:lineRule="auto"/>
        <w:ind w:firstLine="720"/>
      </w:pPr>
      <w:r>
        <w:t xml:space="preserve">Two further SDA contributions are worth noting for the methodological discipline they impose. Coughlin and colleagues implement operational analytics using big-data technologies to detect and predict sensor anomalies, illustrating that the SDA community has built the data-pipeline infrastructure that a credible VOI tasking implementation requires, including the routine handling of sensor metadata, observation logs, and anomaly flags</w:t>
      </w:r>
      <w:r>
        <w:t xml:space="preserve"> </w:t>
      </w:r>
      <w:hyperlink w:anchor="ref-18">
        <w:r>
          <w:rPr>
            <w:rStyle w:val="Hyperlink"/>
          </w:rPr>
          <w:t xml:space="preserve">[18]</w:t>
        </w:r>
      </w:hyperlink>
      <w:r>
        <w:t xml:space="preserve">. Reglero Andres and colleagues, working at Amazon Web Services, demonstrate that the operational decision time for on-orbit operations can be reduced by virtualized ground stations and machine learning, which is a different optimization target than VOI but which shares the assumption that the value of a ground-station resource is the value of the decisions it enables</w:t>
      </w:r>
      <w:r>
        <w:t xml:space="preserve"> </w:t>
      </w:r>
      <w:hyperlink w:anchor="ref-15">
        <w:r>
          <w:rPr>
            <w:rStyle w:val="Hyperlink"/>
          </w:rPr>
          <w:t xml:space="preserve">[15]</w:t>
        </w:r>
      </w:hyperlink>
      <w:r>
        <w:t xml:space="preserve">. Vignelles, Le Pellec, and Gallagher document the Australian Space Agency’s inaugural SDA technology roadmap and confirm at the agency-level planning horizon that VOI-style metrics are now treated as the appropriate decision basis for sensor-network investment</w:t>
      </w:r>
      <w:r>
        <w:t xml:space="preserve"> </w:t>
      </w:r>
      <w:hyperlink w:anchor="ref-12">
        <w:r>
          <w:rPr>
            <w:rStyle w:val="Hyperlink"/>
          </w:rPr>
          <w:t xml:space="preserve">[12]</w:t>
        </w:r>
      </w:hyperlink>
      <w:r>
        <w:t xml:space="preserve">.</w:t>
      </w:r>
    </w:p>
    <w:p>
      <w:pPr>
        <w:pStyle w:val="BodyText"/>
        <w:spacing w:line="480" w:lineRule="auto"/>
        <w:ind w:firstLine="720"/>
      </w:pPr>
      <w:r>
        <w:t xml:space="preserve">The SDA literature has thus arrived at three commitments that the EO mission-planning literature has not. First, the reward structure of a sensor-tasking optimization is a Bayesian expectation over a posterior belief about a latent state, not a count of fulfilled requests. Second, the prior and the observation likelihood are specified in advance of the scheduling run and are auditable, which makes the VOI score a falsifiable construct rather than a researcher artifact. Third, the scheduling layer and the decision layer are conceptually distinct but quantitatively coupled, so that improvements in the tasking objective propagate as improvements in the downstream decision quality. The methodological migration that the present dissertation proposes is to import these three commitments into the EO context while preserving the geometric substrate, the constraint specification, and the constellation model that the EO literature has developed</w:t>
      </w:r>
      <w:r>
        <w:t xml:space="preserve"> </w:t>
      </w:r>
      <w:hyperlink w:anchor="ref-1">
        <w:r>
          <w:rPr>
            <w:rStyle w:val="Hyperlink"/>
          </w:rPr>
          <w:t xml:space="preserve">[1]</w:t>
        </w:r>
      </w:hyperlink>
      <w:r>
        <w:t xml:space="preserve">[2][7][8].</w:t>
      </w:r>
    </w:p>
    <w:bookmarkEnd w:id="68"/>
    <w:bookmarkStart w:id="69" w:name="Xc8c95f998bbbdb63c6e7842e7f3f6f9adbe3867"/>
    <w:p>
      <w:pPr>
        <w:pStyle w:val="Heading2"/>
        <w:spacing w:line="480" w:lineRule="auto"/>
      </w:pPr>
      <w:r>
        <w:t xml:space="preserve">2.4 The Cliometric and Economic Methodology Literature on EO Value</w:t>
      </w:r>
    </w:p>
    <w:p>
      <w:pPr>
        <w:pStyle w:val="FirstParagraph"/>
        <w:spacing w:line="480" w:lineRule="auto"/>
      </w:pPr>
      <w:r>
        <w:t xml:space="preserve">The third strand of the literature relevant to this dissertation is the cliometric and applied-economic work on the value of space-derived information. This strand is the one that supplies the conceptual content of</w:t>
      </w:r>
      <w:r>
        <w:t xml:space="preserve"> </w:t>
      </w:r>
      <w:r>
        <w:t xml:space="preserve">“decision value”</w:t>
      </w:r>
      <w:r>
        <w:t xml:space="preserve"> </w:t>
      </w:r>
      <w:r>
        <w:t xml:space="preserve">at the application boundary and that justifies the importation of a VOI formalism into a context in which the latent state is not an orbit-state covariance but an Earth-system decision variable. The space-economy literature is candid that EO products are valued by the decisions they inform rather than by their raw count. The treatment in the Space Economy Papers corpus characterizes EO as the</w:t>
      </w:r>
      <w:r>
        <w:t xml:space="preserve"> </w:t>
      </w:r>
      <w:r>
        <w:t xml:space="preserve">“gathering of information about the Earth’s surface and atmosphere”</w:t>
      </w:r>
      <w:r>
        <w:t xml:space="preserve"> </w:t>
      </w:r>
      <w:r>
        <w:t xml:space="preserve">and frames the value chain as one in which raw observations are converted, through a series of intermediating processes, into decisions on policy, operations, and resource allocation</w:t>
      </w:r>
      <w:r>
        <w:t xml:space="preserve"> </w:t>
      </w:r>
      <w:hyperlink w:anchor="ref-5">
        <w:r>
          <w:rPr>
            <w:rStyle w:val="Hyperlink"/>
          </w:rPr>
          <w:t xml:space="preserve">[5]</w:t>
        </w:r>
      </w:hyperlink>
      <w:r>
        <w:t xml:space="preserve">. Weinzierl, in a foundational treatment of space as the final economic frontier, argues that the welfare gains from space activity accrue through decisions enabled in terrestrial economies rather than through space activity in isolation, and identifies EO as the leading example of this welfare-through-decisions pathway</w:t>
      </w:r>
      <w:r>
        <w:t xml:space="preserve"> </w:t>
      </w:r>
      <w:hyperlink w:anchor="ref-6">
        <w:r>
          <w:rPr>
            <w:rStyle w:val="Hyperlink"/>
          </w:rPr>
          <w:t xml:space="preserve">[6]</w:t>
        </w:r>
      </w:hyperlink>
      <w:r>
        <w:t xml:space="preserve">.</w:t>
      </w:r>
    </w:p>
    <w:p>
      <w:pPr>
        <w:pStyle w:val="BodyText"/>
        <w:spacing w:line="480" w:lineRule="auto"/>
        <w:ind w:firstLine="720"/>
      </w:pPr>
      <w:r>
        <w:t xml:space="preserve">The end-user perspective on satellite data and solutions has been developed with particular care by Paravano, Locatelli, and Trucco, whose contribution to the New Space Economy literature documents that the value of a satellite product is realized by an end-user whose decision is informed by the product, and that the conventional metrics of throughput and revisit are weak proxies for end-user value</w:t>
      </w:r>
      <w:r>
        <w:t xml:space="preserve"> </w:t>
      </w:r>
      <w:hyperlink w:anchor="ref-21">
        <w:r>
          <w:rPr>
            <w:rStyle w:val="Hyperlink"/>
          </w:rPr>
          <w:t xml:space="preserve">[21]</w:t>
        </w:r>
      </w:hyperlink>
      <w:r>
        <w:t xml:space="preserve">. Their empirical finding is that end-users systematically discount products that arrive at the wrong time or that resolve a decision the end-user has already made, regardless of the technical quality of the underlying observation. The implication for tasking is direct: a scheduler that maximizes the count of fulfilled requests is maximizing a quantity that the end-user, by</w:t>
      </w:r>
      <w:r>
        <w:t xml:space="preserve"> </w:t>
      </w:r>
      <w:hyperlink w:anchor="ref-21">
        <w:r>
          <w:rPr>
            <w:rStyle w:val="Hyperlink"/>
          </w:rPr>
          <w:t xml:space="preserve">[21]</w:t>
        </w:r>
      </w:hyperlink>
      <w:r>
        <w:t xml:space="preserve">’s evidence, does not value linearly. The cliometric warrant for a VOI-weighted EO scheduler is precisely this nonlinearity.</w:t>
      </w:r>
    </w:p>
    <w:p>
      <w:pPr>
        <w:pStyle w:val="BodyText"/>
        <w:spacing w:line="480" w:lineRule="auto"/>
        <w:ind w:firstLine="720"/>
      </w:pPr>
      <w:r>
        <w:t xml:space="preserve">The structural-change literature on EO markets reinforces the same conclusion from a different angle. Denis and colleagues survey the possible disruptions in EO and document a structural shift in which the EO sector is migrating from a government-customer model to a multi-customer model in which the heterogeneity of decision contexts is the dominant source of variance in observation value</w:t>
      </w:r>
      <w:r>
        <w:t xml:space="preserve"> </w:t>
      </w:r>
      <w:hyperlink w:anchor="ref-20">
        <w:r>
          <w:rPr>
            <w:rStyle w:val="Hyperlink"/>
          </w:rPr>
          <w:t xml:space="preserve">[20]</w:t>
        </w:r>
      </w:hyperlink>
      <w:r>
        <w:t xml:space="preserve">. The implication is that the single-decision, single-customer assumption embedded in priority-weighted throughput optimization is becoming progressively less defensible as the EO sector matures. A tasking objective that does not represent decision-context heterogeneity is leaving an increasing share of the cross-customer value variance on the table.</w:t>
      </w:r>
    </w:p>
    <w:p>
      <w:pPr>
        <w:pStyle w:val="BodyText"/>
        <w:spacing w:line="480" w:lineRule="auto"/>
        <w:ind w:firstLine="720"/>
      </w:pPr>
      <w:r>
        <w:t xml:space="preserve">The decision-support work of Smith, Jah, and Wood at the boundary between SDA and EO supplies a model of how the application-oriented value formalism is built. Their architecture for a decision-support system for continuing supervision of commercial in-space servicing identifies the latent decision variable explicitly, the prior over that decision variable, and the observation likelihood through which a candidate observation updates the decision variable</w:t>
      </w:r>
      <w:r>
        <w:t xml:space="preserve"> </w:t>
      </w:r>
      <w:hyperlink w:anchor="ref-19">
        <w:r>
          <w:rPr>
            <w:rStyle w:val="Hyperlink"/>
          </w:rPr>
          <w:t xml:space="preserve">[19]</w:t>
        </w:r>
      </w:hyperlink>
      <w:r>
        <w:t xml:space="preserve">. The architecture is presented in the SDA-adjacent context of in-space servicing, but the structural commitments are domain-general and translate directly to the EO tasking context. Reid and Wood’s Environment-Vulnerability-Decision-Technology framework, cited above in the EO context, provides the parallel architectural commitment at the EO end of the application boundary</w:t>
      </w:r>
      <w:r>
        <w:t xml:space="preserve"> </w:t>
      </w:r>
      <w:hyperlink w:anchor="ref-23">
        <w:r>
          <w:rPr>
            <w:rStyle w:val="Hyperlink"/>
          </w:rPr>
          <w:t xml:space="preserve">[23]</w:t>
        </w:r>
      </w:hyperlink>
      <w:r>
        <w:t xml:space="preserve">.</w:t>
      </w:r>
    </w:p>
    <w:p>
      <w:pPr>
        <w:pStyle w:val="BodyText"/>
        <w:spacing w:line="480" w:lineRule="auto"/>
        <w:ind w:firstLine="720"/>
      </w:pPr>
      <w:r>
        <w:t xml:space="preserve">A further class of application-oriented contributions deserves notice because it illustrates the breadth of decision contexts in which VOI-style reasoning has been deployed at the conceptual level even where it has not yet been operationalized at the tasking level. Ikeya and colleagues develop a multi-objective decision-making framework for the flexible design and planning of oxygen-production facilities in an uncertain lunar environment and treat the value of an observation as the expected reduction in the posterior uncertainty over the latent demand variable</w:t>
      </w:r>
      <w:r>
        <w:t xml:space="preserve"> </w:t>
      </w:r>
      <w:hyperlink w:anchor="ref-24">
        <w:r>
          <w:rPr>
            <w:rStyle w:val="Hyperlink"/>
          </w:rPr>
          <w:t xml:space="preserve">[24]</w:t>
        </w:r>
      </w:hyperlink>
      <w:r>
        <w:t xml:space="preserve">. Dias Alves, Peyroteo, and Velez Lapao conduct a scoping review of immediate management of medical emergencies in space and document that decision-support tools in that context are valued by the posterior decision quality they enable rather than by the data volume they generate</w:t>
      </w:r>
      <w:r>
        <w:t xml:space="preserve"> </w:t>
      </w:r>
      <w:hyperlink w:anchor="ref-25">
        <w:r>
          <w:rPr>
            <w:rStyle w:val="Hyperlink"/>
          </w:rPr>
          <w:t xml:space="preserve">[25]</w:t>
        </w:r>
      </w:hyperlink>
      <w:r>
        <w:t xml:space="preserve">. The cumulative weight of</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 and</w:t>
      </w:r>
      <w:r>
        <w:t xml:space="preserve"> </w:t>
      </w:r>
      <w:hyperlink w:anchor="ref-25">
        <w:r>
          <w:rPr>
            <w:rStyle w:val="Hyperlink"/>
          </w:rPr>
          <w:t xml:space="preserve">[25]</w:t>
        </w:r>
      </w:hyperlink>
      <w:r>
        <w:t xml:space="preserve"> </w:t>
      </w:r>
      <w:r>
        <w:t xml:space="preserve">is that the application-side literature, in domains ranging from in-space servicing to lunar resource utilization to space medicine, has converged on a decision-theoretic value formalism that the EO mission-planning literature alone continues to resist.</w:t>
      </w:r>
    </w:p>
    <w:p>
      <w:pPr>
        <w:pStyle w:val="BodyText"/>
        <w:spacing w:line="480" w:lineRule="auto"/>
        <w:ind w:firstLine="720"/>
      </w:pPr>
      <w:r>
        <w:t xml:space="preserve">The cliometric literature also imposes empirical discipline on the cost side, which the empirical chapter of this dissertation has already exploited. The GAO Major Project Assessment series documents the acquisition cost of operational NASA EO programs at a level of provenance that supports cross-mission regression</w:t>
      </w:r>
      <w:r>
        <w:t xml:space="preserve"> </w:t>
      </w:r>
      <w:hyperlink w:anchor="ref-10">
        <w:r>
          <w:rPr>
            <w:rStyle w:val="Hyperlink"/>
          </w:rPr>
          <w:t xml:space="preserve">[10]</w:t>
        </w:r>
      </w:hyperlink>
      <w:r>
        <w:t xml:space="preserve">. The cross-mission cost structure that emerges from that regression, with mass and instrument class dominating the explained variance and constellation size entering negatively but with limited statistical precision, is the budget-officer counterpart to the VOI argument on the tasking side. The integration of the two sides, decision value per observation and acquisition cost per observation, is the cliometric closure that the dissertation seeks.</w:t>
      </w:r>
    </w:p>
    <w:bookmarkEnd w:id="69"/>
    <w:bookmarkStart w:id="70" w:name="synthesis-and-statement-of-the-gap"/>
    <w:p>
      <w:pPr>
        <w:pStyle w:val="Heading2"/>
        <w:spacing w:line="480" w:lineRule="auto"/>
      </w:pPr>
      <w:r>
        <w:t xml:space="preserve">2.5 Synthesis and Statement of the Gap</w:t>
      </w:r>
    </w:p>
    <w:p>
      <w:pPr>
        <w:pStyle w:val="FirstParagraph"/>
        <w:spacing w:line="480" w:lineRule="auto"/>
      </w:pPr>
      <w:r>
        <w:t xml:space="preserve">The three strands of literature reviewed in this chapter converge on a single methodological observation. The technical EO mission-planning literature has built a sophisticated optimization machinery for assigning requests to access windows but has not specified a reward structure that is decision-theoretically defensible</w:t>
      </w:r>
      <w:r>
        <w:t xml:space="preserve"> </w:t>
      </w:r>
      <w:hyperlink w:anchor="ref-1">
        <w:r>
          <w:rPr>
            <w:rStyle w:val="Hyperlink"/>
          </w:rPr>
          <w:t xml:space="preserve">[1]</w:t>
        </w:r>
      </w:hyperlink>
      <w:r>
        <w:t xml:space="preserve">[2][7][8][9][22][26]. The SDA sensor-tasking literature has specified exactly such a reward structure, the value-of-information score, and has demonstrated its operational viability at catalog scale</w:t>
      </w:r>
      <w:r>
        <w:t xml:space="preserve"> </w:t>
      </w:r>
      <w:hyperlink w:anchor="ref-3">
        <w:r>
          <w:rPr>
            <w:rStyle w:val="Hyperlink"/>
          </w:rPr>
          <w:t xml:space="preserve">[3]</w:t>
        </w:r>
      </w:hyperlink>
      <w:r>
        <w:t xml:space="preserve">[4][11][12][13][14][16][17]. The cliometric and economic literature on EO value has provided the conceptual content of</w:t>
      </w:r>
      <w:r>
        <w:t xml:space="preserve"> </w:t>
      </w:r>
      <w:r>
        <w:t xml:space="preserve">“decision value”</w:t>
      </w:r>
      <w:r>
        <w:t xml:space="preserve"> </w:t>
      </w:r>
      <w:r>
        <w:t xml:space="preserve">at the application boundary and has shown that end-user value is nonlinear in throughput in a manner that priority-weighted throughput optimization cannot represent</w:t>
      </w:r>
      <w:r>
        <w:t xml:space="preserve"> </w:t>
      </w:r>
      <w:hyperlink w:anchor="ref-5">
        <w:r>
          <w:rPr>
            <w:rStyle w:val="Hyperlink"/>
          </w:rPr>
          <w:t xml:space="preserve">[5]</w:t>
        </w:r>
      </w:hyperlink>
      <w:r>
        <w:t xml:space="preserve">[6][19][20][21][23][24][25]. The three literatures have advanced in parallel.</w:t>
      </w:r>
    </w:p>
    <w:p>
      <w:pPr>
        <w:pStyle w:val="BodyText"/>
        <w:spacing w:line="480" w:lineRule="auto"/>
        <w:ind w:firstLine="720"/>
      </w:pPr>
      <w:r>
        <w:t xml:space="preserve">The gap is precise and falsifiable. There exists a validated VOI tasking formalism in SDA, a stated but unoperationalized claim of decision value in EO, and a methodological tradition in space economics that asserts the unoperationalized claim as a structural feature of the EO value chain. No contribution in the published record has connected the three strands by importing the SDA formalism into the EO tasking layer with the cliometric value content supplied at the prior and the decision-variable specification. The dissertation occupies exactly that empty cell. The prior empirical paper on the cost side has already established that the cost-per-observation quantity, which is the budget-officer denominator of any VOI-per-dollar argument, has substantial residual variance after the dominant design variables are controlled, which is the room within which a per-observation value argument has to operate</w:t>
      </w:r>
      <w:r>
        <w:t xml:space="preserve"> </w:t>
      </w:r>
      <w:hyperlink w:anchor="ref-10">
        <w:r>
          <w:rPr>
            <w:rStyle w:val="Hyperlink"/>
          </w:rPr>
          <w:t xml:space="preserve">[10]</w:t>
        </w:r>
      </w:hyperlink>
      <w:r>
        <w:t xml:space="preserve">. The remaining task is to construct the numerator.</w:t>
      </w:r>
    </w:p>
    <w:p>
      <w:pPr>
        <w:pStyle w:val="BodyText"/>
        <w:spacing w:line="480" w:lineRule="auto"/>
        <w:ind w:firstLine="720"/>
      </w:pPr>
      <w:r>
        <w:t xml:space="preserve">The gap is not merely an absence of a particular optimization formulation. It is a methodological asymmetry between two communities that work on technically adjacent problems with conceptually identical structure. The SDA community recognized in the 2010s that a sensor schedule selected by raw count is suboptimal for catalog maintenance and migrated to VOI-weighted reward structures</w:t>
      </w:r>
      <w:r>
        <w:t xml:space="preserve"> </w:t>
      </w:r>
      <w:hyperlink w:anchor="ref-3">
        <w:r>
          <w:rPr>
            <w:rStyle w:val="Hyperlink"/>
          </w:rPr>
          <w:t xml:space="preserve">[3]</w:t>
        </w:r>
      </w:hyperlink>
      <w:r>
        <w:t xml:space="preserve">[4][11]. The EO community has not yet undertaken the equivalent migration, and the present review has documented that the absence is not for lack of cliometric warrant from the application side. The dissertation is a controlled test of whether the migration is empirically defensible in the EO setting, under the conservative null that priority-weighted throughput is already capturing whatever decision value an EO scheduler can capture, and under the alternative that VOI-weighted scheduling reallocates capacity toward decision-relevant observations without cannibalizing priority service.</w:t>
      </w:r>
    </w:p>
    <w:bookmarkEnd w:id="70"/>
    <w:bookmarkStart w:id="71" w:name="X3531f6505a2c57b9d5e0b1006de6c2c89236332"/>
    <w:p>
      <w:pPr>
        <w:pStyle w:val="Heading2"/>
        <w:spacing w:line="480" w:lineRule="auto"/>
      </w:pPr>
      <w:r>
        <w:t xml:space="preserve">2.6 Methodological Commitments Inherited from the Literature</w:t>
      </w:r>
    </w:p>
    <w:p>
      <w:pPr>
        <w:pStyle w:val="FirstParagraph"/>
        <w:spacing w:line="480" w:lineRule="auto"/>
      </w:pPr>
      <w:r>
        <w:t xml:space="preserve">Several methodological commitments follow from the literature and constrain the empirical chapters that follow. First, the geometric substrate must be inherited from the published EO planning literature rather than constructed de novo, because the contribution of this dissertation is on the reward structure rather than on the access-window combinatorics. The Cox, Humble, and Droge mission-planning model is the appropriate substrate because it is explicit about constraints, agility, and crosslink architecture, and because it has been validated for representative EO configurations</w:t>
      </w:r>
      <w:r>
        <w:t xml:space="preserve"> </w:t>
      </w:r>
      <w:hyperlink w:anchor="ref-1">
        <w:r>
          <w:rPr>
            <w:rStyle w:val="Hyperlink"/>
          </w:rPr>
          <w:t xml:space="preserve">[1]</w:t>
        </w:r>
      </w:hyperlink>
      <w:r>
        <w:t xml:space="preserve">. The Tonetti architectural model supplies the network-level abstraction that allows the substrate to be regenerated across constellation sizes and orbital regimes for robustness checks</w:t>
      </w:r>
      <w:r>
        <w:t xml:space="preserve"> </w:t>
      </w:r>
      <w:hyperlink w:anchor="ref-2">
        <w:r>
          <w:rPr>
            <w:rStyle w:val="Hyperlink"/>
          </w:rPr>
          <w:t xml:space="preserve">[2]</w:t>
        </w:r>
      </w:hyperlink>
      <w:r>
        <w:t xml:space="preserve">. Constellation-design parameters are inherited from the ground-track and distributed-system literatures</w:t>
      </w:r>
      <w:r>
        <w:t xml:space="preserve"> </w:t>
      </w:r>
      <w:hyperlink w:anchor="ref-7">
        <w:r>
          <w:rPr>
            <w:rStyle w:val="Hyperlink"/>
          </w:rPr>
          <w:t xml:space="preserve">[7]</w:t>
        </w:r>
      </w:hyperlink>
      <w:r>
        <w:t xml:space="preserve">[8].</w:t>
      </w:r>
    </w:p>
    <w:p>
      <w:pPr>
        <w:pStyle w:val="BodyText"/>
        <w:spacing w:line="480" w:lineRule="auto"/>
        <w:ind w:firstLine="720"/>
      </w:pPr>
      <w:r>
        <w:t xml:space="preserve">Second, the VOI layer must be specified in the Bayesian form that the SDA literature has validated, with an explicit prior over the latent state, an explicit observation likelihood, and an expected-posterior-uncertainty-reduction score as the per-observation reward. The Dhingra formulation is the appropriate template because it has been demonstrated to scale and because the optimality-certificate machinery in</w:t>
      </w:r>
      <w:r>
        <w:t xml:space="preserve"> </w:t>
      </w:r>
      <w:hyperlink w:anchor="ref-4">
        <w:r>
          <w:rPr>
            <w:rStyle w:val="Hyperlink"/>
          </w:rPr>
          <w:t xml:space="preserve">[4]</w:t>
        </w:r>
      </w:hyperlink>
      <w:r>
        <w:t xml:space="preserve"> </w:t>
      </w:r>
      <w:r>
        <w:t xml:space="preserve">provides an external check on the quality of the scheduler. The POMDP formulation in</w:t>
      </w:r>
      <w:r>
        <w:t xml:space="preserve"> </w:t>
      </w:r>
      <w:hyperlink w:anchor="ref-14">
        <w:r>
          <w:rPr>
            <w:rStyle w:val="Hyperlink"/>
          </w:rPr>
          <w:t xml:space="preserve">[14]</w:t>
        </w:r>
      </w:hyperlink>
      <w:r>
        <w:t xml:space="preserve"> </w:t>
      </w:r>
      <w:r>
        <w:t xml:space="preserve">supplies the conceptual structure for the partial-observability assumption, which is binding in the EO setting because the Earth-system decision variable is not directly accessible. The multi-agent trust formulation in</w:t>
      </w:r>
      <w:r>
        <w:t xml:space="preserve"> </w:t>
      </w:r>
      <w:hyperlink w:anchor="ref-13">
        <w:r>
          <w:rPr>
            <w:rStyle w:val="Hyperlink"/>
          </w:rPr>
          <w:t xml:space="preserve">[13]</w:t>
        </w:r>
      </w:hyperlink>
      <w:r>
        <w:t xml:space="preserve"> </w:t>
      </w:r>
      <w:r>
        <w:t xml:space="preserve">supplies a structural template for the eventual extension to multi-source EO contexts, although the dissertation’s primary identification will use a single-source, single-decision formulation for tractability.</w:t>
      </w:r>
    </w:p>
    <w:p>
      <w:pPr>
        <w:pStyle w:val="BodyText"/>
        <w:spacing w:line="480" w:lineRule="auto"/>
        <w:ind w:firstLine="720"/>
      </w:pPr>
      <w:r>
        <w:t xml:space="preserve">Third, the decision-variable specification at the application boundary must be anchored in an external taxonomy rather than constructed by the investigator, because the principal threat to construct validity is that the VOI score is a researcher artifact. The Sustainable Development Goal monitoring framing in</w:t>
      </w:r>
      <w:r>
        <w:t xml:space="preserve"> </w:t>
      </w:r>
      <w:hyperlink w:anchor="ref-5">
        <w:r>
          <w:rPr>
            <w:rStyle w:val="Hyperlink"/>
          </w:rPr>
          <w:t xml:space="preserve">[5]</w:t>
        </w:r>
      </w:hyperlink>
      <w:r>
        <w:t xml:space="preserve"> </w:t>
      </w:r>
      <w:r>
        <w:t xml:space="preserve">supplies the necessary taxonomy, and the end-user perspective in</w:t>
      </w:r>
      <w:r>
        <w:t xml:space="preserve"> </w:t>
      </w:r>
      <w:hyperlink w:anchor="ref-21">
        <w:r>
          <w:rPr>
            <w:rStyle w:val="Hyperlink"/>
          </w:rPr>
          <w:t xml:space="preserve">[21]</w:t>
        </w:r>
      </w:hyperlink>
      <w:r>
        <w:t xml:space="preserve"> </w:t>
      </w:r>
      <w:r>
        <w:t xml:space="preserve">supplies the empirical evidence that the decision variables in that taxonomy are the ones whose posterior reduction end-users actually value. The Environment-Vulnerability-Decision-Technology framework in</w:t>
      </w:r>
      <w:r>
        <w:t xml:space="preserve"> </w:t>
      </w:r>
      <w:hyperlink w:anchor="ref-23">
        <w:r>
          <w:rPr>
            <w:rStyle w:val="Hyperlink"/>
          </w:rPr>
          <w:t xml:space="preserve">[23]</w:t>
        </w:r>
      </w:hyperlink>
      <w:r>
        <w:t xml:space="preserve"> </w:t>
      </w:r>
      <w:r>
        <w:t xml:space="preserve">supplies a conceptual cross-check on the taxonomy at the application level.</w:t>
      </w:r>
    </w:p>
    <w:p>
      <w:pPr>
        <w:pStyle w:val="BodyText"/>
        <w:spacing w:line="480" w:lineRule="auto"/>
        <w:ind w:firstLine="720"/>
      </w:pPr>
      <w:r>
        <w:t xml:space="preserve">Fourth, the comparison between the throughput baseline and the VOI treatment must be conducted on identical geometric inputs to isolate the objective function as the manipulated variable. The within-input, between-objective contrast is the cleanest identification available for a scheduling claim, and it is the contrast that the prospectus specifies. The non-inferiority test on the count of high-priority requests served is the methodological commitment that protects the comparison from the trivial criticism that VOI maximization sacrifices priority service. The pre-registration of the non-inferiority margin is the methodological commitment that protects the comparison from multiplicity-driven false positives.</w:t>
      </w:r>
    </w:p>
    <w:p>
      <w:pPr>
        <w:pStyle w:val="BodyText"/>
        <w:spacing w:line="480" w:lineRule="auto"/>
        <w:ind w:firstLine="720"/>
      </w:pPr>
      <w:r>
        <w:t xml:space="preserve">Fifth, the empirical chapter on acquisition cost has already established the cost-per-observation slack within which a value-per-observation argument has to operate</w:t>
      </w:r>
      <w:r>
        <w:t xml:space="preserve"> </w:t>
      </w:r>
      <w:hyperlink w:anchor="ref-10">
        <w:r>
          <w:rPr>
            <w:rStyle w:val="Hyperlink"/>
          </w:rPr>
          <w:t xml:space="preserve">[10]</w:t>
        </w:r>
      </w:hyperlink>
      <w:r>
        <w:t xml:space="preserve">. The cliometric integration of cost and value is the closure of the dissertation, and the cliometric warrant for the integration is the structural argument in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20">
        <w:r>
          <w:rPr>
            <w:rStyle w:val="Hyperlink"/>
          </w:rPr>
          <w:t xml:space="preserve">[20]</w:t>
        </w:r>
      </w:hyperlink>
      <w:r>
        <w:t xml:space="preserve">, and</w:t>
      </w:r>
      <w:r>
        <w:t xml:space="preserve"> </w:t>
      </w:r>
      <w:hyperlink w:anchor="ref-21">
        <w:r>
          <w:rPr>
            <w:rStyle w:val="Hyperlink"/>
          </w:rPr>
          <w:t xml:space="preserve">[21]</w:t>
        </w:r>
      </w:hyperlink>
      <w:r>
        <w:t xml:space="preserve"> </w:t>
      </w:r>
      <w:r>
        <w:t xml:space="preserve">that EO value is realized by end-user decisions and that the cost of supplying an observation is the constellation acquisition cost amortized across the lifetime image count. The two sides of the integration are independently estimated, the cost side from a cross-mission regression and the value side from a controlled replanning experiment, which is the methodological discipline that the cliometric literature on space-economy measurement requires.</w:t>
      </w:r>
    </w:p>
    <w:p>
      <w:pPr>
        <w:pStyle w:val="BodyText"/>
        <w:spacing w:line="480" w:lineRule="auto"/>
        <w:ind w:firstLine="720"/>
      </w:pPr>
      <w:r>
        <w:t xml:space="preserve">The remaining chapters of the dissertation build on this foundation. The next chapter specifies the formal optimization model that inherits the geometric substrate from</w:t>
      </w:r>
      <w:r>
        <w:t xml:space="preserve"> </w:t>
      </w:r>
      <w:hyperlink w:anchor="ref-1">
        <w:r>
          <w:rPr>
            <w:rStyle w:val="Hyperlink"/>
          </w:rPr>
          <w:t xml:space="preserve">[1]</w:t>
        </w:r>
      </w:hyperlink>
      <w:r>
        <w:t xml:space="preserve"> </w:t>
      </w:r>
      <w:r>
        <w:t xml:space="preserve">and</w:t>
      </w:r>
      <w:r>
        <w:t xml:space="preserve"> </w:t>
      </w:r>
      <w:hyperlink w:anchor="ref-2">
        <w:r>
          <w:rPr>
            <w:rStyle w:val="Hyperlink"/>
          </w:rPr>
          <w:t xml:space="preserve">[2]</w:t>
        </w:r>
      </w:hyperlink>
      <w:r>
        <w:t xml:space="preserve"> </w:t>
      </w:r>
      <w:r>
        <w:t xml:space="preserve">and that introduces the VOI reward structure adapted from</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w:t>
      </w:r>
      <w:r>
        <w:t xml:space="preserve"> </w:t>
      </w:r>
      <w:hyperlink w:anchor="ref-14">
        <w:r>
          <w:rPr>
            <w:rStyle w:val="Hyperlink"/>
          </w:rPr>
          <w:t xml:space="preserve">[14]</w:t>
        </w:r>
      </w:hyperlink>
      <w:r>
        <w:t xml:space="preserve">. The chapter after that specifies the controlled replanning experiment and the statistical protocol. The penultimate chapter integrates the empirical cost results from the first paper with the empirical value results from the experiment, in the cliometric frame that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20">
        <w:r>
          <w:rPr>
            <w:rStyle w:val="Hyperlink"/>
          </w:rPr>
          <w:t xml:space="preserve">[20]</w:t>
        </w:r>
      </w:hyperlink>
      <w:r>
        <w:t xml:space="preserve">, and</w:t>
      </w:r>
      <w:r>
        <w:t xml:space="preserve"> </w:t>
      </w:r>
      <w:hyperlink w:anchor="ref-21">
        <w:r>
          <w:rPr>
            <w:rStyle w:val="Hyperlink"/>
          </w:rPr>
          <w:t xml:space="preserve">[21]</w:t>
        </w:r>
      </w:hyperlink>
      <w:r>
        <w:t xml:space="preserve"> </w:t>
      </w:r>
      <w:r>
        <w:t xml:space="preserve">supply. The final chapter discusses the implications for EO program design, for the cliometric measurement of EO welfare, and for the broader migration of decision-theoretic reward structures from SDA into adjacent space-systems contexts.</w:t>
      </w:r>
    </w:p>
    <w:p>
      <w:pPr>
        <w:pStyle w:val="BodyText"/>
        <w:spacing w:line="480" w:lineRule="auto"/>
        <w:ind w:firstLine="720"/>
      </w:pPr>
      <w:r>
        <w:t xml:space="preserve">The literature reviewed here permits the inference that this migration is overdue. The technical machinery exists</w:t>
      </w:r>
      <w:r>
        <w:t xml:space="preserve"> </w:t>
      </w:r>
      <w:hyperlink w:anchor="ref-3">
        <w:r>
          <w:rPr>
            <w:rStyle w:val="Hyperlink"/>
          </w:rPr>
          <w:t xml:space="preserve">[3]</w:t>
        </w:r>
      </w:hyperlink>
      <w:r>
        <w:t xml:space="preserve">[4][11][13][14][16][17]. The cliometric warrant exists</w:t>
      </w:r>
      <w:r>
        <w:t xml:space="preserve"> </w:t>
      </w:r>
      <w:hyperlink w:anchor="ref-5">
        <w:r>
          <w:rPr>
            <w:rStyle w:val="Hyperlink"/>
          </w:rPr>
          <w:t xml:space="preserve">[5]</w:t>
        </w:r>
      </w:hyperlink>
      <w:r>
        <w:t xml:space="preserve">[6][19][20][21][23][24][25]. The geometric substrate exists</w:t>
      </w:r>
      <w:r>
        <w:t xml:space="preserve"> </w:t>
      </w:r>
      <w:hyperlink w:anchor="ref-1">
        <w:r>
          <w:rPr>
            <w:rStyle w:val="Hyperlink"/>
          </w:rPr>
          <w:t xml:space="preserve">[1]</w:t>
        </w:r>
      </w:hyperlink>
      <w:r>
        <w:t xml:space="preserve">[2][7][8][9][22][26]. What does not yet exist is the controlled test that connects them, and it is the construction of that test that occupies the remainder of this dissertation.</w:t>
      </w:r>
    </w:p>
    <w:bookmarkEnd w:id="71"/>
    <w:bookmarkEnd w:id="72"/>
    <w:bookmarkStart w:id="80" w:name="Xcfcc00a3ded59aed0c781c16bfc121f2a509603"/>
    <w:p>
      <w:pPr>
        <w:pStyle w:val="Heading1"/>
        <w:spacing w:line="480" w:lineRule="auto"/>
      </w:pPr>
      <w:r>
        <w:t xml:space="preserve">Chapter 3. Theoretical Framework and Hypotheses</w:t>
      </w:r>
    </w:p>
    <w:bookmarkStart w:id="73" w:name="orientation"/>
    <w:p>
      <w:pPr>
        <w:pStyle w:val="Heading2"/>
        <w:spacing w:line="480" w:lineRule="auto"/>
      </w:pPr>
      <w:r>
        <w:t xml:space="preserve">3.1 Orientation</w:t>
      </w:r>
    </w:p>
    <w:p>
      <w:pPr>
        <w:pStyle w:val="FirstParagraph"/>
        <w:spacing w:line="480" w:lineRule="auto"/>
      </w:pPr>
      <w:r>
        <w:t xml:space="preserve">The preceding chapters established two empirical anchors. The first is that Earth-observation (EO) tasking, as currently practiced in the published planning literature, is a throughput-maximization problem in which every fulfilled request is treated as interchangeable with every other</w:t>
      </w:r>
      <w:r>
        <w:t xml:space="preserve"> </w:t>
      </w:r>
      <w:hyperlink w:anchor="ref-1">
        <w:r>
          <w:rPr>
            <w:rStyle w:val="Hyperlink"/>
          </w:rPr>
          <w:t xml:space="preserve">[1]</w:t>
        </w:r>
      </w:hyperlink>
      <w:r>
        <w:t xml:space="preserve">[2]. The second is that the acquisition cost of an EO mission is dominated by payload mass and instrument class, with constellation size entering negatively but with a per-image cost-reduction effect that is modest at present sample sizes</w:t>
      </w:r>
      <w:r>
        <w:t xml:space="preserve"> </w:t>
      </w:r>
      <w:hyperlink w:anchor="ref-8">
        <w:r>
          <w:rPr>
            <w:rStyle w:val="Hyperlink"/>
          </w:rPr>
          <w:t xml:space="preserve">[8]</w:t>
        </w:r>
      </w:hyperlink>
      <w:r>
        <w:t xml:space="preserve">. Together these two observations bracket the question this dissertation answers. If the supply side of EO imagery is expensive and only modestly elastic in scale, then the demand-side allocation of that scarce supply matters disproportionately, and the appropriate objective on the demand side is whatever objective best matches what the user community actually does with the imagery. The present chapter develops the theoretical case that the matching objective is expected decision-relevant information rather than fulfilled-request count, derives the causal mechanism by which a value-of-information (VOI) weighting reallocates capacity without sacrificing priority service, and states the formal hypotheses H0 and H1 that the experimental chapters will test.</w:t>
      </w:r>
    </w:p>
    <w:p>
      <w:pPr>
        <w:pStyle w:val="BodyText"/>
        <w:spacing w:line="480" w:lineRule="auto"/>
        <w:ind w:firstLine="720"/>
      </w:pPr>
      <w:r>
        <w:t xml:space="preserve">The argument proceeds in four steps. Section 3.2 establishes the decision-theoretic primitive: an EO observation has value only insofar as it changes a posterior belief that a downstream decision-maker would otherwise have held, and the natural scoring rule for that change is the expected reduction in posterior uncertainty conditional on the candidate observation. Section 3.3 ports that primitive from the space-domain-awareness (SDA) tasking literature, where it is operational</w:t>
      </w:r>
      <w:r>
        <w:t xml:space="preserve"> </w:t>
      </w:r>
      <w:hyperlink w:anchor="ref-3">
        <w:r>
          <w:rPr>
            <w:rStyle w:val="Hyperlink"/>
          </w:rPr>
          <w:t xml:space="preserve">[3]</w:t>
        </w:r>
      </w:hyperlink>
      <w:r>
        <w:t xml:space="preserve">[4][11], to the EO setting, where it is asserted but unoperationalized</w:t>
      </w:r>
      <w:r>
        <w:t xml:space="preserve"> </w:t>
      </w:r>
      <w:hyperlink w:anchor="ref-5">
        <w:r>
          <w:rPr>
            <w:rStyle w:val="Hyperlink"/>
          </w:rPr>
          <w:t xml:space="preserve">[5]</w:t>
        </w:r>
      </w:hyperlink>
      <w:r>
        <w:t xml:space="preserve">[6][21]. Section 3.4 specifies the causal mechanism by which a VOI-weighted scheduler differs from a throughput-maximizing scheduler on a fixed opportunity set, and derives the two empirically distinguishable consequences that the experimental design will isolate. Section 3.5 states H0 and H1 in falsifiable form, identifies the gating non-inferiority condition that protects against a trivial win, and clarifies the scope of the claim.</w:t>
      </w:r>
    </w:p>
    <w:bookmarkEnd w:id="73"/>
    <w:bookmarkStart w:id="74" w:name="the-decision-theoretic-primitive"/>
    <w:p>
      <w:pPr>
        <w:pStyle w:val="Heading2"/>
        <w:spacing w:line="480" w:lineRule="auto"/>
      </w:pPr>
      <w:r>
        <w:t xml:space="preserve">3.2 The Decision-Theoretic Primitive</w:t>
      </w:r>
    </w:p>
    <w:p>
      <w:pPr>
        <w:pStyle w:val="FirstParagraph"/>
        <w:spacing w:line="480" w:lineRule="auto"/>
      </w:pPr>
      <w:r>
        <w:t xml:space="preserve">The starting point is the recognition that an EO image is not a final product. It is an input to an inference. A deforestation analyst asks whether a candidate clearing front has crossed a notification threshold; a disaster-response coordinator asks whether a flood extent has reached the population centroid of a watershed; a treaty-monitoring office asks whether an inspectable activity has changed state since the last verified image. In each case there is a latent variable, a prior over that variable held by the decision-maker before the new image arrives, an observation likelihood that describes how the candidate image would refine that prior, and a posterior that would result if the image were collected. The value of the candidate image is the value of the posterior minus the value of the prior, with both valued through the lens of the decision that follows. This is the standard Bayesian formulation that the space-applications literature gestures toward when it argues that EO products are valued by the decisions they inform rather than by their raw count</w:t>
      </w:r>
      <w:r>
        <w:t xml:space="preserve"> </w:t>
      </w:r>
      <w:hyperlink w:anchor="ref-5">
        <w:r>
          <w:rPr>
            <w:rStyle w:val="Hyperlink"/>
          </w:rPr>
          <w:t xml:space="preserve">[5]</w:t>
        </w:r>
      </w:hyperlink>
      <w:r>
        <w:t xml:space="preserve">[6][21], and that the end-user community endorses when surveyed about what makes satellite data and solutions valuable in operational practice</w:t>
      </w:r>
      <w:r>
        <w:t xml:space="preserve"> </w:t>
      </w:r>
      <w:hyperlink w:anchor="ref-21">
        <w:r>
          <w:rPr>
            <w:rStyle w:val="Hyperlink"/>
          </w:rPr>
          <w:t xml:space="preserve">[21]</w:t>
        </w:r>
      </w:hyperlink>
      <w:r>
        <w:t xml:space="preserve">.</w:t>
      </w:r>
    </w:p>
    <w:p>
      <w:pPr>
        <w:pStyle w:val="BodyText"/>
        <w:spacing w:line="480" w:lineRule="auto"/>
        <w:ind w:firstLine="720"/>
      </w:pPr>
      <w:r>
        <w:t xml:space="preserve">The decision-theoretic literature offers a small number of natural scoring rules for this prior-to-posterior change. The expected reduction in posterior variance is the rule chosen by the SDA sensor-tasking community for orbit-state estimation, where the latent variable is a covariance matrix and the rule scores each candidate observation by the trace or determinant of the predicted posterior covariance relative to the prior covariance</w:t>
      </w:r>
      <w:r>
        <w:t xml:space="preserve"> </w:t>
      </w:r>
      <w:hyperlink w:anchor="ref-3">
        <w:r>
          <w:rPr>
            <w:rStyle w:val="Hyperlink"/>
          </w:rPr>
          <w:t xml:space="preserve">[3]</w:t>
        </w:r>
      </w:hyperlink>
      <w:r>
        <w:t xml:space="preserve">[4]. The expected information gain, formalized as the expected Kullback-Leibler divergence from prior to posterior, is the rule chosen by the broader sensor-tasking literature, including the partially-observable-Markov-decision-process tree-search work of Fedeler and colleagues</w:t>
      </w:r>
      <w:r>
        <w:t xml:space="preserve"> </w:t>
      </w:r>
      <w:hyperlink w:anchor="ref-14">
        <w:r>
          <w:rPr>
            <w:rStyle w:val="Hyperlink"/>
          </w:rPr>
          <w:t xml:space="preserve">[14]</w:t>
        </w:r>
      </w:hyperlink>
      <w:r>
        <w:t xml:space="preserve"> </w:t>
      </w:r>
      <w:r>
        <w:t xml:space="preserve">and the multi-agent trust-fusion work of Wilkins and colleagues using the Scruff AI framework</w:t>
      </w:r>
      <w:r>
        <w:t xml:space="preserve"> </w:t>
      </w:r>
      <w:hyperlink w:anchor="ref-13">
        <w:r>
          <w:rPr>
            <w:rStyle w:val="Hyperlink"/>
          </w:rPr>
          <w:t xml:space="preserve">[13]</w:t>
        </w:r>
      </w:hyperlink>
      <w:r>
        <w:t xml:space="preserve">. The expected change in decision quality, scored against an explicit decision rule and loss function, is the rule chosen by decision-support architectures for continuing supervision of commercial in-space activity</w:t>
      </w:r>
      <w:r>
        <w:t xml:space="preserve"> </w:t>
      </w:r>
      <w:hyperlink w:anchor="ref-19">
        <w:r>
          <w:rPr>
            <w:rStyle w:val="Hyperlink"/>
          </w:rPr>
          <w:t xml:space="preserve">[19]</w:t>
        </w:r>
      </w:hyperlink>
      <w:r>
        <w:t xml:space="preserve"> </w:t>
      </w:r>
      <w:r>
        <w:t xml:space="preserve">and for sustainable management of environmental resources using the Environment-Vulnerability-Decision-Technology framework</w:t>
      </w:r>
      <w:r>
        <w:t xml:space="preserve"> </w:t>
      </w:r>
      <w:hyperlink w:anchor="ref-23">
        <w:r>
          <w:rPr>
            <w:rStyle w:val="Hyperlink"/>
          </w:rPr>
          <w:t xml:space="preserve">[23]</w:t>
        </w:r>
      </w:hyperlink>
      <w:r>
        <w:t xml:space="preserve">. All three rules are special cases of the same Bayesian primitive: a candidate observation is worth what its expected posterior moves the decision relative to the prior. The dissertation adopts the expected posterior-uncertainty reduction as its operational rule because it is the rule most directly comparable to the SDA formulation the experiment imports from</w:t>
      </w:r>
      <w:r>
        <w:t xml:space="preserve"> </w:t>
      </w:r>
      <w:hyperlink w:anchor="ref-3">
        <w:r>
          <w:rPr>
            <w:rStyle w:val="Hyperlink"/>
          </w:rPr>
          <w:t xml:space="preserve">[3]</w:t>
        </w:r>
      </w:hyperlink>
      <w:r>
        <w:t xml:space="preserve">[4], and because it admits a closed-form computation for the conjugate priors that the SDG-anchored decision taxonomy supplies for EO request classes</w:t>
      </w:r>
      <w:r>
        <w:t xml:space="preserve"> </w:t>
      </w:r>
      <w:hyperlink w:anchor="ref-5">
        <w:r>
          <w:rPr>
            <w:rStyle w:val="Hyperlink"/>
          </w:rPr>
          <w:t xml:space="preserve">[5]</w:t>
        </w:r>
      </w:hyperlink>
      <w:r>
        <w:t xml:space="preserve">.</w:t>
      </w:r>
    </w:p>
    <w:p>
      <w:pPr>
        <w:pStyle w:val="BodyText"/>
        <w:spacing w:line="480" w:lineRule="auto"/>
        <w:ind w:firstLine="720"/>
      </w:pPr>
      <w:r>
        <w:t xml:space="preserve">The crucial property of the primitive is that it is not a property of the image. It is a property of the (prior, observation likelihood, decision) triple of which the image is the middle term. Two physically identical images of the same scene can carry very different decision values if the priors that precede them differ. A high-resolution image of a stable scene already known with high confidence carries negligible expected posterior-uncertainty reduction and therefore negligible VOI, regardless of its geometric quality. A medium-resolution image of a scene over which the prior is diffuse and the decision threshold is near the prior mean can carry very large VOI. The throughput-maximization objective is structurally blind to this distinction because its reward function is invariant to the prior. The VOI-weighted objective is structurally sensitive to it because its reward function is by construction a function of the prior.</w:t>
      </w:r>
    </w:p>
    <w:bookmarkEnd w:id="74"/>
    <w:bookmarkStart w:id="75" w:name="porting-the-sda-formalism-to-eo"/>
    <w:p>
      <w:pPr>
        <w:pStyle w:val="Heading2"/>
        <w:spacing w:line="480" w:lineRule="auto"/>
      </w:pPr>
      <w:r>
        <w:t xml:space="preserve">3.3 Porting the SDA Formalism to EO</w:t>
      </w:r>
    </w:p>
    <w:p>
      <w:pPr>
        <w:pStyle w:val="FirstParagraph"/>
        <w:spacing w:line="480" w:lineRule="auto"/>
      </w:pPr>
      <w:r>
        <w:t xml:space="preserve">The SDA community arrived at an operational VOI tasking objective through a sequence of works in which the latent variable is the orbit state of a resident space object and the prior is its propagated covariance. Gehly and Bennett incorporated target priorities into the sensor-tasking reward function so that the tasker scored candidate observations by a priority-weighted information gain rather than by raw observation count</w:t>
      </w:r>
      <w:r>
        <w:t xml:space="preserve"> </w:t>
      </w:r>
      <w:hyperlink w:anchor="ref-11">
        <w:r>
          <w:rPr>
            <w:rStyle w:val="Hyperlink"/>
          </w:rPr>
          <w:t xml:space="preserve">[11]</w:t>
        </w:r>
      </w:hyperlink>
      <w:r>
        <w:t xml:space="preserve">. Dhingra and colleagues extended that line to a full orbit-accuracy-based tasking formulation, in which a network of sensors selected observations to minimize the expected post-observation orbit-state covariance across a catalog</w:t>
      </w:r>
      <w:r>
        <w:t xml:space="preserve"> </w:t>
      </w:r>
      <w:hyperlink w:anchor="ref-3">
        <w:r>
          <w:rPr>
            <w:rStyle w:val="Hyperlink"/>
          </w:rPr>
          <w:t xml:space="preserve">[3]</w:t>
        </w:r>
      </w:hyperlink>
      <w:r>
        <w:t xml:space="preserve">. Their later work added optimality certificates and machine-learning surrogates so that the same VOI-weighted objective could be evaluated at catalog scale within an operational latency budget</w:t>
      </w:r>
      <w:r>
        <w:t xml:space="preserve"> </w:t>
      </w:r>
      <w:hyperlink w:anchor="ref-4">
        <w:r>
          <w:rPr>
            <w:rStyle w:val="Hyperlink"/>
          </w:rPr>
          <w:t xml:space="preserve">[4]</w:t>
        </w:r>
      </w:hyperlink>
      <w:r>
        <w:t xml:space="preserve">. Adaptive variants address the non-cooperative cislunar regime</w:t>
      </w:r>
      <w:r>
        <w:t xml:space="preserve"> </w:t>
      </w:r>
      <w:hyperlink w:anchor="ref-16">
        <w:r>
          <w:rPr>
            <w:rStyle w:val="Hyperlink"/>
          </w:rPr>
          <w:t xml:space="preserve">[16]</w:t>
        </w:r>
      </w:hyperlink>
      <w:r>
        <w:t xml:space="preserve">, market-based variants treat the same objective as an optimized commodity allocation across heterogeneous sensors</w:t>
      </w:r>
      <w:r>
        <w:t xml:space="preserve"> </w:t>
      </w:r>
      <w:hyperlink w:anchor="ref-17">
        <w:r>
          <w:rPr>
            <w:rStyle w:val="Hyperlink"/>
          </w:rPr>
          <w:t xml:space="preserve">[17]</w:t>
        </w:r>
      </w:hyperlink>
      <w:r>
        <w:t xml:space="preserve">, and tree-search variants embed VOI inside a POMDP for sequential tasking</w:t>
      </w:r>
      <w:r>
        <w:t xml:space="preserve"> </w:t>
      </w:r>
      <w:hyperlink w:anchor="ref-14">
        <w:r>
          <w:rPr>
            <w:rStyle w:val="Hyperlink"/>
          </w:rPr>
          <w:t xml:space="preserve">[14]</w:t>
        </w:r>
      </w:hyperlink>
      <w:r>
        <w:t xml:space="preserve">. The SDA literature has, in short, settled the operational viability of a Bayesian VOI tasking objective in a domain where the latent variable is geometric.</w:t>
      </w:r>
    </w:p>
    <w:p>
      <w:pPr>
        <w:pStyle w:val="BodyText"/>
        <w:spacing w:line="480" w:lineRule="auto"/>
        <w:ind w:firstLine="720"/>
      </w:pPr>
      <w:r>
        <w:t xml:space="preserve">The EO literature has not made the corresponding move. Cox, Humble, and Droge formalize crosslink-enabled tasking as a throughput maximization in which the reward of each fulfilled request is fixed before the optimization runs</w:t>
      </w:r>
      <w:r>
        <w:t xml:space="preserve"> </w:t>
      </w:r>
      <w:hyperlink w:anchor="ref-1">
        <w:r>
          <w:rPr>
            <w:rStyle w:val="Hyperlink"/>
          </w:rPr>
          <w:t xml:space="preserve">[1]</w:t>
        </w:r>
      </w:hyperlink>
      <w:r>
        <w:t xml:space="preserve">. Tonetti and colleagues formalize architecture-level tasking for an operational EO node network as a coverage maximization</w:t>
      </w:r>
      <w:r>
        <w:t xml:space="preserve"> </w:t>
      </w:r>
      <w:hyperlink w:anchor="ref-2">
        <w:r>
          <w:rPr>
            <w:rStyle w:val="Hyperlink"/>
          </w:rPr>
          <w:t xml:space="preserve">[2]</w:t>
        </w:r>
      </w:hyperlink>
      <w:r>
        <w:t xml:space="preserve">. Imoto and colleagues optimize the constellation design itself for ground-track geometry rather than for decision relevance of any individual observation</w:t>
      </w:r>
      <w:r>
        <w:t xml:space="preserve"> </w:t>
      </w:r>
      <w:hyperlink w:anchor="ref-7">
        <w:r>
          <w:rPr>
            <w:rStyle w:val="Hyperlink"/>
          </w:rPr>
          <w:t xml:space="preserve">[7]</w:t>
        </w:r>
      </w:hyperlink>
      <w:r>
        <w:t xml:space="preserve">. Thangavel and colleagues optimize distributed-satellite-system EO architectures multidisciplinarily without a per-observation decision-value term</w:t>
      </w:r>
      <w:r>
        <w:t xml:space="preserve"> </w:t>
      </w:r>
      <w:hyperlink w:anchor="ref-8">
        <w:r>
          <w:rPr>
            <w:rStyle w:val="Hyperlink"/>
          </w:rPr>
          <w:t xml:space="preserve">[8]</w:t>
        </w:r>
      </w:hyperlink>
      <w:r>
        <w:t xml:space="preserve">. Information-routing work for EO constellations optimizes throughput of bits across the on-orbit graph rather than expected decision value at the user</w:t>
      </w:r>
      <w:r>
        <w:t xml:space="preserve"> </w:t>
      </w:r>
      <w:hyperlink w:anchor="ref-26">
        <w:r>
          <w:rPr>
            <w:rStyle w:val="Hyperlink"/>
          </w:rPr>
          <w:t xml:space="preserve">[26]</w:t>
        </w:r>
      </w:hyperlink>
      <w:r>
        <w:t xml:space="preserve">. The recent agent-based mission-management survey for distributed space systems documents the same pattern across methodologies: the agent-level reward is throughput- or coverage-oriented, not Bayesian-decision-oriented</w:t>
      </w:r>
      <w:r>
        <w:t xml:space="preserve"> </w:t>
      </w:r>
      <w:hyperlink w:anchor="ref-22">
        <w:r>
          <w:rPr>
            <w:rStyle w:val="Hyperlink"/>
          </w:rPr>
          <w:t xml:space="preserve">[22]</w:t>
        </w:r>
      </w:hyperlink>
      <w:r>
        <w:t xml:space="preserve">. The user-side literature insists that EO value derives from decisions informed</w:t>
      </w:r>
      <w:r>
        <w:t xml:space="preserve"> </w:t>
      </w:r>
      <w:hyperlink w:anchor="ref-5">
        <w:r>
          <w:rPr>
            <w:rStyle w:val="Hyperlink"/>
          </w:rPr>
          <w:t xml:space="preserve">[5]</w:t>
        </w:r>
      </w:hyperlink>
      <w:r>
        <w:t xml:space="preserve">[6][21], the disruption-scenario literature treats decision relevance as the principal axis along which the EO market is restructuring</w:t>
      </w:r>
      <w:r>
        <w:t xml:space="preserve"> </w:t>
      </w:r>
      <w:hyperlink w:anchor="ref-20">
        <w:r>
          <w:rPr>
            <w:rStyle w:val="Hyperlink"/>
          </w:rPr>
          <w:t xml:space="preserve">[20]</w:t>
        </w:r>
      </w:hyperlink>
      <w:r>
        <w:t xml:space="preserve">, and the decision-support literature for downstream environmental applications builds Bayesian inference around individual observations</w:t>
      </w:r>
      <w:r>
        <w:t xml:space="preserve"> </w:t>
      </w:r>
      <w:hyperlink w:anchor="ref-23">
        <w:r>
          <w:rPr>
            <w:rStyle w:val="Hyperlink"/>
          </w:rPr>
          <w:t xml:space="preserve">[23]</w:t>
        </w:r>
      </w:hyperlink>
      <w:r>
        <w:t xml:space="preserve">, yet no tasking-level work has imported the SDA VOI formalism to the EO scheduler.</w:t>
      </w:r>
    </w:p>
    <w:p>
      <w:pPr>
        <w:pStyle w:val="BodyText"/>
        <w:spacing w:line="480" w:lineRule="auto"/>
        <w:ind w:firstLine="720"/>
      </w:pPr>
      <w:r>
        <w:t xml:space="preserve">The port from SDA to EO is conceptually clean because the Bayesian structure is domain-general. The latent variable changes from an orbit-state vector to a decision variable from an external taxonomy; the prior changes from a propagated covariance to a prior over that decision variable elicited or fixed from the SDG-anchored EO use-case taxonomy</w:t>
      </w:r>
      <w:r>
        <w:t xml:space="preserve"> </w:t>
      </w:r>
      <w:hyperlink w:anchor="ref-5">
        <w:r>
          <w:rPr>
            <w:rStyle w:val="Hyperlink"/>
          </w:rPr>
          <w:t xml:space="preserve">[5]</w:t>
        </w:r>
      </w:hyperlink>
      <w:r>
        <w:t xml:space="preserve">; the observation likelihood changes from a measurement model of an optical or radar observation of an orbiting object to a measurement model of an EO sensor observation of a terrestrial scene; the posterior-uncertainty reduction is computed by the same Bayesian update. The opportunity-set generator, agility model, and constraint specification are unchanged from the published EO tasking model</w:t>
      </w:r>
      <w:r>
        <w:t xml:space="preserve"> </w:t>
      </w:r>
      <w:hyperlink w:anchor="ref-1">
        <w:r>
          <w:rPr>
            <w:rStyle w:val="Hyperlink"/>
          </w:rPr>
          <w:t xml:space="preserve">[1]</w:t>
        </w:r>
      </w:hyperlink>
      <w:r>
        <w:t xml:space="preserve">. The only substantive replacement is the per-observation reward function. This is exactly the replacement the experimental chapters manipulate, and the cleanliness of the port is what makes the within-input, between-objective contrast a credible identification strategy for the causal claim.</w:t>
      </w:r>
    </w:p>
    <w:bookmarkEnd w:id="75"/>
    <w:bookmarkStart w:id="76" w:name="the-causal-mechanism"/>
    <w:p>
      <w:pPr>
        <w:pStyle w:val="Heading2"/>
        <w:spacing w:line="480" w:lineRule="auto"/>
      </w:pPr>
      <w:r>
        <w:t xml:space="preserve">3.4 The Causal Mechanism</w:t>
      </w:r>
    </w:p>
    <w:p>
      <w:pPr>
        <w:pStyle w:val="FirstParagraph"/>
        <w:spacing w:line="480" w:lineRule="auto"/>
      </w:pPr>
      <w:r>
        <w:t xml:space="preserve">The causal mechanism by which a VOI-weighted scheduler reallocates capacity relative to a throughput-maximizing scheduler operates at the level of the per-observation reward and propagates through the optimization to the realized schedule. Three mechanism steps are worth making explicit because they are what generate the falsifiable predictions of Section 3.5.</w:t>
      </w:r>
    </w:p>
    <w:p>
      <w:pPr>
        <w:pStyle w:val="BodyText"/>
        <w:spacing w:line="480" w:lineRule="auto"/>
        <w:ind w:firstLine="720"/>
      </w:pPr>
      <w:r>
        <w:t xml:space="preserve">The first step is reward differentiation. Under throughput maximization, the reward of a candidate observation is a fixed weight, typically a priority class supplied by the request originator</w:t>
      </w:r>
      <w:r>
        <w:t xml:space="preserve"> </w:t>
      </w:r>
      <w:hyperlink w:anchor="ref-1">
        <w:r>
          <w:rPr>
            <w:rStyle w:val="Hyperlink"/>
          </w:rPr>
          <w:t xml:space="preserve">[1]</w:t>
        </w:r>
      </w:hyperlink>
      <w:r>
        <w:t xml:space="preserve">[2][11]. Under VOI weighting, the reward is the expected posterior-uncertainty reduction conditional on the (prior, observation likelihood, decision) triple for that request, with the priority class entering only as one input to the prior. Two requests in the same priority class can therefore carry very different VOI scores, because their priors differ, and a single request can carry very different VOI scores at different times within a planning horizon, because its prior is updated by intervening collections. Throughput maximization is structurally insensitive to this within-class and within-horizon variation. VOI weighting is structurally sensitive to it.</w:t>
      </w:r>
    </w:p>
    <w:p>
      <w:pPr>
        <w:pStyle w:val="BodyText"/>
        <w:spacing w:line="480" w:lineRule="auto"/>
        <w:ind w:firstLine="720"/>
      </w:pPr>
      <w:r>
        <w:t xml:space="preserve">The second step is contention resolution. Both schedulers face the same scarcity: more requests than opportunities, conflicting agility constraints between adjacent windows, and a binding duty cycle on each satellite. The optimization core, identical across the two schedulers, resolves contention by selecting the assignment that maximizes total reward. Under throughput maximization, the assignment is biased toward dense clusters of priority-class requests because each fulfilled request contributes the same fixed weight; the scheduler treats two adjacent re-images of a stable high-priority scene as equivalent to one image each of two unrelated high-priority scenes. Under VOI weighting, the assignment is biased toward observations whose priors are diffuse and whose decision thresholds are near the prior mean, because those observations carry the largest expected posterior-uncertainty reduction; the second re-image of a stable scene is down-weighted by its own diminishing returns. The two schedulers therefore allocate capacity differently even on identical opportunity sets, with the difference traceable to the reward function and not to any other variable.</w:t>
      </w:r>
    </w:p>
    <w:p>
      <w:pPr>
        <w:pStyle w:val="BodyText"/>
        <w:spacing w:line="480" w:lineRule="auto"/>
        <w:ind w:firstLine="720"/>
      </w:pPr>
      <w:r>
        <w:t xml:space="preserve">The third step is priority preservation. The mechanism just described could in principle reduce the count of priority-class requests served, because the VOI weighting can prefer a high-VOI lower-priority-class observation over a low-VOI higher-priority-class one. Whether it does so in practice is an empirical question, and the experimental design treats it as the gating non-inferiority condition. The theoretical case that priority is preserved rests on two observations. First, the priority class enters the prior; high-priority requests are precisely the requests for which the decision threshold is near the prior mean and the loss of a wrong decision is large, so their VOI scores are systematically elevated relative to the same-geometry low-priority requests. Second, the diminishing-returns property of VOI under repeated observation of the same scene reallocates capacity within a priority class rather than across priority classes, because the within-class re-imaging is what the throughput baseline over-weights. Both observations are theoretical priors, not empirical guarantees. The experiment is designed to falsify them if they are wrong.</w:t>
      </w:r>
    </w:p>
    <w:p>
      <w:pPr>
        <w:pStyle w:val="BodyText"/>
        <w:spacing w:line="480" w:lineRule="auto"/>
        <w:ind w:firstLine="720"/>
      </w:pPr>
      <w:r>
        <w:t xml:space="preserve">The mechanism generates two empirically distinguishable consequences. The first is that the realized decision value per planning horizon, scored ex post by the same VOI model applied to both schedules, is higher under the VOI-weighted scheduler than under the throughput baseline. The second is that the count of priority-class requests served per planning horizon is at least non-inferior under the VOI-weighted scheduler. Both consequences must hold simultaneously for the alternative hypothesis to survive. Either one failing is sufficient to falsify it.</w:t>
      </w:r>
    </w:p>
    <w:bookmarkEnd w:id="76"/>
    <w:bookmarkStart w:id="77" w:name="formal-hypotheses"/>
    <w:p>
      <w:pPr>
        <w:pStyle w:val="Heading2"/>
        <w:spacing w:line="480" w:lineRule="auto"/>
      </w:pPr>
      <w:r>
        <w:t xml:space="preserve">3.5 Formal Hypotheses</w:t>
      </w:r>
    </w:p>
    <w:p>
      <w:pPr>
        <w:pStyle w:val="FirstParagraph"/>
        <w:spacing w:line="480" w:lineRule="auto"/>
      </w:pPr>
      <w:r>
        <w:t xml:space="preserve">The single falsifiable claim of the dissertation is now stated in the form the experimental chapters will test. Let</w:t>
      </w:r>
      <w:r>
        <w:t xml:space="preserve"> </w:t>
      </w:r>
      <m:oMath>
        <m:sSub>
          <m:e>
            <m:r>
              <m:t>D</m:t>
            </m:r>
          </m:e>
          <m:sub>
            <m:r>
              <m:t>v</m:t>
            </m:r>
          </m:sub>
        </m:sSub>
      </m:oMath>
      <w:r>
        <w:t xml:space="preserve"> </w:t>
      </w:r>
      <w:r>
        <w:t xml:space="preserve">denote the mean realized decision value per planning horizon under the VOI-weighted scheduler,</w:t>
      </w:r>
      <w:r>
        <w:t xml:space="preserve"> </w:t>
      </w:r>
      <m:oMath>
        <m:sSub>
          <m:e>
            <m:r>
              <m:t>D</m:t>
            </m:r>
          </m:e>
          <m:sub>
            <m:r>
              <m:t>t</m:t>
            </m:r>
          </m:sub>
        </m:sSub>
      </m:oMath>
      <w:r>
        <w:t xml:space="preserve"> </w:t>
      </w:r>
      <w:r>
        <w:t xml:space="preserve">the corresponding mean under the throughput-maximizing baseline,</w:t>
      </w:r>
      <w:r>
        <w:t xml:space="preserve"> </w:t>
      </w:r>
      <m:oMath>
        <m:sSub>
          <m:e>
            <m:r>
              <m:t>P</m:t>
            </m:r>
          </m:e>
          <m:sub>
            <m:r>
              <m:t>v</m:t>
            </m:r>
          </m:sub>
        </m:sSub>
      </m:oMath>
      <w:r>
        <w:t xml:space="preserve"> </w:t>
      </w:r>
      <w:r>
        <w:t xml:space="preserve">the mean count of priority-class requests served per horizon under the VOI-weighted scheduler, and</w:t>
      </w:r>
      <w:r>
        <w:t xml:space="preserve"> </w:t>
      </w:r>
      <m:oMath>
        <m:sSub>
          <m:e>
            <m:r>
              <m:t>P</m:t>
            </m:r>
          </m:e>
          <m:sub>
            <m:r>
              <m:t>t</m:t>
            </m:r>
          </m:sub>
        </m:sSub>
      </m:oMath>
      <w:r>
        <w:t xml:space="preserve"> </w:t>
      </w:r>
      <w:r>
        <w:t xml:space="preserve">the corresponding mean under the baseline. Let</w:t>
      </w:r>
      <w:r>
        <w:t xml:space="preserve"> </w:t>
      </w:r>
      <m:oMath>
        <m:r>
          <m:t>δ</m:t>
        </m:r>
      </m:oMath>
      <w:r>
        <w:t xml:space="preserve"> </w:t>
      </w:r>
      <w:r>
        <w:t xml:space="preserve">denote the pre-registered non-inferiority margin on the priority-count outcome, fixed before any scheduling run. Realized decision value is scored on both schedules by the same ex-post VOI model so that neither scheduler is scored on its own objective alone.</w:t>
      </w:r>
    </w:p>
    <w:p>
      <w:pPr>
        <w:pStyle w:val="BodyText"/>
        <w:spacing w:line="480" w:lineRule="auto"/>
        <w:ind w:firstLine="720"/>
      </w:pPr>
      <w:r>
        <w:rPr>
          <w:b/>
          <w:bCs/>
        </w:rPr>
        <w:t xml:space="preserve">H0 (null).</w:t>
      </w:r>
      <w:r>
        <w:t xml:space="preserve"> </w:t>
      </w:r>
      <w:r>
        <w:t xml:space="preserve">Either (a) the difference</w:t>
      </w:r>
      <w:r>
        <w:t xml:space="preserve"> </w:t>
      </w:r>
      <m:oMath>
        <m:sSub>
          <m:e>
            <m:r>
              <m:t>D</m:t>
            </m:r>
          </m:e>
          <m:sub>
            <m:r>
              <m:t>v</m:t>
            </m:r>
          </m:sub>
        </m:sSub>
        <m:r>
          <m:rPr>
            <m:sty m:val="p"/>
          </m:rPr>
          <m:t>−</m:t>
        </m:r>
        <m:sSub>
          <m:e>
            <m:r>
              <m:t>D</m:t>
            </m:r>
          </m:e>
          <m:sub>
            <m:r>
              <m:t>t</m:t>
            </m:r>
          </m:sub>
        </m:sSub>
      </m:oMath>
      <w:r>
        <w:t xml:space="preserve"> </w:t>
      </w:r>
      <w:r>
        <w:t xml:space="preserve">is not significantly greater than zero at</w:t>
      </w:r>
      <w:r>
        <w:t xml:space="preserve"> </w:t>
      </w:r>
      <m:oMath>
        <m:r>
          <m:t>α</m:t>
        </m:r>
        <m:r>
          <m:rPr>
            <m:sty m:val="p"/>
          </m:rPr>
          <m:t>=</m:t>
        </m:r>
        <m:r>
          <m:t>0.05</m:t>
        </m:r>
      </m:oMath>
      <w:r>
        <w:t xml:space="preserve"> </w:t>
      </w:r>
      <w:r>
        <w:t xml:space="preserve">in a one-sided paired test across independent planning horizons, or (b) the priority-count non-inferiority test</w:t>
      </w:r>
      <w:r>
        <w:t xml:space="preserve"> </w:t>
      </w:r>
      <m:oMath>
        <m:sSub>
          <m:e>
            <m:r>
              <m:t>P</m:t>
            </m:r>
          </m:e>
          <m:sub>
            <m:r>
              <m:t>v</m:t>
            </m:r>
          </m:sub>
        </m:sSub>
        <m:r>
          <m:rPr>
            <m:sty m:val="p"/>
          </m:rPr>
          <m:t>≥</m:t>
        </m:r>
        <m:sSub>
          <m:e>
            <m:r>
              <m:t>P</m:t>
            </m:r>
          </m:e>
          <m:sub>
            <m:r>
              <m:t>t</m:t>
            </m:r>
          </m:sub>
        </m:sSub>
        <m:r>
          <m:rPr>
            <m:sty m:val="p"/>
          </m:rPr>
          <m:t>−</m:t>
        </m:r>
        <m:r>
          <m:t>δ</m:t>
        </m:r>
      </m:oMath>
      <w:r>
        <w:t xml:space="preserve"> </w:t>
      </w:r>
      <w:r>
        <w:t xml:space="preserve">fails at the pre-registered</w:t>
      </w:r>
      <w:r>
        <w:t xml:space="preserve"> </w:t>
      </w:r>
      <m:oMath>
        <m:r>
          <m:t>δ</m:t>
        </m:r>
      </m:oMath>
      <w:r>
        <w:t xml:space="preserve">. In either case, the VOI weighting has not delivered a decision-value improvement that survives the priority-service gate, and the throughput-maximization convention is not displaced.</w:t>
      </w:r>
    </w:p>
    <w:p>
      <w:pPr>
        <w:pStyle w:val="BodyText"/>
        <w:spacing w:line="480" w:lineRule="auto"/>
        <w:ind w:firstLine="720"/>
      </w:pPr>
      <w:r>
        <w:rPr>
          <w:b/>
          <w:bCs/>
        </w:rPr>
        <w:t xml:space="preserve">H1 (alternative).</w:t>
      </w:r>
      <w:r>
        <w:t xml:space="preserve"> </w:t>
      </w:r>
      <w:r>
        <w:t xml:space="preserve">Both (a)</w:t>
      </w:r>
      <w:r>
        <w:t xml:space="preserve"> </w:t>
      </w:r>
      <m:oMath>
        <m:sSub>
          <m:e>
            <m:r>
              <m:t>D</m:t>
            </m:r>
          </m:e>
          <m:sub>
            <m:r>
              <m:t>v</m:t>
            </m:r>
          </m:sub>
        </m:sSub>
        <m:r>
          <m:rPr>
            <m:sty m:val="p"/>
          </m:rPr>
          <m:t>&gt;</m:t>
        </m:r>
        <m:sSub>
          <m:e>
            <m:r>
              <m:t>D</m:t>
            </m:r>
          </m:e>
          <m:sub>
            <m:r>
              <m:t>t</m:t>
            </m:r>
          </m:sub>
        </m:sSub>
      </m:oMath>
      <w:r>
        <w:t xml:space="preserve"> </w:t>
      </w:r>
      <w:r>
        <w:t xml:space="preserve">at</w:t>
      </w:r>
      <w:r>
        <w:t xml:space="preserve"> </w:t>
      </w:r>
      <m:oMath>
        <m:r>
          <m:t>α</m:t>
        </m:r>
        <m:r>
          <m:rPr>
            <m:sty m:val="p"/>
          </m:rPr>
          <m:t>=</m:t>
        </m:r>
        <m:r>
          <m:t>0.05</m:t>
        </m:r>
      </m:oMath>
      <w:r>
        <w:t xml:space="preserve"> </w:t>
      </w:r>
      <w:r>
        <w:t xml:space="preserve">in the one-sided paired test, and (b)</w:t>
      </w:r>
      <w:r>
        <w:t xml:space="preserve"> </w:t>
      </w:r>
      <m:oMath>
        <m:sSub>
          <m:e>
            <m:r>
              <m:t>P</m:t>
            </m:r>
          </m:e>
          <m:sub>
            <m:r>
              <m:t>v</m:t>
            </m:r>
          </m:sub>
        </m:sSub>
        <m:r>
          <m:rPr>
            <m:sty m:val="p"/>
          </m:rPr>
          <m:t>≥</m:t>
        </m:r>
        <m:sSub>
          <m:e>
            <m:r>
              <m:t>P</m:t>
            </m:r>
          </m:e>
          <m:sub>
            <m:r>
              <m:t>t</m:t>
            </m:r>
          </m:sub>
        </m:sSub>
        <m:r>
          <m:rPr>
            <m:sty m:val="p"/>
          </m:rPr>
          <m:t>−</m:t>
        </m:r>
        <m:r>
          <m:t>δ</m:t>
        </m:r>
      </m:oMath>
      <w:r>
        <w:t xml:space="preserve"> </w:t>
      </w:r>
      <w:r>
        <w:t xml:space="preserve">holds at the pre-registered</w:t>
      </w:r>
      <w:r>
        <w:t xml:space="preserve"> </w:t>
      </w:r>
      <m:oMath>
        <m:r>
          <m:t>δ</m:t>
        </m:r>
      </m:oMath>
      <w:r>
        <w:t xml:space="preserve">. The VOI weighting has reallocated capacity toward decision-relevant observations and has done so without significantly reducing the count of priority-class requests served.</w:t>
      </w:r>
    </w:p>
    <w:p>
      <w:pPr>
        <w:pStyle w:val="BodyText"/>
        <w:spacing w:line="480" w:lineRule="auto"/>
        <w:ind w:firstLine="720"/>
      </w:pPr>
      <w:r>
        <w:t xml:space="preserve">Four properties of this formulation deserve explicit comment. First, the alternative is conjunctive; both gates must clear, so the test is conservative against false positives on the decision-value side that would otherwise be purchased by sacrificing priority service. This is the structural protection against the strawman risk identified in the prospectus</w:t>
      </w:r>
      <w:r>
        <w:t xml:space="preserve"> </w:t>
      </w:r>
      <w:hyperlink w:anchor="ref-1">
        <w:r>
          <w:rPr>
            <w:rStyle w:val="Hyperlink"/>
          </w:rPr>
          <w:t xml:space="preserve">[1]</w:t>
        </w:r>
      </w:hyperlink>
      <w:r>
        <w:t xml:space="preserve">[2]. Second, the non-inferiority margin</w:t>
      </w:r>
      <w:r>
        <w:t xml:space="preserve"> </w:t>
      </w:r>
      <m:oMath>
        <m:r>
          <m:t>δ</m:t>
        </m:r>
      </m:oMath>
      <w:r>
        <w:t xml:space="preserve"> </w:t>
      </w:r>
      <w:r>
        <w:t xml:space="preserve">is pre-registered before any run rather than chosen after results are in view; this is the protection against the multiplicity risk that arises when many horizons are simulated. Third, realized decision value is scored ex post by the same VOI model applied to both schedules, so the baseline is not penalized for not optimizing a metric the treatment was built around; this is the protection against the construct-validity risk that the central VOI score might otherwise be a researcher artifact. Fourth, the claim is narrow by design. It is not that VOI is universally superior to throughput maximization across all EO tasking regimes, all constellation sizes, and all request mixes. It is that on a fixed and realistic opportunity set, generated by a published EO tasking model</w:t>
      </w:r>
      <w:r>
        <w:t xml:space="preserve"> </w:t>
      </w:r>
      <w:hyperlink w:anchor="ref-1">
        <w:r>
          <w:rPr>
            <w:rStyle w:val="Hyperlink"/>
          </w:rPr>
          <w:t xml:space="preserve">[1]</w:t>
        </w:r>
      </w:hyperlink>
      <w:r>
        <w:t xml:space="preserve"> </w:t>
      </w:r>
      <w:r>
        <w:t xml:space="preserve">and cross-checked against real revisit statistics from the NASA Common Metadata Repository, value-weighting reallocates scarce capacity toward decision-relevant observations without cannibalizing priority service. A narrow falsifiable claim is the correct unit of contribution for a dissertation chapter, and a wider claim would not be identifiable from a single experimental design.</w:t>
      </w:r>
    </w:p>
    <w:bookmarkEnd w:id="77"/>
    <w:bookmarkStart w:id="78" w:name="Xa242aa9819635fc761bd35bf065a9df0c3b5e96"/>
    <w:p>
      <w:pPr>
        <w:pStyle w:val="Heading2"/>
        <w:spacing w:line="480" w:lineRule="auto"/>
      </w:pPr>
      <w:r>
        <w:t xml:space="preserve">3.6 Scope, Boundary Conditions, and Relation to the Empirical Chapters</w:t>
      </w:r>
    </w:p>
    <w:p>
      <w:pPr>
        <w:pStyle w:val="FirstParagraph"/>
        <w:spacing w:line="480" w:lineRule="auto"/>
      </w:pPr>
      <w:r>
        <w:t xml:space="preserve">The scope of the theoretical framework is bounded in three ways that the empirical chapters inherit. First, the framework applies to tasking decisions over a finite planning horizon with a fixed opportunity set generated upstream; it does not address constellation design</w:t>
      </w:r>
      <w:r>
        <w:t xml:space="preserve"> </w:t>
      </w:r>
      <w:hyperlink w:anchor="ref-7">
        <w:r>
          <w:rPr>
            <w:rStyle w:val="Hyperlink"/>
          </w:rPr>
          <w:t xml:space="preserve">[7]</w:t>
        </w:r>
      </w:hyperlink>
      <w:r>
        <w:t xml:space="preserve"> </w:t>
      </w:r>
      <w:r>
        <w:t xml:space="preserve">or distributed-system architecture optimization</w:t>
      </w:r>
      <w:r>
        <w:t xml:space="preserve"> </w:t>
      </w:r>
      <w:hyperlink w:anchor="ref-8">
        <w:r>
          <w:rPr>
            <w:rStyle w:val="Hyperlink"/>
          </w:rPr>
          <w:t xml:space="preserve">[8]</w:t>
        </w:r>
      </w:hyperlink>
      <w:r>
        <w:t xml:space="preserve">, both of which set the upstream geometry that the tasking layer treats as fixed. Second, the framework applies to EO requests for which a decision-variable prior can be specified from an external taxonomy</w:t>
      </w:r>
      <w:r>
        <w:t xml:space="preserve"> </w:t>
      </w:r>
      <w:hyperlink w:anchor="ref-5">
        <w:r>
          <w:rPr>
            <w:rStyle w:val="Hyperlink"/>
          </w:rPr>
          <w:t xml:space="preserve">[5]</w:t>
        </w:r>
      </w:hyperlink>
      <w:r>
        <w:t xml:space="preserve">; requests whose decision variable cannot be elicited or fixed are excluded from the experimental sample and reported separately in the data-provenance chapter. Third, the framework treats agility, downlink, and duty-cycle constraints as hard constraints rather than as objective terms, consistent with the published EO tasking model</w:t>
      </w:r>
      <w:r>
        <w:t xml:space="preserve"> </w:t>
      </w:r>
      <w:hyperlink w:anchor="ref-1">
        <w:r>
          <w:rPr>
            <w:rStyle w:val="Hyperlink"/>
          </w:rPr>
          <w:t xml:space="preserve">[1]</w:t>
        </w:r>
      </w:hyperlink>
      <w:r>
        <w:t xml:space="preserve"> </w:t>
      </w:r>
      <w:r>
        <w:t xml:space="preserve">and the architecture-level convention</w:t>
      </w:r>
      <w:r>
        <w:t xml:space="preserve"> </w:t>
      </w:r>
      <w:hyperlink w:anchor="ref-2">
        <w:r>
          <w:rPr>
            <w:rStyle w:val="Hyperlink"/>
          </w:rPr>
          <w:t xml:space="preserve">[2]</w:t>
        </w:r>
      </w:hyperlink>
      <w:r>
        <w:t xml:space="preserve">, and does not generalize to settings where these are soft.</w:t>
      </w:r>
    </w:p>
    <w:p>
      <w:pPr>
        <w:pStyle w:val="BodyText"/>
        <w:spacing w:line="480" w:lineRule="auto"/>
        <w:ind w:firstLine="720"/>
      </w:pPr>
      <w:r>
        <w:t xml:space="preserve">The relation to the empirical companion paper on EO mission acquisition cost</w:t>
      </w:r>
      <w:r>
        <w:t xml:space="preserve"> </w:t>
      </w:r>
      <w:hyperlink w:anchor="ref-8">
        <w:r>
          <w:rPr>
            <w:rStyle w:val="Hyperlink"/>
          </w:rPr>
          <w:t xml:space="preserve">[8]</w:t>
        </w:r>
      </w:hyperlink>
      <w:r>
        <w:t xml:space="preserve"> </w:t>
      </w:r>
      <w:r>
        <w:t xml:space="preserve">is that the cost regression supplies the budget-officer denominator for any per-image VOI argument. A VOI-weighted scheduler reallocates a constellation’s scarce capacity toward higher-value observations, and the credibility of that reallocation depends on the per-image marginal cost being a meaningful quantity rather than an artifact of one mission’s instrument bill. The finding that mass and instrument class dominate the cost picture, and that constellation size enters negatively but quietly, says that the per-image marginal-cost slack within which a VOI argument has to operate is real but bounded, which is the correct boundary condition for a tasking-level claim that does not pretend to displace the constellation-design literature. The theoretical framework of this chapter therefore sits between two empirical anchors: a cost regression on the supply side that defines the marginal-cost slack</w:t>
      </w:r>
      <w:r>
        <w:t xml:space="preserve"> </w:t>
      </w:r>
      <w:hyperlink w:anchor="ref-8">
        <w:r>
          <w:rPr>
            <w:rStyle w:val="Hyperlink"/>
          </w:rPr>
          <w:t xml:space="preserve">[8]</w:t>
        </w:r>
      </w:hyperlink>
      <w:r>
        <w:t xml:space="preserve">, and a controlled replanning experiment on the demand side that tests whether VOI weighting captures that slack without sacrificing priority service.</w:t>
      </w:r>
    </w:p>
    <w:bookmarkEnd w:id="78"/>
    <w:bookmarkStart w:id="79" w:name="summary"/>
    <w:p>
      <w:pPr>
        <w:pStyle w:val="Heading2"/>
        <w:spacing w:line="480" w:lineRule="auto"/>
      </w:pPr>
      <w:r>
        <w:t xml:space="preserve">3.7 Summary</w:t>
      </w:r>
    </w:p>
    <w:p>
      <w:pPr>
        <w:pStyle w:val="FirstParagraph"/>
        <w:spacing w:line="480" w:lineRule="auto"/>
      </w:pPr>
      <w:r>
        <w:t xml:space="preserve">The framework treats an EO observation as a Bayesian update from a prior over a decision variable to a posterior conditional on the candidate image, and scores the observation by the expected posterior-uncertainty reduction. It ports a Bayesian VOI tasking formalism that the SDA community has validated for orbit-state estimation</w:t>
      </w:r>
      <w:r>
        <w:t xml:space="preserve"> </w:t>
      </w:r>
      <w:hyperlink w:anchor="ref-3">
        <w:r>
          <w:rPr>
            <w:rStyle w:val="Hyperlink"/>
          </w:rPr>
          <w:t xml:space="preserve">[3]</w:t>
        </w:r>
      </w:hyperlink>
      <w:r>
        <w:t xml:space="preserve">[4][11][14] to an EO setting where the user-side and disruption-scenario literatures have asserted the decision-value framing but have not operationalized it at the tasking layer</w:t>
      </w:r>
      <w:r>
        <w:t xml:space="preserve"> </w:t>
      </w:r>
      <w:hyperlink w:anchor="ref-5">
        <w:r>
          <w:rPr>
            <w:rStyle w:val="Hyperlink"/>
          </w:rPr>
          <w:t xml:space="preserve">[5]</w:t>
        </w:r>
      </w:hyperlink>
      <w:r>
        <w:t xml:space="preserve">[6][20][21][22]. The causal mechanism by which a VOI-weighted scheduler differs from a throughput-maximizing one is reward differentiation at the per-observation level, contention resolution biased by that differentiation, and priority preservation through the prior. The mechanism generates two empirically distinguishable consequences, both of which must hold for the alternative hypothesis to survive: higher realized decision value per horizon and non-inferior priority-class request counts. H0 and H1 are stated in conjunctive form with a pre-registered non-inferiority margin on the priority gate, an ex-post common scoring of decision value across both schedulers, and a deliberately narrow scope of claim that the experimental design can identify from a within-input, between-objective contrast. The next chapter specifies the data, the opportunity-set generator, the optimization core, the VOI weighting layer, and the pre-registration document that operationalizes this framework into the controlled replanning experiment.</w:t>
      </w:r>
    </w:p>
    <w:bookmarkEnd w:id="79"/>
    <w:bookmarkEnd w:id="80"/>
    <w:bookmarkStart w:id="94" w:name="chapter-4.-data-and-measurement"/>
    <w:p>
      <w:pPr>
        <w:pStyle w:val="Heading1"/>
        <w:spacing w:line="480" w:lineRule="auto"/>
      </w:pPr>
      <w:r>
        <w:t xml:space="preserve">Chapter 4. Data and Measurement</w:t>
      </w:r>
    </w:p>
    <w:bookmarkStart w:id="81" w:name="why-this-chapter-is-necessary"/>
    <w:p>
      <w:pPr>
        <w:pStyle w:val="Heading2"/>
        <w:spacing w:line="480" w:lineRule="auto"/>
      </w:pPr>
      <w:r>
        <w:t xml:space="preserve">4.1 Why This Chapter Is Necessary</w:t>
      </w:r>
    </w:p>
    <w:p>
      <w:pPr>
        <w:pStyle w:val="FirstParagraph"/>
        <w:spacing w:line="480" w:lineRule="auto"/>
      </w:pPr>
      <w:r>
        <w:t xml:space="preserve">The dissertation rests on a single falsifiable claim, that a value-of-information weighting of an Earth-observation tasking objective reallocates a constellation’s scarce imaging capacity toward decision-relevant observations without cannibalizing priority service</w:t>
      </w:r>
      <w:r>
        <w:t xml:space="preserve"> </w:t>
      </w:r>
      <w:hyperlink w:anchor="ref-1">
        <w:r>
          <w:rPr>
            <w:rStyle w:val="Hyperlink"/>
          </w:rPr>
          <w:t xml:space="preserve">[1]</w:t>
        </w:r>
      </w:hyperlink>
      <w:r>
        <w:t xml:space="preserve">[3][4]. That claim cannot be evaluated until the underlying empirical surface is specified down to the granule and the dollar. Chapter 2 fixed the literatures that bracket the gap. Chapter 3 fixed the identification strategy as a within-input, between-objective contrast. The present chapter fixes the data. It records, for each of the two empirical papers in the dissertation, the source of every variable, the unit of analysis, the construction rule that turns a primary record into a row, and the provenance trail that makes the construction reproducible.</w:t>
      </w:r>
    </w:p>
    <w:p>
      <w:pPr>
        <w:pStyle w:val="BodyText"/>
        <w:spacing w:line="480" w:lineRule="auto"/>
        <w:ind w:firstLine="720"/>
      </w:pPr>
      <w:r>
        <w:t xml:space="preserve">The chapter treats the two empirical papers as a paired evidentiary structure. The first paper estimates how decision-tasking eligibility, revisit cadence, platform agility, and fleet scale shape per-satellite daily granule yield across the operational Earth-observation fleet. The second paper estimates how dry mass, ground sample distance, constellation size, and a synthetic-aperture-radar indicator shape mission acquisition cost across the same generation of missions. Together, the two papers anchor the supply side of the tasking argument</w:t>
      </w:r>
      <w:r>
        <w:t xml:space="preserve"> </w:t>
      </w:r>
      <w:hyperlink w:anchor="ref-5">
        <w:r>
          <w:rPr>
            <w:rStyle w:val="Hyperlink"/>
          </w:rPr>
          <w:t xml:space="preserve">[5]</w:t>
        </w:r>
      </w:hyperlink>
      <w:r>
        <w:t xml:space="preserve">[6]. A value-of-information scheduler reallocates a capacity whose magnitude is the dependent variable of the first paper and whose unit cost is implied by the dependent variable of the second</w:t>
      </w:r>
      <w:r>
        <w:t xml:space="preserve"> </w:t>
      </w:r>
      <w:hyperlink w:anchor="ref-1">
        <w:r>
          <w:rPr>
            <w:rStyle w:val="Hyperlink"/>
          </w:rPr>
          <w:t xml:space="preserve">[1]</w:t>
        </w:r>
      </w:hyperlink>
      <w:r>
        <w:t xml:space="preserve">[8]. The chapter is therefore organized to make every cell in each regression traceable to a public primary source that an external referee can verify without proprietary access.</w:t>
      </w:r>
    </w:p>
    <w:bookmarkEnd w:id="81"/>
    <w:bookmarkStart w:id="82" w:name="X1e39b7c1e4f477ff6aac95214b48d0532d26693"/>
    <w:p>
      <w:pPr>
        <w:pStyle w:val="Heading2"/>
        <w:spacing w:line="480" w:lineRule="auto"/>
      </w:pPr>
      <w:r>
        <w:t xml:space="preserve">4.2 Unit of Analysis and the Mission as Observation</w:t>
      </w:r>
    </w:p>
    <w:p>
      <w:pPr>
        <w:pStyle w:val="FirstParagraph"/>
        <w:spacing w:line="480" w:lineRule="auto"/>
      </w:pPr>
      <w:r>
        <w:t xml:space="preserve">Both empirical papers adopt the operational Earth-observation mission as the unit of analysis. A mission, in the convention used here, is the smallest publicly documented program element for which an operator reports a coherent set of design parameters and an acquisition cost. A single satellite operated by itself counts as one mission row. A two-satellite constellation operated as a single program counts either as two rows when the operator publishes per-satellite parameters or as a single combined row when only aggregate parameters exist. Large fleets of nominally identical satellites, the Planet Doves above all, count as one row whose constellation-size variable carries the fleet count and whose per-satellite parameters are operator-published averages.</w:t>
      </w:r>
    </w:p>
    <w:p>
      <w:pPr>
        <w:pStyle w:val="BodyText"/>
        <w:spacing w:line="480" w:lineRule="auto"/>
        <w:ind w:firstLine="720"/>
      </w:pPr>
      <w:r>
        <w:t xml:space="preserve">This convention reflects the way Earth-observation programs are actually procured and operated. The U.S. Government Accountability Office tracks NASA programs as mission rows in its Major Project Assessment series, where each entry receives an acquisition-cost commitment, a launch readiness date, and a payload description</w:t>
      </w:r>
      <w:r>
        <w:t xml:space="preserve"> </w:t>
      </w:r>
      <w:hyperlink w:anchor="ref-10">
        <w:r>
          <w:rPr>
            <w:rStyle w:val="Hyperlink"/>
          </w:rPr>
          <w:t xml:space="preserve">[10]</w:t>
        </w:r>
      </w:hyperlink>
      <w:r>
        <w:t xml:space="preserve">. The European Space Agency Copernicus documentation treats Sentinel-1, Sentinel-2, and Sentinel-3 as three missions each with two satellites, with parameters disclosed at both the satellite and constellation levels at sentinels.copernicus.eu. The commercial operators publish constellation-level parameters for SkySat, PlanetScope, ICEYE, and Capella, and per-satellite parameters for WorldView-3, WorldView-Legion, GeoEye-1, Pleiades-Neo, and SPOT-7. The unit of analysis adopted here matches the unit of disclosure, which eliminates a class of measurement error that would otherwise be introduced by recoding aggregated press materials into ad hoc per-satellite figures.</w:t>
      </w:r>
    </w:p>
    <w:p>
      <w:pPr>
        <w:pStyle w:val="BodyText"/>
        <w:spacing w:line="480" w:lineRule="auto"/>
        <w:ind w:firstLine="720"/>
      </w:pPr>
      <w:r>
        <w:t xml:space="preserve">The construction is not free of judgment. Three rows in the Paper 1 sample are presented in both per-satellite and combined-constellation form (Landsat-8, Landsat-9, Landsat-8+9; Sentinel-2A, Sentinel-2B, Sentinel-2A+2B). The combined rows are retained alongside the per-satellite rows because the operator publishes the combined revisit interval (eight days for Landsat-8+9, five days for the Sentinel-2 pair) as a planning parameter for downstream users, and that combined revisit is itself a regressor of interest. The paired-row construction does not introduce double counting in the dependent variable because the per-satellite daily granule yield is the same number on each row by construction, and the regression weights are uniform.</w:t>
      </w:r>
    </w:p>
    <w:bookmarkEnd w:id="82"/>
    <w:bookmarkStart w:id="87" w:name="X319cd1c545a67785282c97b21315ee575be5c1d"/>
    <w:p>
      <w:pPr>
        <w:pStyle w:val="Heading2"/>
        <w:spacing w:line="480" w:lineRule="auto"/>
      </w:pPr>
      <w:r>
        <w:t xml:space="preserve">4.3 Paper 1: Per-Satellite Daily Granule Yield</w:t>
      </w:r>
    </w:p>
    <w:bookmarkStart w:id="83" w:name="X161665a93effab885fb1ff32ad807c5304c2a2f"/>
    <w:p>
      <w:pPr>
        <w:pStyle w:val="Heading3"/>
        <w:spacing w:line="480" w:lineRule="auto"/>
      </w:pPr>
      <w:r>
        <w:t xml:space="preserve">4.3.1 Source: NASA Earthdata Common Metadata Repository</w:t>
      </w:r>
    </w:p>
    <w:p>
      <w:pPr>
        <w:pStyle w:val="FirstParagraph"/>
        <w:spacing w:line="480" w:lineRule="auto"/>
      </w:pPr>
      <w:r>
        <w:t xml:space="preserve">The dependent variable of Paper 1 is the natural logarithm of mean daily granules distributed per satellite. The authoritative source is the NASA Earthdata Common Metadata Repository (CMR), accessed through its public Search API at cmr.earthdata.nasa.gov using the candidate’s existing EARTHDATA credential as specified in the prospectus</w:t>
      </w:r>
      <w:r>
        <w:t xml:space="preserve"> </w:t>
      </w:r>
      <w:hyperlink w:anchor="ref-5">
        <w:r>
          <w:rPr>
            <w:rStyle w:val="Hyperlink"/>
          </w:rPr>
          <w:t xml:space="preserve">[5]</w:t>
        </w:r>
      </w:hyperlink>
      <w:r>
        <w:t xml:space="preserve">. CMR is the canonical index for NASA-distributed Earth-observation collections and for the bulk of partner-agency collections that NASA archives on behalf of NOAA, USGS, ESA, and CNES. Each granule in CMR carries a unique identifier, a spatial-temporal footprint, an acquisition timestamp, a parent collection identifier, and a data-access link. For collections distributed through NASA Distributed Active Archive Centers, the granule record corresponds one-to-one with a physically distributed file. For partner-agency collections that NASA mirrors, the granule record corresponds one-to-one with the partner-agency primary product.</w:t>
      </w:r>
    </w:p>
    <w:p>
      <w:pPr>
        <w:pStyle w:val="BodyText"/>
        <w:spacing w:line="480" w:lineRule="auto"/>
        <w:ind w:firstLine="720"/>
      </w:pPr>
      <w:r>
        <w:t xml:space="preserve">The Paper 1 data file at</w:t>
      </w:r>
      <w:r>
        <w:t xml:space="preserve"> </w:t>
      </w:r>
      <w:r>
        <w:rPr>
          <w:rStyle w:val="VerbatimChar"/>
        </w:rPr>
        <w:t xml:space="preserve">data.csv</w:t>
      </w:r>
      <w:r>
        <w:t xml:space="preserve"> </w:t>
      </w:r>
      <w:r>
        <w:t xml:space="preserve">records the specific CMR collection identifiers used for each mission row in its source column. Landsat-8 is anchored to collection</w:t>
      </w:r>
      <w:r>
        <w:t xml:space="preserve"> </w:t>
      </w:r>
      <w:r>
        <w:rPr>
          <w:rStyle w:val="VerbatimChar"/>
        </w:rPr>
        <w:t xml:space="preserve">C2021957295-LPCLOUD</w:t>
      </w:r>
      <w:r>
        <w:t xml:space="preserve">. Landsat-9 is anchored to</w:t>
      </w:r>
      <w:r>
        <w:t xml:space="preserve"> </w:t>
      </w:r>
      <w:r>
        <w:rPr>
          <w:rStyle w:val="VerbatimChar"/>
        </w:rPr>
        <w:t xml:space="preserve">C2021957657-LPCLOUD</w:t>
      </w:r>
      <w:r>
        <w:t xml:space="preserve">. Sentinel-2A and Sentinel-2B are anchored to</w:t>
      </w:r>
      <w:r>
        <w:t xml:space="preserve"> </w:t>
      </w:r>
      <w:r>
        <w:rPr>
          <w:rStyle w:val="VerbatimChar"/>
        </w:rPr>
        <w:t xml:space="preserve">C1996881146-POCLOUD</w:t>
      </w:r>
      <w:r>
        <w:t xml:space="preserve"> </w:t>
      </w:r>
      <w:r>
        <w:t xml:space="preserve">and</w:t>
      </w:r>
      <w:r>
        <w:t xml:space="preserve"> </w:t>
      </w:r>
      <w:r>
        <w:rPr>
          <w:rStyle w:val="VerbatimChar"/>
        </w:rPr>
        <w:t xml:space="preserve">C1996881807-POCLOUD</w:t>
      </w:r>
      <w:r>
        <w:t xml:space="preserve"> </w:t>
      </w:r>
      <w:r>
        <w:t xml:space="preserve">respectively. GRACE-FO-1 is anchored to</w:t>
      </w:r>
      <w:r>
        <w:t xml:space="preserve"> </w:t>
      </w:r>
      <w:r>
        <w:rPr>
          <w:rStyle w:val="VerbatimChar"/>
        </w:rPr>
        <w:t xml:space="preserve">C2077041537-POCLOUD</w:t>
      </w:r>
      <w:r>
        <w:t xml:space="preserve">. ICESat-2 is anchored to</w:t>
      </w:r>
      <w:r>
        <w:t xml:space="preserve"> </w:t>
      </w:r>
      <w:r>
        <w:rPr>
          <w:rStyle w:val="VerbatimChar"/>
        </w:rPr>
        <w:t xml:space="preserve">C2153572325-NSIDC_CPRD</w:t>
      </w:r>
      <w:r>
        <w:t xml:space="preserve">. SWOT is anchored to</w:t>
      </w:r>
      <w:r>
        <w:t xml:space="preserve"> </w:t>
      </w:r>
      <w:r>
        <w:rPr>
          <w:rStyle w:val="VerbatimChar"/>
        </w:rPr>
        <w:t xml:space="preserve">C2799465428-POCLOUD</w:t>
      </w:r>
      <w:r>
        <w:t xml:space="preserve">. GOES-16 is anchored to</w:t>
      </w:r>
      <w:r>
        <w:t xml:space="preserve"> </w:t>
      </w:r>
      <w:r>
        <w:rPr>
          <w:rStyle w:val="VerbatimChar"/>
        </w:rPr>
        <w:t xml:space="preserve">C1996880450-POCLOUD</w:t>
      </w:r>
      <w:r>
        <w:t xml:space="preserve">. MODIS for Terra and Aqua is anchored to</w:t>
      </w:r>
      <w:r>
        <w:t xml:space="preserve"> </w:t>
      </w:r>
      <w:r>
        <w:rPr>
          <w:rStyle w:val="VerbatimChar"/>
        </w:rPr>
        <w:t xml:space="preserve">C1378579425-LAADS</w:t>
      </w:r>
      <w:r>
        <w:t xml:space="preserve">. Each identifier is a public CMR concept identifier resolvable through the CMR Search API. The collection identifiers are retained in the data file so that a referee can replicate the granule count by querying the same endpoint with the same identifier and the same temporal window.</w:t>
      </w:r>
    </w:p>
    <w:bookmarkEnd w:id="83"/>
    <w:bookmarkStart w:id="84" w:name="construction-of-log_granules_per_sat"/>
    <w:p>
      <w:pPr>
        <w:pStyle w:val="Heading3"/>
        <w:spacing w:line="480" w:lineRule="auto"/>
      </w:pPr>
      <w:r>
        <w:t xml:space="preserve">4.3.2 Construction of</w:t>
      </w:r>
      <w:r>
        <w:t xml:space="preserve"> </w:t>
      </w:r>
      <w:r>
        <w:rPr>
          <w:rStyle w:val="VerbatimChar"/>
        </w:rPr>
        <w:t xml:space="preserve">log_granules_per_sat</w:t>
      </w:r>
    </w:p>
    <w:p>
      <w:pPr>
        <w:pStyle w:val="FirstParagraph"/>
        <w:spacing w:line="480" w:lineRule="auto"/>
      </w:pPr>
      <w:r>
        <w:t xml:space="preserve">The construction rule for the dependent variable is a three-step pipeline. The first step queries CMR for the granule count attributable to each anchored collection over the reporting period named in the row’s</w:t>
      </w:r>
      <w:r>
        <w:t xml:space="preserve"> </w:t>
      </w:r>
      <w:r>
        <w:rPr>
          <w:rStyle w:val="VerbatimChar"/>
        </w:rPr>
        <w:t xml:space="preserve">period</w:t>
      </w:r>
      <w:r>
        <w:t xml:space="preserve"> </w:t>
      </w:r>
      <w:r>
        <w:t xml:space="preserve">field (calendar year 2023 for the operational baseline of the sample, with two rows at 2022 and one row at 2019 for retired or decommissioned platforms). The second step divides the granule count by the number of days in the reporting period to produce a mean daily granule count for the collection. The third step divides the mean daily granule count by the number of satellites contributing to the collection during the reporting period to produce a mean daily granule count per satellite. The natural logarithm of that per-satellite figure is the dependent variable.</w:t>
      </w:r>
    </w:p>
    <w:p>
      <w:pPr>
        <w:pStyle w:val="BodyText"/>
        <w:spacing w:line="480" w:lineRule="auto"/>
        <w:ind w:firstLine="720"/>
      </w:pPr>
      <w:r>
        <w:t xml:space="preserve">For missions whose primary distribution channel is not CMR, the same construction is applied to the operator’s published daily-product figures, which are recorded with explicit citations in the row’s source column. ESA Copernicus publishes daily-product counts for Sentinel-1, Sentinel-2, and Sentinel-3 at sentinels.copernicus.eu. NOAA NESDIS publishes daily-product counts for the VIIRS instruments on Suomi-NPP and NOAA-20 and for the Advanced Baseline Imager on the GOES series. Maxar publishes capacity figures for WorldView-3, WorldView-Legion, WorldView-2, and GeoEye-1 in its product datasheets at maxar.com. Planet publishes constellation-level capacity figures for PlanetScope, SkySat, and the legacy RapidEye constellation at planet.com. Airbus publishes capacity figures for Pleiades-Neo and SPOT-7 at intelligence.airbus.com. ICEYE and Capella Space publish capacity figures for their synthetic-aperture-radar constellations at iceye.com and capellaspace.com. The use of operator-published capacity figures rather than CMR counts for commercial rows is necessary because the commercial constellations do not distribute through CMR; the substitution is recorded in the source column and the affected rows are flagged in the prose as illustrative where the figure is a published capacity rather than an audited count.</w:t>
      </w:r>
    </w:p>
    <w:bookmarkEnd w:id="84"/>
    <w:bookmarkStart w:id="85" w:name="the-decision-tasking-indicator"/>
    <w:p>
      <w:pPr>
        <w:pStyle w:val="Heading3"/>
        <w:spacing w:line="480" w:lineRule="auto"/>
      </w:pPr>
      <w:r>
        <w:t xml:space="preserve">4.3.3 The Decision-Tasking Indicator</w:t>
      </w:r>
    </w:p>
    <w:p>
      <w:pPr>
        <w:pStyle w:val="FirstParagraph"/>
        <w:spacing w:line="480" w:lineRule="auto"/>
      </w:pPr>
      <w:r>
        <w:t xml:space="preserve">The principal regressor of theoretical interest in Paper 1 is the binary</w:t>
      </w:r>
      <w:r>
        <w:t xml:space="preserve"> </w:t>
      </w:r>
      <w:r>
        <w:rPr>
          <w:rStyle w:val="VerbatimChar"/>
        </w:rPr>
        <w:t xml:space="preserve">decision_tasking</w:t>
      </w:r>
      <w:r>
        <w:t xml:space="preserve"> </w:t>
      </w:r>
      <w:r>
        <w:t xml:space="preserve">indicator. The indicator is coded 1 when the mission accepts operator-side or decision-driven tasking that selects acquisitions per orbit through agile body-pointing, on-demand collection request, or off-nadir slewing, and 0 when the mission images a fixed swath each pass without per-orbit decision authority over what is collected. The coding is performed by hand against operator mission descriptions and is documented row by row in the data file.</w:t>
      </w:r>
    </w:p>
    <w:p>
      <w:pPr>
        <w:pStyle w:val="BodyText"/>
        <w:spacing w:line="480" w:lineRule="auto"/>
        <w:ind w:firstLine="720"/>
      </w:pPr>
      <w:r>
        <w:t xml:space="preserve">The Sentinel-1, Sentinel-2, and Sentinel-3 platforms receive a value of 1 because the European Space Agency Copernicus framework accepts standing user requests and prioritizes acquisitions within the swath geometry</w:t>
      </w:r>
      <w:r>
        <w:t xml:space="preserve"> </w:t>
      </w:r>
      <w:hyperlink w:anchor="ref-2">
        <w:r>
          <w:rPr>
            <w:rStyle w:val="Hyperlink"/>
          </w:rPr>
          <w:t xml:space="preserve">[2]</w:t>
        </w:r>
      </w:hyperlink>
      <w:r>
        <w:t xml:space="preserve">. The MODIS instruments on Terra and Aqua, the VIIRS instruments on Suomi-NPP and NOAA-20, and the ABI instruments on the GOES series receive a value of 0 because they image continuously and do not accept per-orbit user tasking. The Landsat-8 and Landsat-9 platforms receive a value of 1 because the USGS accepts long-term acquisition plans that prioritize land-surface targets within the fixed swath. The commercial high-resolution body-pointing platforms (Maxar WorldView and GeoEye, Planet SkySat, Airbus Pleiades, ICEYE, Capella) receive a value of 1 because their entire business model is per-orbit decision tasking. The large-fleet small-satellite constellations (PlanetScope, RapidEye in its decommissioned configuration) receive a value of 0 because the fleet images by rote ground-track sweep rather than by per-orbit decision. The geodetic and altimetric missions (GRACE-FO, ICESat-2, SWOT, CYGNSS, GEDI, NISAR) receive a value of 0 because their measurement principle constrains acquisition geometry to the orbital track and the operator has no per-orbit selection authority over what is observed.</w:t>
      </w:r>
    </w:p>
    <w:p>
      <w:pPr>
        <w:pStyle w:val="BodyText"/>
        <w:spacing w:line="480" w:lineRule="auto"/>
        <w:ind w:firstLine="720"/>
      </w:pPr>
      <w:r>
        <w:t xml:space="preserve">The coding rule preserves the theoretical content of the regressor. A mission earns the 1 only when an operator authority can substitute one acquisition for another within an orbit, which is the operational pre-condition for any value-of-information weighting to have a behavioral effect</w:t>
      </w:r>
      <w:r>
        <w:t xml:space="preserve"> </w:t>
      </w:r>
      <w:hyperlink w:anchor="ref-3">
        <w:r>
          <w:rPr>
            <w:rStyle w:val="Hyperlink"/>
          </w:rPr>
          <w:t xml:space="preserve">[3]</w:t>
        </w:r>
      </w:hyperlink>
      <w:r>
        <w:t xml:space="preserve">[4]. The rule is not whether the mission is tasked at all, since every mission is tasked in some sense, but whether the tasking authority extends to per-orbit substitution.</w:t>
      </w:r>
    </w:p>
    <w:bookmarkEnd w:id="85"/>
    <w:bookmarkStart w:id="86" w:name="revisit-agility-and-fleet-scale"/>
    <w:p>
      <w:pPr>
        <w:pStyle w:val="Heading3"/>
        <w:spacing w:line="480" w:lineRule="auto"/>
      </w:pPr>
      <w:r>
        <w:t xml:space="preserve">4.3.4 Revisit, Agility, and Fleet Scale</w:t>
      </w:r>
    </w:p>
    <w:p>
      <w:pPr>
        <w:pStyle w:val="FirstParagraph"/>
        <w:spacing w:line="480" w:lineRule="auto"/>
      </w:pPr>
      <w:r>
        <w:t xml:space="preserve">The remaining three regressors in Paper 1 are constructed from publicly published platform specifications. The</w:t>
      </w:r>
      <w:r>
        <w:t xml:space="preserve"> </w:t>
      </w:r>
      <w:r>
        <w:rPr>
          <w:rStyle w:val="VerbatimChar"/>
        </w:rPr>
        <w:t xml:space="preserve">revisit_days</w:t>
      </w:r>
      <w:r>
        <w:t xml:space="preserve"> </w:t>
      </w:r>
      <w:r>
        <w:t xml:space="preserve">variable records the mean revisit interval in days for the platform or constellation, drawn from the mission overview pages cited in each row’s source column. The geostationary GOES platforms receive a revisit value of 0.01 to approximate the continuous-stare cadence in a finite-positive number that survives the regression’s log transformation; the construction is documented to make the choice auditable. The continuous-mapping platforms (MODIS, VIIRS) receive a revisit value of 1 corresponding to their daily global coverage. The Sentinel and Landsat platforms receive revisit values that reflect the operator-published combined-constellation cadence where applicable.</w:t>
      </w:r>
    </w:p>
    <w:p>
      <w:pPr>
        <w:pStyle w:val="BodyText"/>
        <w:spacing w:line="480" w:lineRule="auto"/>
        <w:ind w:firstLine="720"/>
      </w:pPr>
      <w:r>
        <w:t xml:space="preserve">The</w:t>
      </w:r>
      <w:r>
        <w:t xml:space="preserve"> </w:t>
      </w:r>
      <w:r>
        <w:rPr>
          <w:rStyle w:val="VerbatimChar"/>
        </w:rPr>
        <w:t xml:space="preserve">agility_yaw_deg</w:t>
      </w:r>
      <w:r>
        <w:t xml:space="preserve"> </w:t>
      </w:r>
      <w:r>
        <w:t xml:space="preserve">variable records the approximate maximum cross-track body-pointing agility in degrees. The variable is drawn from operator spec sheets and is coded 0 for geostationary and non-pointing platforms. Maxar high-resolution platforms record agility values between 140 and 200 degrees, consistent with the off-nadir collection envelopes documented in their product datasheets. Sentinel-1 and Sentinel-2 record modest agility values of 8 and 20 degrees, consistent with the within-swath pointing geometry of those platforms. The continuous mappers and the geodetic and altimetric missions record 0.</w:t>
      </w:r>
    </w:p>
    <w:p>
      <w:pPr>
        <w:pStyle w:val="BodyText"/>
        <w:spacing w:line="480" w:lineRule="auto"/>
        <w:ind w:firstLine="720"/>
      </w:pPr>
      <w:r>
        <w:t xml:space="preserve">The</w:t>
      </w:r>
      <w:r>
        <w:t xml:space="preserve"> </w:t>
      </w:r>
      <w:r>
        <w:rPr>
          <w:rStyle w:val="VerbatimChar"/>
        </w:rPr>
        <w:t xml:space="preserve">log_fleet</w:t>
      </w:r>
      <w:r>
        <w:t xml:space="preserve"> </w:t>
      </w:r>
      <w:r>
        <w:t xml:space="preserve">variable is the natural logarithm of the number of operationally co-managed satellites in the same constellation during the reporting period. PlanetScope at 180 active Doves records the largest fleet, with a log-fleet value of 5.193</w:t>
      </w:r>
      <w:r>
        <w:t xml:space="preserve"> </w:t>
      </w:r>
      <w:hyperlink w:anchor="ref-22">
        <w:r>
          <w:rPr>
            <w:rStyle w:val="Hyperlink"/>
          </w:rPr>
          <w:t xml:space="preserve">[22]</w:t>
        </w:r>
      </w:hyperlink>
      <w:r>
        <w:t xml:space="preserve">. ICEYE and SkySat each record 21 satellites. Capella Space records 7. CYGNSS records 8. RapidEye in its decommissioned configuration records 5. All single-satellite missions record 0. The variable controls for whether per-satellite yield is averaged across a large fleet or computed for a single dedicated platform, which is the principal alternative explanation for any apparent decision-tasking effect.</w:t>
      </w:r>
    </w:p>
    <w:bookmarkEnd w:id="86"/>
    <w:bookmarkEnd w:id="87"/>
    <w:bookmarkStart w:id="91" w:name="paper-2-cross-mission-acquisition-cost"/>
    <w:p>
      <w:pPr>
        <w:pStyle w:val="Heading2"/>
        <w:spacing w:line="480" w:lineRule="auto"/>
      </w:pPr>
      <w:r>
        <w:t xml:space="preserve">4.4 Paper 2: Cross-Mission Acquisition Cost</w:t>
      </w:r>
    </w:p>
    <w:bookmarkStart w:id="88" w:name="X59cf73c245be7021ab86e66bf2900c6182aff19"/>
    <w:p>
      <w:pPr>
        <w:pStyle w:val="Heading3"/>
        <w:spacing w:line="480" w:lineRule="auto"/>
      </w:pPr>
      <w:r>
        <w:t xml:space="preserve">4.4.1 Source: GAO Major Project Assessments and Operator Disclosures</w:t>
      </w:r>
    </w:p>
    <w:p>
      <w:pPr>
        <w:pStyle w:val="FirstParagraph"/>
        <w:spacing w:line="480" w:lineRule="auto"/>
      </w:pPr>
      <w:r>
        <w:t xml:space="preserve">The dependent variable of Paper 2 is the natural logarithm of mission acquisition cost in constant 2024 USD millions. The authoritative source for U.S. civil missions is the Government Accountability Office Major Project Assessment series, specifically GAO-15-320SP, GAO-18-280SP, GAO-22-105212, GAO-23-106021, GAO-24-106767, and GAO-25-107591</w:t>
      </w:r>
      <w:r>
        <w:t xml:space="preserve"> </w:t>
      </w:r>
      <w:hyperlink w:anchor="ref-10">
        <w:r>
          <w:rPr>
            <w:rStyle w:val="Hyperlink"/>
          </w:rPr>
          <w:t xml:space="preserve">[10]</w:t>
        </w:r>
      </w:hyperlink>
      <w:r>
        <w:t xml:space="preserve">. Each Major Project Assessment publishes a life-cycle cost commitment for each NASA program in its scope, with the cost figure disaggregated by development, operations, and reserve. For Paper 2 the figure used is the acquisition-cost component, which corresponds to the development and procurement commitment exclusive of operations.</w:t>
      </w:r>
    </w:p>
    <w:p>
      <w:pPr>
        <w:pStyle w:val="BodyText"/>
        <w:spacing w:line="480" w:lineRule="auto"/>
        <w:ind w:firstLine="720"/>
      </w:pPr>
      <w:r>
        <w:t xml:space="preserve">For European Space Agency missions the source is the official Copernicus and ESA program documentation at sentinels.copernicus.eu and esa.int, which publish program-level acquisition figures for Sentinel-1, Sentinel-2, and Sentinel-3. For commercial missions the source is operator press materials and product datasheets at maxar.com, planet.com, and intelligence.airbus.com. For partner-agency missions the source is the program documentation published by CNES, KARI, DLR, CSA, and ISRO. Each row in</w:t>
      </w:r>
      <w:r>
        <w:t xml:space="preserve"> </w:t>
      </w:r>
      <w:r>
        <w:rPr>
          <w:rStyle w:val="VerbatimChar"/>
        </w:rPr>
        <w:t xml:space="preserve">data.csv</w:t>
      </w:r>
      <w:r>
        <w:t xml:space="preserve"> </w:t>
      </w:r>
      <w:r>
        <w:t xml:space="preserve">carries the citation for its cost figure in the final column, which makes the source visible at the level of the individual observation.</w:t>
      </w:r>
    </w:p>
    <w:p>
      <w:pPr>
        <w:pStyle w:val="BodyText"/>
        <w:spacing w:line="480" w:lineRule="auto"/>
        <w:ind w:firstLine="720"/>
      </w:pPr>
      <w:r>
        <w:t xml:space="preserve">The decision to draw the dependent variable from the GAO portfolio for U.S. civil missions is deliberate. The GAO life-cycle cost commitment is the most adversarially audited figure available for any NASA program. It is updated annually against actual obligations, it is published in a public report whose methodology is itself reviewed by Congress, and it carries an explicit reserve component that permits a referee to inspect the commitment risk independently of the point estimate. No alternative source for U.S. civil mission acquisition cost survives the same audit.</w:t>
      </w:r>
    </w:p>
    <w:bookmarkEnd w:id="88"/>
    <w:bookmarkStart w:id="89" w:name="the-35-mission-sample"/>
    <w:p>
      <w:pPr>
        <w:pStyle w:val="Heading3"/>
        <w:spacing w:line="480" w:lineRule="auto"/>
      </w:pPr>
      <w:r>
        <w:t xml:space="preserve">4.4.2 The 35-Mission Sample</w:t>
      </w:r>
    </w:p>
    <w:p>
      <w:pPr>
        <w:pStyle w:val="FirstParagraph"/>
        <w:spacing w:line="480" w:lineRule="auto"/>
      </w:pPr>
      <w:r>
        <w:t xml:space="preserve">The Paper 2 sample is 35 Earth-observation missions whose acquisition cost, dry mass, best ground sample distance, design constellation size, and primary instrument class are all documented in public primary sources. The selection rule is conjunctive: a mission is included only if all five variables are publicly available without proprietary access. The rule excludes a class of classified national-security Earth-observation missions whose cost figures are redacted in their entirety, and it excludes a class of early-prototype commercial missions whose dry mass and resolution are published but whose cost figures appear only in operator investor decks under confidentiality terms.</w:t>
      </w:r>
    </w:p>
    <w:p>
      <w:pPr>
        <w:pStyle w:val="BodyText"/>
        <w:spacing w:line="480" w:lineRule="auto"/>
        <w:ind w:firstLine="720"/>
      </w:pPr>
      <w:r>
        <w:t xml:space="preserve">One row, Landsat-Next, is flagged as illustrative because its acquisition cost remains in the GAO life-cycle range rather than at a point estimate as of the most recent assessment</w:t>
      </w:r>
      <w:r>
        <w:t xml:space="preserve"> </w:t>
      </w:r>
      <w:hyperlink w:anchor="ref-10">
        <w:r>
          <w:rPr>
            <w:rStyle w:val="Hyperlink"/>
          </w:rPr>
          <w:t xml:space="preserve">[10]</w:t>
        </w:r>
      </w:hyperlink>
      <w:r>
        <w:t xml:space="preserve">. The illustrative flag is preserved in the row’s source column and the row is retained in the regression sample under the convention that an illustrative flag covers at most fifteen percent of the sample, which a single row of 35 satisfies. The retention of the row is justified by the structural importance of Landsat-Next to the sample’s coverage of the next generation of operational EO programs; its exclusion would impose a survivorship bias toward currently flying programs.</w:t>
      </w:r>
    </w:p>
    <w:bookmarkEnd w:id="89"/>
    <w:bookmarkStart w:id="90" w:name="Xd69d8a4e0d18e689897f77b80c25ab91893dbf8"/>
    <w:p>
      <w:pPr>
        <w:pStyle w:val="Heading3"/>
        <w:spacing w:line="480" w:lineRule="auto"/>
      </w:pPr>
      <w:r>
        <w:t xml:space="preserve">4.4.3 Construction of</w:t>
      </w:r>
      <w:r>
        <w:t xml:space="preserve"> </w:t>
      </w:r>
      <w:r>
        <w:rPr>
          <w:rStyle w:val="VerbatimChar"/>
        </w:rPr>
        <w:t xml:space="preserve">log_cost</w:t>
      </w:r>
      <w:r>
        <w:t xml:space="preserve">,</w:t>
      </w:r>
      <w:r>
        <w:t xml:space="preserve"> </w:t>
      </w:r>
      <w:r>
        <w:rPr>
          <w:rStyle w:val="VerbatimChar"/>
        </w:rPr>
        <w:t xml:space="preserve">log_mass</w:t>
      </w:r>
      <w:r>
        <w:t xml:space="preserve">,</w:t>
      </w:r>
      <w:r>
        <w:t xml:space="preserve"> </w:t>
      </w:r>
      <w:r>
        <w:rPr>
          <w:rStyle w:val="VerbatimChar"/>
        </w:rPr>
        <w:t xml:space="preserve">log_resolution</w:t>
      </w:r>
      <w:r>
        <w:t xml:space="preserve">,</w:t>
      </w:r>
      <w:r>
        <w:t xml:space="preserve"> </w:t>
      </w:r>
      <w:r>
        <w:rPr>
          <w:rStyle w:val="VerbatimChar"/>
        </w:rPr>
        <w:t xml:space="preserve">log_constellation_size</w:t>
      </w:r>
      <w:r>
        <w:t xml:space="preserve">, and</w:t>
      </w:r>
      <w:r>
        <w:t xml:space="preserve"> </w:t>
      </w:r>
      <w:r>
        <w:rPr>
          <w:rStyle w:val="VerbatimChar"/>
        </w:rPr>
        <w:t xml:space="preserve">sar</w:t>
      </w:r>
    </w:p>
    <w:p>
      <w:pPr>
        <w:pStyle w:val="FirstParagraph"/>
        <w:spacing w:line="480" w:lineRule="auto"/>
      </w:pPr>
      <w:r>
        <w:t xml:space="preserve">The construction rule for the dependent variable converts the raw acquisition-cost figure in the primary source into constant 2024 USD millions using the GDP deflator, then takes the natural logarithm. The conversion to constant dollars is necessary because the GAO portfolio spans a decade and the dollar value of a 2015 commitment is not directly comparable to a 2024 commitment. The conversion factor is documented at the level of the row and is audited against the GAO inflation-adjusted figures where those are themselves published. For ESA missions the underlying figure is converted from euros to dollars at the spot rate of the program’s mid-procurement year before the deflator is applied.</w:t>
      </w:r>
    </w:p>
    <w:p>
      <w:pPr>
        <w:pStyle w:val="BodyText"/>
        <w:spacing w:line="480" w:lineRule="auto"/>
        <w:ind w:firstLine="720"/>
      </w:pPr>
      <w:r>
        <w:t xml:space="preserve">The</w:t>
      </w:r>
      <w:r>
        <w:t xml:space="preserve"> </w:t>
      </w:r>
      <w:r>
        <w:rPr>
          <w:rStyle w:val="VerbatimChar"/>
        </w:rPr>
        <w:t xml:space="preserve">log_mass</w:t>
      </w:r>
      <w:r>
        <w:t xml:space="preserve"> </w:t>
      </w:r>
      <w:r>
        <w:t xml:space="preserve">variable is the natural logarithm of dry mass at launch in kilograms, drawn from operator press kits and program documentation. The construction is mechanical and the figure is directly observable in the primary source. The</w:t>
      </w:r>
      <w:r>
        <w:t xml:space="preserve"> </w:t>
      </w:r>
      <w:r>
        <w:rPr>
          <w:rStyle w:val="VerbatimChar"/>
        </w:rPr>
        <w:t xml:space="preserve">log_resolution</w:t>
      </w:r>
      <w:r>
        <w:t xml:space="preserve"> </w:t>
      </w:r>
      <w:r>
        <w:t xml:space="preserve">variable is the natural logarithm of best ground sample distance of the primary imaging payload in meters. For SAR missions the figure is the best spot-mode resolution; for multispectral imagers the figure is the best panchromatic resolution where one exists or the best multispectral resolution otherwise. The</w:t>
      </w:r>
      <w:r>
        <w:t xml:space="preserve"> </w:t>
      </w:r>
      <w:r>
        <w:rPr>
          <w:rStyle w:val="VerbatimChar"/>
        </w:rPr>
        <w:t xml:space="preserve">log_constellation_size</w:t>
      </w:r>
      <w:r>
        <w:t xml:space="preserve"> </w:t>
      </w:r>
      <w:r>
        <w:t xml:space="preserve">variable is the natural logarithm of the number of identical satellites in the design constellation at first operating capability. The variable equals zero for single-satellite missions.</w:t>
      </w:r>
    </w:p>
    <w:p>
      <w:pPr>
        <w:pStyle w:val="BodyText"/>
        <w:spacing w:line="480" w:lineRule="auto"/>
        <w:ind w:firstLine="720"/>
      </w:pPr>
      <w:r>
        <w:t xml:space="preserve">The</w:t>
      </w:r>
      <w:r>
        <w:t xml:space="preserve"> </w:t>
      </w:r>
      <w:r>
        <w:rPr>
          <w:rStyle w:val="VerbatimChar"/>
        </w:rPr>
        <w:t xml:space="preserve">sar</w:t>
      </w:r>
      <w:r>
        <w:t xml:space="preserve"> </w:t>
      </w:r>
      <w:r>
        <w:t xml:space="preserve">indicator is one for Sentinel-1, NISAR, TerraSAR-X, TanDEM-X, RADARSAT-2, and the RADARSAT Constellation, and zero otherwise. The coding rule is the instrument class of the primary payload as documented in the operator and program literature</w:t>
      </w:r>
      <w:r>
        <w:t xml:space="preserve"> </w:t>
      </w:r>
      <w:hyperlink w:anchor="ref-9">
        <w:r>
          <w:rPr>
            <w:rStyle w:val="Hyperlink"/>
          </w:rPr>
          <w:t xml:space="preserve">[9]</w:t>
        </w:r>
      </w:hyperlink>
      <w:r>
        <w:t xml:space="preserve">. The indicator is constructed to control for the synthetic-aperture-radar cost premium documented in the EO architecture literature, and its eventual non-significance in the regression is itself a finding rather than a sample artifact, because the controls for mass and resolution absorb the SAR signal in the sample</w:t>
      </w:r>
      <w:r>
        <w:t xml:space="preserve"> </w:t>
      </w:r>
      <w:hyperlink w:anchor="ref-8">
        <w:r>
          <w:rPr>
            <w:rStyle w:val="Hyperlink"/>
          </w:rPr>
          <w:t xml:space="preserve">[8]</w:t>
        </w:r>
      </w:hyperlink>
      <w:r>
        <w:t xml:space="preserve">[9].</w:t>
      </w:r>
    </w:p>
    <w:bookmarkEnd w:id="90"/>
    <w:bookmarkEnd w:id="91"/>
    <w:bookmarkStart w:id="92" w:name="bridging-the-two-papers"/>
    <w:p>
      <w:pPr>
        <w:pStyle w:val="Heading2"/>
        <w:spacing w:line="480" w:lineRule="auto"/>
      </w:pPr>
      <w:r>
        <w:t xml:space="preserve">4.5 Bridging the Two Papers</w:t>
      </w:r>
    </w:p>
    <w:p>
      <w:pPr>
        <w:pStyle w:val="FirstParagraph"/>
        <w:spacing w:line="480" w:lineRule="auto"/>
      </w:pPr>
      <w:r>
        <w:t xml:space="preserve">The two papers share a common conceptual map even though their samples and source structures differ. Paper 1 anchors the supply of imaging opportunities, the granule yield per satellite per day that any value-of-information scheduler must reallocate</w:t>
      </w:r>
      <w:r>
        <w:t xml:space="preserve"> </w:t>
      </w:r>
      <w:hyperlink w:anchor="ref-1">
        <w:r>
          <w:rPr>
            <w:rStyle w:val="Hyperlink"/>
          </w:rPr>
          <w:t xml:space="preserve">[1]</w:t>
        </w:r>
      </w:hyperlink>
      <w:r>
        <w:t xml:space="preserve">. Paper 2 anchors the unit cost of that supply, the per-mission acquisition figure that, divided by lifetime image count, produces the per-image marginal cost that bounds the economic value of any reallocation</w:t>
      </w:r>
      <w:r>
        <w:t xml:space="preserve"> </w:t>
      </w:r>
      <w:hyperlink w:anchor="ref-5">
        <w:r>
          <w:rPr>
            <w:rStyle w:val="Hyperlink"/>
          </w:rPr>
          <w:t xml:space="preserve">[5]</w:t>
        </w:r>
      </w:hyperlink>
      <w:r>
        <w:t xml:space="preserve">[6][8]. The decision-tasking indicator in Paper 1 selects the subset of the sample for which the value-of-information argument has behavioral traction at all; the mass, resolution, and constellation regressors in Paper 2 characterize the cost surface against which that traction is evaluated.</w:t>
      </w:r>
    </w:p>
    <w:p>
      <w:pPr>
        <w:pStyle w:val="BodyText"/>
        <w:spacing w:line="480" w:lineRule="auto"/>
        <w:ind w:firstLine="720"/>
      </w:pPr>
      <w:r>
        <w:t xml:space="preserve">The shared map also disciplines the construction rules. Both papers treat the operational Earth-observation mission as the unit of analysis. Both papers draw their dependent variables from public, audited, primary sources, the CMR archive in Paper 1 and the GAO portfolio in Paper 2. Both papers record the citation for each row in the source column of</w:t>
      </w:r>
      <w:r>
        <w:t xml:space="preserve"> </w:t>
      </w:r>
      <w:r>
        <w:rPr>
          <w:rStyle w:val="VerbatimChar"/>
        </w:rPr>
        <w:t xml:space="preserve">data.csv</w:t>
      </w:r>
      <w:r>
        <w:t xml:space="preserve">, which makes the provenance trail visible at the level of the individual observation. Both papers transform their continuous regressors in natural logs to accommodate the multi-decade cost and yield ranges spanned by the sample.</w:t>
      </w:r>
    </w:p>
    <w:p>
      <w:pPr>
        <w:pStyle w:val="BodyText"/>
        <w:spacing w:line="480" w:lineRule="auto"/>
        <w:ind w:firstLine="720"/>
      </w:pPr>
      <w:r>
        <w:t xml:space="preserve">The decision to use the Common Metadata Repository as the granule-yield anchor was specified in the dissertation prospectus and is reaffirmed here as the authoritative source</w:t>
      </w:r>
      <w:r>
        <w:t xml:space="preserve"> </w:t>
      </w:r>
      <w:hyperlink w:anchor="ref-5">
        <w:r>
          <w:rPr>
            <w:rStyle w:val="Hyperlink"/>
          </w:rPr>
          <w:t xml:space="preserve">[5]</w:t>
        </w:r>
      </w:hyperlink>
      <w:r>
        <w:t xml:space="preserve">. The decision to use the GAO Major Project Assessment series as the acquisition-cost anchor was specified in the Paper 2 design and is reaffirmed here under the same audit logic</w:t>
      </w:r>
      <w:r>
        <w:t xml:space="preserve"> </w:t>
      </w:r>
      <w:hyperlink w:anchor="ref-10">
        <w:r>
          <w:rPr>
            <w:rStyle w:val="Hyperlink"/>
          </w:rPr>
          <w:t xml:space="preserve">[10]</w:t>
        </w:r>
      </w:hyperlink>
      <w:r>
        <w:t xml:space="preserve">. The two anchors are independent in the sense that neither depends on the other’s data system, which is the property that an external referee requires to evaluate the dissertation’s claims without proprietary access.</w:t>
      </w:r>
    </w:p>
    <w:bookmarkEnd w:id="92"/>
    <w:bookmarkStart w:id="93" w:name="what-the-data-cannot-do"/>
    <w:p>
      <w:pPr>
        <w:pStyle w:val="Heading2"/>
        <w:spacing w:line="480" w:lineRule="auto"/>
      </w:pPr>
      <w:r>
        <w:t xml:space="preserve">4.6 What the Data Cannot Do</w:t>
      </w:r>
    </w:p>
    <w:p>
      <w:pPr>
        <w:pStyle w:val="FirstParagraph"/>
        <w:spacing w:line="480" w:lineRule="auto"/>
      </w:pPr>
      <w:r>
        <w:t xml:space="preserve">Three classes of question are out of reach for the data assembled here. The first concerns counterfactual tasking. The CMR archive records what was distributed, not what was considered and not selected. A direct empirical test of the value-of-information hypothesis at the level of the historical record would require operator tasking logs, which are not public for any of the operational missions in the sample. The dissertation’s identification strategy substitutes a controlled replanning experiment on a frozen opportunity set for the unavailable historical counterfactual</w:t>
      </w:r>
      <w:r>
        <w:t xml:space="preserve"> </w:t>
      </w:r>
      <w:hyperlink w:anchor="ref-1">
        <w:r>
          <w:rPr>
            <w:rStyle w:val="Hyperlink"/>
          </w:rPr>
          <w:t xml:space="preserve">[1]</w:t>
        </w:r>
      </w:hyperlink>
      <w:r>
        <w:t xml:space="preserve">.</w:t>
      </w:r>
    </w:p>
    <w:p>
      <w:pPr>
        <w:pStyle w:val="BodyText"/>
        <w:spacing w:line="480" w:lineRule="auto"/>
        <w:ind w:firstLine="720"/>
      </w:pPr>
      <w:r>
        <w:t xml:space="preserve">The second concerns end-user decision value. The Paper 1 dependent variable measures granule distribution, not the downstream decisions that the granules informed. The space-economy literature is explicit that EO value derives from decisions informed rather than from granules counted</w:t>
      </w:r>
      <w:r>
        <w:t xml:space="preserve"> </w:t>
      </w:r>
      <w:hyperlink w:anchor="ref-5">
        <w:r>
          <w:rPr>
            <w:rStyle w:val="Hyperlink"/>
          </w:rPr>
          <w:t xml:space="preserve">[5]</w:t>
        </w:r>
      </w:hyperlink>
      <w:r>
        <w:t xml:space="preserve">[6][21], and the dissertation accepts that the granule count is a supply-side proxy rather than a value-side measure. The value-side measure enters the analysis through the value-of-information weighting in the treatment scheduler, not through the dependent variable of Paper 1.</w:t>
      </w:r>
    </w:p>
    <w:p>
      <w:pPr>
        <w:pStyle w:val="BodyText"/>
        <w:spacing w:line="480" w:lineRule="auto"/>
        <w:ind w:firstLine="720"/>
      </w:pPr>
      <w:r>
        <w:t xml:space="preserve">The third concerns operational lifetime. The Paper 2 acquisition-cost figures are commitment figures from program initiation through first operating capability. They do not include the operations-phase cost over the eventual mission lifetime, which for the Landsat series in particular extends decades beyond the commitment horizon. A per-image marginal-cost calculation built from Paper 2 alone would therefore understate the denominator by the operations share, which the GAO documentation makes recoverable but which Paper 2 does not exploit. The dissertation accepts this as a known boundary on the cost-side argument and addresses it in the discussion of Paper 2.</w:t>
      </w:r>
    </w:p>
    <w:p>
      <w:pPr>
        <w:pStyle w:val="BodyText"/>
        <w:spacing w:line="480" w:lineRule="auto"/>
        <w:ind w:firstLine="720"/>
      </w:pPr>
      <w:r>
        <w:t xml:space="preserve">These limits are stated here rather than in the empirical chapters because they belong to the data layer rather than to the empirical results. The data layer is what is observable in the public record; the empirical results are what can be defended on that observable record. Distinguishing the two protects the dissertation from the criticism that the empirical results overreach the evidentiary base, which is the criticism a value-of-information argument is most exposed to when its evidentiary base is a public granule and cost archive rather than an operator tasking log</w:t>
      </w:r>
      <w:r>
        <w:t xml:space="preserve"> </w:t>
      </w:r>
      <w:hyperlink w:anchor="ref-3">
        <w:r>
          <w:rPr>
            <w:rStyle w:val="Hyperlink"/>
          </w:rPr>
          <w:t xml:space="preserve">[3]</w:t>
        </w:r>
      </w:hyperlink>
      <w:r>
        <w:t xml:space="preserve">[4].</w:t>
      </w:r>
    </w:p>
    <w:bookmarkEnd w:id="93"/>
    <w:bookmarkEnd w:id="94"/>
    <w:bookmarkStart w:id="114" w:name="chapter-5.-methods-and-identification"/>
    <w:p>
      <w:pPr>
        <w:pStyle w:val="Heading1"/>
        <w:spacing w:line="480" w:lineRule="auto"/>
      </w:pPr>
      <w:r>
        <w:t xml:space="preserve">Chapter 5. Methods and Identification</w:t>
      </w:r>
    </w:p>
    <w:bookmarkStart w:id="95" w:name="Xe8b30633332b7056d1c714754046e449bc5b0d7"/>
    <w:p>
      <w:pPr>
        <w:pStyle w:val="Heading2"/>
        <w:spacing w:line="480" w:lineRule="auto"/>
      </w:pPr>
      <w:r>
        <w:t xml:space="preserve">5.1 The Estimands and What the Chapter Has to Deliver</w:t>
      </w:r>
    </w:p>
    <w:p>
      <w:pPr>
        <w:pStyle w:val="FirstParagraph"/>
        <w:spacing w:line="480" w:lineRule="auto"/>
      </w:pPr>
      <w:r>
        <w:t xml:space="preserve">The dissertation’s falsifiable claim is a paired statement about two quantities computed on the same opportunity set under two different objectives. The first quantity is mean realized decision value per planning horizon, scored ex post by a single common value-of-information model applied to whatever schedule each scheduler returns. The second quantity is the count of high-priority requests served per horizon, computed identically for both schedulers. The alternative hypothesis H1 requires that the value-weighted scheduler raise the first quantity significantly under a one-sided test at alpha equal to 0.05 while remaining non-inferior on the second under a margin pre-registered before any scheduling run is executed. The null H0 is satisfied if either gate fails. This chapter has to deliver three things to make that test credible. It must specify the estimators that produce the two quantities and the standard errors that accompany them; it must specify the identification strategy that licenses the causal reading of the difference between the two schedulers as an effect of the objective rather than of anything else; and it must enumerate the threats to validity that could survive that strategy and bound each of them by a concrete design or statistical countermeasure.</w:t>
      </w:r>
    </w:p>
    <w:p>
      <w:pPr>
        <w:pStyle w:val="BodyText"/>
        <w:spacing w:line="480" w:lineRule="auto"/>
        <w:ind w:firstLine="720"/>
      </w:pPr>
      <w:r>
        <w:t xml:space="preserve">The chapter takes the methodological inheritance of the dissertation as fixed. The geometric substrate is the published EO tasking model of Cox, Humble, and Droge, which supplies a documented optimization core for crosslink-enabled Earth-sensing constellations under access, agility, and downlink constraints</w:t>
      </w:r>
      <w:r>
        <w:t xml:space="preserve"> </w:t>
      </w:r>
      <w:hyperlink w:anchor="ref-1">
        <w:r>
          <w:rPr>
            <w:rStyle w:val="Hyperlink"/>
          </w:rPr>
          <w:t xml:space="preserve">[1]</w:t>
        </w:r>
      </w:hyperlink>
      <w:r>
        <w:t xml:space="preserve">. The throughput baseline is priority-weighted assignment in the form practiced in the operational EO literature</w:t>
      </w:r>
      <w:r>
        <w:t xml:space="preserve"> </w:t>
      </w:r>
      <w:hyperlink w:anchor="ref-1">
        <w:r>
          <w:rPr>
            <w:rStyle w:val="Hyperlink"/>
          </w:rPr>
          <w:t xml:space="preserve">[1]</w:t>
        </w:r>
      </w:hyperlink>
      <w:r>
        <w:t xml:space="preserve">[2][8]. The value-of-information construction is Bayesian posterior-uncertainty reduction in the form Dhingra and colleagues established for SDA sensor tasking and then scaled with optimality certificates</w:t>
      </w:r>
      <w:r>
        <w:t xml:space="preserve"> </w:t>
      </w:r>
      <w:hyperlink w:anchor="ref-3">
        <w:r>
          <w:rPr>
            <w:rStyle w:val="Hyperlink"/>
          </w:rPr>
          <w:t xml:space="preserve">[3]</w:t>
        </w:r>
      </w:hyperlink>
      <w:r>
        <w:t xml:space="preserve">[4]. The decision-relevant priors are anchored to the EO product taxonomy of the space-economy literature</w:t>
      </w:r>
      <w:r>
        <w:t xml:space="preserve"> </w:t>
      </w:r>
      <w:hyperlink w:anchor="ref-5">
        <w:r>
          <w:rPr>
            <w:rStyle w:val="Hyperlink"/>
          </w:rPr>
          <w:t xml:space="preserve">[5]</w:t>
        </w:r>
      </w:hyperlink>
      <w:r>
        <w:t xml:space="preserve">[6] and cross-checked against the end-user value framing of the New Space economy literature</w:t>
      </w:r>
      <w:r>
        <w:t xml:space="preserve"> </w:t>
      </w:r>
      <w:hyperlink w:anchor="ref-21">
        <w:r>
          <w:rPr>
            <w:rStyle w:val="Hyperlink"/>
          </w:rPr>
          <w:t xml:space="preserve">[21]</w:t>
        </w:r>
      </w:hyperlink>
      <w:r>
        <w:t xml:space="preserve"> </w:t>
      </w:r>
      <w:r>
        <w:t xml:space="preserve">and the EO scenario evolution literature</w:t>
      </w:r>
      <w:r>
        <w:t xml:space="preserve"> </w:t>
      </w:r>
      <w:hyperlink w:anchor="ref-20">
        <w:r>
          <w:rPr>
            <w:rStyle w:val="Hyperlink"/>
          </w:rPr>
          <w:t xml:space="preserve">[20]</w:t>
        </w:r>
      </w:hyperlink>
      <w:r>
        <w:t xml:space="preserve">. The control-theoretic backbone for value-driven tasking under partial observability is the POMDP tree-search apparatus of Fedeler, Holzinger, and Whitacre</w:t>
      </w:r>
      <w:r>
        <w:t xml:space="preserve"> </w:t>
      </w:r>
      <w:hyperlink w:anchor="ref-14">
        <w:r>
          <w:rPr>
            <w:rStyle w:val="Hyperlink"/>
          </w:rPr>
          <w:t xml:space="preserve">[14]</w:t>
        </w:r>
      </w:hyperlink>
      <w:r>
        <w:t xml:space="preserve">. The priority-weight composition rule is the one set down in the formal sensor-tasking reward function of Gehly and Bennett</w:t>
      </w:r>
      <w:r>
        <w:t xml:space="preserve"> </w:t>
      </w:r>
      <w:hyperlink w:anchor="ref-11">
        <w:r>
          <w:rPr>
            <w:rStyle w:val="Hyperlink"/>
          </w:rPr>
          <w:t xml:space="preserve">[11]</w:t>
        </w:r>
      </w:hyperlink>
      <w:r>
        <w:t xml:space="preserve">. Each of these citations is doing real work in the construction below, not decorative work.</w:t>
      </w:r>
    </w:p>
    <w:bookmarkEnd w:id="95"/>
    <w:bookmarkStart w:id="100" w:name="the-estimators"/>
    <w:p>
      <w:pPr>
        <w:pStyle w:val="Heading2"/>
        <w:spacing w:line="480" w:lineRule="auto"/>
      </w:pPr>
      <w:r>
        <w:t xml:space="preserve">5.2 The Estimators</w:t>
      </w:r>
    </w:p>
    <w:bookmarkStart w:id="96" w:name="the-realized-decision-value-estimator"/>
    <w:p>
      <w:pPr>
        <w:pStyle w:val="Heading3"/>
        <w:spacing w:line="480" w:lineRule="auto"/>
      </w:pPr>
      <w:r>
        <w:t xml:space="preserve">5.2.1 The realized-decision-value estimator</w:t>
      </w:r>
    </w:p>
    <w:p>
      <w:pPr>
        <w:pStyle w:val="FirstParagraph"/>
        <w:spacing w:line="480" w:lineRule="auto"/>
      </w:pPr>
      <w:r>
        <w:t xml:space="preserve">Let H index a planning horizon and let s in {B, T} index the scheduler, with B the throughput baseline and T the VOI treatment. For each horizon H the scheduler s returns a schedule, a finite set of executed acquisitions assigned to specific spacecraft and windows. The realized decision value of the schedule is the sum over executed acquisitions of the ex-post VOI score of each acquisition, where the ex-post VOI score is the expected posterior uncertainty reduction the acquisition would produce on the latent decision variable associated with the request the acquisition fulfills, evaluated under the prior fixed before the run. This per-observation score is the Bayesian quantity Dhingra and colleagues use in SDA orbit-state tasking, here transposed to an EO decision variable</w:t>
      </w:r>
      <w:r>
        <w:t xml:space="preserve"> </w:t>
      </w:r>
      <w:hyperlink w:anchor="ref-3">
        <w:r>
          <w:rPr>
            <w:rStyle w:val="Hyperlink"/>
          </w:rPr>
          <w:t xml:space="preserve">[3]</w:t>
        </w:r>
      </w:hyperlink>
      <w:r>
        <w:t xml:space="preserve">[4]. The horizon-level estimator is the mean across horizons of the realized decision value, with paired structure preserved because both schedulers operate on the same horizon.</w:t>
      </w:r>
    </w:p>
    <w:p>
      <w:pPr>
        <w:pStyle w:val="BodyText"/>
        <w:spacing w:line="480" w:lineRule="auto"/>
        <w:ind w:firstLine="720"/>
      </w:pPr>
      <w:r>
        <w:t xml:space="preserve">The treatment effect of interest is the within-horizon difference between the value-weighted schedule and the baseline schedule, averaged across horizons. The point estimator is the sample mean of those paired differences. The variance estimator is the paired-difference variance with no assumption of independence between B and T within a horizon, since they share inputs and any correlation across schedulers within a horizon is exactly what the paired design is built to absorb. The standard error is the square root of the paired variance divided by the number of horizons. The one-sided significance test is a paired t-test on the differences, with the null hypothesis that the mean paired difference is non-positive and the alternative that it is strictly positive, at alpha equal to 0.05. The test is robust to the distributional shape of the per-horizon difference at the horizon counts the design will produce because the central limit theorem operates on the mean of paired differences across hundreds of independent horizons; the design will produce enough horizons that this is comfortable rather than marginal. As a sensitivity, a one-sided Wilcoxon signed-rank test on the same paired differences is reported alongside the t-test, and the rejection decision is required to agree across the two tests for the gain claim to be sustained.</w:t>
      </w:r>
    </w:p>
    <w:bookmarkEnd w:id="96"/>
    <w:bookmarkStart w:id="97" w:name="the-high-priority-count-estimator"/>
    <w:p>
      <w:pPr>
        <w:pStyle w:val="Heading3"/>
        <w:spacing w:line="480" w:lineRule="auto"/>
      </w:pPr>
      <w:r>
        <w:t xml:space="preserve">5.2.2 The high-priority-count estimator</w:t>
      </w:r>
    </w:p>
    <w:p>
      <w:pPr>
        <w:pStyle w:val="FirstParagraph"/>
        <w:spacing w:line="480" w:lineRule="auto"/>
      </w:pPr>
      <w:r>
        <w:t xml:space="preserve">For each horizon H and scheduler s the high-priority-count estimator is the number of requests of declared high priority that the schedule fulfills. Declared priority is the priority field supplied with the request from the CMR-anchored request mix, not a priority constructed from the VOI score, so that the count is meaningful for the baseline scheduler that does not consume VOI. The paired-difference estimator across horizons is, again, the within-horizon difference in high-priority counts, averaged across horizons, with paired variance. The test of interest is a non-inferiority test, not a superiority test. The null in the non-inferiority test is that the treatment scheduler’s high-priority count is lower than the baseline’s by more than the pre-registered non-inferiority margin; the alternative is that the treatment scheduler’s count is within the margin of the baseline’s. The non-inferiority margin is pre-registered as a percentage of the baseline mean high-priority count rather than as an absolute count, because absolute counts will vary across request mixes and constellation sizes and the test has to be portable across them. The pre-registration is timestamped to the experimental analysis plan that precedes any scheduling run on the live data. A one-sided non-inferiority t-test on the paired differences and a one-sided Wilcoxon signed-rank non-inferiority test are reported in parallel, with rejection of the inferiority null required from both for the non-inferiority claim to be sustained.</w:t>
      </w:r>
    </w:p>
    <w:bookmarkEnd w:id="97"/>
    <w:bookmarkStart w:id="98" w:name="the-joint-decision-rule"/>
    <w:p>
      <w:pPr>
        <w:pStyle w:val="Heading3"/>
        <w:spacing w:line="480" w:lineRule="auto"/>
      </w:pPr>
      <w:r>
        <w:t xml:space="preserve">5.2.3 The joint decision rule</w:t>
      </w:r>
    </w:p>
    <w:p>
      <w:pPr>
        <w:pStyle w:val="FirstParagraph"/>
        <w:spacing w:line="480" w:lineRule="auto"/>
      </w:pPr>
      <w:r>
        <w:t xml:space="preserve">The two estimators are not aggregated into a single composite. The decision rule on H1 is the conjunction of the superiority test on realized decision value and the non-inferiority test on high-priority count. Both must reject in favor of H1 for the dissertation to claim the contribution it proposes. If only the value test rejects, the contribution is unsustained because the value gain has been bought at the cost of priority service, which the dissertation explicitly does not accept. If only the non-inferiority test passes, the contribution is unsustained because the value reweighting has not, in this experiment, produced the predicted reallocation. The conjunction rule is the principal protection against the family-wise error inflation that a multi-outcome test would otherwise carry, and the chapter does not weaken it.</w:t>
      </w:r>
    </w:p>
    <w:bookmarkEnd w:id="98"/>
    <w:bookmarkStart w:id="99" w:name="auxiliary-estimators-for-mechanism"/>
    <w:p>
      <w:pPr>
        <w:pStyle w:val="Heading3"/>
        <w:spacing w:line="480" w:lineRule="auto"/>
      </w:pPr>
      <w:r>
        <w:t xml:space="preserve">5.2.4 Auxiliary estimators for mechanism</w:t>
      </w:r>
    </w:p>
    <w:p>
      <w:pPr>
        <w:pStyle w:val="FirstParagraph"/>
        <w:spacing w:line="480" w:lineRule="auto"/>
      </w:pPr>
      <w:r>
        <w:t xml:space="preserve">Three auxiliary estimators are reported alongside the two primary ones, not to license additional contribution claims but to make the mechanism behind any observed effect visible. The first is the per-horizon share of the realized decision value that comes from request classes that the prior taxonomy</w:t>
      </w:r>
      <w:r>
        <w:t xml:space="preserve"> </w:t>
      </w:r>
      <w:hyperlink w:anchor="ref-5">
        <w:r>
          <w:rPr>
            <w:rStyle w:val="Hyperlink"/>
          </w:rPr>
          <w:t xml:space="preserve">[5]</w:t>
        </w:r>
      </w:hyperlink>
      <w:r>
        <w:t xml:space="preserve"> </w:t>
      </w:r>
      <w:r>
        <w:t xml:space="preserve">flags as high-stakes-low-cadence, the deforestation-front, flood-extent, and treaty-verification classes, against the share that comes from routine re-imaging classes. A value gain that is concentrated in the high-stakes-low-cadence classes is the predicted mechanism; a value gain that is uniformly distributed across classes is consistent with H1 but does not support the mechanism story. The second is the per-horizon Spearman rank correlation between the per-observation VOI score and the per-observation priority weight, computed on the set of feasible acquisitions; this is the quantity Gehly and Bennett’s reward-function formalization makes interpretable, since their result is that priority and information gain compose in a particular structural way and a high rank correlation between them would mean the two objectives are nearly equivalent on the present opportunity set</w:t>
      </w:r>
      <w:r>
        <w:t xml:space="preserve"> </w:t>
      </w:r>
      <w:hyperlink w:anchor="ref-11">
        <w:r>
          <w:rPr>
            <w:rStyle w:val="Hyperlink"/>
          </w:rPr>
          <w:t xml:space="preserve">[11]</w:t>
        </w:r>
      </w:hyperlink>
      <w:r>
        <w:t xml:space="preserve">. A value gain at low rank correlation between VOI and priority is informative; a value gain at high rank correlation is consistent with H1 but tells a less interesting mechanism story. The third is the realized horizon-level computational cost of the treatment scheduler relative to the baseline, since a VOI objective whose POMDP-style backbone is non-trivial to evaluate at scale is operationally meaningful only if its computational footprint is within reach of operational planning systems</w:t>
      </w:r>
      <w:r>
        <w:t xml:space="preserve"> </w:t>
      </w:r>
      <w:hyperlink w:anchor="ref-14">
        <w:r>
          <w:rPr>
            <w:rStyle w:val="Hyperlink"/>
          </w:rPr>
          <w:t xml:space="preserve">[14]</w:t>
        </w:r>
      </w:hyperlink>
      <w:r>
        <w:t xml:space="preserve">; this is reported as a wall-clock ratio and as a per-observation evaluation count, both descriptive rather than tested.</w:t>
      </w:r>
    </w:p>
    <w:bookmarkEnd w:id="99"/>
    <w:bookmarkEnd w:id="100"/>
    <w:bookmarkStart w:id="105" w:name="the-identification-strategy"/>
    <w:p>
      <w:pPr>
        <w:pStyle w:val="Heading2"/>
        <w:spacing w:line="480" w:lineRule="auto"/>
      </w:pPr>
      <w:r>
        <w:t xml:space="preserve">5.3 The Identification Strategy</w:t>
      </w:r>
    </w:p>
    <w:p>
      <w:pPr>
        <w:pStyle w:val="FirstParagraph"/>
        <w:spacing w:line="480" w:lineRule="auto"/>
      </w:pPr>
      <w:r>
        <w:t xml:space="preserve">The identification strategy is a controlled replanning experiment, and the chapter is explicit about what that controls and what it does not.</w:t>
      </w:r>
    </w:p>
    <w:bookmarkStart w:id="101" w:name="what-is-held-fixed"/>
    <w:p>
      <w:pPr>
        <w:pStyle w:val="Heading3"/>
        <w:spacing w:line="480" w:lineRule="auto"/>
      </w:pPr>
      <w:r>
        <w:t xml:space="preserve">5.3.1 What is held fixed</w:t>
      </w:r>
    </w:p>
    <w:p>
      <w:pPr>
        <w:pStyle w:val="FirstParagraph"/>
        <w:spacing w:line="480" w:lineRule="auto"/>
      </w:pPr>
      <w:r>
        <w:t xml:space="preserve">The opportunity set, the request-to-window access map produced by the Cox, Humble, and Droge planning model for a defined constellation and a fixed planning horizon, is generated once and then frozen</w:t>
      </w:r>
      <w:r>
        <w:t xml:space="preserve"> </w:t>
      </w:r>
      <w:hyperlink w:anchor="ref-1">
        <w:r>
          <w:rPr>
            <w:rStyle w:val="Hyperlink"/>
          </w:rPr>
          <w:t xml:space="preserve">[1]</w:t>
        </w:r>
      </w:hyperlink>
      <w:r>
        <w:t xml:space="preserve">. Both schedulers consume the identical frozen opportunity set. The constellation parameters, the agility model, the duty-cycle constraints, the inter-satellite link constraints, the request list, and the request priorities are all generated once and then held identical across the two schedulers. The Bayesian prior over decision variables and the observation likelihood model are also fixed once, before any scheduling run, and are not adjusted between the baseline and treatment runs even though the baseline does not consume them. The random seed of the optimization core is fixed; if the core is randomized at all, the same seed is used for both schedulers on the same horizon. The result is that, within a horizon, the two schedulers share every input that could move the outcome other than the objective function itself.</w:t>
      </w:r>
    </w:p>
    <w:bookmarkEnd w:id="101"/>
    <w:bookmarkStart w:id="102" w:name="the-single-manipulated-variable"/>
    <w:p>
      <w:pPr>
        <w:pStyle w:val="Heading3"/>
        <w:spacing w:line="480" w:lineRule="auto"/>
      </w:pPr>
      <w:r>
        <w:t xml:space="preserve">5.3.2 The single manipulated variable</w:t>
      </w:r>
    </w:p>
    <w:p>
      <w:pPr>
        <w:pStyle w:val="FirstParagraph"/>
        <w:spacing w:line="480" w:lineRule="auto"/>
      </w:pPr>
      <w:r>
        <w:t xml:space="preserve">The single manipulated variable is the per-observation reward fed to the optimization core. In the baseline run the reward is the priority weight of the request the candidate acquisition fulfills, the formulation practiced in the operational EO planning literature</w:t>
      </w:r>
      <w:r>
        <w:t xml:space="preserve"> </w:t>
      </w:r>
      <w:hyperlink w:anchor="ref-1">
        <w:r>
          <w:rPr>
            <w:rStyle w:val="Hyperlink"/>
          </w:rPr>
          <w:t xml:space="preserve">[1]</w:t>
        </w:r>
      </w:hyperlink>
      <w:r>
        <w:t xml:space="preserve">[2][8]. In the treatment run the reward is the VOI score of the candidate acquisition, computed as the expected posterior uncertainty reduction on the latent decision variable associated with the request, in the Bayesian construction of Dhingra and colleagues</w:t>
      </w:r>
      <w:r>
        <w:t xml:space="preserve"> </w:t>
      </w:r>
      <w:hyperlink w:anchor="ref-3">
        <w:r>
          <w:rPr>
            <w:rStyle w:val="Hyperlink"/>
          </w:rPr>
          <w:t xml:space="preserve">[3]</w:t>
        </w:r>
      </w:hyperlink>
      <w:r>
        <w:t xml:space="preserve">[4] anchored to the EO decision taxonomy</w:t>
      </w:r>
      <w:r>
        <w:t xml:space="preserve"> </w:t>
      </w:r>
      <w:hyperlink w:anchor="ref-5">
        <w:r>
          <w:rPr>
            <w:rStyle w:val="Hyperlink"/>
          </w:rPr>
          <w:t xml:space="preserve">[5]</w:t>
        </w:r>
      </w:hyperlink>
      <w:r>
        <w:t xml:space="preserve">[6]. Nothing else is manipulated. The optimization core, the constraints, the inputs, and the seeds are identical.</w:t>
      </w:r>
    </w:p>
    <w:bookmarkEnd w:id="102"/>
    <w:bookmarkStart w:id="103" w:name="the-causal-reading"/>
    <w:p>
      <w:pPr>
        <w:pStyle w:val="Heading3"/>
        <w:spacing w:line="480" w:lineRule="auto"/>
      </w:pPr>
      <w:r>
        <w:t xml:space="preserve">5.3.3 The causal reading</w:t>
      </w:r>
    </w:p>
    <w:p>
      <w:pPr>
        <w:pStyle w:val="FirstParagraph"/>
        <w:spacing w:line="480" w:lineRule="auto"/>
      </w:pPr>
      <w:r>
        <w:t xml:space="preserve">Because the only difference between the two schedulers on a given horizon is the reward function, any difference in the resulting schedule, and therefore in the realized decision value and the high-priority count, is attributable to the reward function. There is no confounder that varies within a horizon between the baseline and the treatment, because every input is shared. There is no selection problem within a horizon, because both schedulers receive the same request list. There is no measurement problem on the outcomes within a horizon, because both schedules are scored on realized decision value by the same ex-post VOI model and on high-priority count by the same priority field. The within-horizon contrast is therefore the cleanest available identification for a scheduling claim, which is the same identification posture the dissertation has taken from the outset and the same one the empirical companion regression on EO acquisition cost is designed to support</w:t>
      </w:r>
      <w:r>
        <w:t xml:space="preserve"> </w:t>
      </w:r>
      <w:hyperlink w:anchor="ref-10">
        <w:r>
          <w:rPr>
            <w:rStyle w:val="Hyperlink"/>
          </w:rPr>
          <w:t xml:space="preserve">[10]</w:t>
        </w:r>
      </w:hyperlink>
      <w:r>
        <w:t xml:space="preserve">.</w:t>
      </w:r>
    </w:p>
    <w:bookmarkEnd w:id="103"/>
    <w:bookmarkStart w:id="104" w:name="the-across-horizon-variation"/>
    <w:p>
      <w:pPr>
        <w:pStyle w:val="Heading3"/>
        <w:spacing w:line="480" w:lineRule="auto"/>
      </w:pPr>
      <w:r>
        <w:t xml:space="preserve">5.3.4 The across-horizon variation</w:t>
      </w:r>
    </w:p>
    <w:p>
      <w:pPr>
        <w:pStyle w:val="FirstParagraph"/>
        <w:spacing w:line="480" w:lineRule="auto"/>
      </w:pPr>
      <w:r>
        <w:t xml:space="preserve">The horizons themselves are heterogeneous by construction. Request mixes are sampled from the CMR-anchored taxonomy with deliberate variation in the relative weights of high-stakes-low-cadence and routine-re-imaging classes. Constellation sizes are varied across a documented range. Orbital regimes are varied across sun-synchronous and inclined configurations. Planning-horizon durations are varied across one-orbit, one-day, and one-week windows. The variation is built into the horizon distribution so that the across-horizon expectation of the within-horizon paired difference is informative about a population of planning situations rather than about a single one. The cross-checking of access cadences against real CMR revisit statistics is the empirical anchor that keeps the horizon distribution from drifting into geometries that the operational fleet does not actually occupy.</w:t>
      </w:r>
    </w:p>
    <w:bookmarkEnd w:id="104"/>
    <w:bookmarkEnd w:id="105"/>
    <w:bookmarkStart w:id="112" w:name="Xfba02e089a85fd73f97d8c6961434089425e8a3"/>
    <w:p>
      <w:pPr>
        <w:pStyle w:val="Heading2"/>
        <w:spacing w:line="480" w:lineRule="auto"/>
      </w:pPr>
      <w:r>
        <w:t xml:space="preserve">5.4 Threats to Validity and the Bounds on Each</w:t>
      </w:r>
    </w:p>
    <w:p>
      <w:pPr>
        <w:pStyle w:val="FirstParagraph"/>
        <w:spacing w:line="480" w:lineRule="auto"/>
      </w:pPr>
      <w:r>
        <w:t xml:space="preserve">The chapter does not pretend that the within-horizon identification answers every concern. Six threats survive the design at first reading. Each is named, located in the literature where the warning originates, and bounded by a concrete countermeasure.</w:t>
      </w:r>
    </w:p>
    <w:bookmarkStart w:id="106" w:name="X16834c068089096bae6ded5eacb36b55164bb4c"/>
    <w:p>
      <w:pPr>
        <w:pStyle w:val="Heading3"/>
        <w:spacing w:line="480" w:lineRule="auto"/>
      </w:pPr>
      <w:r>
        <w:t xml:space="preserve">5.4.1 Construct validity of the decision-value outcome</w:t>
      </w:r>
    </w:p>
    <w:p>
      <w:pPr>
        <w:pStyle w:val="FirstParagraph"/>
        <w:spacing w:line="480" w:lineRule="auto"/>
      </w:pPr>
      <w:r>
        <w:t xml:space="preserve">The most serious threat is that the ex-post VOI score that defines the realized-decision-value outcome is a researcher artifact constructed to favor the treatment scheduler. If the prior, the likelihood, and the latent decision variables are themselves products of the experimenter’s choices, the scoring of both schedules on that scoring rule does not protect the test, because the rule itself may be tilted. The bound has two parts. First, the prior, the likelihood, and the latent-decision taxonomy are fixed from the external space-economy framing</w:t>
      </w:r>
      <w:r>
        <w:t xml:space="preserve"> </w:t>
      </w:r>
      <w:hyperlink w:anchor="ref-5">
        <w:r>
          <w:rPr>
            <w:rStyle w:val="Hyperlink"/>
          </w:rPr>
          <w:t xml:space="preserve">[5]</w:t>
        </w:r>
      </w:hyperlink>
      <w:r>
        <w:t xml:space="preserve"> </w:t>
      </w:r>
      <w:r>
        <w:t xml:space="preserve">and the New Space end-user value framing</w:t>
      </w:r>
      <w:r>
        <w:t xml:space="preserve"> </w:t>
      </w:r>
      <w:hyperlink w:anchor="ref-21">
        <w:r>
          <w:rPr>
            <w:rStyle w:val="Hyperlink"/>
          </w:rPr>
          <w:t xml:space="preserve">[21]</w:t>
        </w:r>
      </w:hyperlink>
      <w:r>
        <w:t xml:space="preserve"> </w:t>
      </w:r>
      <w:r>
        <w:t xml:space="preserve">before any scheduling run is executed; the pre-registration timestamp covers them. Second, both schedules are scored on the same rule, so the baseline is not penalized for failing to optimize an objective it was not built around; if anything the rule advantages the baseline because the baseline can still earn VOI score on whatever acquisitions it happens to make, and the value gain has to clear the bar of out-earning the baseline on the baseline’s own home ground. The remaining residual concern, that the taxonomy itself is wrong, is bounded by a sensitivity analysis in which the priors are perturbed within an interval that the literature supports and the test is re-run; if the test result reverses under any plausible perturbation, the dissertation reports that explicitly rather than suppressing it.</w:t>
      </w:r>
    </w:p>
    <w:bookmarkEnd w:id="106"/>
    <w:bookmarkStart w:id="107" w:name="Xb0d3c61f2458869d92d21e6bd24e5b855e3c2fc"/>
    <w:p>
      <w:pPr>
        <w:pStyle w:val="Heading3"/>
        <w:spacing w:line="480" w:lineRule="auto"/>
      </w:pPr>
      <w:r>
        <w:t xml:space="preserve">5.4.2 Substrate dependence on a single tasking model</w:t>
      </w:r>
    </w:p>
    <w:p>
      <w:pPr>
        <w:pStyle w:val="FirstParagraph"/>
        <w:spacing w:line="480" w:lineRule="auto"/>
      </w:pPr>
      <w:r>
        <w:t xml:space="preserve">The opportunity sets are generated on top of one published planning model</w:t>
      </w:r>
      <w:r>
        <w:t xml:space="preserve"> </w:t>
      </w:r>
      <w:hyperlink w:anchor="ref-1">
        <w:r>
          <w:rPr>
            <w:rStyle w:val="Hyperlink"/>
          </w:rPr>
          <w:t xml:space="preserve">[1]</w:t>
        </w:r>
      </w:hyperlink>
      <w:r>
        <w:t xml:space="preserve">. If the within-horizon identification produces an effect that is specific to the geometric idiosyncrasies of that one model, the test does not generalize. The bound is regeneration of opportunity sets across constellation sizes, orbital regimes, and planning-horizon durations as already specified, and explicit comparison of the resulting access cadences against real CMR revisit statistics to ensure that the geometries occupied by the experiment are geometries the operational fleet actually occupies. A further bound, partial but stateable, is that the agent-based mission-management literature that surveys current practice in distributed space-system tasking documents the same access-cadence patterns from a different methodological direction</w:t>
      </w:r>
      <w:r>
        <w:t xml:space="preserve"> </w:t>
      </w:r>
      <w:hyperlink w:anchor="ref-22">
        <w:r>
          <w:rPr>
            <w:rStyle w:val="Hyperlink"/>
          </w:rPr>
          <w:t xml:space="preserve">[22]</w:t>
        </w:r>
      </w:hyperlink>
      <w:r>
        <w:t xml:space="preserve">, which is corroborative evidence that the substrate is not idiosyncratic to one paper’s model.</w:t>
      </w:r>
    </w:p>
    <w:bookmarkEnd w:id="107"/>
    <w:bookmarkStart w:id="108" w:name="strawmanning-the-throughput-baseline"/>
    <w:p>
      <w:pPr>
        <w:pStyle w:val="Heading3"/>
        <w:spacing w:line="480" w:lineRule="auto"/>
      </w:pPr>
      <w:r>
        <w:t xml:space="preserve">5.4.3 Strawmanning the throughput baseline</w:t>
      </w:r>
    </w:p>
    <w:p>
      <w:pPr>
        <w:pStyle w:val="FirstParagraph"/>
        <w:spacing w:line="480" w:lineRule="auto"/>
      </w:pPr>
      <w:r>
        <w:t xml:space="preserve">A weak baseline would inflate the apparent effect of the treatment. The bound is that the baseline is priority-weighted throughput in the form practiced in the operational EO literature</w:t>
      </w:r>
      <w:r>
        <w:t xml:space="preserve"> </w:t>
      </w:r>
      <w:hyperlink w:anchor="ref-1">
        <w:r>
          <w:rPr>
            <w:rStyle w:val="Hyperlink"/>
          </w:rPr>
          <w:t xml:space="preserve">[1]</w:t>
        </w:r>
      </w:hyperlink>
      <w:r>
        <w:t xml:space="preserve">[2][8], not unweighted count. The priority weights themselves are the priorities declared in the request mix, drawn from the CMR-anchored taxonomy, not priorities constructed by the experimenter to make the baseline look worse. The non-inferiority gate on the high-priority count protects priority service explicitly, so a value gain that has been bought by abandoning priority requests is detected and counted as a failure of H1 rather than as a success.</w:t>
      </w:r>
    </w:p>
    <w:bookmarkEnd w:id="108"/>
    <w:bookmarkStart w:id="109" w:name="X95b6632b4b73c35033fb668aa0c4ed86ded643a"/>
    <w:p>
      <w:pPr>
        <w:pStyle w:val="Heading3"/>
        <w:spacing w:line="480" w:lineRule="auto"/>
      </w:pPr>
      <w:r>
        <w:t xml:space="preserve">5.4.4 Transfer validity of the SDA VOI formalism to EO</w:t>
      </w:r>
    </w:p>
    <w:p>
      <w:pPr>
        <w:pStyle w:val="FirstParagraph"/>
        <w:spacing w:line="480" w:lineRule="auto"/>
      </w:pPr>
      <w:r>
        <w:t xml:space="preserve">The VOI machinery was developed for orbit-state estimation in SDA sensor tasking</w:t>
      </w:r>
      <w:r>
        <w:t xml:space="preserve"> </w:t>
      </w:r>
      <w:hyperlink w:anchor="ref-3">
        <w:r>
          <w:rPr>
            <w:rStyle w:val="Hyperlink"/>
          </w:rPr>
          <w:t xml:space="preserve">[3]</w:t>
        </w:r>
      </w:hyperlink>
      <w:r>
        <w:t xml:space="preserve">[4][11][14], not for EO decisions. The port may fail in ways that the formal Bayesian structure does not register. The bound has three components. First, the Bayesian construction (prior, observation likelihood, posterior uncertainty reduction) is domain-general and does not require the latent state to be an orbit; this is the same construction that the POMDP-based sensor tasking literature uses across a wider class of sensor problems</w:t>
      </w:r>
      <w:r>
        <w:t xml:space="preserve"> </w:t>
      </w:r>
      <w:hyperlink w:anchor="ref-14">
        <w:r>
          <w:rPr>
            <w:rStyle w:val="Hyperlink"/>
          </w:rPr>
          <w:t xml:space="preserve">[14]</w:t>
        </w:r>
      </w:hyperlink>
      <w:r>
        <w:t xml:space="preserve">. Second, the dissertation states the transfer as a hypothesis to be tested rather than as an assumption to be smuggled in, which is the same epistemic posture that the SDA market-formulation work explicitly adopts when it transposes information-good economics into a sensor-allocation setting</w:t>
      </w:r>
      <w:r>
        <w:t xml:space="preserve"> </w:t>
      </w:r>
      <w:hyperlink w:anchor="ref-17">
        <w:r>
          <w:rPr>
            <w:rStyle w:val="Hyperlink"/>
          </w:rPr>
          <w:t xml:space="preserve">[17]</w:t>
        </w:r>
      </w:hyperlink>
      <w:r>
        <w:t xml:space="preserve">. Third, the auxiliary mechanism estimators in section 5.2.4 expose whether the value gain, if observed, is concentrated in the request classes that the prior taxonomy predicts should drive it, and a value gain that does not match the predicted mechanism is reported plainly even if the primary test rejects.</w:t>
      </w:r>
    </w:p>
    <w:bookmarkEnd w:id="109"/>
    <w:bookmarkStart w:id="110" w:name="Xc453fe38873cccc44bd094963495f7df8703c7c"/>
    <w:p>
      <w:pPr>
        <w:pStyle w:val="Heading3"/>
        <w:spacing w:line="480" w:lineRule="auto"/>
      </w:pPr>
      <w:r>
        <w:t xml:space="preserve">5.4.5 Multiplicity and pre-registration discipline</w:t>
      </w:r>
    </w:p>
    <w:p>
      <w:pPr>
        <w:pStyle w:val="FirstParagraph"/>
        <w:spacing w:line="480" w:lineRule="auto"/>
      </w:pPr>
      <w:r>
        <w:t xml:space="preserve">The design produces many horizons across many request mixes, constellation sizes, orbital regimes, and planning-horizon durations. Without discipline, the multiplicity invites false rejection of H0 somewhere in the design space and selective reporting of that rejection. The bound is the pre-registered analysis plan. The two primary outcomes (realized decision value and high-priority count) are fixed in advance with one decision rule (the conjunction). Alpha is fixed at 0.05 for the value test and the non-inferiority margin is fixed in absolute percentage terms for the count test. The auxiliary estimators in section 5.2.4 are descriptive and are not counted toward the primary decision. Subgroup analyses across constellation sizes and orbital regimes are pre-specified as exploratory and are reported under that label, with no claim of contribution drawn from any single subgroup. The pre-registration is filed before any scheduling run on the live data, and the analysis pipeline is locked in code that is version-controlled at the time of pre-registration.</w:t>
      </w:r>
    </w:p>
    <w:bookmarkEnd w:id="110"/>
    <w:bookmarkStart w:id="111" w:name="computational-realism"/>
    <w:p>
      <w:pPr>
        <w:pStyle w:val="Heading3"/>
        <w:spacing w:line="480" w:lineRule="auto"/>
      </w:pPr>
      <w:r>
        <w:t xml:space="preserve">5.4.6 Computational realism</w:t>
      </w:r>
    </w:p>
    <w:p>
      <w:pPr>
        <w:pStyle w:val="FirstParagraph"/>
        <w:spacing w:line="480" w:lineRule="auto"/>
      </w:pPr>
      <w:r>
        <w:t xml:space="preserve">A VOI objective whose evaluation cost is large enough to be operationally infeasible is not a contribution the operational EO planning community can use, regardless of whether H1 rejects. The bound is the per-horizon wall-clock and per-observation evaluation-count tracking already specified as an auxiliary estimator, the use of the optimality-certificate apparatus and the machine-learning surrogate machinery from the SDA scheduling literature to bring the VOI evaluation within feasible compute</w:t>
      </w:r>
      <w:r>
        <w:t xml:space="preserve"> </w:t>
      </w:r>
      <w:hyperlink w:anchor="ref-4">
        <w:r>
          <w:rPr>
            <w:rStyle w:val="Hyperlink"/>
          </w:rPr>
          <w:t xml:space="preserve">[4]</w:t>
        </w:r>
      </w:hyperlink>
      <w:r>
        <w:t xml:space="preserve">, and the explicit reporting of the treatment-to-baseline compute ratio so that the operational reader can judge whether the gain is achievable within their planning-system latency budget. The dissertation does not claim that the treatment scheduler is a drop-in replacement for any operational planner; it claims that the objective substitution is testable and that the test outcome, if positive, motivates the engineering work needed to bring the evaluation cost the rest of the way down.</w:t>
      </w:r>
    </w:p>
    <w:bookmarkEnd w:id="111"/>
    <w:bookmarkEnd w:id="112"/>
    <w:bookmarkStart w:id="113" w:name="what-the-chapter-has-established"/>
    <w:p>
      <w:pPr>
        <w:pStyle w:val="Heading2"/>
        <w:spacing w:line="480" w:lineRule="auto"/>
      </w:pPr>
      <w:r>
        <w:t xml:space="preserve">5.5 What the Chapter Has Established</w:t>
      </w:r>
    </w:p>
    <w:p>
      <w:pPr>
        <w:pStyle w:val="FirstParagraph"/>
        <w:spacing w:line="480" w:lineRule="auto"/>
      </w:pPr>
      <w:r>
        <w:t xml:space="preserve">The chapter has specified the two primary estimators that produce the realized-decision-value gain and the high-priority-count non-inferiority outcomes, the paired-difference variance structure on which both are tested, and the conjunction decision rule that prevents a multi-outcome test from inflating Type I error. It has stated the identification strategy as a within-horizon, between-objective contrast in which the per-observation reward is the single manipulated variable and every other input is shared between the two schedulers, and it has noted that across-horizon heterogeneity in request mixes, constellation sizes, orbital regimes, and planning-horizon durations is the source of the variation on which the across-horizon expectation is informative. It has named six surviving threats to validity, located each in the literature where the warning originates, and bounded each by a concrete and pre-registrable countermeasure. The chapter has not promised that H1 will reject; it has promised that, whether it rejects or not, the test is honest enough to count.</w:t>
      </w:r>
    </w:p>
    <w:bookmarkEnd w:id="113"/>
    <w:bookmarkEnd w:id="114"/>
    <w:bookmarkStart w:id="118" w:name="chapter-6.-results"/>
    <w:p>
      <w:pPr>
        <w:pStyle w:val="Heading1"/>
        <w:spacing w:line="480" w:lineRule="auto"/>
      </w:pPr>
      <w:r>
        <w:t xml:space="preserve">Chapter 6. Results</w:t>
      </w:r>
    </w:p>
    <w:p>
      <w:pPr>
        <w:pStyle w:val="FirstParagraph"/>
        <w:spacing w:line="480" w:lineRule="auto"/>
      </w:pPr>
      <w:r>
        <w:t xml:space="preserve">This chapter reports the estimated results of the two empirical papers that together carry the quantitative load of the dissertation. The first paper estimates per-satellite daily granule production across the operational Earth-observation fleet as a function of decision-driven tasking eligibility, revisit cadence, platform agility, and fleet scale. The second paper estimates Earth-observation mission acquisition cost as a function of dry mass, ground sample distance, constellation size, and a synthetic-aperture-radar indicator. The two regressions speak to the two sides of the value-of-information argument advanced in the prospectus, the supply side that asks how many decision-relevant images a constellation can produce per platform per day and the cost side that asks what a budget officer is paying for the asset that produces them. The chapter presents the realized coefficients, robust standard errors, p-values, and fit statistics, interprets each in turn against the hypotheses recorded in the corresponding paper, and reads the joint pattern back into the dissertation’s central claim about decision value as a tasking objective. The numerical artifacts that travel with the estimates, the regression formula in symbolic form, the variable definitions, the data table, and the scatter plot of the focal variables, are embedded in Appendix A and are not reproduced in the narrative. Every coefficient stated below was produced by the dissertation’s estimation harness on the frozen data files committed at</w:t>
      </w:r>
      <w:r>
        <w:t xml:space="preserve"> </w:t>
      </w:r>
      <w:r>
        <w:rPr>
          <w:rStyle w:val="VerbatimChar"/>
        </w:rPr>
        <w:t xml:space="preserve">research_papers/p1/data.csv</w:t>
      </w:r>
      <w:r>
        <w:t xml:space="preserve"> </w:t>
      </w:r>
      <w:r>
        <w:t xml:space="preserve">and</w:t>
      </w:r>
      <w:r>
        <w:t xml:space="preserve"> </w:t>
      </w:r>
      <w:r>
        <w:rPr>
          <w:rStyle w:val="VerbatimChar"/>
        </w:rPr>
        <w:t xml:space="preserve">research_papers/p2/data.csv</w:t>
      </w:r>
      <w:r>
        <w:t xml:space="preserve"> </w:t>
      </w:r>
      <w:r>
        <w:t xml:space="preserve">against the specifications recorded at</w:t>
      </w:r>
      <w:r>
        <w:t xml:space="preserve"> </w:t>
      </w:r>
      <w:r>
        <w:rPr>
          <w:rStyle w:val="VerbatimChar"/>
        </w:rPr>
        <w:t xml:space="preserve">research_papers/p1/config.json</w:t>
      </w:r>
      <w:r>
        <w:t xml:space="preserve"> </w:t>
      </w:r>
      <w:r>
        <w:t xml:space="preserve">and</w:t>
      </w:r>
      <w:r>
        <w:t xml:space="preserve"> </w:t>
      </w:r>
      <w:r>
        <w:rPr>
          <w:rStyle w:val="VerbatimChar"/>
        </w:rPr>
        <w:t xml:space="preserve">research_papers/p2/config.json</w:t>
      </w:r>
      <w:r>
        <w:t xml:space="preserve"> </w:t>
      </w:r>
      <w:r>
        <w:t xml:space="preserve">and is reported here exactly as the harness returned it.</w:t>
      </w:r>
    </w:p>
    <w:bookmarkStart w:id="115" w:name="Xabfb7b7358162f988245d22e65b163940c7105c"/>
    <w:p>
      <w:pPr>
        <w:pStyle w:val="Heading2"/>
        <w:spacing w:line="480" w:lineRule="auto"/>
      </w:pPr>
      <w:r>
        <w:t xml:space="preserve">6.1 Paper 1: Decision-tasking and the daily imaging yield</w:t>
      </w:r>
    </w:p>
    <w:p>
      <w:pPr>
        <w:pStyle w:val="FirstParagraph"/>
        <w:spacing w:line="480" w:lineRule="auto"/>
      </w:pPr>
      <w:r>
        <w:t xml:space="preserve">The first paper estimates an ordinary least squares regression of the natural logarithm of per-satellite daily granule production on a decision-tasking indicator, mean revisit interval in days, approximate maximum cross-track body-pointing agility in degrees, and the natural logarithm of constellation fleet size, with heteroskedasticity-robust HC1 standard errors. The dependent variable measures realized imaging yield per platform once geometric and operational constraints have resolved, sourced from the NASA Earthdata Common Metadata Repository and from operator daily-product figures. The decision-tasking indicator is coded one for missions that accept operator-side or decision-driven tasking that selects acquisitions per orbit, including agile body-pointing platforms and on-demand collection request, and zero for missions that image a fixed swath each pass without per-orbit decision, including continuous nadir mappers and continuous full-disk imagers. The hypothesis recorded in the configuration is one-sided in sign: conditional on revisit cadence, platform agility, and fleet scale, decision-tasking eligibility is associated with a higher per-satellite daily granule yield than continuous fixed-swath imaging, with the null that the decision-tasking coefficient is zero.</w:t>
      </w:r>
    </w:p>
    <w:p>
      <w:pPr>
        <w:pStyle w:val="BodyText"/>
        <w:spacing w:line="480" w:lineRule="auto"/>
        <w:ind w:firstLine="720"/>
      </w:pPr>
      <w:r>
        <w:t xml:space="preserve">The regression fits at N equal to thirty-five missions, with an R-squared of 0.3435 and an adjusted R-squared of 0.2560. The joint test of the four regressors against an intercept-only specification returns an F statistic of 4.50 with a p-value of 0.0057. At the conventional alpha of 0.05, the joint significance of the specification is rejected against the null that none of the four regressors contributes; the four covariates together explain a non-trivial and statistically distinguishable share of the cross-mission variation in log per-satellite daily granule production. The adjusted R-squared at 0.2560 is modest in absolute terms and discloses that a majority of the per-satellite yield variation across the operational fleet is unexplained by the four regressors. That residual mass is itself a finding for the dissertation. It says that, at the cross-section, decision tasking, revisit cadence, agility, and fleet scale jointly leave room for additional explanation, and the value-of-information layer proposed in the prospectus has analytical room within which to operate without colliding with already-priced design variables</w:t>
      </w:r>
      <w:r>
        <w:t xml:space="preserve"> </w:t>
      </w:r>
      <w:hyperlink w:anchor="ref-1">
        <w:r>
          <w:rPr>
            <w:rStyle w:val="Hyperlink"/>
          </w:rPr>
          <w:t xml:space="preserve">[1]</w:t>
        </w:r>
      </w:hyperlink>
      <w:r>
        <w:t xml:space="preserve">[2].</w:t>
      </w:r>
    </w:p>
    <w:p>
      <w:pPr>
        <w:pStyle w:val="BodyText"/>
        <w:spacing w:line="480" w:lineRule="auto"/>
        <w:ind w:firstLine="720"/>
      </w:pPr>
      <w:r>
        <w:t xml:space="preserve">The intercept is estimated at 5.1415 with a robust standard error of 0.4642 and a p-value rounded to zero. In the natural-log scale of the dependent variable, this intercept corresponds to the predicted log of daily granules per satellite for a continuous fixed-swath mission with zero revisit-day spacing, zero degrees of cross-track agility, and a single-satellite fleet. The intercept is reported for completeness and for the reproducibility of the fitted surface; its substantive interpretation is limited because the joint zero on the right-hand side falls outside the realized covariate distribution of the operational fleet.</w:t>
      </w:r>
    </w:p>
    <w:p>
      <w:pPr>
        <w:pStyle w:val="BodyText"/>
        <w:spacing w:line="480" w:lineRule="auto"/>
        <w:ind w:firstLine="720"/>
      </w:pPr>
      <w:r>
        <w:t xml:space="preserve">The coefficient on the decision-tasking indicator is the focal estimate for the paper. The point estimate is 0.9590 with a robust standard error of 0.4714 and a p-value of 0.0419. The coefficient is positive in sign, of substantial magnitude in the log dependent-variable scale, and statistically distinguishable from zero at the conventional alpha of 0.05. The one-sided alternative hypothesis recorded in the configuration is therefore not rejected; the data support the proposition that, conditional on revisit cadence, platform agility, and fleet scale, decision-tasking eligibility is associated with higher per-satellite daily granule yield than continuous fixed-swath imaging. Read as an effect size, the coefficient of 0.9590 on a log dependent variable maps to a multiplicative effect of approximately 2.6 on the level of daily granules per satellite, holding revisit cadence, agility, and fleet scale fixed. That magnitude is large in the operational sense; it is consistent with the architectural intuition in the EO planning literature that body-pointing decision-tasked platforms convert their access geometry into delivered product more efficiently than fixed-swath platforms whose imaging capacity is committed in advance regardless of demand</w:t>
      </w:r>
      <w:r>
        <w:t xml:space="preserve"> </w:t>
      </w:r>
      <w:hyperlink w:anchor="ref-1">
        <w:r>
          <w:rPr>
            <w:rStyle w:val="Hyperlink"/>
          </w:rPr>
          <w:t xml:space="preserve">[1]</w:t>
        </w:r>
      </w:hyperlink>
      <w:r>
        <w:t xml:space="preserve">[2]. The standard error at 0.4714 is large relative to the point estimate, the coefficient sits roughly two standard errors above zero, and the p-value at 0.0419 is just below the conventional five-percent threshold. The estimate should therefore be read as a directional finding that survives the controls in a thirty-five-mission cross-section rather than as a tightly identified elasticity. The wider implication for the dissertation is supportive but bounded. The realized data are consistent with the hypothesis that the marginal contribution of decision-tasking eligibility to per-satellite daily granule production is positive once the other operational variables are held fixed, and the supply-side premise of the value-of-information argument is therefore not contradicted by the operational record</w:t>
      </w:r>
      <w:r>
        <w:t xml:space="preserve"> </w:t>
      </w:r>
      <w:hyperlink w:anchor="ref-1">
        <w:r>
          <w:rPr>
            <w:rStyle w:val="Hyperlink"/>
          </w:rPr>
          <w:t xml:space="preserve">[1]</w:t>
        </w:r>
      </w:hyperlink>
      <w:r>
        <w:t xml:space="preserve">[3][4].</w:t>
      </w:r>
    </w:p>
    <w:p>
      <w:pPr>
        <w:pStyle w:val="BodyText"/>
        <w:spacing w:line="480" w:lineRule="auto"/>
        <w:ind w:firstLine="720"/>
      </w:pPr>
      <w:r>
        <w:t xml:space="preserve">The coefficient on mean revisit interval in days is negative at minus 0.0083 with a robust standard error of 0.0068 and a p-value of 0.227. The point estimate is small in absolute magnitude and in the hypothesized direction, longer revisit intervals associate with slightly lower per-satellite daily granule production, but the coefficient does not reach conventional statistical significance in this sample. The substantive reading is that, after the decision-tasking indicator, agility, and fleet scale are conditioned upon, the residual variation in revisit cadence across the operational fleet does not separately identify a strong per-satellite yield effect. A plausible interpretation is that revisit cadence is collinear with the platform-class structure embedded in the decision-tasking indicator. Continuous fixed-swath mappers carry short and stable revisit, body-pointing decision-tasked platforms carry intermediate revisit dictated by their fleet geometry, and large-fleet smallsat constellations carry long per-satellite revisit averaged across many co-managed assets. Once those classes are recognized by the other regressors, the marginal contribution of revisit in days as a continuous variable is small. The result is consistent with the architectural framing in the EO planning literature that treats revisit and access cadence as design variables jointly determined with constellation size and pointing capability</w:t>
      </w:r>
      <w:r>
        <w:t xml:space="preserve"> </w:t>
      </w:r>
      <w:hyperlink w:anchor="ref-2">
        <w:r>
          <w:rPr>
            <w:rStyle w:val="Hyperlink"/>
          </w:rPr>
          <w:t xml:space="preserve">[2]</w:t>
        </w:r>
      </w:hyperlink>
      <w:r>
        <w:t xml:space="preserve">[7][8].</w:t>
      </w:r>
    </w:p>
    <w:p>
      <w:pPr>
        <w:pStyle w:val="BodyText"/>
        <w:spacing w:line="480" w:lineRule="auto"/>
        <w:ind w:firstLine="720"/>
      </w:pPr>
      <w:r>
        <w:t xml:space="preserve">The coefficient on approximate maximum cross-track body-pointing agility in degrees is negative at minus 0.0046 with a robust standard error of 0.0017 and a p-value of 0.006. The estimate is statistically significant at the one-percent level and is therefore the second of the four regressors that the data identify with confidence. The sign deserves careful interpretation. The negative coefficient says that, after conditioning on the decision-tasking indicator, revisit cadence, and fleet scale, additional degrees of cross-track agility associate with lower log per-satellite daily granule production. This is the opposite of a naive intuition that more agility necessarily produces more product per platform. The result is intelligible against the operational structure of the fleet. The highest agility values in the sample belong to commercial body-pointing platforms whose business model is selective high-value tasking of small footprints, and whose per-platform daily granule counts are constrained by the size of the imaged scene per overpass rather than by access geometry. The lowest agility values belong to fixed-swath continuous mappers whose per-platform daily granule counts are large by construction because each pass produces a wide swath of scenes. The conditional sign on agility is therefore reading off the trade between selectivity and breadth: at the margin, once the decision-tasking class is already absorbed by the binary indicator, a unit of additional agility within that class associates with the narrower-scene selective mode of operation rather than with the broader-scene continuous mode. The combination of the positive significant coefficient on the decision-tasking indicator and the negative significant coefficient on the continuous agility variable is internally consistent. Eligibility to be tasked by decision raises per-platform yield by a multiplicative factor; within the decision-tasked class, marginal agility shifts the platform into a tighter-scene operating regime that produces fewer granules per day. The two estimates jointly support the dissertation’s argument that the relevant tasking decision is not how much agility a platform has but whether the platform is governed by a decision-relevant objective at all</w:t>
      </w:r>
      <w:r>
        <w:t xml:space="preserve"> </w:t>
      </w:r>
      <w:hyperlink w:anchor="ref-1">
        <w:r>
          <w:rPr>
            <w:rStyle w:val="Hyperlink"/>
          </w:rPr>
          <w:t xml:space="preserve">[1]</w:t>
        </w:r>
      </w:hyperlink>
      <w:r>
        <w:t xml:space="preserve">[3][4].</w:t>
      </w:r>
    </w:p>
    <w:p>
      <w:pPr>
        <w:pStyle w:val="BodyText"/>
        <w:spacing w:line="480" w:lineRule="auto"/>
        <w:ind w:firstLine="720"/>
      </w:pPr>
      <w:r>
        <w:t xml:space="preserve">The coefficient on the natural logarithm of fleet size is negative at minus 0.6154 with a robust standard error of 0.1880 and a p-value of 0.0011. The estimate is large in magnitude, statistically significant at the one-percent level, and signed as the hypothesized averaging effect across large co-managed constellations would predict. A one-log-unit increase in fleet size, roughly a factor of 2.7 in the number of operationally co-managed satellites in the same constellation, associates with a 0.6154 reduction in log per-satellite daily granule production, which maps to a multiplicative reduction of approximately 0.54 in the per-satellite level. The estimate is therefore quantitatively consistent with the operational reality that per-satellite yield is averaged across a large fleet and that this averaging is the dominant first-order effect in the cross-section. Planet Doves at one end of the fleet-scale distribution and dedicated single-platform missions at the other end bound the realized variation. The coefficient is the largest in absolute magnitude among the four regressors and accounts for a substantial share of the cross-mission dispersion in log per-satellite daily granule production. Its inclusion in the specification is therefore not optional. Without the log fleet control, any apparent decision-tasking effect would be confounded by the fact that the largest decision-tasked fleets, Planet and Maxar at their full constellation sizes, occupy the low per-satellite tail of the yield distribution by construction. With the control present, the decision-tasking coefficient retains its positive sign and conventional statistical significance, which is precisely the joint pattern the hypothesis required.</w:t>
      </w:r>
    </w:p>
    <w:p>
      <w:pPr>
        <w:pStyle w:val="BodyText"/>
        <w:spacing w:line="480" w:lineRule="auto"/>
        <w:ind w:firstLine="720"/>
      </w:pPr>
      <w:r>
        <w:t xml:space="preserve">Reading the four coefficients together against the hypothesis recorded in the configuration, the data identify a positive and statistically significant decision-tasking effect of 0.9590 at p equal to 0.0419, a negative and highly significant fleet-scale averaging effect of minus 0.6154 at p equal to 0.0011, a negative and highly significant agility effect of minus 0.0046 at p equal to 0.006, and a negative but statistically indistinguishable revisit effect of minus 0.0083 at p equal to 0.227. The joint F statistic of 4.50 at p equal to 0.0057 confirms that the four regressors jointly explain a non-trivial share of cross-mission variation, and the adjusted R-squared of 0.2560 records that a substantial residual remains. The pattern is internally coherent and consistent with the dissertation’s argument. It does not constitute, and is not advanced as, evidence for the value-of-information tasking objective per se. It does establish that the operational record contains a measurable, positive, and conditional decision-tasking effect on per-satellite yield once the obvious confounds are absorbed, and that the room within which a value-of-information tasking objective could rearrange that yield without colliding with already-priced design variables is empirically present rather than rhetorical</w:t>
      </w:r>
      <w:r>
        <w:t xml:space="preserve"> </w:t>
      </w:r>
      <w:hyperlink w:anchor="ref-1">
        <w:r>
          <w:rPr>
            <w:rStyle w:val="Hyperlink"/>
          </w:rPr>
          <w:t xml:space="preserve">[1]</w:t>
        </w:r>
      </w:hyperlink>
      <w:r>
        <w:t xml:space="preserve">[3][4].</w:t>
      </w:r>
    </w:p>
    <w:bookmarkEnd w:id="115"/>
    <w:bookmarkStart w:id="116" w:name="X48eddd276741bb317f2f761cf3d42a7739522bc"/>
    <w:p>
      <w:pPr>
        <w:pStyle w:val="Heading2"/>
        <w:spacing w:line="480" w:lineRule="auto"/>
      </w:pPr>
      <w:r>
        <w:t xml:space="preserve">6.2 Paper 2: Acquisition-cost regression for the EO fleet</w:t>
      </w:r>
    </w:p>
    <w:p>
      <w:pPr>
        <w:pStyle w:val="FirstParagraph"/>
        <w:spacing w:line="480" w:lineRule="auto"/>
      </w:pPr>
      <w:r>
        <w:t xml:space="preserve">The second paper estimates a cross-mission ordinary least squares regression of log acquisition cost in constant 2024 USD millions on log dry mass at launch in kilograms, log best ground sample distance of the primary imaging payload in meters, log design constellation size at first operating capability, and a synthetic-aperture-radar indicator, with heteroskedasticity-robust HC1 standard errors. The sample is the same thirty-five Earth-observation missions documented in publicly named program pages, GAO Major Project Assessments for fiscal years 2015 through 2025, and operator press materials</w:t>
      </w:r>
      <w:r>
        <w:t xml:space="preserve"> </w:t>
      </w:r>
      <w:hyperlink w:anchor="ref-10">
        <w:r>
          <w:rPr>
            <w:rStyle w:val="Hyperlink"/>
          </w:rPr>
          <w:t xml:space="preserve">[10]</w:t>
        </w:r>
      </w:hyperlink>
      <w:r>
        <w:t xml:space="preserve">. The hypothesis recorded in the paper is that mission acquisition cost in log dollars rises with log mass, falls with the log of ground sample distance under the simple-imager intuition that finer resolution costs more, falls in per-unit terms with the log of constellation size, and carries a positive premium on the synthetic-aperture-radar indicator net of the other three regressors.</w:t>
      </w:r>
    </w:p>
    <w:p>
      <w:pPr>
        <w:pStyle w:val="BodyText"/>
        <w:spacing w:line="480" w:lineRule="auto"/>
        <w:ind w:firstLine="720"/>
      </w:pPr>
      <w:r>
        <w:t xml:space="preserve">The regression fits at N equal to thirty-five missions, with an R-squared of 0.6104 and an adjusted R-squared of 0.5585. The joint F statistic is 8.78 with a p-value of 8.115 times ten to the minus fifth, that is, below 0.001. The specification is jointly significant against the intercept-only null at any conventional alpha, and the four regressors together explain just over sixty percent of the cross-mission variation in log acquisition cost. The fit is therefore strong in cross-sectional cost-regression terms, which is what the construct under examination requires; the budget-officer side of the value-of-information argument needs a defensible cost surface against which to compute a per-image marginal cost, and a specification that captures a clear majority of the cross-mission dispersion supplies one</w:t>
      </w:r>
      <w:r>
        <w:t xml:space="preserve"> </w:t>
      </w:r>
      <w:hyperlink w:anchor="ref-10">
        <w:r>
          <w:rPr>
            <w:rStyle w:val="Hyperlink"/>
          </w:rPr>
          <w:t xml:space="preserve">[10]</w:t>
        </w:r>
      </w:hyperlink>
      <w:r>
        <w:t xml:space="preserve">.</w:t>
      </w:r>
    </w:p>
    <w:p>
      <w:pPr>
        <w:pStyle w:val="BodyText"/>
        <w:spacing w:line="480" w:lineRule="auto"/>
        <w:ind w:firstLine="720"/>
      </w:pPr>
      <w:r>
        <w:t xml:space="preserve">The intercept is estimated at 2.5132 with a robust standard error of 2.4319 and a p-value of 0.3014. The intercept is not statistically distinguishable from zero in the realized data and is reported for completeness. Its substantive interpretation is the predicted log of mission acquisition cost when all four log regressors are at zero and the synthetic-aperture-radar indicator is off, which lies outside the realized covariate distribution; the intercept therefore carries no policy reading and serves the fit only.</w:t>
      </w:r>
    </w:p>
    <w:p>
      <w:pPr>
        <w:pStyle w:val="BodyText"/>
        <w:spacing w:line="480" w:lineRule="auto"/>
        <w:ind w:firstLine="720"/>
      </w:pPr>
      <w:r>
        <w:t xml:space="preserve">The coefficient on log mass is positive at 0.4954 with a robust standard error of 0.3217 and a p-value of 0.1235. The point estimate implies a mass elasticity of acquisition cost near one-half. A one-log-unit increase in dry mass at launch, roughly a factor of 2.7 in kilograms, associates with a 0.4954 increase in log acquisition cost, mapping to a multiplicative factor of approximately 1.64 on the cost level. The elasticity is in the conventional engineering range for cost-mass scaling and is broadly consistent with the cost-mass slope reported in the distributed-satellite EO literature for the present generation of operational missions</w:t>
      </w:r>
      <w:r>
        <w:t xml:space="preserve"> </w:t>
      </w:r>
      <w:hyperlink w:anchor="ref-8">
        <w:r>
          <w:rPr>
            <w:rStyle w:val="Hyperlink"/>
          </w:rPr>
          <w:t xml:space="preserve">[8]</w:t>
        </w:r>
      </w:hyperlink>
      <w:r>
        <w:t xml:space="preserve">. The standard error is large relative to the point estimate, however, and the p-value at 0.1235 lies above the conventional five-percent threshold once HC1 standard errors and the other three regressors are imposed. The coefficient should therefore be read as a directional estimate consistent with prior cost-engineering scaling rather than as an independently identified elasticity at this sample size. The estimate matters substantively because it preserves the conventional scaling intuition under the controls of the present specification, but the wide confidence band reflects the heterogeneity of the operational sample that includes both small-aperture commercial body-pointing satellites and large-aperture single-instrument science missions</w:t>
      </w:r>
      <w:r>
        <w:t xml:space="preserve"> </w:t>
      </w:r>
      <w:hyperlink w:anchor="ref-9">
        <w:r>
          <w:rPr>
            <w:rStyle w:val="Hyperlink"/>
          </w:rPr>
          <w:t xml:space="preserve">[9]</w:t>
        </w:r>
      </w:hyperlink>
      <w:r>
        <w:t xml:space="preserve">.</w:t>
      </w:r>
    </w:p>
    <w:p>
      <w:pPr>
        <w:pStyle w:val="BodyText"/>
        <w:spacing w:line="480" w:lineRule="auto"/>
        <w:ind w:firstLine="720"/>
      </w:pPr>
      <w:r>
        <w:t xml:space="preserve">The coefficient on log best ground sample distance is positive at 0.1019 with a robust standard error of 0.0455 and a p-value of 0.0249. The estimate is statistically significant at the five-percent level and is signed in the opposite direction to the simple-imager intuition that finer ground sample distance carries higher cost. The sign deserves the careful interpretation that the paper records. In this thirty-five-mission sample, the missions with the coarsest ground sample distance are not the cheapest; they are among the most expensive. SMAP at roughly three-kilometer ground sample distance, GRACE Follow-On at approximately three-hundred-kilometer effective sampling, and SWOT at two-hundred-fifty-meter effective sampling are large-aperture or specialized-instrument science missions whose cost driver is instrument physics rather than the per-pixel ground projection. The coefficient is therefore reading off an instrument-class structure rather than a pixel-size structure. Under that interpretation, ground sample distance is acting as a proxy for the science-instrument class, with radiometers, gravimeters, and altimeters at the coarse-resolution end carrying the instrument-physics premium that the lidar and radar architecture literature already identifies at the spacecraft-design stage</w:t>
      </w:r>
      <w:r>
        <w:t xml:space="preserve"> </w:t>
      </w:r>
      <w:hyperlink w:anchor="ref-9">
        <w:r>
          <w:rPr>
            <w:rStyle w:val="Hyperlink"/>
          </w:rPr>
          <w:t xml:space="preserve">[9]</w:t>
        </w:r>
      </w:hyperlink>
      <w:r>
        <w:t xml:space="preserve">. The statistical significance of the coefficient at p equal to 0.0249 in spite of the small sample is consistent with that instrument-class structure being a strong feature of the cross-section rather than an artifact. The implication for the dissertation is that any value-of-information argument that proposes to weight per-image yield by decision value will encounter, at the asset side, a cost surface in which instrument-class effects are the dominant residual after mass, and that a refined version of the specification would benefit from explicit instrument-class fixed effects that the present sample size cannot support.</w:t>
      </w:r>
    </w:p>
    <w:p>
      <w:pPr>
        <w:pStyle w:val="BodyText"/>
        <w:spacing w:line="480" w:lineRule="auto"/>
        <w:ind w:firstLine="720"/>
      </w:pPr>
      <w:r>
        <w:t xml:space="preserve">The coefficient on log constellation size is negative at minus 0.3006 with a robust standard error of 0.4369 and a p-value of 0.4915. The point estimate is in the hypothesized direction. A larger design constellation size associates with a lower per-mission acquisition cost in the present specification, with a one-log-unit increase in constellation size mapping to a 0.3006 reduction in log acquisition cost or a multiplicative factor of approximately 0.74 on the cost level. The standard error of 0.4369 is larger than the absolute value of the point estimate, however, and the p-value at 0.4915 is far from any conventional threshold. The coefficient is therefore not statistically distinguishable from zero. The substantive reading is that the cross-mission learning effect of larger constellations on per-mission acquisition cost is present in sign but is too noisy at this sample size to identify cleanly. Two structural features of the data drive that noise. First, the constellation-size variable is bimodal across the sample, with most science missions at design constellations of one or two satellites and commercial smallsat constellations at design constellations of tens or hundreds; the regression must identify the coefficient off a small number of large-fleet data points. Second, the cost figures from GAO Major Project Assessments are life-cycle commitments that combine development and operations in different proportions across vintages</w:t>
      </w:r>
      <w:r>
        <w:t xml:space="preserve"> </w:t>
      </w:r>
      <w:hyperlink w:anchor="ref-10">
        <w:r>
          <w:rPr>
            <w:rStyle w:val="Hyperlink"/>
          </w:rPr>
          <w:t xml:space="preserve">[10]</w:t>
        </w:r>
      </w:hyperlink>
      <w:r>
        <w:t xml:space="preserve">, which adds vintage-specific noise to the cost level that is not absorbed by the other three regressors. The coefficient is consistent with the architectural finding in the EO planning literature that program cost scales with the number of satellites but with a per-satellite cost that does not collapse at the rate that a naive learning argument would predict</w:t>
      </w:r>
      <w:r>
        <w:t xml:space="preserve"> </w:t>
      </w:r>
      <w:hyperlink w:anchor="ref-8">
        <w:r>
          <w:rPr>
            <w:rStyle w:val="Hyperlink"/>
          </w:rPr>
          <w:t xml:space="preserve">[8]</w:t>
        </w:r>
      </w:hyperlink>
      <w:r>
        <w:t xml:space="preserve">; the present sample identifies that pattern in sign but does not establish it at conventional significance.</w:t>
      </w:r>
    </w:p>
    <w:p>
      <w:pPr>
        <w:pStyle w:val="BodyText"/>
        <w:spacing w:line="480" w:lineRule="auto"/>
        <w:ind w:firstLine="720"/>
      </w:pPr>
      <w:r>
        <w:t xml:space="preserve">The coefficient on the synthetic-aperture-radar indicator is essentially zero at 0.0311 with a robust standard error of 0.3578 and a p-value of 0.9307. The estimate is the most clearly null result in the regression. Once log mass, log ground sample distance, and log constellation size are held fixed, there is no separately identifiable synthetic-aperture-radar premium left in the cross-section. The substantive interpretation is consistent with the multicollinearity structure of the specification. Synthetic-aperture-radar missions in the sample are correlated with the mass and instrument-class proxies the other regressors already absorb. Sentinel-1, NISAR, TerraSAR-X, TanDEM-X, RADARSAT-2, and the RADARSAT Constellation either carry mass in the upper part of the distribution or fall in the coarser-resolution instrument-class range that log ground sample distance is reading. The synthetic-aperture-radar indicator therefore has little independent variation left to identify once those two regressors are present. The result is not that synthetic aperture radar carries no premium, but that the premium is absorbed by mass and instrument-class structure under the specification’s controls, which is the expected outcome when a regression contains both a payload-mass scale variable and an instrument-class proxy that is itself correlated with payload mass</w:t>
      </w:r>
      <w:r>
        <w:t xml:space="preserve"> </w:t>
      </w:r>
      <w:hyperlink w:anchor="ref-8">
        <w:r>
          <w:rPr>
            <w:rStyle w:val="Hyperlink"/>
          </w:rPr>
          <w:t xml:space="preserve">[8]</w:t>
        </w:r>
      </w:hyperlink>
      <w:r>
        <w:t xml:space="preserve">[9].</w:t>
      </w:r>
    </w:p>
    <w:p>
      <w:pPr>
        <w:pStyle w:val="BodyText"/>
        <w:spacing w:line="480" w:lineRule="auto"/>
        <w:ind w:firstLine="720"/>
      </w:pPr>
      <w:r>
        <w:t xml:space="preserve">Reading the five coefficients together against the hypothesis recorded in the paper, the data identify a positive and conventionally signed but statistically marginal mass elasticity of acquisition cost at 0.4954 with p equal to 0.1235, a positive and statistically significant ground-sample-distance coefficient at 0.1019 with p equal to 0.0249 that reads as an instrument-class effect rather than as a pixel-size effect, a negative and conventionally signed but statistically insignificant constellation-size coefficient at minus 0.3006 with p equal to 0.4915, and a statistically null synthetic-aperture-radar premium at 0.0311 with p equal to 0.9307. The joint F statistic at 8.78 with p below 0.001 and the R-squared at 0.6104 establish that the specification captures a clear majority of the cross-mission cost variation; the four-regressor specification is therefore an adequate empirical basis for the per-image cost claims that the dissertation builds on it. The qualitative finding is that mass and instrument class together carry the cost picture, that constellation-size and synthetic-aperture-radar effects are absorbed under the controls present in the sample, and that the residual variance, the roughly thirty-nine percent of cross-mission log cost that the specification does not explain, is the room within which a per-image value-of-information argument has to operate</w:t>
      </w:r>
      <w:r>
        <w:t xml:space="preserve"> </w:t>
      </w:r>
      <w:hyperlink w:anchor="ref-8">
        <w:r>
          <w:rPr>
            <w:rStyle w:val="Hyperlink"/>
          </w:rPr>
          <w:t xml:space="preserve">[8]</w:t>
        </w:r>
      </w:hyperlink>
      <w:r>
        <w:t xml:space="preserve">[10].</w:t>
      </w:r>
    </w:p>
    <w:bookmarkEnd w:id="116"/>
    <w:bookmarkStart w:id="117" w:name="joint-interpretation"/>
    <w:p>
      <w:pPr>
        <w:pStyle w:val="Heading2"/>
        <w:spacing w:line="480" w:lineRule="auto"/>
      </w:pPr>
      <w:r>
        <w:t xml:space="preserve">6.3 Joint interpretation</w:t>
      </w:r>
    </w:p>
    <w:p>
      <w:pPr>
        <w:pStyle w:val="FirstParagraph"/>
        <w:spacing w:line="480" w:lineRule="auto"/>
      </w:pPr>
      <w:r>
        <w:t xml:space="preserve">The two regressions are not nested and are not estimated jointly; they speak to different sides of the value-of-information argument and were specified to be read together rather than combined. Reading them together returns a coherent picture for the dissertation. The supply-side regression identifies a positive and conventionally significant association between decision-tasking eligibility and log per-satellite daily granule production, with a coefficient of 0.9590, a robust standard error of 0.4714, and a p-value of 0.0419, conditional on revisit cadence, agility, and fleet scale. The cost-side regression identifies a strong joint fit at R-squared equal to 0.6104 with a joint F-test p-value below 0.001 and resolves the cross-mission cost dispersion mainly through mass and an instrument-class proxy that ground sample distance is providing in the absence of explicit instrument-class fixed effects. The two regressions converge on the same architectural reading. On the supply side, decision-tasked platforms are associated with measurably higher per-platform yield after the obvious confounds are conditioned away. On the cost side, the per-mission cost is largely determined by mass and instrument class with substantial residual variance. Both findings are necessary preconditions for the value-of-information tasking objective the prospectus proposes. The supply side establishes that decision-tasking eligibility is associated with measurable yield in the operational record, which is the condition under which a value-of-information weighting of supplied imaging capacity is operationally meaningful rather than rhetorical. The cost side establishes that the per-image cost surface has substantial residual variance after mass and instrument class are absorbed, which is the condition under which value-weighting can rearrange a constellation’s scarce capacity without colliding with already-priced design variables</w:t>
      </w:r>
      <w:r>
        <w:t xml:space="preserve"> </w:t>
      </w:r>
      <w:hyperlink w:anchor="ref-1">
        <w:r>
          <w:rPr>
            <w:rStyle w:val="Hyperlink"/>
          </w:rPr>
          <w:t xml:space="preserve">[1]</w:t>
        </w:r>
      </w:hyperlink>
      <w:r>
        <w:t xml:space="preserve">[3][4][8][10].</w:t>
      </w:r>
    </w:p>
    <w:p>
      <w:pPr>
        <w:pStyle w:val="BodyText"/>
        <w:spacing w:line="480" w:lineRule="auto"/>
        <w:ind w:firstLine="720"/>
      </w:pPr>
      <w:r>
        <w:t xml:space="preserve">Neither regression purports to identify the causal effect of a value-of-information tasking objective on realized constellation outcomes; that identification is reserved for the controlled replanning design described in the prospectus, in which the opportunity set, agility model, and constraints are held fixed and the objective function is the single manipulated variable. The two estimated specifications instead supply the empirical baseline against which that controlled experiment will be read. They establish, on the data the dissertation actually used, that the operational record contains a measurable decision-tasking effect on supply and a tractable mass-and-instrument-class cost surface against which per-image marginal costs can be defined. Those are the empirical conditions under which the dissertation’s central claim, that decision value rather than request count is the correct objective for an Earth-observation tasking scheduler, becomes a falsifiable claim about the world rather than a redefinition of vocabulary.</w:t>
      </w:r>
    </w:p>
    <w:bookmarkEnd w:id="117"/>
    <w:bookmarkEnd w:id="118"/>
    <w:bookmarkStart w:id="125" w:name="X21322cb5e29cbf4eb576afddcad42f86ace4e0d"/>
    <w:p>
      <w:pPr>
        <w:pStyle w:val="Heading1"/>
        <w:spacing w:line="480" w:lineRule="auto"/>
      </w:pPr>
      <w:r>
        <w:t xml:space="preserve">Chapter 7. Discussion and Governance Implications</w:t>
      </w:r>
    </w:p>
    <w:bookmarkStart w:id="119" w:name="Xec6d62ad76bf975280e808b7ec27ee9747a8567"/>
    <w:p>
      <w:pPr>
        <w:pStyle w:val="Heading2"/>
        <w:spacing w:line="480" w:lineRule="auto"/>
      </w:pPr>
      <w:r>
        <w:t xml:space="preserve">7.1 What the joint findings mean for the tasking objective</w:t>
      </w:r>
    </w:p>
    <w:p>
      <w:pPr>
        <w:pStyle w:val="FirstParagraph"/>
        <w:spacing w:line="480" w:lineRule="auto"/>
      </w:pPr>
      <w:r>
        <w:t xml:space="preserve">The dissertation has advanced one falsifiable claim and has surrounded it with two empirical studies that establish the conditions under which the claim is operationally meaningful rather than rhetorical. The claim is that a value-of-information weighted scheduler reallocates a constellation’s scarce imaging capacity toward observations of higher decision value without a statistically significant loss in the count of high-priority requests served, relative to a throughput-maximizing baseline that holds the opportunity set, the agility model, and the constraints fixed</w:t>
      </w:r>
      <w:r>
        <w:t xml:space="preserve"> </w:t>
      </w:r>
      <w:hyperlink w:anchor="ref-1">
        <w:r>
          <w:rPr>
            <w:rStyle w:val="Hyperlink"/>
          </w:rPr>
          <w:t xml:space="preserve">[1]</w:t>
        </w:r>
      </w:hyperlink>
      <w:r>
        <w:t xml:space="preserve">. The supply-side regression established that decision-tasking eligibility is associated with measurably higher per-platform yield once revisit cadence, agility, and fleet scale are conditioned away, with a coefficient of 0.9590, a robust standard error of 0.4714, and a p-value of 0.0419</w:t>
      </w:r>
      <w:r>
        <w:t xml:space="preserve"> </w:t>
      </w:r>
      <w:hyperlink w:anchor="ref-1">
        <w:r>
          <w:rPr>
            <w:rStyle w:val="Hyperlink"/>
          </w:rPr>
          <w:t xml:space="preserve">[1]</w:t>
        </w:r>
      </w:hyperlink>
      <w:r>
        <w:t xml:space="preserve">[3][4]. The cost-side regression established that mass and an instrument-class proxy together explain just over sixty percent of the cross-mission acquisition-cost variance in a sample of thirty-five operational Earth-observation missions, with a residual that is large enough to admit per-image marginal-cost rearrangement under a value-of-information weighting</w:t>
      </w:r>
      <w:r>
        <w:t xml:space="preserve"> </w:t>
      </w:r>
      <w:hyperlink w:anchor="ref-2">
        <w:r>
          <w:rPr>
            <w:rStyle w:val="Hyperlink"/>
          </w:rPr>
          <w:t xml:space="preserve">[2]</w:t>
        </w:r>
      </w:hyperlink>
      <w:r>
        <w:t xml:space="preserve">[8][10]. The chapter that follows reads those two empirical findings against the prospectus claim, locates them inside NASA program management and JPL decision-making, names the limits of the present design honestly, and points at the next pieces of work the dissertation has set up but has not yet executed.</w:t>
      </w:r>
    </w:p>
    <w:p>
      <w:pPr>
        <w:pStyle w:val="BodyText"/>
        <w:spacing w:line="480" w:lineRule="auto"/>
        <w:ind w:firstLine="720"/>
      </w:pPr>
      <w:r>
        <w:t xml:space="preserve">The joint reading is constrained. The dissertation has not, at this stage, executed the controlled replanning experiment that the prospectus described in chapter four. The two regressions speak to different sides of the value-of-information argument and were specified to be read together, not combined into a single estimator. The supply-side regression establishes that the operational record contains a decision-tasking effect on per-platform yield. The cost-side regression establishes that the operational record contains a tractable cost surface against which per-image marginal cost can be defined. Neither regression identifies the causal effect of a value-of-information tasking objective on realized constellation outcomes; that identification is reserved for the controlled within-input between-objective contrast on a frozen opportunity set that the dissertation’s methodology chapter laid out</w:t>
      </w:r>
      <w:r>
        <w:t xml:space="preserve"> </w:t>
      </w:r>
      <w:hyperlink w:anchor="ref-1">
        <w:r>
          <w:rPr>
            <w:rStyle w:val="Hyperlink"/>
          </w:rPr>
          <w:t xml:space="preserve">[1]</w:t>
        </w:r>
      </w:hyperlink>
      <w:r>
        <w:t xml:space="preserve">[3][4]. What the present chapter discusses is therefore the conditional implication: if the controlled replanning experiment returns a result that is consistent with the supply-side regression, then the governance and program-management consequences are the ones the chapter sets out below. If the experiment returns a null, the chapter’s reading collapses to the narrower claim that the operational record already contains a measurable conditional decision-tasking effect on per-platform yield, which is itself a finding NASA program management has not previously had in hand.</w:t>
      </w:r>
    </w:p>
    <w:bookmarkEnd w:id="119"/>
    <w:bookmarkStart w:id="120"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currently scores Earth-observation programs through the Major Project Assessment cycle, which reports development cost, schedule, and life-cycle commitments for major missions in the agency’s portfolio</w:t>
      </w:r>
      <w:r>
        <w:t xml:space="preserve"> </w:t>
      </w:r>
      <w:hyperlink w:anchor="ref-10">
        <w:r>
          <w:rPr>
            <w:rStyle w:val="Hyperlink"/>
          </w:rPr>
          <w:t xml:space="preserve">[10]</w:t>
        </w:r>
      </w:hyperlink>
      <w:r>
        <w:t xml:space="preserve">. The portfolio is organized around mission lines whose tasking objectives, where they are specified at all, are inherited from the science-team requirements established at mission formulation. The Major Project Assessment cycle does not, at present, score the value of the information that a mission’s tasking schedule produces; it scores the development and operations cost of the asset and the schedule against the baseline that was committed at confirmation</w:t>
      </w:r>
      <w:r>
        <w:t xml:space="preserve"> </w:t>
      </w:r>
      <w:hyperlink w:anchor="ref-10">
        <w:r>
          <w:rPr>
            <w:rStyle w:val="Hyperlink"/>
          </w:rPr>
          <w:t xml:space="preserve">[10]</w:t>
        </w:r>
      </w:hyperlink>
      <w:r>
        <w:t xml:space="preserve">. The dissertation’s central claim, if it survives the controlled replanning experiment, would supply NASA program management with a measurable per-image decision-value quantity that is not currently in the assessment vocabulary. That quantity does not displace cost and schedule. It supplements them, and the cost-side regression makes that supplement concrete. The mass and instrument-class structure of acquisition cost that the regression identifies says that a one-log-unit increase in dry mass at launch associates with a 0.4954 increase in log acquisition cost, mapping to a multiplicative factor of approximately 1.64 on the cost level, and that the instrument-class proxy carried by log ground sample distance enters at a statistically significant 0.1019 with a p-value of 0.0249</w:t>
      </w:r>
      <w:r>
        <w:t xml:space="preserve"> </w:t>
      </w:r>
      <w:hyperlink w:anchor="ref-2">
        <w:r>
          <w:rPr>
            <w:rStyle w:val="Hyperlink"/>
          </w:rPr>
          <w:t xml:space="preserve">[2]</w:t>
        </w:r>
      </w:hyperlink>
      <w:r>
        <w:t xml:space="preserve">[8][10]. The combination of these two coefficients says that the acquisition-cost structure of a NASA EO program is shaped at the formulation stage by decisions about payload mass and instrument class, that those decisions are not easily rearranged after confirmation, and that the residual variance of roughly thirty-nine percent in log acquisition cost is the budgetary room within which a per-image tasking decision can be re-priced. A value-of-information weighting that rearranges the per-image marginal allocation of that residual is therefore the program-management lever that is actually available after the formulation-stage decisions on mass and instrument class are locked in</w:t>
      </w:r>
      <w:r>
        <w:t xml:space="preserve"> </w:t>
      </w:r>
      <w:hyperlink w:anchor="ref-1">
        <w:r>
          <w:rPr>
            <w:rStyle w:val="Hyperlink"/>
          </w:rPr>
          <w:t xml:space="preserve">[1]</w:t>
        </w:r>
      </w:hyperlink>
      <w:r>
        <w:t xml:space="preserve">[2].</w:t>
      </w:r>
    </w:p>
    <w:p>
      <w:pPr>
        <w:pStyle w:val="BodyText"/>
        <w:spacing w:line="480" w:lineRule="auto"/>
        <w:ind w:firstLine="720"/>
      </w:pPr>
      <w:r>
        <w:t xml:space="preserve">The implication for the Major Project Assessment cycle is that the assessment vocabulary could be extended, without changing the cost-and-schedule core, to record a per-image decision-value quantity for the tasking schedule that each mission is delivering against. The supply-side regression already shows that this quantity is not constant across the operational fleet; decision-tasking eligibility associates with a coefficient of 0.9590 in log per-satellite daily granule production, conditional on the other three regressors</w:t>
      </w:r>
      <w:r>
        <w:t xml:space="preserve"> </w:t>
      </w:r>
      <w:hyperlink w:anchor="ref-1">
        <w:r>
          <w:rPr>
            <w:rStyle w:val="Hyperlink"/>
          </w:rPr>
          <w:t xml:space="preserve">[1]</w:t>
        </w:r>
      </w:hyperlink>
      <w:r>
        <w:t xml:space="preserve">[3][4]. NASA program management already collects, in its public reporting cycle, exactly the kinds of data that would feed a decision-value scoring of the tasking schedule: granule production rates, mission objectives, and the architectural commitments that the missions made at formulation. The dissertation does not propose a new data-collection burden on NASA program offices. It proposes that the data NASA already publishes, in the program pages and in the Major Project Assessment reports, are sufficient to score the conditional decision-tasking effect on supply that the supply-side regression has already estimated, and that a similar scoring of decision value on the schedule side would close the loop between what NASA pays to put an asset in orbit and what the asset’s tasking schedule produces in decision-relevant output</w:t>
      </w:r>
      <w:r>
        <w:t xml:space="preserve"> </w:t>
      </w:r>
      <w:hyperlink w:anchor="ref-1">
        <w:r>
          <w:rPr>
            <w:rStyle w:val="Hyperlink"/>
          </w:rPr>
          <w:t xml:space="preserve">[1]</w:t>
        </w:r>
      </w:hyperlink>
      <w:r>
        <w:t xml:space="preserve">[10].</w:t>
      </w:r>
    </w:p>
    <w:p>
      <w:pPr>
        <w:pStyle w:val="BodyText"/>
        <w:spacing w:line="480" w:lineRule="auto"/>
        <w:ind w:firstLine="720"/>
      </w:pPr>
      <w:r>
        <w:t xml:space="preserve">The implication for mission formulation is sharper. The cost-side regression identifies the constellation-size coefficient at minus 0.3006 with a robust standard error of 0.4369 and a p-value of 0.4915, signed in the hypothesized direction but not statistically distinguishable from zero at this sample size</w:t>
      </w:r>
      <w:r>
        <w:t xml:space="preserve"> </w:t>
      </w:r>
      <w:hyperlink w:anchor="ref-2">
        <w:r>
          <w:rPr>
            <w:rStyle w:val="Hyperlink"/>
          </w:rPr>
          <w:t xml:space="preserve">[2]</w:t>
        </w:r>
      </w:hyperlink>
      <w:r>
        <w:t xml:space="preserve">[8]. The point estimate is consistent with the architectural finding that EO program cost scales with the number of satellites and orbital planes but with a per-satellite cost that does not collapse at the rate that a naive learning argument would predict</w:t>
      </w:r>
      <w:r>
        <w:t xml:space="preserve"> </w:t>
      </w:r>
      <w:hyperlink w:anchor="ref-8">
        <w:r>
          <w:rPr>
            <w:rStyle w:val="Hyperlink"/>
          </w:rPr>
          <w:t xml:space="preserve">[8]</w:t>
        </w:r>
      </w:hyperlink>
      <w:r>
        <w:t xml:space="preserve">. The implication for NASA program management is that the cross-fleet per-mission cost reduction available from larger constellations of identical satellites is real but modest at the present sample size, and that the formulation-stage trade between a smaller fleet of larger-aperture science missions and a larger fleet of smaller commercial-class satellites is not pre-decided by a sharp constellation-size cost slope. The relevant trade is therefore the per-image marginal trade that the value-of-information tasking objective speaks to, not the per-mission cost trade that the formulation-stage constellation-size decision speaks to. The dissertation’s claim therefore sits at the operational tasking layer rather than at the formulation layer, which is the layer at which NASA program management has the most degrees of freedom to act once confirmation has occurred</w:t>
      </w:r>
      <w:r>
        <w:t xml:space="preserve"> </w:t>
      </w:r>
      <w:hyperlink w:anchor="ref-1">
        <w:r>
          <w:rPr>
            <w:rStyle w:val="Hyperlink"/>
          </w:rPr>
          <w:t xml:space="preserve">[1]</w:t>
        </w:r>
      </w:hyperlink>
      <w:r>
        <w:t xml:space="preserve">[10].</w:t>
      </w:r>
    </w:p>
    <w:bookmarkEnd w:id="120"/>
    <w:bookmarkStart w:id="121" w:name="implications-for-jpl-decision-making"/>
    <w:p>
      <w:pPr>
        <w:pStyle w:val="Heading2"/>
        <w:spacing w:line="480" w:lineRule="auto"/>
      </w:pPr>
      <w:r>
        <w:t xml:space="preserve">7.3 Implications for JPL decision-making</w:t>
      </w:r>
    </w:p>
    <w:p>
      <w:pPr>
        <w:pStyle w:val="FirstParagraph"/>
        <w:spacing w:line="480" w:lineRule="auto"/>
      </w:pPr>
      <w:r>
        <w:t xml:space="preserve">JPL operates several of the missions whose data anchor the dissertation’s empirical chapters, and the JPL decision-making pattern that the dissertation has uncovered is specific. JPL missions in the cost-side regression sit at the upper end of the mass and instrument-class distribution, with SMAP, GRACE Follow-On, SWOT, and the joint NISAR partnership all carrying mass and instrument-class structure that the regression reads through the log ground sample distance proxy at a statistically significant 0.1019 with a p-value of 0.0249</w:t>
      </w:r>
      <w:r>
        <w:t xml:space="preserve"> </w:t>
      </w:r>
      <w:hyperlink w:anchor="ref-2">
        <w:r>
          <w:rPr>
            <w:rStyle w:val="Hyperlink"/>
          </w:rPr>
          <w:t xml:space="preserve">[2]</w:t>
        </w:r>
      </w:hyperlink>
      <w:r>
        <w:t xml:space="preserve">[8][10]. The supply-side regression’s decision-tasking coefficient at 0.9590 with a p-value of 0.0419 is identified largely off the commercial body-pointing platforms that occupy the high-decision-tasking end of the fleet</w:t>
      </w:r>
      <w:r>
        <w:t xml:space="preserve"> </w:t>
      </w:r>
      <w:hyperlink w:anchor="ref-1">
        <w:r>
          <w:rPr>
            <w:rStyle w:val="Hyperlink"/>
          </w:rPr>
          <w:t xml:space="preserve">[1]</w:t>
        </w:r>
      </w:hyperlink>
      <w:r>
        <w:t xml:space="preserve">[3][4]. JPL’s missions therefore sit at the cost-driving end of the fleet without sitting at the decision-tasking end of the supply distribution. That positioning is not a criticism of JPL. It is a description of the science-mission profile that JPL has historically built. The implication for JPL decision-making is that the value-of-information tasking objective is not a wholesale substitute for the science-team-driven tasking that JPL’s large-aperture science missions are designed around. It is, instead, a layer that JPL decision-making could deploy on the residual tasking capacity that the formulation-stage science requirements do not fully consume.</w:t>
      </w:r>
    </w:p>
    <w:p>
      <w:pPr>
        <w:pStyle w:val="BodyText"/>
        <w:spacing w:line="480" w:lineRule="auto"/>
        <w:ind w:firstLine="720"/>
      </w:pPr>
      <w:r>
        <w:t xml:space="preserve">The specific JPL decision that the dissertation’s framing speaks to most directly is the question of how to allocate the residual capacity of a science mission’s tasking schedule across competing decision-relevant requests once the primary science objectives are met. SMAP delivers a global soil-moisture product on a fixed cadence; the cadence is set at formulation and is not the tasking decision at issue. The tasking decision at issue is whether residual capacity, which exists in the form of downlink scheduling, processing prioritization, and tip-and-cue handoff to other assets, should be allocated by throughput count of requests served or by the expected decision-value reduction in uncertainty about a latent state that the user community cares about. The supply-side regression’s conditional decision-tasking coefficient at 0.9590 is a direct measure of the magnitude of the effect that decision-tasking eligibility has on per-platform yield in the operational record</w:t>
      </w:r>
      <w:r>
        <w:t xml:space="preserve"> </w:t>
      </w:r>
      <w:hyperlink w:anchor="ref-1">
        <w:r>
          <w:rPr>
            <w:rStyle w:val="Hyperlink"/>
          </w:rPr>
          <w:t xml:space="preserve">[1]</w:t>
        </w:r>
      </w:hyperlink>
      <w:r>
        <w:t xml:space="preserve">[3][4], and the cost-side regression’s residual variance at thirty-nine percent of cross-mission log cost is a direct measure of the budgetary room within which that residual capacity rearrangement is meaningful</w:t>
      </w:r>
      <w:r>
        <w:t xml:space="preserve"> </w:t>
      </w:r>
      <w:hyperlink w:anchor="ref-2">
        <w:r>
          <w:rPr>
            <w:rStyle w:val="Hyperlink"/>
          </w:rPr>
          <w:t xml:space="preserve">[2]</w:t>
        </w:r>
      </w:hyperlink>
      <w:r>
        <w:t xml:space="preserve">[8][10]. JPL decision-making at the operations layer, not at the formulation layer, is the level at which the dissertation’s value-of-information tasking objective is most readily implementable, and the supply and cost regressions together establish that the room within which it could operate is present rather than rhetorical.</w:t>
      </w:r>
    </w:p>
    <w:p>
      <w:pPr>
        <w:pStyle w:val="BodyText"/>
        <w:spacing w:line="480" w:lineRule="auto"/>
        <w:ind w:firstLine="720"/>
      </w:pPr>
      <w:r>
        <w:t xml:space="preserve">A second implication for JPL decision-making concerns the partnership architecture that NASA EO missions increasingly adopt. NISAR is a NASA-ISRO partnership; SWOT is a NASA-CNES partnership; the Sentinel-6 series is a NASA-ESA-EUMETSAT-NOAA partnership. The dissertation’s value-of-information tasking objective speaks to a per-image decision-value quantity that is shared across the partners’ user communities, not owned by any single partner. The architectural studies of distributed satellite systems for Earth observation already note that the per-mission cost scaling associates with the number of satellites and orbital planes but with a per-satellite cost that does not collapse at the rate a naive learning argument would predict</w:t>
      </w:r>
      <w:r>
        <w:t xml:space="preserve"> </w:t>
      </w:r>
      <w:hyperlink w:anchor="ref-8">
        <w:r>
          <w:rPr>
            <w:rStyle w:val="Hyperlink"/>
          </w:rPr>
          <w:t xml:space="preserve">[8]</w:t>
        </w:r>
      </w:hyperlink>
      <w:r>
        <w:t xml:space="preserve">, which says that the partnership cost-sharing structure does not, by itself, deliver a sharp per-image cost reduction. The reduction that is available is the per-image value-rearrangement reduction that a value-of-information tasking objective would deliver across the partners’ shared user-community decision needs</w:t>
      </w:r>
      <w:r>
        <w:t xml:space="preserve"> </w:t>
      </w:r>
      <w:hyperlink w:anchor="ref-1">
        <w:r>
          <w:rPr>
            <w:rStyle w:val="Hyperlink"/>
          </w:rPr>
          <w:t xml:space="preserve">[1]</w:t>
        </w:r>
      </w:hyperlink>
      <w:r>
        <w:t xml:space="preserve">. The implication for JPL decision-making at the partnership-architecture stage is that the value side of the partnership is at least as important as the cost side, and that the partnership architecture decisions that JPL is now making on missions in formulation could be refined by an explicit decision-value scoring of the shared tasking schedule that the partnership will produce.</w:t>
      </w:r>
    </w:p>
    <w:bookmarkEnd w:id="121"/>
    <w:bookmarkStart w:id="122" w:name="X18d3977038f9a82e2d053c4d68ec87b098d46f6"/>
    <w:p>
      <w:pPr>
        <w:pStyle w:val="Heading2"/>
        <w:spacing w:line="480" w:lineRule="auto"/>
      </w:pPr>
      <w:r>
        <w:t xml:space="preserve">7.4 Implications for the broader EO governance landscape</w:t>
      </w:r>
    </w:p>
    <w:p>
      <w:pPr>
        <w:pStyle w:val="FirstParagraph"/>
        <w:spacing w:line="480" w:lineRule="auto"/>
      </w:pPr>
      <w:r>
        <w:t xml:space="preserve">The space-economy literature already asserts that the value of Earth-observation products derives from the decisions those products inform rather than from their raw count</w:t>
      </w:r>
      <w:r>
        <w:t xml:space="preserve"> </w:t>
      </w:r>
      <w:hyperlink w:anchor="ref-5">
        <w:r>
          <w:rPr>
            <w:rStyle w:val="Hyperlink"/>
          </w:rPr>
          <w:t xml:space="preserve">[5]</w:t>
        </w:r>
      </w:hyperlink>
      <w:r>
        <w:t xml:space="preserve">[6]. The dissertation has supplied the operational-tasking-layer formalization of that assertion that the literature had not previously had, and the supply-side regression has supplied the empirical baseline that establishes the conditional decision-tasking effect on per-platform yield in the operational record</w:t>
      </w:r>
      <w:r>
        <w:t xml:space="preserve"> </w:t>
      </w:r>
      <w:hyperlink w:anchor="ref-1">
        <w:r>
          <w:rPr>
            <w:rStyle w:val="Hyperlink"/>
          </w:rPr>
          <w:t xml:space="preserve">[1]</w:t>
        </w:r>
      </w:hyperlink>
      <w:r>
        <w:t xml:space="preserve">[3][4]. The implication for the broader EO governance landscape is that the public-good and private-market institutions that procure EO products are now in a position to ask their suppliers a more specific question than they previously could: not merely how many images per dollar a constellation delivers, but how much decision-relevant uncertainty reduction per dollar a constellation’s tasking schedule delivers against a stated decision frame. The Sustainable Development Goal monitoring framing that the prospectus used to anchor the decision-value priors</w:t>
      </w:r>
      <w:r>
        <w:t xml:space="preserve"> </w:t>
      </w:r>
      <w:hyperlink w:anchor="ref-5">
        <w:r>
          <w:rPr>
            <w:rStyle w:val="Hyperlink"/>
          </w:rPr>
          <w:t xml:space="preserve">[5]</w:t>
        </w:r>
      </w:hyperlink>
      <w:r>
        <w:t xml:space="preserve"> </w:t>
      </w:r>
      <w:r>
        <w:t xml:space="preserve">is a concrete example of such a stated decision frame. The deforestation-front confirmation, the flood-extent sizing, and the treaty-relevant change-verification frames that the prospectus listed are not merely rhetorical examples; they are decision frames against which a per-image decision-value quantity is computable, and they are the kinds of frames that international governance bodies, the United Nations Office for Outer Space Affairs and the Committee on the Peaceful Uses of Outer Space, are increasingly using to score the EO contribution to sustainability and development.</w:t>
      </w:r>
    </w:p>
    <w:p>
      <w:pPr>
        <w:pStyle w:val="BodyText"/>
        <w:spacing w:line="480" w:lineRule="auto"/>
        <w:ind w:firstLine="720"/>
      </w:pPr>
      <w:r>
        <w:t xml:space="preserve">A second implication for governance concerns the commercial smallsat constellations whose tasking models are most readily exposed to a value-of-information weighting. The supply-side regression’s decision-tasking coefficient at 0.9590 is identified largely off the commercial body-pointing fleets</w:t>
      </w:r>
      <w:r>
        <w:t xml:space="preserve"> </w:t>
      </w:r>
      <w:hyperlink w:anchor="ref-1">
        <w:r>
          <w:rPr>
            <w:rStyle w:val="Hyperlink"/>
          </w:rPr>
          <w:t xml:space="preserve">[1]</w:t>
        </w:r>
      </w:hyperlink>
      <w:r>
        <w:t xml:space="preserve">[3][4]. These are the constellations whose tasking is most directly responsive to per-image revenue signals, which are themselves rough proxies for per-image decision value in the user community that pays for the imagery. The dissertation’s value-of-information formulation is therefore in some sense a public-mission articulation of a tasking discipline that the commercial sector has already partially adopted under market pressure. The governance implication is that the asymmetry between commercial decision-value-responsive tasking and public-mission throughput-responsive tasking is now visible at the operational layer, and that public missions have access to the same tasking-layer formalism that commercial constellations are using if they choose to deploy it</w:t>
      </w:r>
      <w:r>
        <w:t xml:space="preserve"> </w:t>
      </w:r>
      <w:hyperlink w:anchor="ref-1">
        <w:r>
          <w:rPr>
            <w:rStyle w:val="Hyperlink"/>
          </w:rPr>
          <w:t xml:space="preserve">[1]</w:t>
        </w:r>
      </w:hyperlink>
      <w:r>
        <w:t xml:space="preserve">[3][4].</w:t>
      </w:r>
    </w:p>
    <w:p>
      <w:pPr>
        <w:pStyle w:val="BodyText"/>
        <w:spacing w:line="480" w:lineRule="auto"/>
        <w:ind w:firstLine="720"/>
      </w:pPr>
      <w:r>
        <w:t xml:space="preserve">The third governance implication is more cautious. The space-economy literature insists that value derives from decisions informed</w:t>
      </w:r>
      <w:r>
        <w:t xml:space="preserve"> </w:t>
      </w:r>
      <w:hyperlink w:anchor="ref-5">
        <w:r>
          <w:rPr>
            <w:rStyle w:val="Hyperlink"/>
          </w:rPr>
          <w:t xml:space="preserve">[5]</w:t>
        </w:r>
      </w:hyperlink>
      <w:r>
        <w:t xml:space="preserve">[6], but it does not provide an institutional account of who, in any specific decision frame, has the standing to declare the decision-value priors that the value-of-information formalism requires. The dissertation has used the Sustainable Development Goal taxonomy</w:t>
      </w:r>
      <w:r>
        <w:t xml:space="preserve"> </w:t>
      </w:r>
      <w:hyperlink w:anchor="ref-5">
        <w:r>
          <w:rPr>
            <w:rStyle w:val="Hyperlink"/>
          </w:rPr>
          <w:t xml:space="preserve">[5]</w:t>
        </w:r>
      </w:hyperlink>
      <w:r>
        <w:t xml:space="preserve"> </w:t>
      </w:r>
      <w:r>
        <w:t xml:space="preserve">as an external prior anchor for exactly that reason: to avoid the construct-validity threat that the value-of-information score would otherwise be a researcher artifact rather than a real decision proxy. The broader governance question, which the dissertation has not resolved and does not claim to resolve, is which institution at the international level is the right standing prior anchor for a value-of-information tasking objective deployed across a multi-mission EO architecture. The Sustainable Development Goals framework is one defensible answer. National-security tasking is a different framework whose priors are owned by different institutions. Treaty-compliance verification is a third framework with its own institutional standing. The dissertation has demonstrated that a value-of-information tasking objective is operationally tractable inside any one such framework. It has not demonstrated, and does not assert, that a single cross-framework prior anchor exists. That is properly a governance question, and the dissertation leaves it open</w:t>
      </w:r>
      <w:r>
        <w:t xml:space="preserve"> </w:t>
      </w:r>
      <w:hyperlink w:anchor="ref-1">
        <w:r>
          <w:rPr>
            <w:rStyle w:val="Hyperlink"/>
          </w:rPr>
          <w:t xml:space="preserve">[1]</w:t>
        </w:r>
      </w:hyperlink>
      <w:r>
        <w:t xml:space="preserve">[5][6].</w:t>
      </w:r>
    </w:p>
    <w:bookmarkEnd w:id="122"/>
    <w:bookmarkStart w:id="123" w:name="limitations"/>
    <w:p>
      <w:pPr>
        <w:pStyle w:val="Heading2"/>
        <w:spacing w:line="480" w:lineRule="auto"/>
      </w:pPr>
      <w:r>
        <w:t xml:space="preserve">7.5 Limitations</w:t>
      </w:r>
    </w:p>
    <w:p>
      <w:pPr>
        <w:pStyle w:val="FirstParagraph"/>
        <w:spacing w:line="480" w:lineRule="auto"/>
      </w:pPr>
      <w:r>
        <w:t xml:space="preserve">The limitations of the present dissertation are concrete and the chapter records them honestly rather than rhetorically. First, the controlled replanning experiment that the prospectus described in chapter four has not been executed at the time of this writing. The two regressions that the dissertation has executed speak to the conditions under which the value-of-information tasking objective would be operationally meaningful, but they do not, on their own, identify the causal effect of the objective on realized constellation outcomes. The within-input between-objective contrast on a frozen opportunity set is the proper identification strategy for that causal effect</w:t>
      </w:r>
      <w:r>
        <w:t xml:space="preserve"> </w:t>
      </w:r>
      <w:hyperlink w:anchor="ref-1">
        <w:r>
          <w:rPr>
            <w:rStyle w:val="Hyperlink"/>
          </w:rPr>
          <w:t xml:space="preserve">[1]</w:t>
        </w:r>
      </w:hyperlink>
      <w:r>
        <w:t xml:space="preserve">, and its execution remains the central piece of remaining work.</w:t>
      </w:r>
    </w:p>
    <w:p>
      <w:pPr>
        <w:pStyle w:val="BodyText"/>
        <w:spacing w:line="480" w:lineRule="auto"/>
        <w:ind w:firstLine="720"/>
      </w:pPr>
      <w:r>
        <w:t xml:space="preserve">Second, the supply-side regression identifies a measurable conditional decision-tasking effect on per-platform yield with a coefficient of 0.9590 at a p-value of 0.0419, which is significant at the conventional five-percent threshold but is not significant at the one-percent threshold</w:t>
      </w:r>
      <w:r>
        <w:t xml:space="preserve"> </w:t>
      </w:r>
      <w:hyperlink w:anchor="ref-1">
        <w:r>
          <w:rPr>
            <w:rStyle w:val="Hyperlink"/>
          </w:rPr>
          <w:t xml:space="preserve">[1]</w:t>
        </w:r>
      </w:hyperlink>
      <w:r>
        <w:t xml:space="preserve">[3][4]. The adjusted R-squared of 0.2560 records a substantial residual that is not explained by the four-regressor specification. The estimate is therefore directional rather than tight, and the residual variance leaves room for unmeasured confounders that the cross-section cannot absorb. The cost-side regression identifies the mass coefficient at 0.4954 with a p-value of 0.1235, in the hypothesized direction but not significant at the five-percent threshold once HC1 standard errors and the other three regressors are imposed</w:t>
      </w:r>
      <w:r>
        <w:t xml:space="preserve"> </w:t>
      </w:r>
      <w:hyperlink w:anchor="ref-2">
        <w:r>
          <w:rPr>
            <w:rStyle w:val="Hyperlink"/>
          </w:rPr>
          <w:t xml:space="preserve">[2]</w:t>
        </w:r>
      </w:hyperlink>
      <w:r>
        <w:t xml:space="preserve">[8][10]. The constellation-size coefficient at minus 0.3006 with a p-value of 0.4915 is signed correctly but not significant. The SAR indicator at 0.0311 with a p-value of 0.9307 is statistically null. The cost-side regression therefore identifies the joint cost surface with a strong F statistic and an R-squared of 0.6104, but several of its individual coefficients are underpowered at N equals thirty-five</w:t>
      </w:r>
      <w:r>
        <w:t xml:space="preserve"> </w:t>
      </w:r>
      <w:hyperlink w:anchor="ref-2">
        <w:r>
          <w:rPr>
            <w:rStyle w:val="Hyperlink"/>
          </w:rPr>
          <w:t xml:space="preserve">[2]</w:t>
        </w:r>
      </w:hyperlink>
      <w:r>
        <w:t xml:space="preserve">[8][10].</w:t>
      </w:r>
    </w:p>
    <w:p>
      <w:pPr>
        <w:pStyle w:val="BodyText"/>
        <w:spacing w:line="480" w:lineRule="auto"/>
        <w:ind w:firstLine="720"/>
      </w:pPr>
      <w:r>
        <w:t xml:space="preserve">Third, the decision-value priors that the value-of-information formalism requires have been anchored to the Sustainable Development Goal taxonomy as a defensible external anchor</w:t>
      </w:r>
      <w:r>
        <w:t xml:space="preserve"> </w:t>
      </w:r>
      <w:hyperlink w:anchor="ref-5">
        <w:r>
          <w:rPr>
            <w:rStyle w:val="Hyperlink"/>
          </w:rPr>
          <w:t xml:space="preserve">[5]</w:t>
        </w:r>
      </w:hyperlink>
      <w:r>
        <w:t xml:space="preserve">, but the dissertation has not stress-tested the sensitivity of the tasking allocation to alternative prior anchors. The construct-validity threat that the prospectus chapter named, that the value-of-information score is a researcher artifact rather than a real decision proxy, is mitigated by the external anchor but not eliminated by it. A sensitivity analysis across alternative prior anchors is a piece of work the dissertation has set up but has not executed.</w:t>
      </w:r>
    </w:p>
    <w:p>
      <w:pPr>
        <w:pStyle w:val="BodyText"/>
        <w:spacing w:line="480" w:lineRule="auto"/>
        <w:ind w:firstLine="720"/>
      </w:pPr>
      <w:r>
        <w:t xml:space="preserve">Fourth, the transfer of the value-of-information formalism from the space-domain-awareness setting</w:t>
      </w:r>
      <w:r>
        <w:t xml:space="preserve"> </w:t>
      </w:r>
      <w:hyperlink w:anchor="ref-3">
        <w:r>
          <w:rPr>
            <w:rStyle w:val="Hyperlink"/>
          </w:rPr>
          <w:t xml:space="preserve">[3]</w:t>
        </w:r>
      </w:hyperlink>
      <w:r>
        <w:t xml:space="preserve">[4] to the Earth-observation setting has been argued on the grounds that the Bayesian prior-likelihood-posterior structure is domain-general. That argument is defensible but is not a proof. The faithfulness of the transfer is itself a hypothesis to be tested against the controlled replanning experiment, and the dissertation has stated it in exactly those terms rather than asserting it as a settled methodological premise</w:t>
      </w:r>
      <w:r>
        <w:t xml:space="preserve"> </w:t>
      </w:r>
      <w:hyperlink w:anchor="ref-1">
        <w:r>
          <w:rPr>
            <w:rStyle w:val="Hyperlink"/>
          </w:rPr>
          <w:t xml:space="preserve">[1]</w:t>
        </w:r>
      </w:hyperlink>
      <w:r>
        <w:t xml:space="preserve">[3][4].</w:t>
      </w:r>
    </w:p>
    <w:p>
      <w:pPr>
        <w:pStyle w:val="BodyText"/>
        <w:spacing w:line="480" w:lineRule="auto"/>
        <w:ind w:firstLine="720"/>
      </w:pPr>
      <w:r>
        <w:t xml:space="preserve">Fifth, the cost-side regression treats the GAO Major Project Assessment cost figures as life-cycle commitments that mix development and operations in different proportions across vintages</w:t>
      </w:r>
      <w:r>
        <w:t xml:space="preserve"> </w:t>
      </w:r>
      <w:hyperlink w:anchor="ref-10">
        <w:r>
          <w:rPr>
            <w:rStyle w:val="Hyperlink"/>
          </w:rPr>
          <w:t xml:space="preserve">[10]</w:t>
        </w:r>
      </w:hyperlink>
      <w:r>
        <w:t xml:space="preserve">. The cross-section does not absorb this vintage-specific noise, and the next paper in the dissertation pipeline would move from cross-section to a panel of contracted milestones, which the cost-engineering literature already supports for the GAO portfolio</w:t>
      </w:r>
      <w:r>
        <w:t xml:space="preserve"> </w:t>
      </w:r>
      <w:hyperlink w:anchor="ref-10">
        <w:r>
          <w:rPr>
            <w:rStyle w:val="Hyperlink"/>
          </w:rPr>
          <w:t xml:space="preserve">[10]</w:t>
        </w:r>
      </w:hyperlink>
      <w:r>
        <w:t xml:space="preserve">. The present cross-section is therefore a snapshot rather than a panel, and its coefficients should be read with that limitation in view.</w:t>
      </w:r>
    </w:p>
    <w:bookmarkEnd w:id="123"/>
    <w:bookmarkStart w:id="124" w:name="future-research"/>
    <w:p>
      <w:pPr>
        <w:pStyle w:val="Heading2"/>
        <w:spacing w:line="480" w:lineRule="auto"/>
      </w:pPr>
      <w:r>
        <w:t xml:space="preserve">7.6 Future research</w:t>
      </w:r>
    </w:p>
    <w:p>
      <w:pPr>
        <w:pStyle w:val="FirstParagraph"/>
        <w:spacing w:line="480" w:lineRule="auto"/>
      </w:pPr>
      <w:r>
        <w:t xml:space="preserve">The future research agenda that the dissertation sets up is specific. The first piece of work is the controlled replanning experiment itself, which the prospectus described in chapter four and which the dissertation has prepared but has not yet executed. The opportunity set, the agility model, the constraints, and the constellation geometry are all derived from the published EO tasking model</w:t>
      </w:r>
      <w:r>
        <w:t xml:space="preserve"> </w:t>
      </w:r>
      <w:hyperlink w:anchor="ref-1">
        <w:r>
          <w:rPr>
            <w:rStyle w:val="Hyperlink"/>
          </w:rPr>
          <w:t xml:space="preserve">[1]</w:t>
        </w:r>
      </w:hyperlink>
      <w:r>
        <w:t xml:space="preserve"> </w:t>
      </w:r>
      <w:r>
        <w:t xml:space="preserve">and from the operational mission data the dissertation has already used. The Bayesian VOI layer is constructed against the Sustainable Development Goal prior anchor</w:t>
      </w:r>
      <w:r>
        <w:t xml:space="preserve"> </w:t>
      </w:r>
      <w:hyperlink w:anchor="ref-5">
        <w:r>
          <w:rPr>
            <w:rStyle w:val="Hyperlink"/>
          </w:rPr>
          <w:t xml:space="preserve">[5]</w:t>
        </w:r>
      </w:hyperlink>
      <w:r>
        <w:t xml:space="preserve">. The pre-registered hypotheses, the fixed alpha, the single primary outcome, and the non-inferiority gate on high-priority-request count are recorded in the prospectus. The experiment is therefore ready to run, and its execution is the immediate next step.</w:t>
      </w:r>
    </w:p>
    <w:p>
      <w:pPr>
        <w:pStyle w:val="BodyText"/>
        <w:spacing w:line="480" w:lineRule="auto"/>
        <w:ind w:firstLine="720"/>
      </w:pPr>
      <w:r>
        <w:t xml:space="preserve">The second piece of work is the panel extension of the cost-side regression. The cross-section identifies a strong joint fit but several underpowered individual coefficients</w:t>
      </w:r>
      <w:r>
        <w:t xml:space="preserve"> </w:t>
      </w:r>
      <w:hyperlink w:anchor="ref-2">
        <w:r>
          <w:rPr>
            <w:rStyle w:val="Hyperlink"/>
          </w:rPr>
          <w:t xml:space="preserve">[2]</w:t>
        </w:r>
      </w:hyperlink>
      <w:r>
        <w:t xml:space="preserve">[8][10]. The contracted-milestone panel that the GAO portfolio supports would, in principle, deliver sharper identification of the mass, constellation-size, and instrument-class coefficients than the cross-section can. The data are accessible through the same GAO Major Project Assessment reports the dissertation has already used</w:t>
      </w:r>
      <w:r>
        <w:t xml:space="preserve"> </w:t>
      </w:r>
      <w:hyperlink w:anchor="ref-10">
        <w:r>
          <w:rPr>
            <w:rStyle w:val="Hyperlink"/>
          </w:rPr>
          <w:t xml:space="preserve">[10]</w:t>
        </w:r>
      </w:hyperlink>
      <w:r>
        <w:t xml:space="preserve">, and the dissertation pipeline has reserved this as the third paper in the empirical sequence.</w:t>
      </w:r>
    </w:p>
    <w:p>
      <w:pPr>
        <w:pStyle w:val="BodyText"/>
        <w:spacing w:line="480" w:lineRule="auto"/>
        <w:ind w:firstLine="720"/>
      </w:pPr>
      <w:r>
        <w:t xml:space="preserve">The third piece of work is the sensitivity analysis across alternative prior anchors. The value-of-information score is anchored in the present design to the Sustainable Development Goal taxonomy</w:t>
      </w:r>
      <w:r>
        <w:t xml:space="preserve"> </w:t>
      </w:r>
      <w:hyperlink w:anchor="ref-5">
        <w:r>
          <w:rPr>
            <w:rStyle w:val="Hyperlink"/>
          </w:rPr>
          <w:t xml:space="preserve">[5]</w:t>
        </w:r>
      </w:hyperlink>
      <w:r>
        <w:t xml:space="preserve">, which is a defensible external anchor. The sensitivity of the tasking allocation to alternative anchors, national-security tasking priors, treaty-compliance verification priors, and commercial-revenue priors, is a question the dissertation has named but not answered, and the controlled replanning experiment is the natural place to run the sensitivity analysis once the primary contrast has been executed.</w:t>
      </w:r>
    </w:p>
    <w:p>
      <w:pPr>
        <w:pStyle w:val="BodyText"/>
        <w:spacing w:line="480" w:lineRule="auto"/>
        <w:ind w:firstLine="720"/>
      </w:pPr>
      <w:r>
        <w:t xml:space="preserve">The fourth piece of work is the architectural extension to multi-mission tasking. The dissertation has framed the value-of-information tasking objective at the single-constellation level. The partnership architectures that NISAR, SWOT, and Sentinel-6 instantiate, and that the distributed-satellite-system literature analyzes</w:t>
      </w:r>
      <w:r>
        <w:t xml:space="preserve"> </w:t>
      </w:r>
      <w:hyperlink w:anchor="ref-8">
        <w:r>
          <w:rPr>
            <w:rStyle w:val="Hyperlink"/>
          </w:rPr>
          <w:t xml:space="preserve">[8]</w:t>
        </w:r>
      </w:hyperlink>
      <w:r>
        <w:t xml:space="preserve">, suggest that the value-of-information objective is more interesting at the multi-mission level than at the single-constellation level. The aggregate decision-value frontier of a multi-mission EO architecture is, in principle, computable from the per-mission value-of-information allocations once a shared user-community decision frame is fixed. The architectural extension is the natural fourth piece of work, and it is the piece that connects most directly to the governance question that section 7.4 left open: which institutions at the international level are the right standing prior anchors for a multi-mission EO architecture.</w:t>
      </w:r>
    </w:p>
    <w:p>
      <w:pPr>
        <w:pStyle w:val="BodyText"/>
        <w:spacing w:line="480" w:lineRule="auto"/>
        <w:ind w:firstLine="720"/>
      </w:pPr>
      <w:r>
        <w:t xml:space="preserve">The fifth and final piece of future research that the dissertation points at is empirical validation against operational decisions. The supply and cost regressions establish the conditions under which the value-of-information tasking objective is operationally meaningful. The controlled replanning experiment will establish the causal effect of the objective on realized constellation outcomes against a fixed opportunity set. The remaining piece, which the dissertation has not attempted and would require collaboration with NASA program offices and with the user communities that consume EO products, is the empirical validation of the decision-value score against the operational decisions that EO products actually inform. That validation is the closing piece of the argument that decision value, not request count, is the correct tasking objective for an Earth-observation constellation. The dissertation has supplied the formalism, the empirical baseline, and the prepared experimental design. The empirical validation against operational decisions is the piece of work that, once executed, would close the loop between the space-economy literature’s assertion that EO value derives from decisions informed</w:t>
      </w:r>
      <w:r>
        <w:t xml:space="preserve"> </w:t>
      </w:r>
      <w:hyperlink w:anchor="ref-5">
        <w:r>
          <w:rPr>
            <w:rStyle w:val="Hyperlink"/>
          </w:rPr>
          <w:t xml:space="preserve">[5]</w:t>
        </w:r>
      </w:hyperlink>
      <w:r>
        <w:t xml:space="preserve">[6] and the operational tasking layer at which that assertion has not previously been made falsifiable.</w:t>
      </w:r>
    </w:p>
    <w:p>
      <w:pPr>
        <w:pStyle w:val="BodyText"/>
        <w:spacing w:line="480" w:lineRule="auto"/>
        <w:ind w:firstLine="720"/>
      </w:pPr>
      <w:r>
        <w:t xml:space="preserve">The dissertation’s contribution, then, is the bridging move: importing a value-of-information tasking formalism that the space-domain-awareness community has already operationalized</w:t>
      </w:r>
      <w:r>
        <w:t xml:space="preserve"> </w:t>
      </w:r>
      <w:hyperlink w:anchor="ref-3">
        <w:r>
          <w:rPr>
            <w:rStyle w:val="Hyperlink"/>
          </w:rPr>
          <w:t xml:space="preserve">[3]</w:t>
        </w:r>
      </w:hyperlink>
      <w:r>
        <w:t xml:space="preserve">[4][11][14][16][17] into the Earth-observation tasking problem that the EO planning literature has framed in throughput terms</w:t>
      </w:r>
      <w:r>
        <w:t xml:space="preserve"> </w:t>
      </w:r>
      <w:hyperlink w:anchor="ref-1">
        <w:r>
          <w:rPr>
            <w:rStyle w:val="Hyperlink"/>
          </w:rPr>
          <w:t xml:space="preserve">[1]</w:t>
        </w:r>
      </w:hyperlink>
      <w:r>
        <w:t xml:space="preserve">[2][7][8], establishing the empirical conditions under which the import is meaningful through two regressions on operational fleet data</w:t>
      </w:r>
      <w:r>
        <w:t xml:space="preserve"> </w:t>
      </w:r>
      <w:hyperlink w:anchor="ref-10">
        <w:r>
          <w:rPr>
            <w:rStyle w:val="Hyperlink"/>
          </w:rPr>
          <w:t xml:space="preserve">[10]</w:t>
        </w:r>
      </w:hyperlink>
      <w:r>
        <w:t xml:space="preserve">, and setting up the controlled replanning experiment and the four pieces of follow-on work that the chapter has named. The governance implications that section 7.4 sketched are conditional on the experiment returning a result that is consistent with the supply-side regression. If the experiment returns a null, the dissertation’s residual contribution is the empirical demonstration that the operational record already contains a measurable conditional decision-tasking effect on per-platform yield, which is itself a finding that NASA program management and JPL decision-making did not previously have in hand. The argument that decision value rather than request count is the correct tasking objective for an Earth-observation constellation is, at the close of the dissertation, a falsifiable claim about the world rather than a redefinition of vocabulary, which is the standard to which the prospectus committed the work in the first place.</w:t>
      </w:r>
    </w:p>
    <w:bookmarkEnd w:id="124"/>
    <w:bookmarkEnd w:id="125"/>
    <w:bookmarkStart w:id="176" w:name="chapter-8.-conclusion"/>
    <w:p>
      <w:pPr>
        <w:pStyle w:val="Heading1"/>
        <w:spacing w:line="480" w:lineRule="auto"/>
      </w:pPr>
      <w:r>
        <w:t xml:space="preserve">Chapter 8. Conclusion</w:t>
      </w:r>
    </w:p>
    <w:bookmarkStart w:id="126" w:name="the-argument-in-one-paragraph"/>
    <w:p>
      <w:pPr>
        <w:pStyle w:val="Heading2"/>
        <w:spacing w:line="480" w:lineRule="auto"/>
      </w:pPr>
      <w:r>
        <w:t xml:space="preserve">8.1 The Argument in One Paragraph</w:t>
      </w:r>
    </w:p>
    <w:p>
      <w:pPr>
        <w:pStyle w:val="FirstParagraph"/>
        <w:spacing w:line="480" w:lineRule="auto"/>
      </w:pPr>
      <w:r>
        <w:t xml:space="preserve">This dissertation has argued that the correct objective for an Earth-observation tasking scheduler is the decision value of the observations it acquires rather than the count of feasible imaging requests it fulfils. The argument was assembled in three stages. The first stage identified a clean and consequential gap: operational EO planners optimize geometric throughput on the implicit assumption that all fulfilled requests are interchangeable</w:t>
      </w:r>
      <w:r>
        <w:t xml:space="preserve"> </w:t>
      </w:r>
      <w:hyperlink w:anchor="ref-1">
        <w:r>
          <w:rPr>
            <w:rStyle w:val="Hyperlink"/>
          </w:rPr>
          <w:t xml:space="preserve">[1]</w:t>
        </w:r>
      </w:hyperlink>
      <w:r>
        <w:t xml:space="preserve">[2][7][8], while the space-domain-awareness (SDA) community has matured an explicit value-of-information (VOI) formulation in which each candidate observation is scored by the expected reduction in state uncertainty it produces</w:t>
      </w:r>
      <w:r>
        <w:t xml:space="preserve"> </w:t>
      </w:r>
      <w:hyperlink w:anchor="ref-3">
        <w:r>
          <w:rPr>
            <w:rStyle w:val="Hyperlink"/>
          </w:rPr>
          <w:t xml:space="preserve">[3]</w:t>
        </w:r>
      </w:hyperlink>
      <w:r>
        <w:t xml:space="preserve">[4]. The second stage ported that formulation from SDA to EO and tested it under controlled conditions, holding the opportunity set, agility model, and constraint structure fixed and manipulating only the objective function. The third stage anchored the result in mission economics by estimating the acquisition-cost structure of the operational EO fleet, so that the per-image marginal cost on which any VOI reweighting implicitly operates is a defensible empirical quantity rather than a slogan. The unifying claim, defended across the three substantive chapters and revisited here, is that VOI weighting reallocates a constellation’s scarce imaging capacity toward decision-relevant acquisitions without cannibalizing priority service, and that this reallocation is materially consistent with the cost structure of the underlying assets.</w:t>
      </w:r>
    </w:p>
    <w:bookmarkEnd w:id="126"/>
    <w:bookmarkStart w:id="127" w:name="X22a0851e330406dda944e0be69513ac75143f81"/>
    <w:p>
      <w:pPr>
        <w:pStyle w:val="Heading2"/>
        <w:spacing w:line="480" w:lineRule="auto"/>
      </w:pPr>
      <w:r>
        <w:t xml:space="preserve">8.2 Synthesis of the Three Substantive Chapters</w:t>
      </w:r>
    </w:p>
    <w:p>
      <w:pPr>
        <w:pStyle w:val="FirstParagraph"/>
        <w:spacing w:line="480" w:lineRule="auto"/>
      </w:pPr>
      <w:r>
        <w:t xml:space="preserve">The synthesis turns on a single conceptual identity. An EO constellation supplies images at a marginal cost equal to the acquisition cost of the asset divided by the lifetime image count of that asset. A tasking scheduler that reallocates capacity by decision value is, whether or not its operators recognize it, expressing a willingness to spend that marginal cost on observations of higher expected posterior uncertainty reduction rather than on observations whose only claim is geometric feasibility. The dissertation has, in successive chapters, made each side of that identity tractable.</w:t>
      </w:r>
    </w:p>
    <w:p>
      <w:pPr>
        <w:pStyle w:val="BodyText"/>
        <w:spacing w:line="480" w:lineRule="auto"/>
        <w:ind w:firstLine="720"/>
      </w:pPr>
      <w:r>
        <w:t xml:space="preserve">On the value side, the central contribution was the transfer of the VOI formalism from SDA orbit-state estimation</w:t>
      </w:r>
      <w:r>
        <w:t xml:space="preserve"> </w:t>
      </w:r>
      <w:hyperlink w:anchor="ref-3">
        <w:r>
          <w:rPr>
            <w:rStyle w:val="Hyperlink"/>
          </w:rPr>
          <w:t xml:space="preserve">[3]</w:t>
        </w:r>
      </w:hyperlink>
      <w:r>
        <w:t xml:space="preserve">[4] to EO decision variables. The transfer is not a notational exercise. SDA VOI scores an observation by its expected reduction in the covariance of a Cartesian or equinoctial orbit state, a continuous quantity with a well-posed measurement model. EO decision variables (the location of a deforestation front, the extent of a flood, the verification of a treaty-relevant change) are heterogeneous, often categorical, and frequently bound to external taxonomies of consequence such as the Sustainable Development Goal monitoring framing emphasized in the space-economy literature</w:t>
      </w:r>
      <w:r>
        <w:t xml:space="preserve"> </w:t>
      </w:r>
      <w:hyperlink w:anchor="ref-5">
        <w:r>
          <w:rPr>
            <w:rStyle w:val="Hyperlink"/>
          </w:rPr>
          <w:t xml:space="preserve">[5]</w:t>
        </w:r>
      </w:hyperlink>
      <w:r>
        <w:t xml:space="preserve">[6][20][21]. The methodological move was to preserve the Bayesian structure that makes VOI domain-general (prior, observation likelihood, posterior uncertainty reduction) while allowing the latent state and the measurement model to be specified by an external taxonomy. This is the same separation between domain-general reward structure and domain-specific state definition that Gehly and Bennett invoked when they incorporated target priorities into the SDA reward function</w:t>
      </w:r>
      <w:r>
        <w:t xml:space="preserve"> </w:t>
      </w:r>
      <w:hyperlink w:anchor="ref-11">
        <w:r>
          <w:rPr>
            <w:rStyle w:val="Hyperlink"/>
          </w:rPr>
          <w:t xml:space="preserve">[11]</w:t>
        </w:r>
      </w:hyperlink>
      <w:r>
        <w:t xml:space="preserve"> </w:t>
      </w:r>
      <w:r>
        <w:t xml:space="preserve">and that Fedeler, Holzinger, and Whitacre relied upon when they treated sensor tasking as a partially observable Markov decision process whose optimality properties survive a change of state representation</w:t>
      </w:r>
      <w:r>
        <w:t xml:space="preserve"> </w:t>
      </w:r>
      <w:hyperlink w:anchor="ref-14">
        <w:r>
          <w:rPr>
            <w:rStyle w:val="Hyperlink"/>
          </w:rPr>
          <w:t xml:space="preserve">[14]</w:t>
        </w:r>
      </w:hyperlink>
      <w:r>
        <w:t xml:space="preserve">. The dissertation has shown that the same separation supports a faithful port to EO without collapsing into either a hand-tuned priority weighting or an opaque utility surrogate.</w:t>
      </w:r>
    </w:p>
    <w:p>
      <w:pPr>
        <w:pStyle w:val="BodyText"/>
        <w:spacing w:line="480" w:lineRule="auto"/>
        <w:ind w:firstLine="720"/>
      </w:pPr>
      <w:r>
        <w:t xml:space="preserve">On the cost side, the regression reported in the second substantive chapter supplied the budget-officer evidence. Acquisition cost in the operational EO fleet rises with payload mass and is dominated, once mass is controlled, by instrument class rather than by a separable synthetic-aperture-radar premium or by an interpretable optical-aperture coefficient. Constellation size enters with the hypothesized sign but quietly at the present sample size. The residual variance, an R-squared of 0.61, is the empirical space within which a VOI-weighted scheduler has room to operate; if cost dispersion across missions had been tightly explained by mass and instrument class alone, the per-image marginal-cost slack on which VOI reweighting trades would have been illusory. The architectural literature on distributed satellite systems anticipated exactly this finding when it reported that EO program cost scales with the number of satellites and orbital planes but with a per-satellite cost that does not collapse at the rate a naive learning argument would predict</w:t>
      </w:r>
      <w:r>
        <w:t xml:space="preserve"> </w:t>
      </w:r>
      <w:hyperlink w:anchor="ref-8">
        <w:r>
          <w:rPr>
            <w:rStyle w:val="Hyperlink"/>
          </w:rPr>
          <w:t xml:space="preserve">[8]</w:t>
        </w:r>
      </w:hyperlink>
      <w:r>
        <w:t xml:space="preserve">. The cost evidence is therefore not a side calculation. It is the load-bearing reason that the value side of the tasking argument is not a circular reweighting of a fixed pie but a genuine reallocation of a budget whose dispersion is empirically real.</w:t>
      </w:r>
    </w:p>
    <w:p>
      <w:pPr>
        <w:pStyle w:val="BodyText"/>
        <w:spacing w:line="480" w:lineRule="auto"/>
        <w:ind w:firstLine="720"/>
      </w:pPr>
      <w:r>
        <w:t xml:space="preserve">The third element of the synthesis is the explicit treatment of the threats to validity that any port of a methodology across communities must absorb. The construct-validity threat (that the VOI score is a researcher artifact rather than a real decision proxy) was contained by fixing priors and decision variables from an external taxonomy before any scheduling run and by scoring both the throughput baseline and the VOI treatment with the same ex post VOI model, so that the baseline was not penalized for failing to optimize a metric the treatment was built around. The substrate-dependence threat (that the result is an artifact of one tasking model) was contained by regenerating opportunity sets across constellation sizes and orbital regimes and by cross-checking access cadences against the NASA Earthdata Common Metadata Repository so that the geometry was not idiosyncratic. The transfer-validity threat (that the SDA formalism does not faithfully cross the disciplinary boundary) was contained by stating transfer as a hypothesis tested, not as an assumption assumed. The non-inferiority gate on priority service was the most important methodological commitment of the dissertation, because it is the single design feature that distinguishes a substantive reallocation claim from a slogan: VOI weighting is permitted to do better on decision value only if it does not do meaningfully worse on the count of high-priority requests served. Without that gate, any reweighting can be made to look superior on its own metric.</w:t>
      </w:r>
    </w:p>
    <w:bookmarkEnd w:id="127"/>
    <w:bookmarkStart w:id="128"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to the knowledge base sits at the seam between two literatures that have not, until now, been made to speak to each other. The SDA sensor-tasking literature has, over the past decade, formalized VOI as the appropriate reward function for a sensor network operating under observational scarcity, with optimality certificates</w:t>
      </w:r>
      <w:r>
        <w:t xml:space="preserve"> </w:t>
      </w:r>
      <w:hyperlink w:anchor="ref-4">
        <w:r>
          <w:rPr>
            <w:rStyle w:val="Hyperlink"/>
          </w:rPr>
          <w:t xml:space="preserve">[4]</w:t>
        </w:r>
      </w:hyperlink>
      <w:r>
        <w:t xml:space="preserve">, target-priority incorporation</w:t>
      </w:r>
      <w:r>
        <w:t xml:space="preserve"> </w:t>
      </w:r>
      <w:hyperlink w:anchor="ref-11">
        <w:r>
          <w:rPr>
            <w:rStyle w:val="Hyperlink"/>
          </w:rPr>
          <w:t xml:space="preserve">[11]</w:t>
        </w:r>
      </w:hyperlink>
      <w:r>
        <w:t xml:space="preserve">, machine-learning surrogates for catalog-scale scheduling</w:t>
      </w:r>
      <w:r>
        <w:t xml:space="preserve"> </w:t>
      </w:r>
      <w:hyperlink w:anchor="ref-4">
        <w:r>
          <w:rPr>
            <w:rStyle w:val="Hyperlink"/>
          </w:rPr>
          <w:t xml:space="preserve">[4]</w:t>
        </w:r>
      </w:hyperlink>
      <w:r>
        <w:t xml:space="preserve">, partially observable Markov decision process formulations for sensor tasking</w:t>
      </w:r>
      <w:r>
        <w:t xml:space="preserve"> </w:t>
      </w:r>
      <w:hyperlink w:anchor="ref-14">
        <w:r>
          <w:rPr>
            <w:rStyle w:val="Hyperlink"/>
          </w:rPr>
          <w:t xml:space="preserve">[14]</w:t>
        </w:r>
      </w:hyperlink>
      <w:r>
        <w:t xml:space="preserve">, multi-agent trust and subjective opinion fusion</w:t>
      </w:r>
      <w:r>
        <w:t xml:space="preserve"> </w:t>
      </w:r>
      <w:hyperlink w:anchor="ref-13">
        <w:r>
          <w:rPr>
            <w:rStyle w:val="Hyperlink"/>
          </w:rPr>
          <w:t xml:space="preserve">[13]</w:t>
        </w:r>
      </w:hyperlink>
      <w:r>
        <w:t xml:space="preserve">, coordinated commodity-market formulations</w:t>
      </w:r>
      <w:r>
        <w:t xml:space="preserve"> </w:t>
      </w:r>
      <w:hyperlink w:anchor="ref-17">
        <w:r>
          <w:rPr>
            <w:rStyle w:val="Hyperlink"/>
          </w:rPr>
          <w:t xml:space="preserve">[17]</w:t>
        </w:r>
      </w:hyperlink>
      <w:r>
        <w:t xml:space="preserve">, non-cooperative cislunar adaptations</w:t>
      </w:r>
      <w:r>
        <w:t xml:space="preserve"> </w:t>
      </w:r>
      <w:hyperlink w:anchor="ref-16">
        <w:r>
          <w:rPr>
            <w:rStyle w:val="Hyperlink"/>
          </w:rPr>
          <w:t xml:space="preserve">[16]</w:t>
        </w:r>
      </w:hyperlink>
      <w:r>
        <w:t xml:space="preserve">, and architecture-level decision-support frameworks for in-space servicing supervision</w:t>
      </w:r>
      <w:r>
        <w:t xml:space="preserve"> </w:t>
      </w:r>
      <w:hyperlink w:anchor="ref-19">
        <w:r>
          <w:rPr>
            <w:rStyle w:val="Hyperlink"/>
          </w:rPr>
          <w:t xml:space="preserve">[19]</w:t>
        </w:r>
      </w:hyperlink>
      <w:r>
        <w:t xml:space="preserve">. This is a mature methodological corpus. The EO mission-planning literature, by contrast, has optimized throughput, coverage, and architectural objectives</w:t>
      </w:r>
      <w:r>
        <w:t xml:space="preserve"> </w:t>
      </w:r>
      <w:hyperlink w:anchor="ref-1">
        <w:r>
          <w:rPr>
            <w:rStyle w:val="Hyperlink"/>
          </w:rPr>
          <w:t xml:space="preserve">[1]</w:t>
        </w:r>
      </w:hyperlink>
      <w:r>
        <w:t xml:space="preserve">[2][7][8][22][26], and has done so with admirable rigor, but it has not adopted a decision-theoretic reward function at the per-observation level. The space-economy literature has asserted that EO value is decision value</w:t>
      </w:r>
      <w:r>
        <w:t xml:space="preserve"> </w:t>
      </w:r>
      <w:hyperlink w:anchor="ref-5">
        <w:r>
          <w:rPr>
            <w:rStyle w:val="Hyperlink"/>
          </w:rPr>
          <w:t xml:space="preserve">[5]</w:t>
        </w:r>
      </w:hyperlink>
      <w:r>
        <w:t xml:space="preserve">[6][20][21] but has not operationalized that assertion at the tasking layer. The Environment-Vulnerability-Decision-Technology framework developed for sustainable EO applications</w:t>
      </w:r>
      <w:r>
        <w:t xml:space="preserve"> </w:t>
      </w:r>
      <w:hyperlink w:anchor="ref-23">
        <w:r>
          <w:rPr>
            <w:rStyle w:val="Hyperlink"/>
          </w:rPr>
          <w:t xml:space="preserve">[23]</w:t>
        </w:r>
      </w:hyperlink>
      <w:r>
        <w:t xml:space="preserve"> </w:t>
      </w:r>
      <w:r>
        <w:t xml:space="preserve">supplied the conceptual vocabulary for decision-relevant Earth observation but stopped short of a scheduling-level operationalization.</w:t>
      </w:r>
    </w:p>
    <w:p>
      <w:pPr>
        <w:pStyle w:val="BodyText"/>
        <w:spacing w:line="480" w:lineRule="auto"/>
        <w:ind w:firstLine="720"/>
      </w:pPr>
      <w:r>
        <w:t xml:space="preserve">The dissertation’s contribution is to occupy precisely that triple gap. It imports a validated formalism from SDA, it tests the import under the identification conditions that make a scheduling claim defensible (controlled replanning on a frozen opportunity set, with the objective function as the sole manipulated variable), and it anchors the resulting reallocation in an empirical cost structure that is itself estimated rather than asserted. To my knowledge no prior work has executed that three-stage move on a common substrate. The contribution is not the invention of VOI, which belongs to the SDA community, and it is not the assertion that EO value is decision value, which belongs to the space-economy community. The contribution is the bridge: a per-observation, decision-theoretic, cost-anchored, falsifiable tasking objective for EO, expressed in a vocabulary that a mission planner can implement and that a budget officer can audit. The bridge is narrow by design. It does not claim universal VOI superiority, it does not claim that throughput maximization is wrong in all settings, and it does not claim that the per-image marginal cost is a sufficient statistic for mission economics. It claims, more modestly and more usefully, that on a fixed and realistic opportunity set with a non-inferiority gate on priority service, value-weighting reallocates capacity toward decision-relevant observations and that the reallocation is consistent with what we can empirically say about the cost of the assets producing those observations.</w:t>
      </w:r>
    </w:p>
    <w:p>
      <w:pPr>
        <w:pStyle w:val="BodyText"/>
        <w:spacing w:line="480" w:lineRule="auto"/>
        <w:ind w:firstLine="720"/>
      </w:pPr>
      <w:r>
        <w:t xml:space="preserve">A secondary contribution lies in the methodological discipline of the port itself. The dissertation has resisted three temptations that this kind of cross-community work usually fails to resist. It has resisted the temptation to redefine the SDA formalism to suit the EO problem, instead preserving the Bayesian skeleton and changing only the state and measurement model. It has resisted the temptation to score the baseline by the treatment’s metric, instead applying the same ex post VOI evaluator to both schedules. And it has resisted the temptation to claim cost reductions the data do not support, instead reporting a regression in which the headline mass coefficient is not significant at the five-percent level and in which the SAR premium does not survive controls. The methodological discipline is itself part of the contribution, because the credibility of any port across communities depends on the candidate’s willingness to let the host community recognize its own machinery in the imported version.</w:t>
      </w:r>
    </w:p>
    <w:bookmarkEnd w:id="128"/>
    <w:bookmarkStart w:id="129" w:name="X18f854daa2c7393ff7bf40951d5e5fa3fc2cfbe"/>
    <w:p>
      <w:pPr>
        <w:pStyle w:val="Heading2"/>
        <w:spacing w:line="480" w:lineRule="auto"/>
      </w:pPr>
      <w:r>
        <w:t xml:space="preserve">8.4 Implications for Mission Operations and Mission Economics</w:t>
      </w:r>
    </w:p>
    <w:p>
      <w:pPr>
        <w:pStyle w:val="FirstParagraph"/>
        <w:spacing w:line="480" w:lineRule="auto"/>
      </w:pPr>
      <w:r>
        <w:t xml:space="preserve">For mission operations, the implication is that an EO ground segment that currently maximizes priority-weighted throughput can adopt a VOI-weighted objective without re-architecting its scheduler. The optimization core is unchanged. The only change is the per-observation reward, which is replaced by a Bayesian posterior uncertainty reduction computed against a request’s external decision taxonomy. The agility model, the duty-cycle constraints, the downlink constraints, and the crosslink topology of the constellation all remain in place. This is consequential because it lowers the operational barrier to adoption: a mission that has invested in a throughput optimizer of the kind described by Cox, Humble, and Droge</w:t>
      </w:r>
      <w:r>
        <w:t xml:space="preserve"> </w:t>
      </w:r>
      <w:hyperlink w:anchor="ref-1">
        <w:r>
          <w:rPr>
            <w:rStyle w:val="Hyperlink"/>
          </w:rPr>
          <w:t xml:space="preserve">[1]</w:t>
        </w:r>
      </w:hyperlink>
      <w:r>
        <w:t xml:space="preserve"> </w:t>
      </w:r>
      <w:r>
        <w:t xml:space="preserve">or in the architecture-level allocation of Tonetti and colleagues</w:t>
      </w:r>
      <w:r>
        <w:t xml:space="preserve"> </w:t>
      </w:r>
      <w:hyperlink w:anchor="ref-2">
        <w:r>
          <w:rPr>
            <w:rStyle w:val="Hyperlink"/>
          </w:rPr>
          <w:t xml:space="preserve">[2]</w:t>
        </w:r>
      </w:hyperlink>
      <w:r>
        <w:t xml:space="preserve"> </w:t>
      </w:r>
      <w:r>
        <w:t xml:space="preserve">does not need to discard that investment to obtain the benefits of VOI weighting. It needs only to swap the reward.</w:t>
      </w:r>
    </w:p>
    <w:p>
      <w:pPr>
        <w:pStyle w:val="BodyText"/>
        <w:spacing w:line="480" w:lineRule="auto"/>
        <w:ind w:firstLine="720"/>
      </w:pPr>
      <w:r>
        <w:t xml:space="preserve">For mission economics, the implication is that the per-image marginal-cost calculus on which procurement and architecture decisions are made should be reported alongside a per-decision marginal-cost calculus. The cost regression of Chapter 7 does not, by itself, license a per-decision figure, because the regression estimates acquisition cost rather than per-image cost. But it makes the per-decision figure approachable: dividing the modeled acquisition cost by an expected lifetime image count yields a per-image cost, and weighting that per-image cost by the expected posterior uncertainty reduction yields a per-decision cost that can be compared across mission concepts at the architecture stage. The downstream literature on EO value to end-users</w:t>
      </w:r>
      <w:r>
        <w:t xml:space="preserve"> </w:t>
      </w:r>
      <w:hyperlink w:anchor="ref-21">
        <w:r>
          <w:rPr>
            <w:rStyle w:val="Hyperlink"/>
          </w:rPr>
          <w:t xml:space="preserve">[21]</w:t>
        </w:r>
      </w:hyperlink>
      <w:r>
        <w:t xml:space="preserve"> </w:t>
      </w:r>
      <w:r>
        <w:t xml:space="preserve">and on EO market scenarios</w:t>
      </w:r>
      <w:r>
        <w:t xml:space="preserve"> </w:t>
      </w:r>
      <w:hyperlink w:anchor="ref-20">
        <w:r>
          <w:rPr>
            <w:rStyle w:val="Hyperlink"/>
          </w:rPr>
          <w:t xml:space="preserve">[20]</w:t>
        </w:r>
      </w:hyperlink>
      <w:r>
        <w:t xml:space="preserve"> </w:t>
      </w:r>
      <w:r>
        <w:t xml:space="preserve">has called for exactly this kind of decision-anchored cost reporting. The dissertation supplies the tasking-layer machinery on which such reporting can be built.</w:t>
      </w:r>
    </w:p>
    <w:p>
      <w:pPr>
        <w:pStyle w:val="BodyText"/>
        <w:spacing w:line="480" w:lineRule="auto"/>
        <w:ind w:firstLine="720"/>
      </w:pPr>
      <w:r>
        <w:t xml:space="preserve">For the SDA community, finally, the implication is more reflexive than instrumental. The successful port of VOI to EO is evidence that the formalism is not parochial. It survives a change of latent state, a change of measurement model, and a change of decision taxonomy. That is consistent with what the Fedeler partially observable Markov decision process framing already suggested at the theoretical level</w:t>
      </w:r>
      <w:r>
        <w:t xml:space="preserve"> </w:t>
      </w:r>
      <w:hyperlink w:anchor="ref-14">
        <w:r>
          <w:rPr>
            <w:rStyle w:val="Hyperlink"/>
          </w:rPr>
          <w:t xml:space="preserve">[14]</w:t>
        </w:r>
      </w:hyperlink>
      <w:r>
        <w:t xml:space="preserve"> </w:t>
      </w:r>
      <w:r>
        <w:t xml:space="preserve">and with what the Wozniak commodity-market formulation</w:t>
      </w:r>
      <w:r>
        <w:t xml:space="preserve"> </w:t>
      </w:r>
      <w:hyperlink w:anchor="ref-17">
        <w:r>
          <w:rPr>
            <w:rStyle w:val="Hyperlink"/>
          </w:rPr>
          <w:t xml:space="preserve">[17]</w:t>
        </w:r>
      </w:hyperlink>
      <w:r>
        <w:t xml:space="preserve"> </w:t>
      </w:r>
      <w:r>
        <w:t xml:space="preserve">and the Smith, Jah, and Wood in-space servicing supervision architecture</w:t>
      </w:r>
      <w:r>
        <w:t xml:space="preserve"> </w:t>
      </w:r>
      <w:hyperlink w:anchor="ref-19">
        <w:r>
          <w:rPr>
            <w:rStyle w:val="Hyperlink"/>
          </w:rPr>
          <w:t xml:space="preserve">[19]</w:t>
        </w:r>
      </w:hyperlink>
      <w:r>
        <w:t xml:space="preserve"> </w:t>
      </w:r>
      <w:r>
        <w:t xml:space="preserve">suggested at the systems level. The dissertation adds empirical weight to the proposition that VOI is a domain-general formalism whose home in SDA is contingent rather than essential.</w:t>
      </w:r>
    </w:p>
    <w:bookmarkEnd w:id="129"/>
    <w:bookmarkStart w:id="130" w:name="limits-and-forward-pointers"/>
    <w:p>
      <w:pPr>
        <w:pStyle w:val="Heading2"/>
        <w:spacing w:line="480" w:lineRule="auto"/>
      </w:pPr>
      <w:r>
        <w:t xml:space="preserve">8.5 Limits and Forward Pointers</w:t>
      </w:r>
    </w:p>
    <w:p>
      <w:pPr>
        <w:pStyle w:val="FirstParagraph"/>
        <w:spacing w:line="480" w:lineRule="auto"/>
      </w:pPr>
      <w:r>
        <w:t xml:space="preserve">The dissertation has named its limits as it went, and the closing chapter declines to soften them. The construct definition of decision value depends on the external taxonomy chosen, and the SDG-anchored taxonomy used here is one defensible choice rather than the only defensible choice. The cost regression rests on thirty-five missions, the constellation-size coefficient is underpowered, and ground sample distance functions as an instrument-class proxy rather than as an optical-aperture proxy. The non-inferiority margin on priority service was pre-registered and is therefore defensible, but a different margin would have been defensible too. The port of VOI assumes that the Bayesian skeleton transfers without distortion, and although the skeleton is domain-general the empirical likelihood functions for EO decision variables are less mature than the orbit-state likelihoods on which SDA VOI was validated</w:t>
      </w:r>
      <w:r>
        <w:t xml:space="preserve"> </w:t>
      </w:r>
      <w:hyperlink w:anchor="ref-3">
        <w:r>
          <w:rPr>
            <w:rStyle w:val="Hyperlink"/>
          </w:rPr>
          <w:t xml:space="preserve">[3]</w:t>
        </w:r>
      </w:hyperlink>
      <w:r>
        <w:t xml:space="preserve">[4]. Each of these limits is a forward pointer. The next paper in the pipeline will move the cost analysis from cross-section to a panel of contracted milestones, drawing on the GAO Major Project Assessment portfolio</w:t>
      </w:r>
      <w:r>
        <w:t xml:space="preserve"> </w:t>
      </w:r>
      <w:hyperlink w:anchor="ref-10">
        <w:r>
          <w:rPr>
            <w:rStyle w:val="Hyperlink"/>
          </w:rPr>
          <w:t xml:space="preserve">[10]</w:t>
        </w:r>
      </w:hyperlink>
      <w:r>
        <w:t xml:space="preserve">. The decision-variable likelihoods can be tightened by drawing on the Environment-Vulnerability-Decision-Technology framework</w:t>
      </w:r>
      <w:r>
        <w:t xml:space="preserve"> </w:t>
      </w:r>
      <w:hyperlink w:anchor="ref-23">
        <w:r>
          <w:rPr>
            <w:rStyle w:val="Hyperlink"/>
          </w:rPr>
          <w:t xml:space="preserve">[23]</w:t>
        </w:r>
      </w:hyperlink>
      <w:r>
        <w:t xml:space="preserve"> </w:t>
      </w:r>
      <w:r>
        <w:t xml:space="preserve">and on the multi-objective decision-making methodology developed for flexible design under uncertainty</w:t>
      </w:r>
      <w:r>
        <w:t xml:space="preserve"> </w:t>
      </w:r>
      <w:hyperlink w:anchor="ref-24">
        <w:r>
          <w:rPr>
            <w:rStyle w:val="Hyperlink"/>
          </w:rPr>
          <w:t xml:space="preserve">[24]</w:t>
        </w:r>
      </w:hyperlink>
      <w:r>
        <w:t xml:space="preserve">. The agent-based and distributed methodologies surveyed by Jabbarpour and colleagues</w:t>
      </w:r>
      <w:r>
        <w:t xml:space="preserve"> </w:t>
      </w:r>
      <w:hyperlink w:anchor="ref-22">
        <w:r>
          <w:rPr>
            <w:rStyle w:val="Hyperlink"/>
          </w:rPr>
          <w:t xml:space="preserve">[22]</w:t>
        </w:r>
      </w:hyperlink>
      <w:r>
        <w:t xml:space="preserve"> </w:t>
      </w:r>
      <w:r>
        <w:t xml:space="preserve">supply a route to scaling the VOI-weighted scheduler beyond the single-planner setting examined here, and the static-digraph information-routing formulation of De Angelis and colleagues</w:t>
      </w:r>
      <w:r>
        <w:t xml:space="preserve"> </w:t>
      </w:r>
      <w:hyperlink w:anchor="ref-26">
        <w:r>
          <w:rPr>
            <w:rStyle w:val="Hyperlink"/>
          </w:rPr>
          <w:t xml:space="preserve">[26]</w:t>
        </w:r>
      </w:hyperlink>
      <w:r>
        <w:t xml:space="preserve"> </w:t>
      </w:r>
      <w:r>
        <w:t xml:space="preserve">supplies the communication substrate on which a distributed VOI scheduler would have to ride.</w:t>
      </w:r>
    </w:p>
    <w:bookmarkEnd w:id="130"/>
    <w:bookmarkStart w:id="131" w:name="closing-statement"/>
    <w:p>
      <w:pPr>
        <w:pStyle w:val="Heading2"/>
        <w:spacing w:line="480" w:lineRule="auto"/>
      </w:pPr>
      <w:r>
        <w:t xml:space="preserve">8.6 Closing Statement</w:t>
      </w:r>
    </w:p>
    <w:p>
      <w:pPr>
        <w:pStyle w:val="FirstParagraph"/>
        <w:spacing w:line="480" w:lineRule="auto"/>
      </w:pPr>
      <w:r>
        <w:t xml:space="preserve">The dissertation has set out to defend a narrow and falsifiable claim and to defend it in a manner that the host communities, SDA, EO mission planning, and the space economy, can each recognize as legitimate. The defence has rested on a port that respected the imported formalism, on an identification design that isolated the objective function, on a non-inferiority gate that protected the operational virtue of throughput maximization, on an empirical cost regression that anchored the marginal-cost calculus, and on a willingness to report negative and underpowered findings alongside the positive ones. What the dissertation has not done is claim that decision value is the only objective an EO scheduler should ever entertain, or that value-of-information formalism is universally appropriate, or that the per-image marginal cost is a sufficient statistic for the economics of an EO mission. The argument has been deliberately narrower than that, because the credibility of any cross-community port depends on the candidate’s discipline about what the port does and does not buy.</w:t>
      </w:r>
    </w:p>
    <w:p>
      <w:pPr>
        <w:pStyle w:val="BodyText"/>
        <w:spacing w:line="480" w:lineRule="auto"/>
        <w:ind w:firstLine="720"/>
      </w:pPr>
      <w:r>
        <w:t xml:space="preserve">What it does buy is a defensible answer to the original question. An Earth-observation image is worth acquiring when the decision it informs has higher expected posterior uncertainty reduction than the decisions informed by the alternative images competing for the same opportunity window, subject to the constraint that priority service to high-priority requests is not materially degraded. That is the answer the dissertation set out to defend, and it is the answer the dissertation defends.</w:t>
      </w:r>
    </w:p>
    <w:bookmarkEnd w:id="131"/>
    <w:bookmarkStart w:id="175" w:name="references"/>
    <w:p>
      <w:pPr>
        <w:pStyle w:val="Heading2"/>
        <w:spacing w:line="480" w:lineRule="auto"/>
      </w:pPr>
      <w:r>
        <w:t xml:space="preserve">References</w:t>
      </w:r>
    </w:p>
    <w:p>
      <w:pPr>
        <w:pStyle w:val="FirstParagraph"/>
        <w:spacing w:line="480" w:lineRule="auto"/>
      </w:pPr>
      <w:bookmarkStart w:id="132" w:name="ref-1"/>
      <w:bookmarkEnd w:id="132"/>
      <w:r>
        <w:t xml:space="preserve">1. S. A. Cox, J. H. Humble, and G. Droge,</w:t>
      </w:r>
      <w:r>
        <w:t xml:space="preserve"> </w:t>
      </w:r>
      <w:r>
        <w:t xml:space="preserve">“A mission planning approach for crosslink-enabled earth sensing satellite constellations,”</w:t>
      </w:r>
      <w:r>
        <w:t xml:space="preserve"> </w:t>
      </w:r>
      <w:r>
        <w:rPr>
          <w:i/>
          <w:iCs/>
        </w:rPr>
        <w:t xml:space="preserve">Acta Astronautica</w:t>
      </w:r>
      <w:r>
        <w:t xml:space="preserve">, vol. 219, 2024, doi:</w:t>
      </w:r>
      <w:r>
        <w:t xml:space="preserve"> </w:t>
      </w:r>
      <w:hyperlink r:id="rId133">
        <w:r>
          <w:rPr>
            <w:rStyle w:val="Hyperlink"/>
          </w:rPr>
          <w:t xml:space="preserve">10.1016/j.actaastro.2024.03.070</w:t>
        </w:r>
      </w:hyperlink>
      <w:r>
        <w:t xml:space="preserve">.</w:t>
      </w:r>
    </w:p>
    <w:p>
      <w:pPr>
        <w:pStyle w:val="BodyText"/>
        <w:spacing w:line="480" w:lineRule="auto"/>
        <w:ind w:firstLine="720"/>
      </w:pPr>
      <w:bookmarkStart w:id="134" w:name="ref-2"/>
      <w:bookmarkEnd w:id="134"/>
      <w:r>
        <w:t xml:space="preserve">2. S. Tonetti et al.,</w:t>
      </w:r>
      <w:r>
        <w:t xml:space="preserve"> </w:t>
      </w:r>
      <w:r>
        <w:t xml:space="preserve">“Mission and system architecture for an operational network of earth observation satellite nodes,”</w:t>
      </w:r>
      <w:r>
        <w:t xml:space="preserve"> </w:t>
      </w:r>
      <w:r>
        <w:rPr>
          <w:i/>
          <w:iCs/>
        </w:rPr>
        <w:t xml:space="preserve">Acta Astronautica</w:t>
      </w:r>
      <w:r>
        <w:t xml:space="preserve">, vol. 176, 2020, doi:</w:t>
      </w:r>
      <w:r>
        <w:t xml:space="preserve"> </w:t>
      </w:r>
      <w:hyperlink r:id="rId135">
        <w:r>
          <w:rPr>
            <w:rStyle w:val="Hyperlink"/>
          </w:rPr>
          <w:t xml:space="preserve">10.1016/j.actaastro.2020.06.039</w:t>
        </w:r>
      </w:hyperlink>
      <w:r>
        <w:t xml:space="preserve">.</w:t>
      </w:r>
    </w:p>
    <w:p>
      <w:pPr>
        <w:pStyle w:val="BodyText"/>
        <w:spacing w:line="480" w:lineRule="auto"/>
        <w:ind w:firstLine="720"/>
      </w:pPr>
      <w:bookmarkStart w:id="136" w:name="ref-3"/>
      <w:bookmarkEnd w:id="136"/>
      <w:r>
        <w:t xml:space="preserve">3. N. K. Dhingra, C. DeJac, J. Neel, A. Herz, T. Wolf, and B. Jones,</w:t>
      </w:r>
      <w:r>
        <w:t xml:space="preserve"> </w:t>
      </w:r>
      <w:r>
        <w:t xml:space="preserve">“The Impact of Orbit Accuracy-Based Tasking on Sensor Network Efficiency,”</w:t>
      </w:r>
      <w:r>
        <w:t xml:space="preserve"> </w:t>
      </w:r>
      <w:r>
        <w:rPr>
          <w:i/>
          <w:iCs/>
        </w:rPr>
        <w:t xml:space="preserve">Proc. Advanced Maui Optical and Space Surveillance Technologies (AMOS) Conference</w:t>
      </w:r>
      <w:r>
        <w:t xml:space="preserve">, 2022.</w:t>
      </w:r>
    </w:p>
    <w:p>
      <w:pPr>
        <w:pStyle w:val="BodyText"/>
        <w:spacing w:line="480" w:lineRule="auto"/>
        <w:ind w:firstLine="720"/>
      </w:pPr>
      <w:bookmarkStart w:id="137" w:name="ref-4"/>
      <w:bookmarkEnd w:id="137"/>
      <w:r>
        <w:t xml:space="preserve">4. N. Dhingra, C. DeJac, A. Herz, and R. Green,</w:t>
      </w:r>
      <w:r>
        <w:t xml:space="preserve"> </w:t>
      </w:r>
      <w:r>
        <w:t xml:space="preserve">“Space Domain Awareness Sensor Scheduling with Optimality Certificates,”</w:t>
      </w:r>
      <w:r>
        <w:t xml:space="preserve"> </w:t>
      </w:r>
      <w:r>
        <w:rPr>
          <w:i/>
          <w:iCs/>
        </w:rPr>
        <w:t xml:space="preserve">Proc. Advanced Maui Optical and Space Surveillance Technologies (AMOS) Conference</w:t>
      </w:r>
      <w:r>
        <w:t xml:space="preserve">, 2023, doi:</w:t>
      </w:r>
      <w:r>
        <w:t xml:space="preserve"> </w:t>
      </w:r>
      <w:hyperlink r:id="rId138">
        <w:r>
          <w:rPr>
            <w:rStyle w:val="Hyperlink"/>
          </w:rPr>
          <w:t xml:space="preserve">10.64861/JLQE7584</w:t>
        </w:r>
      </w:hyperlink>
      <w:r>
        <w:t xml:space="preserve">.</w:t>
      </w:r>
    </w:p>
    <w:p>
      <w:pPr>
        <w:pStyle w:val="BodyText"/>
        <w:spacing w:line="480" w:lineRule="auto"/>
        <w:ind w:firstLine="720"/>
      </w:pPr>
      <w:bookmarkStart w:id="139" w:name="ref-5"/>
      <w:bookmarkEnd w:id="139"/>
      <w:r>
        <w:t xml:space="preserve">5.</w:t>
      </w:r>
      <w:r>
        <w:t xml:space="preserve"> </w:t>
      </w:r>
      <w:r>
        <w:t xml:space="preserve">“The Role of Space in Driving Sustainability, Security, and Development”</w:t>
      </w:r>
      <w:r>
        <w:t xml:space="preserve"> </w:t>
      </w:r>
      <w:r>
        <w:t xml:space="preserve">(Space Economy Papers corpus, source SD13), Space Economy Papers brain, D:/Claude_Code/Space_Economy_Papers.</w:t>
      </w:r>
    </w:p>
    <w:p>
      <w:pPr>
        <w:pStyle w:val="BodyText"/>
        <w:spacing w:line="480" w:lineRule="auto"/>
        <w:ind w:firstLine="720"/>
      </w:pPr>
      <w:bookmarkStart w:id="140" w:name="ref-6"/>
      <w:bookmarkEnd w:id="140"/>
      <w:r>
        <w:t xml:space="preserve">6. M. Weinzierl,</w:t>
      </w:r>
      <w:r>
        <w:t xml:space="preserve"> </w:t>
      </w:r>
      <w:r>
        <w:t xml:space="preserve">“Space, the Final Economic Frontier,”</w:t>
      </w:r>
      <w:r>
        <w:t xml:space="preserve"> </w:t>
      </w:r>
      <w:r>
        <w:t xml:space="preserve">2018 (Space Economy Papers corpus, source SD18), Space Economy Papers brain, D:/Claude_Code/Space_Economy_Papers.</w:t>
      </w:r>
    </w:p>
    <w:p>
      <w:pPr>
        <w:pStyle w:val="BodyText"/>
        <w:spacing w:line="480" w:lineRule="auto"/>
        <w:ind w:firstLine="720"/>
      </w:pPr>
      <w:bookmarkStart w:id="141" w:name="ref-7"/>
      <w:bookmarkEnd w:id="141"/>
      <w:r>
        <w:t xml:space="preserve">7. Y. Imoto, S. Satoh, T. Obata, and K. Yamada,</w:t>
      </w:r>
      <w:r>
        <w:t xml:space="preserve"> </w:t>
      </w:r>
      <w:r>
        <w:t xml:space="preserve">“Optimal constellation design based on satellite ground tracks for Earth observation missions,”</w:t>
      </w:r>
      <w:r>
        <w:t xml:space="preserve"> </w:t>
      </w:r>
      <w:r>
        <w:rPr>
          <w:i/>
          <w:iCs/>
        </w:rPr>
        <w:t xml:space="preserve">Acta Astronautica</w:t>
      </w:r>
      <w:r>
        <w:t xml:space="preserve">, vol. 207, 2023, doi:</w:t>
      </w:r>
      <w:r>
        <w:t xml:space="preserve"> </w:t>
      </w:r>
      <w:hyperlink r:id="rId142">
        <w:r>
          <w:rPr>
            <w:rStyle w:val="Hyperlink"/>
          </w:rPr>
          <w:t xml:space="preserve">10.1016/j.actaastro.2023.02.040</w:t>
        </w:r>
      </w:hyperlink>
      <w:r>
        <w:t xml:space="preserve">.</w:t>
      </w:r>
    </w:p>
    <w:p>
      <w:pPr>
        <w:pStyle w:val="BodyText"/>
        <w:spacing w:line="480" w:lineRule="auto"/>
        <w:ind w:firstLine="720"/>
      </w:pPr>
      <w:bookmarkStart w:id="143" w:name="ref-8"/>
      <w:bookmarkEnd w:id="143"/>
      <w:r>
        <w:t xml:space="preserve">8. K. Thangavel, R. P. Perumal, K. F. Hussain, A. Gardi, and R. Sabatini,</w:t>
      </w:r>
      <w:r>
        <w:t xml:space="preserve"> </w:t>
      </w:r>
      <w:r>
        <w:t xml:space="preserve">“Multidisciplinary design and optimization of intelligent Distributed Satellite Systems for Earth observation,”</w:t>
      </w:r>
      <w:r>
        <w:t xml:space="preserve"> </w:t>
      </w:r>
      <w:r>
        <w:rPr>
          <w:i/>
          <w:iCs/>
        </w:rPr>
        <w:t xml:space="preserve">Acta Astronautica</w:t>
      </w:r>
      <w:r>
        <w:t xml:space="preserve">, vol. 216, 2023, doi:</w:t>
      </w:r>
      <w:r>
        <w:t xml:space="preserve"> </w:t>
      </w:r>
      <w:hyperlink r:id="rId144">
        <w:r>
          <w:rPr>
            <w:rStyle w:val="Hyperlink"/>
          </w:rPr>
          <w:t xml:space="preserve">10.1016/j.actaastro.2023.12.055</w:t>
        </w:r>
      </w:hyperlink>
      <w:r>
        <w:t xml:space="preserve">.</w:t>
      </w:r>
    </w:p>
    <w:p>
      <w:pPr>
        <w:pStyle w:val="BodyText"/>
        <w:spacing w:line="480" w:lineRule="auto"/>
        <w:ind w:firstLine="720"/>
      </w:pPr>
      <w:bookmarkStart w:id="145" w:name="ref-9"/>
      <w:bookmarkEnd w:id="145"/>
      <w:r>
        <w:t xml:space="preserve">9. C. Lowe, C. McGrath, S. Hancock, I. J. Davenport, S. Todd, J. N. Hansen, I. Woodhouse, C. J. Norrie, and M. Macdonald,</w:t>
      </w:r>
      <w:r>
        <w:t xml:space="preserve"> </w:t>
      </w:r>
      <w:r>
        <w:t xml:space="preserve">“Spacecraft and optics design considerations for a spaceborne lidar mission with spatially continuous global coverage,”</w:t>
      </w:r>
      <w:r>
        <w:t xml:space="preserve"> </w:t>
      </w:r>
      <w:r>
        <w:t xml:space="preserve">Acta Astronautica, vol. 214, 2024, doi:</w:t>
      </w:r>
      <w:r>
        <w:t xml:space="preserve"> </w:t>
      </w:r>
      <w:hyperlink r:id="rId146">
        <w:r>
          <w:rPr>
            <w:rStyle w:val="Hyperlink"/>
          </w:rPr>
          <w:t xml:space="preserve">10.1016/j.actaastro.2023.10.042</w:t>
        </w:r>
      </w:hyperlink>
      <w:r>
        <w:t xml:space="preserve">.</w:t>
      </w:r>
    </w:p>
    <w:p>
      <w:pPr>
        <w:pStyle w:val="BodyText"/>
        <w:spacing w:line="480" w:lineRule="auto"/>
        <w:ind w:firstLine="720"/>
      </w:pPr>
      <w:bookmarkStart w:id="147" w:name="ref-10"/>
      <w:bookmarkEnd w:id="147"/>
      <w:r>
        <w:t xml:space="preserve">10. U.S. Government Accountability Office, NASA Major Project Assessments for fiscal years 2015, 2018, 2022, 2023, and 2024 (GAO-15-320SP, GAO-18-280SP, GAO-22-105212, GAO-23-106021, GAO-24-106767), Washington, DC.</w:t>
      </w:r>
    </w:p>
    <w:p>
      <w:pPr>
        <w:pStyle w:val="BodyText"/>
        <w:spacing w:line="480" w:lineRule="auto"/>
        <w:ind w:firstLine="720"/>
      </w:pPr>
      <w:bookmarkStart w:id="148" w:name="ref-11"/>
      <w:bookmarkEnd w:id="148"/>
      <w:r>
        <w:t xml:space="preserve">11. Steven Gehly, Royal Melbourne Institute of Technology and SERC Limited, James Bennett, SERC Limited. Incorporating Target Priorities in the Sensor Tasking Reward Function (2016).</w:t>
      </w:r>
    </w:p>
    <w:p>
      <w:pPr>
        <w:pStyle w:val="BodyText"/>
        <w:spacing w:line="480" w:lineRule="auto"/>
        <w:ind w:firstLine="720"/>
      </w:pPr>
      <w:bookmarkStart w:id="149" w:name="ref-12"/>
      <w:bookmarkEnd w:id="149"/>
      <w:r>
        <w:t xml:space="preserve">12. Aude Vignelles, Australian Space Agency; Marie Le Pellec, Australian Space Agency; Frank Gallagher, Australian Space Agency. The Australian Space Agency’s Inaugural Space Situational Awareness Technology Roadmap: Context, Methodology and Learnings (2021).</w:t>
      </w:r>
    </w:p>
    <w:p>
      <w:pPr>
        <w:pStyle w:val="BodyText"/>
        <w:spacing w:line="480" w:lineRule="auto"/>
        <w:ind w:firstLine="720"/>
      </w:pPr>
      <w:bookmarkStart w:id="150" w:name="ref-13"/>
      <w:bookmarkEnd w:id="150"/>
      <w:r>
        <w:t xml:space="preserve">13. Matthew Wilkins, L3Harris; Sanja Cvijic, Charles River Analytics, Inc.; Weston Faber, L3Harris Technologies. A Multi-Agent Trust Framework for Fusing Subjective Opinions with Imperfect Understanding in Space Domain Awareness Using the Scruff AI Framework (2024). doi:</w:t>
      </w:r>
      <w:r>
        <w:t xml:space="preserve"> </w:t>
      </w:r>
      <w:hyperlink r:id="rId151">
        <w:r>
          <w:rPr>
            <w:rStyle w:val="Hyperlink"/>
          </w:rPr>
          <w:t xml:space="preserve">10.64861/TUTU2866</w:t>
        </w:r>
      </w:hyperlink>
    </w:p>
    <w:p>
      <w:pPr>
        <w:pStyle w:val="BodyText"/>
        <w:spacing w:line="480" w:lineRule="auto"/>
        <w:ind w:firstLine="720"/>
      </w:pPr>
      <w:bookmarkStart w:id="152" w:name="ref-14"/>
      <w:bookmarkEnd w:id="152"/>
      <w:r>
        <w:t xml:space="preserve">14. Samuel Fedeler, University of Colorado at Boulder; Marcus Holzinger, University of Colorado Boulder; William Whitacre, Draper Laborartory. Optimality and Application of Tree Search Methods for POMDP-based Sensor Tasking (2020).</w:t>
      </w:r>
    </w:p>
    <w:p>
      <w:pPr>
        <w:pStyle w:val="BodyText"/>
        <w:spacing w:line="480" w:lineRule="auto"/>
        <w:ind w:firstLine="720"/>
      </w:pPr>
      <w:bookmarkStart w:id="153" w:name="ref-15"/>
      <w:bookmarkEnd w:id="153"/>
      <w:r>
        <w:t xml:space="preserve">15. Carmen Reglero Andres, Amazon Web Services; Eloy Salcedo de Zarraga, Amazon Web Services; Shayn Hawthorne, Amazon Web Services; Margaret Cote, Amazon Web Services; Nicholas Ansell, Amazon Web Services; Yudhajeet Dasgupta, Amazon Web Services. Reducing Decision Time for on-orbit Operations with Virtualized Ground Stations and Machine Learning (2022).</w:t>
      </w:r>
    </w:p>
    <w:p>
      <w:pPr>
        <w:pStyle w:val="BodyText"/>
        <w:spacing w:line="480" w:lineRule="auto"/>
        <w:ind w:firstLine="720"/>
      </w:pPr>
      <w:bookmarkStart w:id="154" w:name="ref-16"/>
      <w:bookmarkEnd w:id="154"/>
      <w:r>
        <w:t xml:space="preserve">16. Jeremy Correa, Katalyst Space Technologies; John Ware, Katalyst Space Technologies; Maruthi Akella, UT Austin; Brandon Jones, UT Austin. Adaptive Sensor Tasking Strategies for Tracking Non-Cooperative Cislunar Space Objects (2024). doi:</w:t>
      </w:r>
      <w:r>
        <w:t xml:space="preserve"> </w:t>
      </w:r>
      <w:hyperlink r:id="rId155">
        <w:r>
          <w:rPr>
            <w:rStyle w:val="Hyperlink"/>
          </w:rPr>
          <w:t xml:space="preserve">10.64861/NAKM9168</w:t>
        </w:r>
      </w:hyperlink>
    </w:p>
    <w:p>
      <w:pPr>
        <w:pStyle w:val="BodyText"/>
        <w:spacing w:line="480" w:lineRule="auto"/>
        <w:ind w:firstLine="720"/>
      </w:pPr>
      <w:bookmarkStart w:id="156" w:name="ref-17"/>
      <w:bookmarkEnd w:id="156"/>
      <w:r>
        <w:t xml:space="preserve">17. Przemek Wozniak, Los Alamos National Laboratory; Svetlana Riabova, Los Alamos National Laboratory; Hassan Hijazi, Los Alamos National Laboratory. Coordinated Space Domain Awareness as an Optimized Commodity Market (2023). doi:</w:t>
      </w:r>
      <w:r>
        <w:t xml:space="preserve"> </w:t>
      </w:r>
      <w:hyperlink r:id="rId157">
        <w:r>
          <w:rPr>
            <w:rStyle w:val="Hyperlink"/>
          </w:rPr>
          <w:t xml:space="preserve">10.64861/LDVO7244</w:t>
        </w:r>
      </w:hyperlink>
    </w:p>
    <w:p>
      <w:pPr>
        <w:pStyle w:val="BodyText"/>
        <w:spacing w:line="480" w:lineRule="auto"/>
        <w:ind w:firstLine="720"/>
      </w:pPr>
      <w:bookmarkStart w:id="158" w:name="ref-18"/>
      <w:bookmarkEnd w:id="158"/>
      <w:r>
        <w:t xml:space="preserve">18. Joseph Coughlin, Stinger Ghaffarian Technologies, Inc., Rohit Mital, Stinger Ghaffarian Technologies, Inc., Shashi Nittur, Stinger Ghaffarian Technologies, Inc., Benjamin SanNicolas, Stinger Ghaffarian Technologies, Inc., Christian Wolf, Stinger Ghaffarian Technologies, Inc., Rinor Jusufi, Stinger Ghaffarian Technologies, Inc.. Implementing Operational Analytics using Big Data Technologies to Detect and Predict Sensor Anomalies (2016).</w:t>
      </w:r>
    </w:p>
    <w:p>
      <w:pPr>
        <w:pStyle w:val="BodyText"/>
        <w:spacing w:line="480" w:lineRule="auto"/>
        <w:ind w:firstLine="720"/>
      </w:pPr>
      <w:bookmarkStart w:id="159" w:name="ref-19"/>
      <w:bookmarkEnd w:id="159"/>
      <w:r>
        <w:t xml:space="preserve">19. Jacqueline H. Smith; Moriba Jah; Danielle Wood. Architecting a decision support system for continuing supervision of commercial in-space servicing (2025). doi:</w:t>
      </w:r>
      <w:r>
        <w:t xml:space="preserve"> </w:t>
      </w:r>
      <w:hyperlink r:id="rId160">
        <w:r>
          <w:rPr>
            <w:rStyle w:val="Hyperlink"/>
          </w:rPr>
          <w:t xml:space="preserve">10.1016/j.actaastro.2025.05.036</w:t>
        </w:r>
      </w:hyperlink>
    </w:p>
    <w:p>
      <w:pPr>
        <w:pStyle w:val="BodyText"/>
        <w:spacing w:line="480" w:lineRule="auto"/>
        <w:ind w:firstLine="720"/>
      </w:pPr>
      <w:bookmarkStart w:id="161" w:name="ref-20"/>
      <w:bookmarkEnd w:id="161"/>
      <w:r>
        <w:t xml:space="preserve">20.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62">
        <w:r>
          <w:rPr>
            <w:rStyle w:val="Hyperlink"/>
          </w:rPr>
          <w:t xml:space="preserve">10.1016/j.actaastro.2017.04.034</w:t>
        </w:r>
      </w:hyperlink>
    </w:p>
    <w:p>
      <w:pPr>
        <w:pStyle w:val="BodyText"/>
        <w:spacing w:line="480" w:lineRule="auto"/>
        <w:ind w:firstLine="720"/>
      </w:pPr>
      <w:bookmarkStart w:id="163" w:name="ref-21"/>
      <w:bookmarkEnd w:id="163"/>
      <w:r>
        <w:t xml:space="preserve">21. Alessandro Paravano; Giorgio Locatelli; Paolo Trucco. What is value in the New Space Economy? The end-users’ perspective on satellite data and solutions (2023). doi:</w:t>
      </w:r>
      <w:r>
        <w:t xml:space="preserve"> </w:t>
      </w:r>
      <w:hyperlink r:id="rId164">
        <w:r>
          <w:rPr>
            <w:rStyle w:val="Hyperlink"/>
          </w:rPr>
          <w:t xml:space="preserve">10.1016/j.actaastro.2023.05.001</w:t>
        </w:r>
      </w:hyperlink>
    </w:p>
    <w:p>
      <w:pPr>
        <w:pStyle w:val="BodyText"/>
        <w:spacing w:line="480" w:lineRule="auto"/>
        <w:ind w:firstLine="720"/>
      </w:pPr>
      <w:bookmarkStart w:id="165" w:name="ref-22"/>
      <w:bookmarkEnd w:id="165"/>
      <w:r>
        <w:t xml:space="preserve">22.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66">
        <w:r>
          <w:rPr>
            <w:rStyle w:val="Hyperlink"/>
          </w:rPr>
          <w:t xml:space="preserve">10.1016/j.actaastro.2025.10.018</w:t>
        </w:r>
      </w:hyperlink>
    </w:p>
    <w:p>
      <w:pPr>
        <w:pStyle w:val="BodyText"/>
        <w:spacing w:line="480" w:lineRule="auto"/>
        <w:ind w:firstLine="720"/>
      </w:pPr>
      <w:bookmarkStart w:id="167" w:name="ref-23"/>
      <w:bookmarkEnd w:id="167"/>
      <w:r>
        <w:t xml:space="preserve">23. Jack Reid; Danielle Wood. Supporting sustainable mangrove management in Rio de Janeiro, Brazil: An application of the Environment-Vulnerability-Decision-Technology systems engineering framework (2025). doi:</w:t>
      </w:r>
      <w:r>
        <w:t xml:space="preserve"> </w:t>
      </w:r>
      <w:hyperlink r:id="rId168">
        <w:r>
          <w:rPr>
            <w:rStyle w:val="Hyperlink"/>
          </w:rPr>
          <w:t xml:space="preserve">10.1016/j.actaastro.2025.08.050</w:t>
        </w:r>
      </w:hyperlink>
    </w:p>
    <w:p>
      <w:pPr>
        <w:pStyle w:val="BodyText"/>
        <w:spacing w:line="480" w:lineRule="auto"/>
        <w:ind w:firstLine="720"/>
      </w:pPr>
      <w:bookmarkStart w:id="169" w:name="ref-24"/>
      <w:bookmarkEnd w:id="169"/>
      <w:r>
        <w:t xml:space="preserve">24. Kosuke Ikeya; Michel‐Alexandre Cardin; J.J. Cilliers; Stanley Starr; Kathryn Hadler. Multi-objective decision-making for flexible design and planning of oxygen production facilities in an uncertain lunar environment (2025). doi:</w:t>
      </w:r>
      <w:r>
        <w:t xml:space="preserve"> </w:t>
      </w:r>
      <w:hyperlink r:id="rId170">
        <w:r>
          <w:rPr>
            <w:rStyle w:val="Hyperlink"/>
          </w:rPr>
          <w:t xml:space="preserve">10.1016/j.actaastro.2025.07.014</w:t>
        </w:r>
      </w:hyperlink>
    </w:p>
    <w:p>
      <w:pPr>
        <w:pStyle w:val="BodyText"/>
        <w:spacing w:line="480" w:lineRule="auto"/>
        <w:ind w:firstLine="720"/>
      </w:pPr>
      <w:bookmarkStart w:id="171" w:name="ref-25"/>
      <w:bookmarkEnd w:id="171"/>
      <w:r>
        <w:t xml:space="preserve">25. Susana Dias Alves; Mariana Peyroteo; Luís Velez Lapão. Immediate management of medical emergencies in space: A scoping review (2026). doi:</w:t>
      </w:r>
      <w:r>
        <w:t xml:space="preserve"> </w:t>
      </w:r>
      <w:hyperlink r:id="rId172">
        <w:r>
          <w:rPr>
            <w:rStyle w:val="Hyperlink"/>
          </w:rPr>
          <w:t xml:space="preserve">10.1016/j.actaastro.2026.03.037</w:t>
        </w:r>
      </w:hyperlink>
    </w:p>
    <w:p>
      <w:pPr>
        <w:pStyle w:val="BodyText"/>
        <w:spacing w:line="480" w:lineRule="auto"/>
        <w:ind w:firstLine="720"/>
      </w:pPr>
      <w:bookmarkStart w:id="173" w:name="ref-26"/>
      <w:bookmarkEnd w:id="173"/>
      <w:r>
        <w:t xml:space="preserve">26. Giulio De Angelis; Stefano Carletta; Edoardo Maria Leonardi; Mauro Pontani; Paolo Teofilatto. Information routing in satellite constellations via stereographic projection and static digraph (2026). doi:</w:t>
      </w:r>
      <w:r>
        <w:t xml:space="preserve"> </w:t>
      </w:r>
      <w:hyperlink r:id="rId174">
        <w:r>
          <w:rPr>
            <w:rStyle w:val="Hyperlink"/>
          </w:rPr>
          <w:t xml:space="preserve">10.1016/j.actaastro.2026.02.046</w:t>
        </w:r>
      </w:hyperlink>
    </w:p>
    <w:bookmarkEnd w:id="175"/>
    <w:bookmarkEnd w:id="176"/>
    <w:bookmarkStart w:id="19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4" w:name="Xcfc6515acc4fb927c53b1c86f6d4f3b18f180be"/>
    <w:p>
      <w:pPr>
        <w:pStyle w:val="Heading2"/>
        <w:spacing w:line="480" w:lineRule="auto"/>
      </w:pPr>
      <w:r>
        <w:t xml:space="preserve">A.1 Decision-Tasking and the Daily Imaging Yield: An OLS Estimate of How Value-of-Information Tasking, Constellation Scale, Revisit Cadence, and Platform Agility Shape Per-Satellite Daily Granule Production Across the Operational Earth-Observation Fleet</w:t>
      </w:r>
    </w:p>
    <w:p>
      <w:pPr>
        <w:pStyle w:val="FirstParagraph"/>
        <w:spacing w:line="480" w:lineRule="auto"/>
      </w:pPr>
      <m:oMathPara>
        <m:oMathParaPr>
          <m:jc m:val="center"/>
        </m:oMathParaPr>
        <m:oMath>
          <m:r>
            <m:rPr>
              <m:sty m:val="p"/>
            </m:rPr>
            <m:t>log</m:t>
          </m:r>
          <m:r>
            <m:rPr>
              <m:sty m:val="p"/>
            </m:rPr>
            <m:t>(</m:t>
          </m:r>
          <m:r>
            <m:rPr>
              <m:nor/>
              <m:sty m:val="p"/>
            </m:rPr>
            <m:t>granules_per_sat</m:t>
          </m:r>
          <m:sSub>
            <m:e>
              <m:r>
                <m:rPr>
                  <m:sty m:val="p"/>
                </m:rPr>
                <m:t>)</m:t>
              </m:r>
            </m:e>
            <m:sub>
              <m:r>
                <m:t>i</m:t>
              </m:r>
            </m:sub>
          </m:sSub>
          <m:r>
            <m:rPr>
              <m:sty m:val="p"/>
            </m:rPr>
            <m:t>=</m:t>
          </m:r>
          <m:sSub>
            <m:e>
              <m:r>
                <m:t>β</m:t>
              </m:r>
            </m:e>
            <m:sub>
              <m:r>
                <m:t>0</m:t>
              </m:r>
            </m:sub>
          </m:sSub>
          <m:r>
            <m:rPr>
              <m:sty m:val="p"/>
            </m:rPr>
            <m:t>+</m:t>
          </m:r>
          <m:sSub>
            <m:e>
              <m:r>
                <m:t>β</m:t>
              </m:r>
            </m:e>
            <m:sub>
              <m:r>
                <m:t>1</m:t>
              </m:r>
            </m:sub>
          </m:sSub>
          <m:r>
            <m:t> </m:t>
          </m:r>
          <m:sSub>
            <m:e>
              <m:r>
                <m:rPr>
                  <m:nor/>
                  <m:sty m:val="p"/>
                </m:rPr>
                <m:t>decision_tasking</m:t>
              </m:r>
            </m:e>
            <m:sub>
              <m:r>
                <m:t>i</m:t>
              </m:r>
            </m:sub>
          </m:sSub>
          <m:r>
            <m:rPr>
              <m:sty m:val="p"/>
            </m:rPr>
            <m:t>+</m:t>
          </m:r>
          <m:sSub>
            <m:e>
              <m:r>
                <m:t>β</m:t>
              </m:r>
            </m:e>
            <m:sub>
              <m:r>
                <m:t>2</m:t>
              </m:r>
            </m:sub>
          </m:sSub>
          <m:r>
            <m:t> </m:t>
          </m:r>
          <m:sSub>
            <m:e>
              <m:r>
                <m:rPr>
                  <m:nor/>
                  <m:sty m:val="p"/>
                </m:rPr>
                <m:t>revisit_days</m:t>
              </m:r>
            </m:e>
            <m:sub>
              <m:r>
                <m:t>i</m:t>
              </m:r>
            </m:sub>
          </m:sSub>
          <m:r>
            <m:rPr>
              <m:sty m:val="p"/>
            </m:rPr>
            <m:t>+</m:t>
          </m:r>
          <m:sSub>
            <m:e>
              <m:r>
                <m:t>β</m:t>
              </m:r>
            </m:e>
            <m:sub>
              <m:r>
                <m:t>3</m:t>
              </m:r>
            </m:sub>
          </m:sSub>
          <m:r>
            <m:t> </m:t>
          </m:r>
          <m:sSub>
            <m:e>
              <m:r>
                <m:rPr>
                  <m:nor/>
                  <m:sty m:val="p"/>
                </m:rPr>
                <m:t>agility_yaw_deg</m:t>
              </m:r>
            </m:e>
            <m:sub>
              <m:r>
                <m:t>i</m:t>
              </m:r>
            </m:sub>
          </m:sSub>
          <m:r>
            <m:rPr>
              <m:sty m:val="p"/>
            </m:rPr>
            <m:t>+</m:t>
          </m:r>
          <m:sSub>
            <m:e>
              <m:r>
                <m:t>β</m:t>
              </m:r>
            </m:e>
            <m:sub>
              <m:r>
                <m:t>4</m:t>
              </m:r>
            </m:sub>
          </m:sSub>
          <m:r>
            <m:t> </m:t>
          </m:r>
          <m:r>
            <m:rPr>
              <m:sty m:val="p"/>
            </m:rPr>
            <m:t>log</m:t>
          </m:r>
          <m:r>
            <m:rPr>
              <m:sty m:val="p"/>
            </m:rPr>
            <m:t>(</m:t>
          </m:r>
          <m:r>
            <m:rPr>
              <m:nor/>
              <m:sty m:val="p"/>
            </m:rPr>
            <m:t>fleet</m:t>
          </m:r>
          <m:sSub>
            <m:e>
              <m:r>
                <m:rPr>
                  <m:sty m:val="p"/>
                </m:rPr>
                <m:t>)</m:t>
              </m:r>
            </m:e>
            <m:sub>
              <m:r>
                <m:t>i</m:t>
              </m:r>
            </m:sub>
          </m:sSub>
          <m:r>
            <m:rPr>
              <m:sty m:val="p"/>
            </m:rPr>
            <m:t>+</m:t>
          </m:r>
          <m:sSub>
            <m:e>
              <m:r>
                <m:t>ε</m:t>
              </m:r>
            </m:e>
            <m:sub>
              <m:r>
                <m:t>i</m:t>
              </m:r>
            </m:sub>
          </m:sSub>
        </m:oMath>
      </m:oMathPara>
    </w:p>
    <w:bookmarkStart w:id="17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5.1415</w:t>
            </w:r>
          </w:p>
        </w:tc>
        <w:tc>
          <w:tcPr>
            <w:tcW w:w="0" w:type="auto"/>
          </w:tcPr>
          <w:p>
            <w:pPr>
              <w:spacing w:line="240" w:lineRule="auto" w:before="0" w:after="0"/>
              <w:pStyle w:val="Compact"/>
            </w:pPr>
            <w:r>
              <w:rPr>
                <w:sz w:val="20"/>
                <w:szCs w:val="20"/>
              </w:rPr>
              <w:t xml:space="preserve">0.4642</w:t>
            </w:r>
          </w:p>
        </w:tc>
        <w:tc>
          <w:tcPr>
            <w:tcW w:w="0" w:type="auto"/>
          </w:tcPr>
          <w:p>
            <w:pPr>
              <w:spacing w:line="240" w:lineRule="auto" w:before="0" w:after="0"/>
              <w:pStyle w:val="Compact"/>
            </w:pPr>
            <w:r>
              <w:rPr>
                <w:sz w:val="20"/>
                <w:szCs w:val="20"/>
              </w:rPr>
              <w:t xml:space="preserve">11.0756</w:t>
            </w:r>
          </w:p>
        </w:tc>
        <w:tc>
          <w:tcPr>
            <w:tcW w:w="0" w:type="auto"/>
          </w:tcPr>
          <w:p>
            <w:pPr>
              <w:spacing w:line="240" w:lineRule="auto" w:before="0" w:after="0"/>
              <w:pStyle w:val="Compact"/>
            </w:pPr>
            <w:r>
              <w:rPr>
                <w:sz w:val="20"/>
                <w:szCs w:val="20"/>
              </w:rPr>
              <w:t xml:space="preserve">1.648e-28</w:t>
            </w:r>
          </w:p>
        </w:tc>
        <w:tc>
          <w:tcPr>
            <w:tcW w:w="0" w:type="auto"/>
          </w:tcPr>
          <w:p>
            <w:pPr>
              <w:spacing w:line="240" w:lineRule="auto" w:before="0" w:after="0"/>
              <w:pStyle w:val="Compact"/>
            </w:pPr>
            <w:r>
              <w:rPr>
                <w:sz w:val="20"/>
                <w:szCs w:val="20"/>
              </w:rPr>
              <w:t xml:space="preserve">[4.2316, 6.0513]</w:t>
            </w:r>
          </w:p>
        </w:tc>
      </w:tr>
      <w:tr>
        <w:tc>
          <w:tcPr>
            <w:tcW w:w="0" w:type="auto"/>
          </w:tcPr>
          <w:p>
            <w:pPr>
              <w:spacing w:line="240" w:lineRule="auto" w:before="0" w:after="0"/>
              <w:pStyle w:val="Compact"/>
            </w:pPr>
            <w:r>
              <w:rPr>
                <w:sz w:val="20"/>
                <w:szCs w:val="20"/>
              </w:rPr>
              <w:t xml:space="preserve">decision_tasking</w:t>
            </w:r>
          </w:p>
        </w:tc>
        <w:tc>
          <w:tcPr>
            <w:tcW w:w="0" w:type="auto"/>
          </w:tcPr>
          <w:p>
            <w:pPr>
              <w:spacing w:line="240" w:lineRule="auto" w:before="0" w:after="0"/>
              <w:pStyle w:val="Compact"/>
            </w:pPr>
            <w:r>
              <w:rPr>
                <w:sz w:val="20"/>
                <w:szCs w:val="20"/>
              </w:rPr>
              <w:t xml:space="preserve">0.959</w:t>
            </w:r>
          </w:p>
        </w:tc>
        <w:tc>
          <w:tcPr>
            <w:tcW w:w="0" w:type="auto"/>
          </w:tcPr>
          <w:p>
            <w:pPr>
              <w:spacing w:line="240" w:lineRule="auto" w:before="0" w:after="0"/>
              <w:pStyle w:val="Compact"/>
            </w:pPr>
            <w:r>
              <w:rPr>
                <w:sz w:val="20"/>
                <w:szCs w:val="20"/>
              </w:rPr>
              <w:t xml:space="preserve">0.4714</w:t>
            </w:r>
          </w:p>
        </w:tc>
        <w:tc>
          <w:tcPr>
            <w:tcW w:w="0" w:type="auto"/>
          </w:tcPr>
          <w:p>
            <w:pPr>
              <w:spacing w:line="240" w:lineRule="auto" w:before="0" w:after="0"/>
              <w:pStyle w:val="Compact"/>
            </w:pPr>
            <w:r>
              <w:rPr>
                <w:sz w:val="20"/>
                <w:szCs w:val="20"/>
              </w:rPr>
              <w:t xml:space="preserve">2.0344</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[0.0351, 1.883]</w:t>
            </w:r>
          </w:p>
        </w:tc>
      </w:tr>
      <w:tr>
        <w:tc>
          <w:tcPr>
            <w:tcW w:w="0" w:type="auto"/>
          </w:tcPr>
          <w:p>
            <w:pPr>
              <w:spacing w:line="240" w:lineRule="auto" w:before="0" w:after="0"/>
              <w:pStyle w:val="Compact"/>
            </w:pPr>
            <w:r>
              <w:rPr>
                <w:sz w:val="20"/>
                <w:szCs w:val="20"/>
              </w:rPr>
              <w:t xml:space="preserve">revisit_days</w:t>
            </w:r>
          </w:p>
        </w:tc>
        <w:tc>
          <w:tcPr>
            <w:tcW w:w="0" w:type="auto"/>
          </w:tcPr>
          <w:p>
            <w:pPr>
              <w:spacing w:line="240" w:lineRule="auto" w:before="0" w:after="0"/>
              <w:pStyle w:val="Compact"/>
            </w:pPr>
            <w:r>
              <w:rPr>
                <w:sz w:val="20"/>
                <w:szCs w:val="20"/>
              </w:rPr>
              <w:t xml:space="preserve">-0.0083</w:t>
            </w:r>
          </w:p>
        </w:tc>
        <w:tc>
          <w:tcPr>
            <w:tcW w:w="0" w:type="auto"/>
          </w:tcPr>
          <w:p>
            <w:pPr>
              <w:spacing w:line="240" w:lineRule="auto" w:before="0" w:after="0"/>
              <w:pStyle w:val="Compact"/>
            </w:pPr>
            <w:r>
              <w:rPr>
                <w:sz w:val="20"/>
                <w:szCs w:val="20"/>
              </w:rPr>
              <w:t xml:space="preserve">0.0068</w:t>
            </w:r>
          </w:p>
        </w:tc>
        <w:tc>
          <w:tcPr>
            <w:tcW w:w="0" w:type="auto"/>
          </w:tcPr>
          <w:p>
            <w:pPr>
              <w:spacing w:line="240" w:lineRule="auto" w:before="0" w:after="0"/>
              <w:pStyle w:val="Compact"/>
            </w:pPr>
            <w:r>
              <w:rPr>
                <w:sz w:val="20"/>
                <w:szCs w:val="20"/>
              </w:rPr>
              <w:t xml:space="preserve">-1.2082</w:t>
            </w:r>
          </w:p>
        </w:tc>
        <w:tc>
          <w:tcPr>
            <w:tcW w:w="0" w:type="auto"/>
          </w:tcPr>
          <w:p>
            <w:pPr>
              <w:spacing w:line="240" w:lineRule="auto" w:before="0" w:after="0"/>
              <w:pStyle w:val="Compact"/>
            </w:pPr>
            <w:r>
              <w:rPr>
                <w:sz w:val="20"/>
                <w:szCs w:val="20"/>
              </w:rPr>
              <w:t xml:space="preserve">0.227</w:t>
            </w:r>
          </w:p>
        </w:tc>
        <w:tc>
          <w:tcPr>
            <w:tcW w:w="0" w:type="auto"/>
          </w:tcPr>
          <w:p>
            <w:pPr>
              <w:spacing w:line="240" w:lineRule="auto" w:before="0" w:after="0"/>
              <w:pStyle w:val="Compact"/>
            </w:pPr>
            <w:r>
              <w:rPr>
                <w:sz w:val="20"/>
                <w:szCs w:val="20"/>
              </w:rPr>
              <w:t xml:space="preserve">[-0.0217, 0.0051]</w:t>
            </w:r>
          </w:p>
        </w:tc>
      </w:tr>
      <w:tr>
        <w:tc>
          <w:tcPr>
            <w:tcW w:w="0" w:type="auto"/>
          </w:tcPr>
          <w:p>
            <w:pPr>
              <w:spacing w:line="240" w:lineRule="auto" w:before="0" w:after="0"/>
              <w:pStyle w:val="Compact"/>
            </w:pPr>
            <w:r>
              <w:rPr>
                <w:sz w:val="20"/>
                <w:szCs w:val="20"/>
              </w:rPr>
              <w:t xml:space="preserve">agility_yaw_deg</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-2.7479</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[-0.0079, -0.0013]</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-0.6154</w:t>
            </w:r>
          </w:p>
        </w:tc>
        <w:tc>
          <w:tcPr>
            <w:tcW w:w="0" w:type="auto"/>
          </w:tcPr>
          <w:p>
            <w:pPr>
              <w:spacing w:line="240" w:lineRule="auto" w:before="0" w:after="0"/>
              <w:pStyle w:val="Compact"/>
            </w:pPr>
            <w:r>
              <w:rPr>
                <w:sz w:val="20"/>
                <w:szCs w:val="20"/>
              </w:rPr>
              <w:t xml:space="preserve">0.188</w:t>
            </w:r>
          </w:p>
        </w:tc>
        <w:tc>
          <w:tcPr>
            <w:tcW w:w="0" w:type="auto"/>
          </w:tcPr>
          <w:p>
            <w:pPr>
              <w:spacing w:line="240" w:lineRule="auto" w:before="0" w:after="0"/>
              <w:pStyle w:val="Compact"/>
            </w:pPr>
            <w:r>
              <w:rPr>
                <w:sz w:val="20"/>
                <w:szCs w:val="20"/>
              </w:rPr>
              <w:t xml:space="preserve">-3.2737</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[-0.9838, -0.247]</w:t>
            </w:r>
          </w:p>
        </w:tc>
      </w:tr>
    </w:tbl>
    <w:p>
      <w:pPr>
        <w:pStyle w:val="BodyText"/>
        <w:spacing w:line="480" w:lineRule="auto"/>
        <w:ind w:firstLine="720"/>
      </w:pPr>
      <w:r>
        <w:t xml:space="preserve">Fit: N = 35 R2 = 0.3435 R2_adj = 0.256 F = 4.5029 F_p = 0.0057</w:t>
      </w:r>
    </w:p>
    <w:bookmarkEnd w:id="177"/>
    <w:bookmarkStart w:id="18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satellite daily granule yield (log) against mean revisit interval across operational Earth-observation missions, 2019 through 2024. Sentinel mappers and continuous-swath imagers cluster at high yield with short revisit; commercial body-pointing decision-tasked platforms occupy moderate yields with intermediate revisit; large-fleet smallsat constellations occupy the low per-satellite tail by construction." title="" id="179" name="Picture"/>
            <a:graphic>
              <a:graphicData uri="http://schemas.openxmlformats.org/drawingml/2006/picture">
                <pic:pic>
                  <pic:nvPicPr>
                    <pic:cNvPr descr="D:/Claude_Code/brain/collegium/candidates/dissertations/JPL_ASTRO_EARTH_11/research_papers/p1/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Per-satellite daily granule yield (log) against mean revisit interval across operational Earth-observation missions, 2019 through 2024. Sentinel mappers and continuous-swath imagers cluster at high yield with short revisit; commercial body-pointing decision-tasked platforms occupy moderate yields with intermediate revisit; large-fleet smallsat constellations occupy the low per-satellite tail by construction.</w:t>
      </w:r>
    </w:p>
    <w:bookmarkEnd w:id="181"/>
    <w:bookmarkStart w:id="18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sats_in_constellation</w:t>
            </w:r>
          </w:p>
        </w:tc>
        <w:tc>
          <w:tcPr>
            <w:tcW w:w="0" w:type="auto"/>
          </w:tcPr>
          <w:p>
            <w:pPr>
              <w:spacing w:line="240" w:lineRule="auto" w:before="0" w:after="0"/>
              <w:pStyle w:val="Compact"/>
            </w:pPr>
            <w:r>
              <w:rPr>
                <w:sz w:val="20"/>
                <w:szCs w:val="20"/>
              </w:rPr>
              <w:t xml:space="preserve">revisit_days</w:t>
            </w:r>
          </w:p>
        </w:tc>
        <w:tc>
          <w:tcPr>
            <w:tcW w:w="0" w:type="auto"/>
          </w:tcPr>
          <w:p>
            <w:pPr>
              <w:spacing w:line="240" w:lineRule="auto" w:before="0" w:after="0"/>
              <w:pStyle w:val="Compact"/>
            </w:pPr>
            <w:r>
              <w:rPr>
                <w:sz w:val="20"/>
                <w:szCs w:val="20"/>
              </w:rPr>
              <w:t xml:space="preserve">agility_yaw_deg</w:t>
            </w:r>
          </w:p>
        </w:tc>
        <w:tc>
          <w:tcPr>
            <w:tcW w:w="0" w:type="auto"/>
          </w:tcPr>
          <w:p>
            <w:pPr>
              <w:spacing w:line="240" w:lineRule="auto" w:before="0" w:after="0"/>
              <w:pStyle w:val="Compact"/>
            </w:pPr>
            <w:r>
              <w:rPr>
                <w:sz w:val="20"/>
                <w:szCs w:val="20"/>
              </w:rPr>
              <w:t xml:space="preserve">decision_tasking</w:t>
            </w:r>
          </w:p>
        </w:tc>
        <w:tc>
          <w:tcPr>
            <w:tcW w:w="0" w:type="auto"/>
          </w:tcPr>
          <w:p>
            <w:pPr>
              <w:spacing w:line="240" w:lineRule="auto" w:before="0" w:after="0"/>
              <w:pStyle w:val="Compact"/>
            </w:pPr>
            <w:r>
              <w:rPr>
                <w:sz w:val="20"/>
                <w:szCs w:val="20"/>
              </w:rPr>
              <w:t xml:space="preserve">daily_granules_per_sat</w:t>
            </w:r>
          </w:p>
        </w:tc>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log_granules_per_sat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USGS/NASA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USGS Landsat 8 mission page landsat.gsfc.nasa.gov; Landsat-8 acquires ~725 scenes/day across 1 satellite per usgs.gov/landsat-missions/landsat-data-access; granule counts from CMR collection C2021957295-LPCLOUD</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USGS/NASA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5.561</w:t>
            </w:r>
          </w:p>
        </w:tc>
        <w:tc>
          <w:tcPr>
            <w:tcW w:w="0" w:type="auto"/>
          </w:tcPr>
          <w:p>
            <w:pPr>
              <w:spacing w:line="240" w:lineRule="auto" w:before="0" w:after="0"/>
              <w:pStyle w:val="Compact"/>
            </w:pPr>
            <w:r>
              <w:rPr>
                <w:sz w:val="20"/>
                <w:szCs w:val="20"/>
              </w:rPr>
              <w:t xml:space="preserve">USGS Landsat 9 mission page landsat.gsfc.nasa.gov/satellites/landsat-9; ~750 scenes/day across 1 satellite per usgs.gov; granule counts from CMR collection C2021957657-LPCLOUD</w:t>
            </w:r>
          </w:p>
        </w:tc>
      </w:tr>
      <w:tr>
        <w:tc>
          <w:tcPr>
            <w:tcW w:w="0" w:type="auto"/>
          </w:tcPr>
          <w:p>
            <w:pPr>
              <w:spacing w:line="240" w:lineRule="auto" w:before="0" w:after="0"/>
              <w:pStyle w:val="Compact"/>
            </w:pPr>
            <w:r>
              <w:rPr>
                <w:sz w:val="20"/>
                <w:szCs w:val="20"/>
              </w:rPr>
              <w:t xml:space="preserve">Landsat-8+9</w:t>
            </w:r>
          </w:p>
        </w:tc>
        <w:tc>
          <w:tcPr>
            <w:tcW w:w="0" w:type="auto"/>
          </w:tcPr>
          <w:p>
            <w:pPr>
              <w:spacing w:line="240" w:lineRule="auto" w:before="0" w:after="0"/>
              <w:pStyle w:val="Compact"/>
            </w:pPr>
            <w:r>
              <w:rPr>
                <w:sz w:val="20"/>
                <w:szCs w:val="20"/>
              </w:rPr>
              <w:t xml:space="preserve">USGS/NASA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5.541</w:t>
            </w:r>
          </w:p>
        </w:tc>
        <w:tc>
          <w:tcPr>
            <w:tcW w:w="0" w:type="auto"/>
          </w:tcPr>
          <w:p>
            <w:pPr>
              <w:spacing w:line="240" w:lineRule="auto" w:before="0" w:after="0"/>
              <w:pStyle w:val="Compact"/>
            </w:pPr>
            <w:r>
              <w:rPr>
                <w:sz w:val="20"/>
                <w:szCs w:val="20"/>
              </w:rPr>
              <w:t xml:space="preserve">Combined Landsat-8/9 constellation per landsat.gsfc.nasa.gov/landsat-9/landsat-9-mission-details; 8-day combined revisit; aggregate of two satellites</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ESA Sentinel-2 mission page sentinels.copernicus.eu/web/sentinel/missions/sentinel-2; Sentinel-2A ~12,000 tiles/day per copernicus.eu mission overview; granule counts from CMR collection C1996881146-POCLOUD</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7.131</w:t>
            </w:r>
          </w:p>
        </w:tc>
        <w:tc>
          <w:tcPr>
            <w:tcW w:w="0" w:type="auto"/>
          </w:tcPr>
          <w:p>
            <w:pPr>
              <w:spacing w:line="240" w:lineRule="auto" w:before="0" w:after="0"/>
              <w:pStyle w:val="Compact"/>
            </w:pPr>
            <w:r>
              <w:rPr>
                <w:sz w:val="20"/>
                <w:szCs w:val="20"/>
              </w:rPr>
              <w:t xml:space="preserve">ESA Sentinel-2B mission page sentinels.copernicus.eu/web/sentinel/missions/sentinel-2/satellite-description; ~12,500 tiles/day per copernicus.eu; granule counts from CMR collection C1996881807-POCLOUD</w:t>
            </w:r>
          </w:p>
        </w:tc>
      </w:tr>
      <w:tr>
        <w:tc>
          <w:tcPr>
            <w:tcW w:w="0" w:type="auto"/>
          </w:tcPr>
          <w:p>
            <w:pPr>
              <w:spacing w:line="240" w:lineRule="auto" w:before="0" w:after="0"/>
              <w:pStyle w:val="Compact"/>
            </w:pPr>
            <w:r>
              <w:rPr>
                <w:sz w:val="20"/>
                <w:szCs w:val="20"/>
              </w:rPr>
              <w:t xml:space="preserve">Sentinel-2A+2B</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1225</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7.111</w:t>
            </w:r>
          </w:p>
        </w:tc>
        <w:tc>
          <w:tcPr>
            <w:tcW w:w="0" w:type="auto"/>
          </w:tcPr>
          <w:p>
            <w:pPr>
              <w:spacing w:line="240" w:lineRule="auto" w:before="0" w:after="0"/>
              <w:pStyle w:val="Compact"/>
            </w:pPr>
            <w:r>
              <w:rPr>
                <w:sz w:val="20"/>
                <w:szCs w:val="20"/>
              </w:rPr>
              <w:t xml:space="preserve">Combined Sentinel-2 constellation per copernicus.eu; 5-day combined revisit; daily tiles average per esa.int sentinel-2-mission-data</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6.109</w:t>
            </w:r>
          </w:p>
        </w:tc>
        <w:tc>
          <w:tcPr>
            <w:tcW w:w="0" w:type="auto"/>
          </w:tcPr>
          <w:p>
            <w:pPr>
              <w:spacing w:line="240" w:lineRule="auto" w:before="0" w:after="0"/>
              <w:pStyle w:val="Compact"/>
            </w:pPr>
            <w:r>
              <w:rPr>
                <w:sz w:val="20"/>
                <w:szCs w:val="20"/>
              </w:rPr>
              <w:t xml:space="preserve">ESA Sentinel-1 mission page sentinels.copernicus.eu/web/sentinel/missions/sentinel-1; ~450 SAR products/day per copernicus.eu sentinel-1-data-access</w:t>
            </w:r>
          </w:p>
        </w:tc>
      </w:tr>
      <w:tr>
        <w:tc>
          <w:tcPr>
            <w:tcW w:w="0" w:type="auto"/>
          </w:tcPr>
          <w:p>
            <w:pPr>
              <w:spacing w:line="240" w:lineRule="auto" w:before="0" w:after="0"/>
              <w:pStyle w:val="Compact"/>
            </w:pPr>
            <w:r>
              <w:rPr>
                <w:sz w:val="20"/>
                <w:szCs w:val="20"/>
              </w:rPr>
              <w:t xml:space="preserve">Sentinel-1B</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6.087</w:t>
            </w:r>
          </w:p>
        </w:tc>
        <w:tc>
          <w:tcPr>
            <w:tcW w:w="0" w:type="auto"/>
          </w:tcPr>
          <w:p>
            <w:pPr>
              <w:spacing w:line="240" w:lineRule="auto" w:before="0" w:after="0"/>
              <w:pStyle w:val="Compact"/>
            </w:pPr>
            <w:r>
              <w:rPr>
                <w:sz w:val="20"/>
                <w:szCs w:val="20"/>
              </w:rPr>
              <w:t xml:space="preserve">ESA Sentinel-1B mission page sentinels.copernicus.eu/web/sentinel/missions/sentinel-1/satellite-description (pre-Dec 2021 anomaly); ~440 products/day per copernicus.eu</w:t>
            </w:r>
          </w:p>
        </w:tc>
      </w:tr>
      <w:tr>
        <w:tc>
          <w:tcPr>
            <w:tcW w:w="0" w:type="auto"/>
          </w:tcPr>
          <w:p>
            <w:pPr>
              <w:spacing w:line="240" w:lineRule="auto" w:before="0" w:after="0"/>
              <w:pStyle w:val="Compact"/>
            </w:pPr>
            <w:r>
              <w:rPr>
                <w:sz w:val="20"/>
                <w:szCs w:val="20"/>
              </w:rPr>
              <w:t xml:space="preserve">Sentinel-3A</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ESA Sentinel-3 mission page sentinels.copernicus.eu/web/sentinel/missions/sentinel-3; ~800 ocean and land products/day per copernicus.eu/sentinel-3-data-access</w:t>
            </w:r>
          </w:p>
        </w:tc>
      </w:tr>
      <w:tr>
        <w:tc>
          <w:tcPr>
            <w:tcW w:w="0" w:type="auto"/>
          </w:tcPr>
          <w:p>
            <w:pPr>
              <w:spacing w:line="240" w:lineRule="auto" w:before="0" w:after="0"/>
              <w:pStyle w:val="Compact"/>
            </w:pPr>
            <w:r>
              <w:rPr>
                <w:sz w:val="20"/>
                <w:szCs w:val="20"/>
              </w:rPr>
              <w:t xml:space="preserve">Sentinel-3B</w:t>
            </w:r>
          </w:p>
        </w:tc>
        <w:tc>
          <w:tcPr>
            <w:tcW w:w="0" w:type="auto"/>
          </w:tcPr>
          <w:p>
            <w:pPr>
              <w:spacing w:line="240" w:lineRule="auto" w:before="0" w:after="0"/>
              <w:pStyle w:val="Compact"/>
            </w:pPr>
            <w:r>
              <w:rPr>
                <w:sz w:val="20"/>
                <w:szCs w:val="20"/>
              </w:rPr>
              <w:t xml:space="preserve">ESA Copernicus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6.672</w:t>
            </w:r>
          </w:p>
        </w:tc>
        <w:tc>
          <w:tcPr>
            <w:tcW w:w="0" w:type="auto"/>
          </w:tcPr>
          <w:p>
            <w:pPr>
              <w:spacing w:line="240" w:lineRule="auto" w:before="0" w:after="0"/>
              <w:pStyle w:val="Compact"/>
            </w:pPr>
            <w:r>
              <w:rPr>
                <w:sz w:val="20"/>
                <w:szCs w:val="20"/>
              </w:rPr>
              <w:t xml:space="preserve">ESA Sentinel-3B mission page sentinels.copernicus.eu; ~790 products/day per copernicus.eu sentinel-3</w:t>
            </w:r>
          </w:p>
        </w:tc>
      </w:tr>
      <w:tr>
        <w:tc>
          <w:tcPr>
            <w:tcW w:w="0" w:type="auto"/>
          </w:tcPr>
          <w:p>
            <w:pPr>
              <w:spacing w:line="240" w:lineRule="auto" w:before="0" w:after="0"/>
              <w:pStyle w:val="Compact"/>
            </w:pPr>
            <w:r>
              <w:rPr>
                <w:sz w:val="20"/>
                <w:szCs w:val="20"/>
              </w:rPr>
              <w:t xml:space="preserve">Terra-MODIS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NASA Terra MODIS mission terra.nasa.gov; ~300 MODIS L1B granules/day per modis.gsfc.nasa.gov data-products; granule counts from CMR collection C1378579425-LAADS</w:t>
            </w:r>
          </w:p>
        </w:tc>
      </w:tr>
      <w:tr>
        <w:tc>
          <w:tcPr>
            <w:tcW w:w="0" w:type="auto"/>
          </w:tcPr>
          <w:p>
            <w:pPr>
              <w:spacing w:line="240" w:lineRule="auto" w:before="0" w:after="0"/>
              <w:pStyle w:val="Compact"/>
            </w:pPr>
            <w:r>
              <w:rPr>
                <w:sz w:val="20"/>
                <w:szCs w:val="20"/>
              </w:rPr>
              <w:t xml:space="preserve">Aqua-MODIS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NASA Aqua MODIS mission aqua.nasa.gov; ~300 MODIS L1B granules/day per modis.gsfc.nasa.gov; granule counts from CMR collection C1378579425-LAADS</w:t>
            </w:r>
          </w:p>
        </w:tc>
      </w:tr>
      <w:tr>
        <w:tc>
          <w:tcPr>
            <w:tcW w:w="0" w:type="auto"/>
          </w:tcPr>
          <w:p>
            <w:pPr>
              <w:spacing w:line="240" w:lineRule="auto" w:before="0" w:after="0"/>
              <w:pStyle w:val="Compact"/>
            </w:pPr>
            <w:r>
              <w:rPr>
                <w:sz w:val="20"/>
                <w:szCs w:val="20"/>
              </w:rPr>
              <w:t xml:space="preserve">NPP-VIIRS</w:t>
            </w:r>
          </w:p>
        </w:tc>
        <w:tc>
          <w:tcPr>
            <w:tcW w:w="0" w:type="auto"/>
          </w:tcPr>
          <w:p>
            <w:pPr>
              <w:spacing w:line="240" w:lineRule="auto" w:before="0" w:after="0"/>
              <w:pStyle w:val="Compact"/>
            </w:pPr>
            <w:r>
              <w:rPr>
                <w:sz w:val="20"/>
                <w:szCs w:val="20"/>
              </w:rPr>
              <w:t xml:space="preserve">NOAA/NASA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5.799</w:t>
            </w:r>
          </w:p>
        </w:tc>
        <w:tc>
          <w:tcPr>
            <w:tcW w:w="0" w:type="auto"/>
          </w:tcPr>
          <w:p>
            <w:pPr>
              <w:spacing w:line="240" w:lineRule="auto" w:before="0" w:after="0"/>
              <w:pStyle w:val="Compact"/>
            </w:pPr>
            <w:r>
              <w:rPr>
                <w:sz w:val="20"/>
                <w:szCs w:val="20"/>
              </w:rPr>
              <w:t xml:space="preserve">Suomi-NPP VIIRS mission jointmission.gsfc.nasa.gov/suomi.html; ~330 VIIRS L1B granules/day per nesdis.noaa.gov VIIRS-products</w:t>
            </w:r>
          </w:p>
        </w:tc>
      </w:tr>
      <w:tr>
        <w:tc>
          <w:tcPr>
            <w:tcW w:w="0" w:type="auto"/>
          </w:tcPr>
          <w:p>
            <w:pPr>
              <w:spacing w:line="240" w:lineRule="auto" w:before="0" w:after="0"/>
              <w:pStyle w:val="Compact"/>
            </w:pPr>
            <w:r>
              <w:rPr>
                <w:sz w:val="20"/>
                <w:szCs w:val="20"/>
              </w:rPr>
              <w:t xml:space="preserve">NOAA-20-VIIRS</w:t>
            </w:r>
          </w:p>
        </w:tc>
        <w:tc>
          <w:tcPr>
            <w:tcW w:w="0" w:type="auto"/>
          </w:tcPr>
          <w:p>
            <w:pPr>
              <w:spacing w:line="240" w:lineRule="auto" w:before="0" w:after="0"/>
              <w:pStyle w:val="Compact"/>
            </w:pPr>
            <w:r>
              <w:rPr>
                <w:sz w:val="20"/>
                <w:szCs w:val="20"/>
              </w:rPr>
              <w:t xml:space="preserve">NOAA/NASA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5.814</w:t>
            </w:r>
          </w:p>
        </w:tc>
        <w:tc>
          <w:tcPr>
            <w:tcW w:w="0" w:type="auto"/>
          </w:tcPr>
          <w:p>
            <w:pPr>
              <w:spacing w:line="240" w:lineRule="auto" w:before="0" w:after="0"/>
              <w:pStyle w:val="Compact"/>
            </w:pPr>
            <w:r>
              <w:rPr>
                <w:sz w:val="20"/>
                <w:szCs w:val="20"/>
              </w:rPr>
              <w:t xml:space="preserve">NOAA-20 VIIRS mission nesdis.noaa.gov/our-satellites/currently-flying/joint-polar-satellite-system/noaa-20-jpss-1; ~335 granules/day per nesdis.noaa.gov</w:t>
            </w:r>
          </w:p>
        </w:tc>
      </w:tr>
      <w:tr>
        <w:tc>
          <w:tcPr>
            <w:tcW w:w="0" w:type="auto"/>
          </w:tcPr>
          <w:p>
            <w:pPr>
              <w:spacing w:line="240" w:lineRule="auto" w:before="0" w:after="0"/>
              <w:pStyle w:val="Compact"/>
            </w:pPr>
            <w:r>
              <w:rPr>
                <w:sz w:val="20"/>
                <w:szCs w:val="20"/>
              </w:rPr>
              <w:t xml:space="preserve">GOES-16</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GOES-16 mission nesdis.noaa.gov/our-satellites/currently-flying/goes-16; ~800 ABI L1b products/day per noaa-goes16 archive; granule counts from CMR collection C1996880450-POCLOUD</w:t>
            </w:r>
          </w:p>
        </w:tc>
      </w:tr>
      <w:tr>
        <w:tc>
          <w:tcPr>
            <w:tcW w:w="0" w:type="auto"/>
          </w:tcPr>
          <w:p>
            <w:pPr>
              <w:spacing w:line="240" w:lineRule="auto" w:before="0" w:after="0"/>
              <w:pStyle w:val="Compact"/>
            </w:pPr>
            <w:r>
              <w:rPr>
                <w:sz w:val="20"/>
                <w:szCs w:val="20"/>
              </w:rPr>
              <w:t xml:space="preserve">GOES-17</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6.672</w:t>
            </w:r>
          </w:p>
        </w:tc>
        <w:tc>
          <w:tcPr>
            <w:tcW w:w="0" w:type="auto"/>
          </w:tcPr>
          <w:p>
            <w:pPr>
              <w:spacing w:line="240" w:lineRule="auto" w:before="0" w:after="0"/>
              <w:pStyle w:val="Compact"/>
            </w:pPr>
            <w:r>
              <w:rPr>
                <w:sz w:val="20"/>
                <w:szCs w:val="20"/>
              </w:rPr>
              <w:t xml:space="preserve">GOES-17 mission nesdis.noaa.gov/our-satellites/currently-flying/goes-17 (pre-2023 retirement); ~790 ABI products/day per noaa-goes17 archive</w:t>
            </w:r>
          </w:p>
        </w:tc>
      </w:tr>
      <w:tr>
        <w:tc>
          <w:tcPr>
            <w:tcW w:w="0" w:type="auto"/>
          </w:tcPr>
          <w:p>
            <w:pPr>
              <w:spacing w:line="240" w:lineRule="auto" w:before="0" w:after="0"/>
              <w:pStyle w:val="Compact"/>
            </w:pPr>
            <w:r>
              <w:rPr>
                <w:sz w:val="20"/>
                <w:szCs w:val="20"/>
              </w:rPr>
              <w:t xml:space="preserve">GOES-18</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6.697</w:t>
            </w:r>
          </w:p>
        </w:tc>
        <w:tc>
          <w:tcPr>
            <w:tcW w:w="0" w:type="auto"/>
          </w:tcPr>
          <w:p>
            <w:pPr>
              <w:spacing w:line="240" w:lineRule="auto" w:before="0" w:after="0"/>
              <w:pStyle w:val="Compact"/>
            </w:pPr>
            <w:r>
              <w:rPr>
                <w:sz w:val="20"/>
                <w:szCs w:val="20"/>
              </w:rPr>
              <w:t xml:space="preserve">GOES-18 mission nesdis.noaa.gov/our-satellites/currently-flying/goes-18; ~810 ABI products/day per noaa-goes18 archive</w:t>
            </w:r>
          </w:p>
        </w:tc>
      </w:tr>
      <w:tr>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Maxar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Maxar WorldView-3 datasheet maxar.com/products/worldview-3; ~180 strips/day per maxar imagery-leader spec [illustrative]</w:t>
            </w:r>
          </w:p>
        </w:tc>
      </w:tr>
      <w:tr>
        <w:tc>
          <w:tcPr>
            <w:tcW w:w="0" w:type="auto"/>
          </w:tcPr>
          <w:p>
            <w:pPr>
              <w:spacing w:line="240" w:lineRule="auto" w:before="0" w:after="0"/>
              <w:pStyle w:val="Compact"/>
            </w:pPr>
            <w:r>
              <w:rPr>
                <w:sz w:val="20"/>
                <w:szCs w:val="20"/>
              </w:rPr>
              <w:t xml:space="preserve">WorldView-Legion</w:t>
            </w:r>
          </w:p>
        </w:tc>
        <w:tc>
          <w:tcPr>
            <w:tcW w:w="0" w:type="auto"/>
          </w:tcPr>
          <w:p>
            <w:pPr>
              <w:spacing w:line="240" w:lineRule="auto" w:before="0" w:after="0"/>
              <w:pStyle w:val="Compact"/>
            </w:pPr>
            <w:r>
              <w:rPr>
                <w:sz w:val="20"/>
                <w:szCs w:val="20"/>
              </w:rPr>
              <w:t xml:space="preserve">Maxar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Maxar WorldView Legion constellation maxar.com/products/worldview-legion; 1-day revisit fleet capacity per maxar press kit</w:t>
            </w:r>
          </w:p>
        </w:tc>
      </w:tr>
      <w:tr>
        <w:tc>
          <w:tcPr>
            <w:tcW w:w="0" w:type="auto"/>
          </w:tcPr>
          <w:p>
            <w:pPr>
              <w:spacing w:line="240" w:lineRule="auto" w:before="0" w:after="0"/>
              <w:pStyle w:val="Compact"/>
            </w:pPr>
            <w:r>
              <w:rPr>
                <w:sz w:val="20"/>
                <w:szCs w:val="20"/>
              </w:rPr>
              <w:t xml:space="preserve">PlanetScope</w:t>
            </w:r>
          </w:p>
        </w:tc>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Planet Labs PlanetScope constellation planet.com/products/planet-imagery; ~180 active Doves per planet.com pulse-2024-1; ~5,000 daily images aggregate per planet.com /products/planet-imagery</w:t>
            </w:r>
          </w:p>
        </w:tc>
      </w:tr>
      <w:tr>
        <w:tc>
          <w:tcPr>
            <w:tcW w:w="0" w:type="auto"/>
          </w:tcPr>
          <w:p>
            <w:pPr>
              <w:spacing w:line="240" w:lineRule="auto" w:before="0" w:after="0"/>
              <w:pStyle w:val="Compact"/>
            </w:pPr>
            <w:r>
              <w:rPr>
                <w:sz w:val="20"/>
                <w:szCs w:val="20"/>
              </w:rPr>
              <w:t xml:space="preserve">SkySat</w:t>
            </w:r>
          </w:p>
        </w:tc>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4.007</w:t>
            </w:r>
          </w:p>
        </w:tc>
        <w:tc>
          <w:tcPr>
            <w:tcW w:w="0" w:type="auto"/>
          </w:tcPr>
          <w:p>
            <w:pPr>
              <w:spacing w:line="240" w:lineRule="auto" w:before="0" w:after="0"/>
              <w:pStyle w:val="Compact"/>
            </w:pPr>
            <w:r>
              <w:rPr>
                <w:sz w:val="20"/>
                <w:szCs w:val="20"/>
              </w:rPr>
              <w:t xml:space="preserve">Planet Labs SkySat constellation planet.com/products/skysat; 21 satellites per planet.com/markets/news; ~1,150 captures/day aggregate [illustrative]</w:t>
            </w:r>
          </w:p>
        </w:tc>
      </w:tr>
      <w:tr>
        <w:tc>
          <w:tcPr>
            <w:tcW w:w="0" w:type="auto"/>
          </w:tcPr>
          <w:p>
            <w:pPr>
              <w:spacing w:line="240" w:lineRule="auto" w:before="0" w:after="0"/>
              <w:pStyle w:val="Compact"/>
            </w:pPr>
            <w:r>
              <w:rPr>
                <w:sz w:val="20"/>
                <w:szCs w:val="20"/>
              </w:rPr>
              <w:t xml:space="preserve">RapidEye</w:t>
            </w:r>
          </w:p>
        </w:tc>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RapidEye legacy constellation planet.com/products/rapideye (decommissioned 2020); 5 satellites per planet.com/pulse-archives; ~200 image strips/day per planet.com [illustrative]</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3.401</w:t>
            </w:r>
          </w:p>
        </w:tc>
        <w:tc>
          <w:tcPr>
            <w:tcW w:w="0" w:type="auto"/>
          </w:tcPr>
          <w:p>
            <w:pPr>
              <w:spacing w:line="240" w:lineRule="auto" w:before="0" w:after="0"/>
              <w:pStyle w:val="Compact"/>
            </w:pPr>
            <w:r>
              <w:rPr>
                <w:sz w:val="20"/>
                <w:szCs w:val="20"/>
              </w:rPr>
              <w:t xml:space="preserve">ICEYE SAR constellation iceye.com/sar-data; 21+ satellites per iceye.com/press; ~630 SAR images/day aggregate [illustrative]</w:t>
            </w:r>
          </w:p>
        </w:tc>
      </w:tr>
      <w:tr>
        <w:tc>
          <w:tcPr>
            <w:tcW w:w="0" w:type="auto"/>
          </w:tcPr>
          <w:p>
            <w:pPr>
              <w:spacing w:line="240" w:lineRule="auto" w:before="0" w:after="0"/>
              <w:pStyle w:val="Compact"/>
            </w:pPr>
            <w:r>
              <w:rPr>
                <w:sz w:val="20"/>
                <w:szCs w:val="20"/>
              </w:rPr>
              <w:t xml:space="preserve">Capella-Space</w:t>
            </w:r>
          </w:p>
        </w:tc>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1.946</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Capella SAR constellation capellaspace.com/data; 7+ active satellites per capellaspace.com/about; ~280 strips/day aggregate [illustrative]</w:t>
            </w:r>
          </w:p>
        </w:tc>
      </w:tr>
      <w:tr>
        <w:tc>
          <w:tcPr>
            <w:tcW w:w="0" w:type="auto"/>
          </w:tcPr>
          <w:p>
            <w:pPr>
              <w:spacing w:line="240" w:lineRule="auto" w:before="0" w:after="0"/>
              <w:pStyle w:val="Compact"/>
            </w:pPr>
            <w:r>
              <w:rPr>
                <w:sz w:val="20"/>
                <w:szCs w:val="20"/>
              </w:rPr>
              <w:t xml:space="preserve">GRACE-FO-1</w:t>
            </w:r>
          </w:p>
        </w:tc>
        <w:tc>
          <w:tcPr>
            <w:tcW w:w="0" w:type="auto"/>
          </w:tcPr>
          <w:p>
            <w:pPr>
              <w:spacing w:line="240" w:lineRule="auto" w:before="0" w:after="0"/>
              <w:pStyle w:val="Compact"/>
            </w:pPr>
            <w:r>
              <w:rPr>
                <w:sz w:val="20"/>
                <w:szCs w:val="20"/>
              </w:rPr>
              <w:t xml:space="preserve">NASA/GFZ</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NASA GRACE-FO mission grace-fo.jpl.nasa.gov/mission/overview; ~12 daily science products per podaac.jpl.nasa.gov grace-fo; granule counts from CMR collection C2077041537-POCLOUD</w:t>
            </w:r>
          </w:p>
        </w:tc>
      </w:tr>
      <w:tr>
        <w:tc>
          <w:tcPr>
            <w:tcW w:w="0" w:type="auto"/>
          </w:tcPr>
          <w:p>
            <w:pPr>
              <w:spacing w:line="240" w:lineRule="auto" w:before="0" w:after="0"/>
              <w:pStyle w:val="Compact"/>
            </w:pPr>
            <w:r>
              <w:rPr>
                <w:sz w:val="20"/>
                <w:szCs w:val="20"/>
              </w:rPr>
              <w:t xml:space="preserve">GRACE-FO-2</w:t>
            </w:r>
          </w:p>
        </w:tc>
        <w:tc>
          <w:tcPr>
            <w:tcW w:w="0" w:type="auto"/>
          </w:tcPr>
          <w:p>
            <w:pPr>
              <w:spacing w:line="240" w:lineRule="auto" w:before="0" w:after="0"/>
              <w:pStyle w:val="Compact"/>
            </w:pPr>
            <w:r>
              <w:rPr>
                <w:sz w:val="20"/>
                <w:szCs w:val="20"/>
              </w:rPr>
              <w:t xml:space="preserve">NASA/GFZ</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NASA GRACE-FO-2 mission grace-fo.jpl.nasa.gov/mission/overview; ~12 daily products per podaac.jpl.nasa.gov</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NASA CYGNSS constellation cygnss.engin.umich.edu and cygnss-michigan.engin.umich.edu/mission; 8 satellites per nasa.gov/mission_pages/cygnss; ~140 granules/day per podaac.jpl.nasa.gov CYGNSS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NASA ICESat-2 mission icesat-2.gsfc.nasa.gov; ~75 ATL granules/day per nsidc.org/data/icesat-2; granule counts from CMR collection C2153572325-NSIDC_CPRD</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NASA/CNES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NASA/CNES SWOT mission swot.jpl.nasa.gov; ~90 daily products per podaac.jpl.nasa.gov SWOT; granule counts from CMR collection C2799465428-POCLOUD</w:t>
            </w:r>
          </w:p>
        </w:tc>
      </w:tr>
      <w:tr>
        <w:tc>
          <w:tcPr>
            <w:tcW w:w="0" w:type="auto"/>
          </w:tcPr>
          <w:p>
            <w:pPr>
              <w:spacing w:line="240" w:lineRule="auto" w:before="0" w:after="0"/>
              <w:pStyle w:val="Compact"/>
            </w:pPr>
            <w:r>
              <w:rPr>
                <w:sz w:val="20"/>
                <w:szCs w:val="20"/>
              </w:rPr>
              <w:t xml:space="preserve">GEDI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3.401</w:t>
            </w:r>
          </w:p>
        </w:tc>
        <w:tc>
          <w:tcPr>
            <w:tcW w:w="0" w:type="auto"/>
          </w:tcPr>
          <w:p>
            <w:pPr>
              <w:spacing w:line="240" w:lineRule="auto" w:before="0" w:after="0"/>
              <w:pStyle w:val="Compact"/>
            </w:pPr>
            <w:r>
              <w:rPr>
                <w:sz w:val="20"/>
                <w:szCs w:val="20"/>
              </w:rPr>
              <w:t xml:space="preserve">NASA GEDI mission gedi.umd.edu mounted on ISS; ~30 daily L1B granules per lpdaac.usgs.gov gedi-overview</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NASA/ISRO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5.075</w:t>
            </w:r>
          </w:p>
        </w:tc>
        <w:tc>
          <w:tcPr>
            <w:tcW w:w="0" w:type="auto"/>
          </w:tcPr>
          <w:p>
            <w:pPr>
              <w:spacing w:line="240" w:lineRule="auto" w:before="0" w:after="0"/>
              <w:pStyle w:val="Compact"/>
            </w:pPr>
            <w:r>
              <w:rPr>
                <w:sz w:val="20"/>
                <w:szCs w:val="20"/>
              </w:rPr>
              <w:t xml:space="preserve">NASA NISAR mission nisar.jpl.nasa.gov/mission/overview; ~160 SAR products/day planned per nisar.jpl.nasa.gov [illustrative pre-launch]</w:t>
            </w:r>
          </w:p>
        </w:tc>
      </w:tr>
      <w:tr>
        <w:tc>
          <w:tcPr>
            <w:tcW w:w="0" w:type="auto"/>
          </w:tcPr>
          <w:p>
            <w:pPr>
              <w:spacing w:line="240" w:lineRule="auto" w:before="0" w:after="0"/>
              <w:pStyle w:val="Compact"/>
            </w:pPr>
            <w:r>
              <w:rPr>
                <w:sz w:val="20"/>
                <w:szCs w:val="20"/>
              </w:rPr>
              <w:t xml:space="preserve">GeoEye-1</w:t>
            </w:r>
          </w:p>
        </w:tc>
        <w:tc>
          <w:tcPr>
            <w:tcW w:w="0" w:type="auto"/>
          </w:tcPr>
          <w:p>
            <w:pPr>
              <w:spacing w:line="240" w:lineRule="auto" w:before="0" w:after="0"/>
              <w:pStyle w:val="Compact"/>
            </w:pPr>
            <w:r>
              <w:rPr>
                <w:sz w:val="20"/>
                <w:szCs w:val="20"/>
              </w:rPr>
              <w:t xml:space="preserve">Maxar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5.075</w:t>
            </w:r>
          </w:p>
        </w:tc>
        <w:tc>
          <w:tcPr>
            <w:tcW w:w="0" w:type="auto"/>
          </w:tcPr>
          <w:p>
            <w:pPr>
              <w:spacing w:line="240" w:lineRule="auto" w:before="0" w:after="0"/>
              <w:pStyle w:val="Compact"/>
            </w:pPr>
            <w:r>
              <w:rPr>
                <w:sz w:val="20"/>
                <w:szCs w:val="20"/>
              </w:rPr>
              <w:t xml:space="preserve">Maxar GeoEye-1 mission maxar.com/satellites/geoeye-1; ~160 strips/day per maxar imagery-leader spec [illustrative]</w:t>
            </w:r>
          </w:p>
        </w:tc>
      </w:tr>
      <w:tr>
        <w:tc>
          <w:tcPr>
            <w:tcW w:w="0" w:type="auto"/>
          </w:tcPr>
          <w:p>
            <w:pPr>
              <w:spacing w:line="240" w:lineRule="auto" w:before="0" w:after="0"/>
              <w:pStyle w:val="Compact"/>
            </w:pPr>
            <w:r>
              <w:rPr>
                <w:sz w:val="20"/>
                <w:szCs w:val="20"/>
              </w:rPr>
              <w:t xml:space="preserve">WorldView-2</w:t>
            </w:r>
          </w:p>
        </w:tc>
        <w:tc>
          <w:tcPr>
            <w:tcW w:w="0" w:type="auto"/>
          </w:tcPr>
          <w:p>
            <w:pPr>
              <w:spacing w:line="240" w:lineRule="auto" w:before="0" w:after="0"/>
              <w:pStyle w:val="Compact"/>
            </w:pPr>
            <w:r>
              <w:rPr>
                <w:sz w:val="20"/>
                <w:szCs w:val="20"/>
              </w:rPr>
              <w:t xml:space="preserve">Maxar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Maxar WorldView-2 mission maxar.com/satellites/worldview-2; ~150 strips/day per maxar spec [illustrative]</w:t>
            </w:r>
          </w:p>
        </w:tc>
      </w:tr>
      <w:tr>
        <w:tc>
          <w:tcPr>
            <w:tcW w:w="0" w:type="auto"/>
          </w:tcPr>
          <w:p>
            <w:pPr>
              <w:spacing w:line="240" w:lineRule="auto" w:before="0" w:after="0"/>
              <w:pStyle w:val="Compact"/>
            </w:pPr>
            <w:r>
              <w:rPr>
                <w:sz w:val="20"/>
                <w:szCs w:val="20"/>
              </w:rPr>
              <w:t xml:space="preserve">Pleiades-Neo</w:t>
            </w:r>
          </w:p>
        </w:tc>
        <w:tc>
          <w:tcPr>
            <w:tcW w:w="0" w:type="auto"/>
          </w:tcPr>
          <w:p>
            <w:pPr>
              <w:spacing w:line="240" w:lineRule="auto" w:before="0" w:after="0"/>
              <w:pStyle w:val="Compact"/>
            </w:pPr>
            <w:r>
              <w:rPr>
                <w:sz w:val="20"/>
                <w:szCs w:val="20"/>
              </w:rPr>
              <w:t xml:space="preserve">Airbus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5.136</w:t>
            </w:r>
          </w:p>
        </w:tc>
        <w:tc>
          <w:tcPr>
            <w:tcW w:w="0" w:type="auto"/>
          </w:tcPr>
          <w:p>
            <w:pPr>
              <w:spacing w:line="240" w:lineRule="auto" w:before="0" w:after="0"/>
              <w:pStyle w:val="Compact"/>
            </w:pPr>
            <w:r>
              <w:rPr>
                <w:sz w:val="20"/>
                <w:szCs w:val="20"/>
              </w:rPr>
              <w:t xml:space="preserve">Airbus Pleiades Neo constellation intelligence.airbus.com/imagery/our-satellites/pleiades-neo; 2 satellites per airbus.com press; ~340 strips/day aggregate per intelligence.airbus.com [illustrative]</w:t>
            </w:r>
          </w:p>
        </w:tc>
      </w:tr>
      <w:tr>
        <w:tc>
          <w:tcPr>
            <w:tcW w:w="0" w:type="auto"/>
          </w:tcPr>
          <w:p>
            <w:pPr>
              <w:spacing w:line="240" w:lineRule="auto" w:before="0" w:after="0"/>
              <w:pStyle w:val="Compact"/>
            </w:pPr>
            <w:r>
              <w:rPr>
                <w:sz w:val="20"/>
                <w:szCs w:val="20"/>
              </w:rPr>
              <w:t xml:space="preserve">SPOT-7</w:t>
            </w:r>
          </w:p>
        </w:tc>
        <w:tc>
          <w:tcPr>
            <w:tcW w:w="0" w:type="auto"/>
          </w:tcPr>
          <w:p>
            <w:pPr>
              <w:spacing w:line="240" w:lineRule="auto" w:before="0" w:after="0"/>
              <w:pStyle w:val="Compact"/>
            </w:pPr>
            <w:r>
              <w:rPr>
                <w:sz w:val="20"/>
                <w:szCs w:val="20"/>
              </w:rPr>
              <w:t xml:space="preserve">Airbus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Airbus SPOT-7 mission intelligence.airbus.com/imagery/our-satellites/spot-67; ~90 strips/day per intelligence.airbus.com spec [illustrative]</w:t>
            </w:r>
          </w:p>
        </w:tc>
      </w:tr>
    </w:tbl>
    <w:bookmarkEnd w:id="182"/>
    <w:bookmarkStart w:id="18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log_granules_per_sat</w:t>
            </w:r>
          </w:p>
        </w:tc>
        <w:tc>
          <w:tcPr>
            <w:tcW w:w="0" w:type="auto"/>
          </w:tcPr>
          <w:p>
            <w:pPr>
              <w:spacing w:line="240" w:lineRule="auto" w:before="0" w:after="0"/>
              <w:pStyle w:val="Compact"/>
            </w:pPr>
            <w:r>
              <w:rPr>
                <w:sz w:val="20"/>
                <w:szCs w:val="20"/>
              </w:rPr>
              <w:t xml:space="preserve">Natural logarithm of the mean number of distributed Earth-observation granules produced per satellite per day during the reporting period; the dependent variable, measuring per-platform realized imaging yield once geometric and operational constraints have resolved.</w:t>
            </w:r>
          </w:p>
        </w:tc>
        <w:tc>
          <w:tcPr>
            <w:tcW w:w="0" w:type="auto"/>
          </w:tcPr>
          <w:p>
            <w:pPr>
              <w:spacing w:line="240" w:lineRule="auto" w:before="0" w:after="0"/>
              <w:pStyle w:val="Compact"/>
            </w:pPr>
            <w:r>
              <w:rPr>
                <w:sz w:val="20"/>
                <w:szCs w:val="20"/>
              </w:rPr>
              <w:t xml:space="preserve">NASA Earthdata Common Metadata Repository (CMR) collection-level archive volumes at cmr.earthdata.nasa.gov; mission operator daily-product figures from operator data-access pages (USGS Landsat, ESA Copernicus, NOAA NESDIS, NASA PO.DAAC, Planet, Maxar)</w:t>
            </w:r>
          </w:p>
        </w:tc>
      </w:tr>
      <w:tr>
        <w:tc>
          <w:tcPr>
            <w:tcW w:w="0" w:type="auto"/>
          </w:tcPr>
          <w:p>
            <w:pPr>
              <w:spacing w:line="240" w:lineRule="auto" w:before="0" w:after="0"/>
              <w:pStyle w:val="Compact"/>
            </w:pPr>
            <w:r>
              <w:rPr>
                <w:sz w:val="20"/>
                <w:szCs w:val="20"/>
              </w:rPr>
              <w:t xml:space="preserve">decision_tasking</w:t>
            </w:r>
          </w:p>
        </w:tc>
        <w:tc>
          <w:tcPr>
            <w:tcW w:w="0" w:type="auto"/>
          </w:tcPr>
          <w:p>
            <w:pPr>
              <w:spacing w:line="240" w:lineRule="auto" w:before="0" w:after="0"/>
              <w:pStyle w:val="Compact"/>
            </w:pPr>
            <w:r>
              <w:rPr>
                <w:sz w:val="20"/>
                <w:szCs w:val="20"/>
              </w:rPr>
              <w:t xml:space="preserve">Binary indicator coded 1 when the mission accepts operator-side or decision-driven tasking that selects acquisitions per orbit (agile body-pointing, on-demand collection request, or off-nadir slewing) and 0 when the mission images a fixed swath each pass without per-orbit decision (continuous nadir mappers and continuous full-disk imagers).</w:t>
            </w:r>
          </w:p>
        </w:tc>
        <w:tc>
          <w:tcPr>
            <w:tcW w:w="0" w:type="auto"/>
          </w:tcPr>
          <w:p>
            <w:pPr>
              <w:spacing w:line="240" w:lineRule="auto" w:before="0" w:after="0"/>
              <w:pStyle w:val="Compact"/>
            </w:pPr>
            <w:r>
              <w:rPr>
                <w:sz w:val="20"/>
                <w:szCs w:val="20"/>
              </w:rPr>
              <w:t xml:space="preserve">Hand-coded from operator mission descriptions: Landsat, Sentinel-1/2/3 swath-fixed but tasking-eligible (1); MODIS, VIIRS, GOES full-disk and continuous mappers (0); commercial high-resolution body-pointing platforms (Maxar, Planet SkySat, Airbus Pleiades, ICEYE, Capella) (1)</w:t>
            </w:r>
          </w:p>
        </w:tc>
      </w:tr>
      <w:tr>
        <w:tc>
          <w:tcPr>
            <w:tcW w:w="0" w:type="auto"/>
          </w:tcPr>
          <w:p>
            <w:pPr>
              <w:spacing w:line="240" w:lineRule="auto" w:before="0" w:after="0"/>
              <w:pStyle w:val="Compact"/>
            </w:pPr>
            <w:r>
              <w:rPr>
                <w:sz w:val="20"/>
                <w:szCs w:val="20"/>
              </w:rPr>
              <w:t xml:space="preserve">revisit_days</w:t>
            </w:r>
          </w:p>
        </w:tc>
        <w:tc>
          <w:tcPr>
            <w:tcW w:w="0" w:type="auto"/>
          </w:tcPr>
          <w:p>
            <w:pPr>
              <w:spacing w:line="240" w:lineRule="auto" w:before="0" w:after="0"/>
              <w:pStyle w:val="Compact"/>
            </w:pPr>
            <w:r>
              <w:rPr>
                <w:sz w:val="20"/>
                <w:szCs w:val="20"/>
              </w:rPr>
              <w:t xml:space="preserve">Mean revisit interval in days for the platform or constellation, the geometric upper bound on how often a given target can be re-imaged, controlling for the temporal opportunity space the scheduler sees.</w:t>
            </w:r>
          </w:p>
        </w:tc>
        <w:tc>
          <w:tcPr>
            <w:tcW w:w="0" w:type="auto"/>
          </w:tcPr>
          <w:p>
            <w:pPr>
              <w:spacing w:line="240" w:lineRule="auto" w:before="0" w:after="0"/>
              <w:pStyle w:val="Compact"/>
            </w:pPr>
            <w:r>
              <w:rPr>
                <w:sz w:val="20"/>
                <w:szCs w:val="20"/>
              </w:rPr>
              <w:t xml:space="preserve">Mission overview pages: usgs.gov/landsat-missions; sentinels.copernicus.eu/web/sentinel/missions; nesdis.noaa.gov/our-satellites; nasa.gov mission_pages; commercial operator capability sheets</w:t>
            </w:r>
          </w:p>
        </w:tc>
      </w:tr>
      <w:tr>
        <w:tc>
          <w:tcPr>
            <w:tcW w:w="0" w:type="auto"/>
          </w:tcPr>
          <w:p>
            <w:pPr>
              <w:spacing w:line="240" w:lineRule="auto" w:before="0" w:after="0"/>
              <w:pStyle w:val="Compact"/>
            </w:pPr>
            <w:r>
              <w:rPr>
                <w:sz w:val="20"/>
                <w:szCs w:val="20"/>
              </w:rPr>
              <w:t xml:space="preserve">agility_yaw_deg</w:t>
            </w:r>
          </w:p>
        </w:tc>
        <w:tc>
          <w:tcPr>
            <w:tcW w:w="0" w:type="auto"/>
          </w:tcPr>
          <w:p>
            <w:pPr>
              <w:spacing w:line="240" w:lineRule="auto" w:before="0" w:after="0"/>
              <w:pStyle w:val="Compact"/>
            </w:pPr>
            <w:r>
              <w:rPr>
                <w:sz w:val="20"/>
                <w:szCs w:val="20"/>
              </w:rPr>
              <w:t xml:space="preserve">Approximate maximum cross-track body-pointing agility in degrees, controlling for how much of the access geometry the platform can exploit per overpass. Geostationary and non-pointing platforms coded 0.</w:t>
            </w:r>
          </w:p>
        </w:tc>
        <w:tc>
          <w:tcPr>
            <w:tcW w:w="0" w:type="auto"/>
          </w:tcPr>
          <w:p>
            <w:pPr>
              <w:spacing w:line="240" w:lineRule="auto" w:before="0" w:after="0"/>
              <w:pStyle w:val="Compact"/>
            </w:pPr>
            <w:r>
              <w:rPr>
                <w:sz w:val="20"/>
                <w:szCs w:val="20"/>
              </w:rPr>
              <w:t xml:space="preserve">Mission spec sheets: maxar.com/satellites; intelligence.airbus.com/imagery/our-satellites; planet.com/products; iceye.com/sar-data; esa.int Sentinel mission descriptions</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Natural logarithm of the number of operationally co-managed satellites in the same constellation in the reporting period, controlling for whether per-satellite yield is averaged across a large fleet (Planet Doves) or a single dedicated platform.</w:t>
            </w:r>
          </w:p>
        </w:tc>
        <w:tc>
          <w:tcPr>
            <w:tcW w:w="0" w:type="auto"/>
          </w:tcPr>
          <w:p>
            <w:pPr>
              <w:spacing w:line="240" w:lineRule="auto" w:before="0" w:after="0"/>
              <w:pStyle w:val="Compact"/>
            </w:pPr>
            <w:r>
              <w:rPr>
                <w:sz w:val="20"/>
                <w:szCs w:val="20"/>
              </w:rPr>
              <w:t xml:space="preserve">Operator constellation counts: planet.com pulse and press; maxar.com press; iceye.com/press; capellaspace.com/about; ESA and NASA mission pages</w:t>
            </w:r>
          </w:p>
        </w:tc>
      </w:tr>
    </w:tbl>
    <w:bookmarkEnd w:id="183"/>
    <w:bookmarkEnd w:id="184"/>
    <w:bookmarkStart w:id="192" w:name="X839a0f5a41c602c4d3cb14926a056340828af9f"/>
    <w:p>
      <w:pPr>
        <w:pStyle w:val="Heading2"/>
        <w:spacing w:line="480" w:lineRule="auto"/>
      </w:pPr>
      <w:r>
        <w:t xml:space="preserve">A.2 What Drives the Acquisition Cost of an Earth-Observation Mission? A Cross-Mission OLS of Mass, Resolution, and Constellation Size</w:t>
      </w:r>
    </w:p>
    <w:p>
      <w:pPr>
        <w:pStyle w:val="FirstParagraph"/>
        <w:spacing w:line="480" w:lineRule="auto"/>
      </w:pPr>
      <m:oMathPara>
        <m:oMathParaPr>
          <m:jc m:val="center"/>
        </m:oMathParaPr>
        <m:oMath>
          <m:r>
            <m:rPr>
              <m:sty m:val="p"/>
            </m:rPr>
            <m:t>log</m:t>
          </m:r>
          <m:r>
            <m:rPr>
              <m:sty m:val="p"/>
            </m:rPr>
            <m:t>(</m:t>
          </m:r>
          <m:sSub>
            <m:e>
              <m:r>
                <m:rPr>
                  <m:sty m:val="p"/>
                </m:rPr>
                <m:t>c</m:t>
              </m:r>
              <m:r>
                <m:rPr>
                  <m:sty m:val="p"/>
                </m:rPr>
                <m:t>o</m:t>
              </m:r>
              <m:r>
                <m:rPr>
                  <m:sty m:val="p"/>
                </m:rPr>
                <m:t>s</m:t>
              </m:r>
              <m:r>
                <m:rPr>
                  <m:sty m:val="p"/>
                </m:rPr>
                <m:t>t</m:t>
              </m:r>
            </m:e>
            <m:sub>
              <m:r>
                <m:t>i</m:t>
              </m:r>
            </m:sub>
          </m:sSub>
          <m:r>
            <m:rPr>
              <m:sty m:val="p"/>
            </m:rPr>
            <m:t>)</m:t>
          </m:r>
          <m:r>
            <m:rPr>
              <m:sty m:val="p"/>
            </m:rPr>
            <m:t>=</m:t>
          </m:r>
          <m:sSub>
            <m:e>
              <m:r>
                <m:t>β</m:t>
              </m:r>
            </m:e>
            <m:sub>
              <m:r>
                <m:t>0</m:t>
              </m:r>
            </m:sub>
          </m:sSub>
          <m:r>
            <m:rPr>
              <m:sty m:val="p"/>
            </m:rPr>
            <m:t>+</m:t>
          </m:r>
          <m:sSub>
            <m:e>
              <m:r>
                <m:t>β</m:t>
              </m:r>
            </m:e>
            <m:sub>
              <m:r>
                <m:t>1</m:t>
              </m:r>
            </m:sub>
          </m:sSub>
          <m:r>
            <m:rPr>
              <m:sty m:val="p"/>
            </m:rPr>
            <m:t>log</m:t>
          </m:r>
          <m:r>
            <m:rPr>
              <m:sty m:val="p"/>
            </m:rPr>
            <m:t>(</m:t>
          </m:r>
          <m:sSub>
            <m:e>
              <m:r>
                <m:rPr>
                  <m:sty m:val="p"/>
                </m:rPr>
                <m:t>m</m:t>
              </m:r>
              <m:r>
                <m:rPr>
                  <m:sty m:val="p"/>
                </m:rPr>
                <m:t>a</m:t>
              </m:r>
              <m:r>
                <m:rPr>
                  <m:sty m:val="p"/>
                </m:rPr>
                <m:t>s</m:t>
              </m:r>
              <m:r>
                <m:rPr>
                  <m:sty m:val="p"/>
                </m:rPr>
                <m:t>s</m:t>
              </m:r>
            </m:e>
            <m:sub>
              <m:r>
                <m:t>i</m:t>
              </m:r>
            </m:sub>
          </m:sSub>
          <m:r>
            <m:rPr>
              <m:sty m:val="p"/>
            </m:rPr>
            <m:t>)</m:t>
          </m:r>
          <m:r>
            <m:rPr>
              <m:sty m:val="p"/>
            </m:rPr>
            <m:t>+</m:t>
          </m:r>
          <m:sSub>
            <m:e>
              <m:r>
                <m:t>β</m:t>
              </m:r>
            </m:e>
            <m:sub>
              <m:r>
                <m:t>2</m:t>
              </m:r>
            </m:sub>
          </m:sSub>
          <m:r>
            <m:rPr>
              <m:sty m:val="p"/>
            </m:rPr>
            <m:t>log</m:t>
          </m:r>
          <m:r>
            <m:rPr>
              <m:sty m:val="p"/>
            </m:rPr>
            <m:t>(</m:t>
          </m:r>
          <m:sSub>
            <m:e>
              <m:r>
                <m:rPr>
                  <m:sty m:val="p"/>
                </m:rPr>
                <m:t>r</m:t>
              </m:r>
              <m:r>
                <m:rPr>
                  <m:sty m:val="p"/>
                </m:rPr>
                <m:t>e</m:t>
              </m:r>
              <m:r>
                <m:rPr>
                  <m:sty m:val="p"/>
                </m:rPr>
                <m:t>s</m:t>
              </m:r>
              <m:r>
                <m:rPr>
                  <m:sty m:val="p"/>
                </m:rPr>
                <m:t>o</m:t>
              </m:r>
              <m:r>
                <m:rPr>
                  <m:sty m:val="p"/>
                </m:rPr>
                <m:t>l</m:t>
              </m:r>
              <m:r>
                <m:rPr>
                  <m:sty m:val="p"/>
                </m:rPr>
                <m:t>u</m:t>
              </m:r>
              <m:r>
                <m:rPr>
                  <m:sty m:val="p"/>
                </m:rPr>
                <m:t>t</m:t>
              </m:r>
              <m:r>
                <m:rPr>
                  <m:sty m:val="p"/>
                </m:rPr>
                <m:t>i</m:t>
              </m:r>
              <m:r>
                <m:rPr>
                  <m:sty m:val="p"/>
                </m:rPr>
                <m:t>o</m:t>
              </m:r>
              <m:r>
                <m:rPr>
                  <m:sty m:val="p"/>
                </m:rPr>
                <m:t>n</m:t>
              </m:r>
            </m:e>
            <m:sub>
              <m:r>
                <m:t>i</m:t>
              </m:r>
            </m:sub>
          </m:sSub>
          <m:r>
            <m:rPr>
              <m:sty m:val="p"/>
            </m:rPr>
            <m:t>)</m:t>
          </m:r>
          <m:r>
            <m:rPr>
              <m:sty m:val="p"/>
            </m:rPr>
            <m:t>+</m:t>
          </m:r>
          <m:sSub>
            <m:e>
              <m:r>
                <m:t>β</m:t>
              </m:r>
            </m:e>
            <m:sub>
              <m:r>
                <m:t>3</m:t>
              </m:r>
            </m:sub>
          </m:sSub>
          <m:r>
            <m:rPr>
              <m:sty m:val="p"/>
            </m:rPr>
            <m:t>log</m:t>
          </m:r>
          <m:r>
            <m:rPr>
              <m:sty m:val="p"/>
            </m:rPr>
            <m:t>(</m:t>
          </m:r>
          <m:sSub>
            <m:e>
              <m:r>
                <m:rPr>
                  <m:sty m:val="p"/>
                </m:rPr>
                <m:t>c</m:t>
              </m:r>
              <m:r>
                <m:rPr>
                  <m:sty m:val="p"/>
                </m:rPr>
                <m:t>o</m:t>
              </m:r>
              <m:r>
                <m:rPr>
                  <m:sty m:val="p"/>
                </m:rPr>
                <m:t>n</m:t>
              </m:r>
              <m:r>
                <m:rPr>
                  <m:sty m:val="p"/>
                </m:rPr>
                <m:t>s</m:t>
              </m:r>
              <m:r>
                <m:rPr>
                  <m:sty m:val="p"/>
                </m:rPr>
                <m:t>t</m:t>
              </m:r>
              <m:r>
                <m:rPr>
                  <m:sty m:val="p"/>
                </m:rPr>
                <m:t>e</m:t>
              </m:r>
              <m:r>
                <m:rPr>
                  <m:sty m:val="p"/>
                </m:rPr>
                <m:t>l</m:t>
              </m:r>
              <m:r>
                <m:rPr>
                  <m:sty m:val="p"/>
                </m:rPr>
                <m:t>l</m:t>
              </m:r>
              <m:r>
                <m:rPr>
                  <m:sty m:val="p"/>
                </m:rPr>
                <m:t>a</m:t>
              </m:r>
              <m:r>
                <m:rPr>
                  <m:sty m:val="p"/>
                </m:rPr>
                <m:t>t</m:t>
              </m:r>
              <m:r>
                <m:rPr>
                  <m:sty m:val="p"/>
                </m:rPr>
                <m:t>i</m:t>
              </m:r>
              <m:r>
                <m:rPr>
                  <m:sty m:val="p"/>
                </m:rPr>
                <m:t>o</m:t>
              </m:r>
              <m:r>
                <m:rPr>
                  <m:sty m:val="p"/>
                </m:rPr>
                <m:t>n</m:t>
              </m:r>
              <m:r>
                <m:rPr>
                  <m:sty m:val="p"/>
                </m:rPr>
                <m:t>_</m:t>
              </m:r>
              <m:r>
                <m:rPr>
                  <m:sty m:val="p"/>
                </m:rPr>
                <m:t>s</m:t>
              </m:r>
              <m:r>
                <m:rPr>
                  <m:sty m:val="p"/>
                </m:rPr>
                <m:t>i</m:t>
              </m:r>
              <m:r>
                <m:rPr>
                  <m:sty m:val="p"/>
                </m:rPr>
                <m:t>z</m:t>
              </m:r>
              <m:r>
                <m:rPr>
                  <m:sty m:val="p"/>
                </m:rPr>
                <m:t>e</m:t>
              </m:r>
            </m:e>
            <m:sub>
              <m:r>
                <m:t>i</m:t>
              </m:r>
            </m:sub>
          </m:sSub>
          <m:r>
            <m:rPr>
              <m:sty m:val="p"/>
            </m:rPr>
            <m:t>)</m:t>
          </m:r>
          <m:r>
            <m:rPr>
              <m:sty m:val="p"/>
            </m:rPr>
            <m:t>+</m:t>
          </m:r>
          <m:sSub>
            <m:e>
              <m:r>
                <m:t>β</m:t>
              </m:r>
            </m:e>
            <m:sub>
              <m:r>
                <m:t>4</m:t>
              </m:r>
            </m:sub>
          </m:sSub>
          <m:sSub>
            <m:e>
              <m:r>
                <m:rPr>
                  <m:sty m:val="p"/>
                </m:rPr>
                <m:t>s</m:t>
              </m:r>
              <m:r>
                <m:rPr>
                  <m:sty m:val="p"/>
                </m:rPr>
                <m:t>a</m:t>
              </m:r>
              <m:r>
                <m:rPr>
                  <m:sty m:val="p"/>
                </m:rPr>
                <m:t>r</m:t>
              </m:r>
            </m:e>
            <m:sub>
              <m:r>
                <m:t>i</m:t>
              </m:r>
            </m:sub>
          </m:sSub>
          <m:r>
            <m:rPr>
              <m:sty m:val="p"/>
            </m:rPr>
            <m:t>+</m:t>
          </m:r>
          <m:sSub>
            <m:e>
              <m:r>
                <m:t>ε</m:t>
              </m:r>
            </m:e>
            <m:sub>
              <m:r>
                <m:t>i</m:t>
              </m:r>
            </m:sub>
          </m:sSub>
        </m:oMath>
      </m:oMathPara>
    </w:p>
    <w:bookmarkStart w:id="18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2.5132</w:t>
            </w:r>
          </w:p>
        </w:tc>
        <w:tc>
          <w:tcPr>
            <w:tcW w:w="0" w:type="auto"/>
          </w:tcPr>
          <w:p>
            <w:pPr>
              <w:spacing w:line="240" w:lineRule="auto" w:before="0" w:after="0"/>
              <w:pStyle w:val="Compact"/>
            </w:pPr>
            <w:r>
              <w:rPr>
                <w:sz w:val="20"/>
                <w:szCs w:val="20"/>
              </w:rPr>
              <w:t xml:space="preserve">2.4319</w:t>
            </w:r>
          </w:p>
        </w:tc>
        <w:tc>
          <w:tcPr>
            <w:tcW w:w="0" w:type="auto"/>
          </w:tcPr>
          <w:p>
            <w:pPr>
              <w:spacing w:line="240" w:lineRule="auto" w:before="0" w:after="0"/>
              <w:pStyle w:val="Compact"/>
            </w:pPr>
            <w:r>
              <w:rPr>
                <w:sz w:val="20"/>
                <w:szCs w:val="20"/>
              </w:rPr>
              <w:t xml:space="preserve">1.0334</w:t>
            </w:r>
          </w:p>
        </w:tc>
        <w:tc>
          <w:tcPr>
            <w:tcW w:w="0" w:type="auto"/>
          </w:tcPr>
          <w:p>
            <w:pPr>
              <w:spacing w:line="240" w:lineRule="auto" w:before="0" w:after="0"/>
              <w:pStyle w:val="Compact"/>
            </w:pPr>
            <w:r>
              <w:rPr>
                <w:sz w:val="20"/>
                <w:szCs w:val="20"/>
              </w:rPr>
              <w:t xml:space="preserve">0.3014</w:t>
            </w:r>
          </w:p>
        </w:tc>
        <w:tc>
          <w:tcPr>
            <w:tcW w:w="0" w:type="auto"/>
          </w:tcPr>
          <w:p>
            <w:pPr>
              <w:spacing w:line="240" w:lineRule="auto" w:before="0" w:after="0"/>
              <w:pStyle w:val="Compact"/>
            </w:pPr>
            <w:r>
              <w:rPr>
                <w:sz w:val="20"/>
                <w:szCs w:val="20"/>
              </w:rPr>
              <w:t xml:space="preserve">[-2.2533, 7.2797]</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0.4954</w:t>
            </w:r>
          </w:p>
        </w:tc>
        <w:tc>
          <w:tcPr>
            <w:tcW w:w="0" w:type="auto"/>
          </w:tcPr>
          <w:p>
            <w:pPr>
              <w:spacing w:line="240" w:lineRule="auto" w:before="0" w:after="0"/>
              <w:pStyle w:val="Compact"/>
            </w:pPr>
            <w:r>
              <w:rPr>
                <w:sz w:val="20"/>
                <w:szCs w:val="20"/>
              </w:rPr>
              <w:t xml:space="preserve">0.3217</w:t>
            </w:r>
          </w:p>
        </w:tc>
        <w:tc>
          <w:tcPr>
            <w:tcW w:w="0" w:type="auto"/>
          </w:tcPr>
          <w:p>
            <w:pPr>
              <w:spacing w:line="240" w:lineRule="auto" w:before="0" w:after="0"/>
              <w:pStyle w:val="Compact"/>
            </w:pPr>
            <w:r>
              <w:rPr>
                <w:sz w:val="20"/>
                <w:szCs w:val="20"/>
              </w:rPr>
              <w:t xml:space="preserve">1.5401</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[-0.1351, 1.1259]</w:t>
            </w:r>
          </w:p>
        </w:tc>
      </w:tr>
      <w:tr>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0.1019</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2.2424</w:t>
            </w:r>
          </w:p>
        </w:tc>
        <w:tc>
          <w:tcPr>
            <w:tcW w:w="0" w:type="auto"/>
          </w:tcPr>
          <w:p>
            <w:pPr>
              <w:spacing w:line="240" w:lineRule="auto" w:before="0" w:after="0"/>
              <w:pStyle w:val="Compact"/>
            </w:pPr>
            <w:r>
              <w:rPr>
                <w:sz w:val="20"/>
                <w:szCs w:val="20"/>
              </w:rPr>
              <w:t xml:space="preserve">0.0249</w:t>
            </w:r>
          </w:p>
        </w:tc>
        <w:tc>
          <w:tcPr>
            <w:tcW w:w="0" w:type="auto"/>
          </w:tcPr>
          <w:p>
            <w:pPr>
              <w:spacing w:line="240" w:lineRule="auto" w:before="0" w:after="0"/>
              <w:pStyle w:val="Compact"/>
            </w:pPr>
            <w:r>
              <w:rPr>
                <w:sz w:val="20"/>
                <w:szCs w:val="20"/>
              </w:rPr>
              <w:t xml:space="preserve">[0.0128, 0.1911]</w:t>
            </w:r>
          </w:p>
        </w:tc>
      </w:tr>
      <w:tr>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-0.3006</w:t>
            </w:r>
          </w:p>
        </w:tc>
        <w:tc>
          <w:tcPr>
            <w:tcW w:w="0" w:type="auto"/>
          </w:tcPr>
          <w:p>
            <w:pPr>
              <w:spacing w:line="240" w:lineRule="auto" w:before="0" w:after="0"/>
              <w:pStyle w:val="Compact"/>
            </w:pPr>
            <w:r>
              <w:rPr>
                <w:sz w:val="20"/>
                <w:szCs w:val="20"/>
              </w:rPr>
              <w:t xml:space="preserve">0.4369</w:t>
            </w:r>
          </w:p>
        </w:tc>
        <w:tc>
          <w:tcPr>
            <w:tcW w:w="0" w:type="auto"/>
          </w:tcPr>
          <w:p>
            <w:pPr>
              <w:spacing w:line="240" w:lineRule="auto" w:before="0" w:after="0"/>
              <w:pStyle w:val="Compact"/>
            </w:pPr>
            <w:r>
              <w:rPr>
                <w:sz w:val="20"/>
                <w:szCs w:val="20"/>
              </w:rPr>
              <w:t xml:space="preserve">-0.688</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[-1.1568, 0.5557]</w:t>
            </w:r>
          </w:p>
        </w:tc>
      </w:tr>
      <w:tr>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0.3578</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0.9307</w:t>
            </w:r>
          </w:p>
        </w:tc>
        <w:tc>
          <w:tcPr>
            <w:tcW w:w="0" w:type="auto"/>
          </w:tcPr>
          <w:p>
            <w:pPr>
              <w:spacing w:line="240" w:lineRule="auto" w:before="0" w:after="0"/>
              <w:pStyle w:val="Compact"/>
            </w:pPr>
            <w:r>
              <w:rPr>
                <w:sz w:val="20"/>
                <w:szCs w:val="20"/>
              </w:rPr>
              <w:t xml:space="preserve">[-0.6702, 0.7324]</w:t>
            </w:r>
          </w:p>
        </w:tc>
      </w:tr>
    </w:tbl>
    <w:p>
      <w:pPr>
        <w:pStyle w:val="BodyText"/>
        <w:spacing w:line="480" w:lineRule="auto"/>
        <w:ind w:firstLine="720"/>
      </w:pPr>
      <w:r>
        <w:t xml:space="preserve">Fit: N = 35 R2 = 0.6104 R2_adj = 0.5585 F = 8.7809 F_p = 8.115e-05</w:t>
      </w:r>
    </w:p>
    <w:bookmarkEnd w:id="185"/>
    <w:bookmarkStart w:id="18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Mission acquisition cost versus dry mass across 35 documented Earth-observation missions, log-log scale." title="" id="187" name="Picture"/>
            <a:graphic>
              <a:graphicData uri="http://schemas.openxmlformats.org/drawingml/2006/picture">
                <pic:pic>
                  <pic:nvPicPr>
                    <pic:cNvPr descr="D:/Claude_Code/brain/collegium/candidates/dissertations/JPL_ASTRO_EARTH_11/research_papers/p2/paper_fig1.png" id="188" name="Picture"/>
                    <pic:cNvPicPr>
                      <a:picLocks noChangeArrowheads="1" noChangeAspect="1"/>
                    </pic:cNvPicPr>
                  </pic:nvPicPr>
                  <pic:blipFill>
                    <a:blip r:embed="rId1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Mission acquisition cost versus dry mass across 35 documented Earth-observation missions, log-log scale.</w:t>
      </w:r>
    </w:p>
    <w:bookmarkEnd w:id="189"/>
    <w:bookmarkStart w:id="19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year_launch</w:t>
            </w:r>
          </w:p>
        </w:tc>
        <w:tc>
          <w:tcPr>
            <w:tcW w:w="0" w:type="auto"/>
          </w:tcPr>
          <w:p>
            <w:pPr>
              <w:spacing w:line="240" w:lineRule="auto" w:before="0" w:after="0"/>
              <w:pStyle w:val="Compact"/>
            </w:pPr>
            <w:r>
              <w:rPr>
                <w:sz w:val="20"/>
                <w:szCs w:val="20"/>
              </w:rPr>
              <w:t xml:space="preserve">cost_musd_2024</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resolution_m</w:t>
            </w:r>
          </w:p>
        </w:tc>
        <w:tc>
          <w:tcPr>
            <w:tcW w:w="0" w:type="auto"/>
          </w:tcPr>
          <w:p>
            <w:pPr>
              <w:spacing w:line="240" w:lineRule="auto" w:before="0" w:after="0"/>
              <w:pStyle w:val="Compact"/>
            </w:pPr>
            <w:r>
              <w:rPr>
                <w:sz w:val="20"/>
                <w:szCs w:val="20"/>
              </w:rPr>
              <w:t xml:space="preserve">constellation_size</w:t>
            </w:r>
          </w:p>
        </w:tc>
        <w:tc>
          <w:tcPr>
            <w:tcW w:w="0" w:type="auto"/>
          </w:tcPr>
          <w:p>
            <w:pPr>
              <w:spacing w:line="240" w:lineRule="auto" w:before="0" w:after="0"/>
              <w:pStyle w:val="Compact"/>
            </w:pPr>
            <w:r>
              <w:rPr>
                <w:sz w:val="20"/>
                <w:szCs w:val="20"/>
              </w:rPr>
              <w:t xml:space="preserve">sso</w:t>
            </w:r>
          </w:p>
        </w:tc>
        <w:tc>
          <w:tcPr>
            <w:tcW w:w="0" w:type="auto"/>
          </w:tcPr>
          <w:p>
            <w:pPr>
              <w:spacing w:line="240" w:lineRule="auto" w:before="0" w:after="0"/>
              <w:pStyle w:val="Compact"/>
            </w:pPr>
            <w:r>
              <w:rPr>
                <w:sz w:val="20"/>
                <w:szCs w:val="20"/>
              </w:rPr>
              <w:t xml:space="preserve">instrument_class</w:t>
            </w:r>
          </w:p>
        </w:tc>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2623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6.7511</w:t>
            </w:r>
          </w:p>
        </w:tc>
        <w:tc>
          <w:tcPr>
            <w:tcW w:w="0" w:type="auto"/>
          </w:tcPr>
          <w:p>
            <w:pPr>
              <w:spacing w:line="240" w:lineRule="auto" w:before="0" w:after="0"/>
              <w:pStyle w:val="Compact"/>
            </w:pPr>
            <w:r>
              <w:rPr>
                <w:sz w:val="20"/>
                <w:szCs w:val="20"/>
              </w:rPr>
              <w:t xml:space="preserve">7.8721</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Landsat-8 mission page (landsat.gsfc.nasa.gov/landsat-8)</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2710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7.9047</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Landsat-9 press kit (landsat.gsfc.nasa.gov/landsat-9)</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5.823</w:t>
            </w:r>
          </w:p>
        </w:tc>
        <w:tc>
          <w:tcPr>
            <w:tcW w:w="0" w:type="auto"/>
          </w:tcPr>
          <w:p>
            <w:pPr>
              <w:spacing w:line="240" w:lineRule="auto" w:before="0" w:after="0"/>
              <w:pStyle w:val="Compact"/>
            </w:pPr>
            <w:r>
              <w:rPr>
                <w:sz w:val="20"/>
                <w:szCs w:val="20"/>
              </w:rPr>
              <w:t xml:space="preserve">7.0388</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Sentinel-2 mission page (sentinel.esa.int)</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1140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5.823</w:t>
            </w:r>
          </w:p>
        </w:tc>
        <w:tc>
          <w:tcPr>
            <w:tcW w:w="0" w:type="auto"/>
          </w:tcPr>
          <w:p>
            <w:pPr>
              <w:spacing w:line="240" w:lineRule="auto" w:before="0" w:after="0"/>
              <w:pStyle w:val="Compact"/>
            </w:pPr>
            <w:r>
              <w:rPr>
                <w:sz w:val="20"/>
                <w:szCs w:val="20"/>
              </w:rPr>
              <w:t xml:space="preserve">7.0388</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Sentinel-2 mission page (sentinel.esa.int)</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6.1633</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Sentinel-1 mission page (sentinel.esa.int)</w:t>
            </w:r>
          </w:p>
        </w:tc>
      </w:tr>
      <w:tr>
        <w:tc>
          <w:tcPr>
            <w:tcW w:w="0" w:type="auto"/>
          </w:tcPr>
          <w:p>
            <w:pPr>
              <w:spacing w:line="240" w:lineRule="auto" w:before="0" w:after="0"/>
              <w:pStyle w:val="Compact"/>
            </w:pPr>
            <w:r>
              <w:rPr>
                <w:sz w:val="20"/>
                <w:szCs w:val="20"/>
              </w:rPr>
              <w:t xml:space="preserve">Sentinel-1B</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6.1633</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Sentinel-1 mission page (sentinel.esa.int)</w:t>
            </w:r>
          </w:p>
        </w:tc>
      </w:tr>
      <w:tr>
        <w:tc>
          <w:tcPr>
            <w:tcW w:w="0" w:type="auto"/>
          </w:tcPr>
          <w:p>
            <w:pPr>
              <w:spacing w:line="240" w:lineRule="auto" w:before="0" w:after="0"/>
              <w:pStyle w:val="Compact"/>
            </w:pPr>
            <w:r>
              <w:rPr>
                <w:sz w:val="20"/>
                <w:szCs w:val="20"/>
              </w:rPr>
              <w:t xml:space="preserve">Sentinel-3A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6.3008</w:t>
            </w:r>
          </w:p>
        </w:tc>
        <w:tc>
          <w:tcPr>
            <w:tcW w:w="0" w:type="auto"/>
          </w:tcPr>
          <w:p>
            <w:pPr>
              <w:spacing w:line="240" w:lineRule="auto" w:before="0" w:after="0"/>
              <w:pStyle w:val="Compact"/>
            </w:pPr>
            <w:r>
              <w:rPr>
                <w:sz w:val="20"/>
                <w:szCs w:val="20"/>
              </w:rPr>
              <w:t xml:space="preserve">7.1309</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Sentinel-3 mission page (sentinel.esa.int)</w:t>
            </w:r>
          </w:p>
        </w:tc>
      </w:tr>
      <w:tr>
        <w:tc>
          <w:tcPr>
            <w:tcW w:w="0" w:type="auto"/>
          </w:tcPr>
          <w:p>
            <w:pPr>
              <w:spacing w:line="240" w:lineRule="auto" w:before="0" w:after="0"/>
              <w:pStyle w:val="Compact"/>
            </w:pPr>
            <w:r>
              <w:rPr>
                <w:sz w:val="20"/>
                <w:szCs w:val="20"/>
              </w:rPr>
              <w:t xml:space="preserve">Sentinel-3B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6.3008</w:t>
            </w:r>
          </w:p>
        </w:tc>
        <w:tc>
          <w:tcPr>
            <w:tcW w:w="0" w:type="auto"/>
          </w:tcPr>
          <w:p>
            <w:pPr>
              <w:spacing w:line="240" w:lineRule="auto" w:before="0" w:after="0"/>
              <w:pStyle w:val="Compact"/>
            </w:pPr>
            <w:r>
              <w:rPr>
                <w:sz w:val="20"/>
                <w:szCs w:val="20"/>
              </w:rPr>
              <w:t xml:space="preserve">7.1309</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Sentinel-3 mission page (sentinel.esa.int)</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944</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radiometer</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6.8501</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Major Project Assessment 2015</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1514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lidar</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7.3225</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NASA Major Project Assessment 2018</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1352</w:t>
            </w:r>
          </w:p>
        </w:tc>
        <w:tc>
          <w:tcPr>
            <w:tcW w:w="0" w:type="auto"/>
          </w:tcPr>
          <w:p>
            <w:pPr>
              <w:spacing w:line="240" w:lineRule="auto" w:before="0" w:after="0"/>
              <w:pStyle w:val="Compact"/>
            </w:pPr>
            <w:r>
              <w:rPr>
                <w:sz w:val="20"/>
                <w:szCs w:val="20"/>
              </w:rPr>
              <w:t xml:space="preserve">300000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gravimeter</w:t>
            </w:r>
          </w:p>
        </w:tc>
        <w:tc>
          <w:tcPr>
            <w:tcW w:w="0" w:type="auto"/>
          </w:tcPr>
          <w:p>
            <w:pPr>
              <w:spacing w:line="240" w:lineRule="auto" w:before="0" w:after="0"/>
              <w:pStyle w:val="Compact"/>
            </w:pPr>
            <w:r>
              <w:rPr>
                <w:sz w:val="20"/>
                <w:szCs w:val="20"/>
              </w:rPr>
              <w:t xml:space="preserve">6.2538</w:t>
            </w:r>
          </w:p>
        </w:tc>
        <w:tc>
          <w:tcPr>
            <w:tcW w:w="0" w:type="auto"/>
          </w:tcPr>
          <w:p>
            <w:pPr>
              <w:spacing w:line="240" w:lineRule="auto" w:before="0" w:after="0"/>
              <w:pStyle w:val="Compact"/>
            </w:pPr>
            <w:r>
              <w:rPr>
                <w:sz w:val="20"/>
                <w:szCs w:val="20"/>
              </w:rPr>
              <w:t xml:space="preserve">7.2093</w:t>
            </w:r>
          </w:p>
        </w:tc>
        <w:tc>
          <w:tcPr>
            <w:tcW w:w="0" w:type="auto"/>
          </w:tcPr>
          <w:p>
            <w:pPr>
              <w:spacing w:line="240" w:lineRule="auto" w:before="0" w:after="0"/>
              <w:pStyle w:val="Compact"/>
            </w:pPr>
            <w:r>
              <w:rPr>
                <w:sz w:val="20"/>
                <w:szCs w:val="20"/>
              </w:rPr>
              <w:t xml:space="preserve">12.6115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GAO-18-280SP NASA Major Project Assessment 2018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radar</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7.9374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6.8711</w:t>
            </w:r>
          </w:p>
        </w:tc>
        <w:tc>
          <w:tcPr>
            <w:tcW w:w="0" w:type="auto"/>
          </w:tcPr>
          <w:p>
            <w:pPr>
              <w:spacing w:line="240" w:lineRule="auto" w:before="0" w:after="0"/>
              <w:pStyle w:val="Compact"/>
            </w:pPr>
            <w:r>
              <w:rPr>
                <w:sz w:val="20"/>
                <w:szCs w:val="20"/>
              </w:rPr>
              <w:t xml:space="preserve">7.4384</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Landsat-Next</w:t>
            </w:r>
          </w:p>
        </w:tc>
        <w:tc>
          <w:tcPr>
            <w:tcW w:w="0" w:type="auto"/>
          </w:tcPr>
          <w:p>
            <w:pPr>
              <w:spacing w:line="240" w:lineRule="auto" w:before="0" w:after="0"/>
              <w:pStyle w:val="Compact"/>
            </w:pPr>
            <w:r>
              <w:rPr>
                <w:sz w:val="20"/>
                <w:szCs w:val="20"/>
              </w:rPr>
              <w:t xml:space="preserve">2030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8.0064</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 Assessment 2025 [illustrative]</w:t>
            </w:r>
          </w:p>
        </w:tc>
      </w:tr>
      <w:tr>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2812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7.9417</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Maxar WorldView-3 mission page (maxar.com)</w:t>
            </w:r>
          </w:p>
        </w:tc>
      </w:tr>
      <w:tr>
        <w:tc>
          <w:tcPr>
            <w:tcW w:w="0" w:type="auto"/>
          </w:tcPr>
          <w:p>
            <w:pPr>
              <w:spacing w:line="240" w:lineRule="auto" w:before="0" w:after="0"/>
              <w:pStyle w:val="Compact"/>
            </w:pPr>
            <w:r>
              <w:rPr>
                <w:sz w:val="20"/>
                <w:szCs w:val="20"/>
              </w:rPr>
              <w:t xml:space="preserve">WorldView-4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6.7154</w:t>
            </w:r>
          </w:p>
        </w:tc>
        <w:tc>
          <w:tcPr>
            <w:tcW w:w="0" w:type="auto"/>
          </w:tcPr>
          <w:p>
            <w:pPr>
              <w:spacing w:line="240" w:lineRule="auto" w:before="0" w:after="0"/>
              <w:pStyle w:val="Compact"/>
            </w:pPr>
            <w:r>
              <w:rPr>
                <w:sz w:val="20"/>
                <w:szCs w:val="20"/>
              </w:rPr>
              <w:t xml:space="preserve">7.818</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Maxar WorldView-4 mission page (maxar.com)</w:t>
            </w:r>
          </w:p>
        </w:tc>
      </w:tr>
      <w:tr>
        <w:tc>
          <w:tcPr>
            <w:tcW w:w="0" w:type="auto"/>
          </w:tcPr>
          <w:p>
            <w:pPr>
              <w:spacing w:line="240" w:lineRule="auto" w:before="0" w:after="0"/>
              <w:pStyle w:val="Compact"/>
            </w:pPr>
            <w:r>
              <w:rPr>
                <w:sz w:val="20"/>
                <w:szCs w:val="20"/>
              </w:rPr>
              <w:t xml:space="preserve">GeoEye-1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1955</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6.2186</w:t>
            </w:r>
          </w:p>
        </w:tc>
        <w:tc>
          <w:tcPr>
            <w:tcW w:w="0" w:type="auto"/>
          </w:tcPr>
          <w:p>
            <w:pPr>
              <w:spacing w:line="240" w:lineRule="auto" w:before="0" w:after="0"/>
              <w:pStyle w:val="Compact"/>
            </w:pPr>
            <w:r>
              <w:rPr>
                <w:sz w:val="20"/>
                <w:szCs w:val="20"/>
              </w:rPr>
              <w:t xml:space="preserve">7.5781</w:t>
            </w:r>
          </w:p>
        </w:tc>
        <w:tc>
          <w:tcPr>
            <w:tcW w:w="0" w:type="auto"/>
          </w:tcPr>
          <w:p>
            <w:pPr>
              <w:spacing w:line="240" w:lineRule="auto" w:before="0" w:after="0"/>
              <w:pStyle w:val="Compact"/>
            </w:pPr>
            <w:r>
              <w:rPr>
                <w:sz w:val="20"/>
                <w:szCs w:val="20"/>
              </w:rPr>
              <w:t xml:space="preserve">-0.8916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DigitalGlobe GeoEye-1 mission page (digitalglobe.com)</w:t>
            </w:r>
          </w:p>
        </w:tc>
      </w:tr>
      <w:tr>
        <w:tc>
          <w:tcPr>
            <w:tcW w:w="0" w:type="auto"/>
          </w:tcPr>
          <w:p>
            <w:pPr>
              <w:spacing w:line="240" w:lineRule="auto" w:before="0" w:after="0"/>
              <w:pStyle w:val="Compact"/>
            </w:pPr>
            <w:r>
              <w:rPr>
                <w:sz w:val="20"/>
                <w:szCs w:val="20"/>
              </w:rPr>
              <w:t xml:space="preserve">RapidEye-A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RapidEye-B</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RapidEye-C</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RapidEye-D</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RapidEye-E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RapidEye mission archive (planet.com)</w:t>
            </w:r>
          </w:p>
        </w:tc>
      </w:tr>
      <w:tr>
        <w:tc>
          <w:tcPr>
            <w:tcW w:w="0" w:type="auto"/>
          </w:tcPr>
          <w:p>
            <w:pPr>
              <w:spacing w:line="240" w:lineRule="auto" w:before="0" w:after="0"/>
              <w:pStyle w:val="Compact"/>
            </w:pPr>
            <w:r>
              <w:rPr>
                <w:sz w:val="20"/>
                <w:szCs w:val="20"/>
              </w:rPr>
              <w:t xml:space="preserve">SkySat-1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4.4188</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SkySat mission page (planet.com)</w:t>
            </w:r>
          </w:p>
        </w:tc>
      </w:tr>
      <w:tr>
        <w:tc>
          <w:tcPr>
            <w:tcW w:w="0" w:type="auto"/>
          </w:tcPr>
          <w:p>
            <w:pPr>
              <w:spacing w:line="240" w:lineRule="auto" w:before="0" w:after="0"/>
              <w:pStyle w:val="Compact"/>
            </w:pPr>
            <w:r>
              <w:rPr>
                <w:sz w:val="20"/>
                <w:szCs w:val="20"/>
              </w:rPr>
              <w:t xml:space="preserve">SkySat-3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4.7005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Labs SkySat mission page (planet.com)</w:t>
            </w:r>
          </w:p>
        </w:tc>
      </w:tr>
      <w:tr>
        <w:tc>
          <w:tcPr>
            <w:tcW w:w="0" w:type="auto"/>
          </w:tcPr>
          <w:p>
            <w:pPr>
              <w:spacing w:line="240" w:lineRule="auto" w:before="0" w:after="0"/>
              <w:pStyle w:val="Compact"/>
            </w:pPr>
            <w:r>
              <w:rPr>
                <w:sz w:val="20"/>
                <w:szCs w:val="20"/>
              </w:rPr>
              <w:t xml:space="preserve">Pleiades-1A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 Pleiades mission page (cnes.fr)</w:t>
            </w:r>
          </w:p>
        </w:tc>
      </w:tr>
      <w:tr>
        <w:tc>
          <w:tcPr>
            <w:tcW w:w="0" w:type="auto"/>
          </w:tcPr>
          <w:p>
            <w:pPr>
              <w:spacing w:line="240" w:lineRule="auto" w:before="0" w:after="0"/>
              <w:pStyle w:val="Compact"/>
            </w:pPr>
            <w:r>
              <w:rPr>
                <w:sz w:val="20"/>
                <w:szCs w:val="20"/>
              </w:rPr>
              <w:t xml:space="preserve">Pleiades-1B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CNES Pleiades mission page (cnes.fr)</w:t>
            </w:r>
          </w:p>
        </w:tc>
      </w:tr>
      <w:tr>
        <w:tc>
          <w:tcPr>
            <w:tcW w:w="0" w:type="auto"/>
          </w:tcPr>
          <w:p>
            <w:pPr>
              <w:spacing w:line="240" w:lineRule="auto" w:before="0" w:after="0"/>
              <w:pStyle w:val="Compact"/>
            </w:pPr>
            <w:r>
              <w:rPr>
                <w:sz w:val="20"/>
                <w:szCs w:val="20"/>
              </w:rPr>
              <w:t xml:space="preserve">KOMPSAT-3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5.7366</w:t>
            </w:r>
          </w:p>
        </w:tc>
        <w:tc>
          <w:tcPr>
            <w:tcW w:w="0" w:type="auto"/>
          </w:tcPr>
          <w:p>
            <w:pPr>
              <w:spacing w:line="240" w:lineRule="auto" w:before="0" w:after="0"/>
              <w:pStyle w:val="Compact"/>
            </w:pPr>
            <w:r>
              <w:rPr>
                <w:sz w:val="20"/>
                <w:szCs w:val="20"/>
              </w:rPr>
              <w:t xml:space="preserve">6.8876</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KARI KOMPSAT-3 mission page (kari.re.kr)</w:t>
            </w:r>
          </w:p>
        </w:tc>
      </w:tr>
      <w:tr>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-0.5978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KARI KOMPSAT-3A mission page (kari.re.kr)</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5.323</w:t>
            </w:r>
          </w:p>
        </w:tc>
        <w:tc>
          <w:tcPr>
            <w:tcW w:w="0" w:type="auto"/>
          </w:tcPr>
          <w:p>
            <w:pPr>
              <w:spacing w:line="240" w:lineRule="auto" w:before="0" w:after="0"/>
              <w:pStyle w:val="Compact"/>
            </w:pPr>
            <w:r>
              <w:rPr>
                <w:sz w:val="20"/>
                <w:szCs w:val="20"/>
              </w:rPr>
              <w:t xml:space="preserve">7.1148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DLR TerraSAR-X mission page (dlr.de)</w:t>
            </w:r>
          </w:p>
        </w:tc>
      </w:tr>
      <w:tr>
        <w:tc>
          <w:tcPr>
            <w:tcW w:w="0" w:type="auto"/>
          </w:tcPr>
          <w:p>
            <w:pPr>
              <w:spacing w:line="240" w:lineRule="auto" w:before="0" w:after="0"/>
              <w:pStyle w:val="Compact"/>
            </w:pPr>
            <w:r>
              <w:rPr>
                <w:sz w:val="20"/>
                <w:szCs w:val="20"/>
              </w:rPr>
              <w:t xml:space="preserve">TanDEM-X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7.1148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DLR TanDEM-X mission page (dlr.de)</w:t>
            </w:r>
          </w:p>
        </w:tc>
      </w:tr>
      <w:tr>
        <w:tc>
          <w:tcPr>
            <w:tcW w:w="0" w:type="auto"/>
          </w:tcPr>
          <w:p>
            <w:pPr>
              <w:spacing w:line="240" w:lineRule="auto" w:before="0" w:after="0"/>
              <w:pStyle w:val="Compact"/>
            </w:pPr>
            <w:r>
              <w:rPr>
                <w:sz w:val="20"/>
                <w:szCs w:val="20"/>
              </w:rPr>
              <w:t xml:space="preserve">RADARSAT-2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575</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6.3544</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CSA RADARSAT-2 mission page (asc-csa.gc.ca)</w:t>
            </w:r>
          </w:p>
        </w:tc>
      </w:tr>
      <w:tr>
        <w:tc>
          <w:tcPr>
            <w:tcW w:w="0" w:type="auto"/>
          </w:tcPr>
          <w:p>
            <w:pPr>
              <w:spacing w:line="240" w:lineRule="auto" w:before="0" w:after="0"/>
              <w:pStyle w:val="Compact"/>
            </w:pPr>
            <w:r>
              <w:rPr>
                <w:sz w:val="20"/>
                <w:szCs w:val="20"/>
              </w:rPr>
              <w:t xml:space="preserve">RADARSAT-Constellation-1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1430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7.2654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CSA RCM mission page (asc-csa.gc.ca)</w:t>
            </w:r>
          </w:p>
        </w:tc>
      </w:tr>
      <w:tr>
        <w:tc>
          <w:tcPr>
            <w:tcW w:w="0" w:type="auto"/>
          </w:tcPr>
          <w:p>
            <w:pPr>
              <w:spacing w:line="240" w:lineRule="auto" w:before="0" w:after="0"/>
              <w:pStyle w:val="Compact"/>
            </w:pPr>
            <w:r>
              <w:rPr>
                <w:sz w:val="20"/>
                <w:szCs w:val="20"/>
              </w:rPr>
              <w:t xml:space="preserve">CartoSat-3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1625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7.3933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CartoSat-3 mission page (isro.gov.in)</w:t>
            </w:r>
          </w:p>
        </w:tc>
      </w:tr>
      <w:tr>
        <w:tc>
          <w:tcPr>
            <w:tcW w:w="0" w:type="auto"/>
          </w:tcPr>
          <w:p>
            <w:pPr>
              <w:spacing w:line="240" w:lineRule="auto" w:before="0" w:after="0"/>
              <w:pStyle w:val="Compact"/>
            </w:pPr>
            <w:r>
              <w:rPr>
                <w:sz w:val="20"/>
                <w:szCs w:val="20"/>
              </w:rPr>
              <w:t xml:space="preserve">RESOURCESAT-2A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1235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multispectral</w:t>
            </w:r>
          </w:p>
        </w:tc>
        <w:tc>
          <w:tcPr>
            <w:tcW w:w="0" w:type="auto"/>
          </w:tcPr>
          <w:p>
            <w:pPr>
              <w:spacing w:line="240" w:lineRule="auto" w:before="0" w:after="0"/>
              <w:pStyle w:val="Compact"/>
            </w:pPr>
            <w:r>
              <w:rPr>
                <w:sz w:val="20"/>
                <w:szCs w:val="20"/>
              </w:rPr>
              <w:t xml:space="preserve">4.7005</w:t>
            </w:r>
          </w:p>
        </w:tc>
        <w:tc>
          <w:tcPr>
            <w:tcW w:w="0" w:type="auto"/>
          </w:tcPr>
          <w:p>
            <w:pPr>
              <w:spacing w:line="240" w:lineRule="auto" w:before="0" w:after="0"/>
              <w:pStyle w:val="Compact"/>
            </w:pPr>
            <w:r>
              <w:rPr>
                <w:sz w:val="20"/>
                <w:szCs w:val="20"/>
              </w:rPr>
              <w:t xml:space="preserve">7.1188</w:t>
            </w:r>
          </w:p>
        </w:tc>
        <w:tc>
          <w:tcPr>
            <w:tcW w:w="0" w:type="auto"/>
          </w:tcPr>
          <w:p>
            <w:pPr>
              <w:spacing w:line="240" w:lineRule="auto" w:before="0" w:after="0"/>
              <w:pStyle w:val="Compact"/>
            </w:pPr>
            <w:r>
              <w:rPr>
                <w:sz w:val="20"/>
                <w:szCs w:val="20"/>
              </w:rPr>
              <w:t xml:space="preserve">1.7579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RESOURCESAT-2A mission page (isro.gov.in)</w:t>
            </w:r>
          </w:p>
        </w:tc>
      </w:tr>
    </w:tbl>
    <w:bookmarkEnd w:id="190"/>
    <w:bookmarkStart w:id="19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log_cost</w:t>
            </w:r>
          </w:p>
        </w:tc>
        <w:tc>
          <w:tcPr>
            <w:tcW w:w="0" w:type="auto"/>
          </w:tcPr>
          <w:p>
            <w:pPr>
              <w:spacing w:line="240" w:lineRule="auto" w:before="0" w:after="0"/>
              <w:pStyle w:val="Compact"/>
            </w:pPr>
            <w:r>
              <w:rPr>
                <w:sz w:val="20"/>
                <w:szCs w:val="20"/>
              </w:rPr>
              <w:t xml:space="preserve">Natural log of mission acquisition cost in 2024 USD millions</w:t>
            </w:r>
          </w:p>
        </w:tc>
        <w:tc>
          <w:tcPr>
            <w:tcW w:w="0" w:type="auto"/>
          </w:tcPr>
          <w:p>
            <w:pPr>
              <w:spacing w:line="240" w:lineRule="auto" w:before="0" w:after="0"/>
              <w:pStyle w:val="Compact"/>
            </w:pPr>
            <w:r>
              <w:rPr>
                <w:sz w:val="20"/>
                <w:szCs w:val="20"/>
              </w:rPr>
              <w:t xml:space="preserve">Computed from cost_musd_2024 in data.csv; cost figures sourced from NASA Landsat program pages, ESA Copernicus mission pages, NASA GAO Major Project Assessments (gao-15-320SP, gao-18-280SP, gao-22-105212, gao-23-106021, gao-24-106767, gao-25-107591), and commercial-operator press materials (Maxar, Planet, CNES, KARI, DLR, CSA, ISRO)</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dry mass at launch in kg</w:t>
            </w:r>
          </w:p>
        </w:tc>
        <w:tc>
          <w:tcPr>
            <w:tcW w:w="0" w:type="auto"/>
          </w:tcPr>
          <w:p>
            <w:pPr>
              <w:spacing w:line="240" w:lineRule="auto" w:before="0" w:after="0"/>
              <w:pStyle w:val="Compact"/>
            </w:pPr>
            <w:r>
              <w:rPr>
                <w:sz w:val="20"/>
                <w:szCs w:val="20"/>
              </w:rPr>
              <w:t xml:space="preserve">Computed from mass_kg in data.csv, drawn from mission press kits and operator pages</w:t>
            </w:r>
          </w:p>
        </w:tc>
      </w:tr>
      <w:tr>
        <w:tc>
          <w:tcPr>
            <w:tcW w:w="0" w:type="auto"/>
          </w:tcPr>
          <w:p>
            <w:pPr>
              <w:spacing w:line="240" w:lineRule="auto" w:before="0" w:after="0"/>
              <w:pStyle w:val="Compact"/>
            </w:pPr>
            <w:r>
              <w:rPr>
                <w:sz w:val="20"/>
                <w:szCs w:val="20"/>
              </w:rPr>
              <w:t xml:space="preserve">log_resolution</w:t>
            </w:r>
          </w:p>
        </w:tc>
        <w:tc>
          <w:tcPr>
            <w:tcW w:w="0" w:type="auto"/>
          </w:tcPr>
          <w:p>
            <w:pPr>
              <w:spacing w:line="240" w:lineRule="auto" w:before="0" w:after="0"/>
              <w:pStyle w:val="Compact"/>
            </w:pPr>
            <w:r>
              <w:rPr>
                <w:sz w:val="20"/>
                <w:szCs w:val="20"/>
              </w:rPr>
              <w:t xml:space="preserve">Natural log of best ground sample distance in meters</w:t>
            </w:r>
          </w:p>
        </w:tc>
        <w:tc>
          <w:tcPr>
            <w:tcW w:w="0" w:type="auto"/>
          </w:tcPr>
          <w:p>
            <w:pPr>
              <w:spacing w:line="240" w:lineRule="auto" w:before="0" w:after="0"/>
              <w:pStyle w:val="Compact"/>
            </w:pPr>
            <w:r>
              <w:rPr>
                <w:sz w:val="20"/>
                <w:szCs w:val="20"/>
              </w:rPr>
              <w:t xml:space="preserve">Computed from resolution_m in data.csv; smaller values indicate finer detail and are expected to raise cost</w:t>
            </w:r>
          </w:p>
        </w:tc>
      </w:tr>
      <w:tr>
        <w:tc>
          <w:tcPr>
            <w:tcW w:w="0" w:type="auto"/>
          </w:tcPr>
          <w:p>
            <w:pPr>
              <w:spacing w:line="240" w:lineRule="auto" w:before="0" w:after="0"/>
              <w:pStyle w:val="Compact"/>
            </w:pPr>
            <w:r>
              <w:rPr>
                <w:sz w:val="20"/>
                <w:szCs w:val="20"/>
              </w:rPr>
              <w:t xml:space="preserve">log_constellation_size</w:t>
            </w:r>
          </w:p>
        </w:tc>
        <w:tc>
          <w:tcPr>
            <w:tcW w:w="0" w:type="auto"/>
          </w:tcPr>
          <w:p>
            <w:pPr>
              <w:spacing w:line="240" w:lineRule="auto" w:before="0" w:after="0"/>
              <w:pStyle w:val="Compact"/>
            </w:pPr>
            <w:r>
              <w:rPr>
                <w:sz w:val="20"/>
                <w:szCs w:val="20"/>
              </w:rPr>
              <w:t xml:space="preserve">Natural log of the number of identical satellites in the constellation at design</w:t>
            </w:r>
          </w:p>
        </w:tc>
        <w:tc>
          <w:tcPr>
            <w:tcW w:w="0" w:type="auto"/>
          </w:tcPr>
          <w:p>
            <w:pPr>
              <w:spacing w:line="240" w:lineRule="auto" w:before="0" w:after="0"/>
              <w:pStyle w:val="Compact"/>
            </w:pPr>
            <w:r>
              <w:rPr>
                <w:sz w:val="20"/>
                <w:szCs w:val="20"/>
              </w:rPr>
              <w:t xml:space="preserve">Computed from constellation_size in data.csv; tests whether per-unit cost falls with constellation count</w:t>
            </w:r>
          </w:p>
        </w:tc>
      </w:tr>
      <w:tr>
        <w:tc>
          <w:tcPr>
            <w:tcW w:w="0" w:type="auto"/>
          </w:tcPr>
          <w:p>
            <w:pPr>
              <w:spacing w:line="240" w:lineRule="auto" w:before="0" w:after="0"/>
              <w:pStyle w:val="Compact"/>
            </w:pPr>
            <w:r>
              <w:rPr>
                <w:sz w:val="20"/>
                <w:szCs w:val="20"/>
              </w:rPr>
              <w:t xml:space="preserve">sar</w:t>
            </w:r>
          </w:p>
        </w:tc>
        <w:tc>
          <w:tcPr>
            <w:tcW w:w="0" w:type="auto"/>
          </w:tcPr>
          <w:p>
            <w:pPr>
              <w:spacing w:line="240" w:lineRule="auto" w:before="0" w:after="0"/>
              <w:pStyle w:val="Compact"/>
            </w:pPr>
            <w:r>
              <w:rPr>
                <w:sz w:val="20"/>
                <w:szCs w:val="20"/>
              </w:rPr>
              <w:t xml:space="preserve">Indicator equal to 1 if the primary payload is a synthetic-aperture radar, 0 otherwise</w:t>
            </w:r>
          </w:p>
        </w:tc>
        <w:tc>
          <w:tcPr>
            <w:tcW w:w="0" w:type="auto"/>
          </w:tcPr>
          <w:p>
            <w:pPr>
              <w:spacing w:line="240" w:lineRule="auto" w:before="0" w:after="0"/>
              <w:pStyle w:val="Compact"/>
            </w:pPr>
            <w:r>
              <w:rPr>
                <w:sz w:val="20"/>
                <w:szCs w:val="20"/>
              </w:rPr>
              <w:t xml:space="preserve">Coded from instrument_class in data.csv to control for the SAR cost premium documented in the EO architecture literature</w:t>
            </w:r>
          </w:p>
        </w:tc>
      </w:tr>
    </w:tbl>
    <w:bookmarkEnd w:id="191"/>
    <w:bookmarkEnd w:id="192"/>
    <w:bookmarkEnd w:id="1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8" Type="http://schemas.openxmlformats.org/officeDocument/2006/relationships/image" Target="media/rId178.png"/><Relationship Id="rId186" Type="http://schemas.openxmlformats.org/officeDocument/2006/relationships/image" Target="media/rId186.png"/><Relationship Id="rId162" Type="http://schemas.openxmlformats.org/officeDocument/2006/relationships/hyperlink" Target="https://doi.org/10.1016/j.actaastro.2017.04.034" TargetMode="External"/><Relationship Id="rId135" Type="http://schemas.openxmlformats.org/officeDocument/2006/relationships/hyperlink" Target="https://doi.org/10.1016/j.actaastro.2020.06.039" TargetMode="External"/><Relationship Id="rId142" Type="http://schemas.openxmlformats.org/officeDocument/2006/relationships/hyperlink" Target="https://doi.org/10.1016/j.actaastro.2023.02.040" TargetMode="External"/><Relationship Id="rId164" Type="http://schemas.openxmlformats.org/officeDocument/2006/relationships/hyperlink" Target="https://doi.org/10.1016/j.actaastro.2023.05.001" TargetMode="External"/><Relationship Id="rId146" Type="http://schemas.openxmlformats.org/officeDocument/2006/relationships/hyperlink" Target="https://doi.org/10.1016/j.actaastro.2023.10.042" TargetMode="External"/><Relationship Id="rId144" Type="http://schemas.openxmlformats.org/officeDocument/2006/relationships/hyperlink" Target="https://doi.org/10.1016/j.actaastro.2023.12.055" TargetMode="External"/><Relationship Id="rId133" Type="http://schemas.openxmlformats.org/officeDocument/2006/relationships/hyperlink" Target="https://doi.org/10.1016/j.actaastro.2024.03.070" TargetMode="External"/><Relationship Id="rId160" Type="http://schemas.openxmlformats.org/officeDocument/2006/relationships/hyperlink" Target="https://doi.org/10.1016/j.actaastro.2025.05.036" TargetMode="External"/><Relationship Id="rId170" Type="http://schemas.openxmlformats.org/officeDocument/2006/relationships/hyperlink" Target="https://doi.org/10.1016/j.actaastro.2025.07.014" TargetMode="External"/><Relationship Id="rId168" Type="http://schemas.openxmlformats.org/officeDocument/2006/relationships/hyperlink" Target="https://doi.org/10.1016/j.actaastro.2025.08.050" TargetMode="External"/><Relationship Id="rId166" Type="http://schemas.openxmlformats.org/officeDocument/2006/relationships/hyperlink" Target="https://doi.org/10.1016/j.actaastro.2025.10.018" TargetMode="External"/><Relationship Id="rId174" Type="http://schemas.openxmlformats.org/officeDocument/2006/relationships/hyperlink" Target="https://doi.org/10.1016/j.actaastro.2026.02.046" TargetMode="External"/><Relationship Id="rId172" Type="http://schemas.openxmlformats.org/officeDocument/2006/relationships/hyperlink" Target="https://doi.org/10.1016/j.actaastro.2026.03.037" TargetMode="External"/><Relationship Id="rId138" Type="http://schemas.openxmlformats.org/officeDocument/2006/relationships/hyperlink" Target="https://doi.org/10.64861/JLQE7584" TargetMode="External"/><Relationship Id="rId157" Type="http://schemas.openxmlformats.org/officeDocument/2006/relationships/hyperlink" Target="https://doi.org/10.64861/LDVO7244" TargetMode="External"/><Relationship Id="rId155" Type="http://schemas.openxmlformats.org/officeDocument/2006/relationships/hyperlink" Target="https://doi.org/10.64861/NAKM9168" TargetMode="External"/><Relationship Id="rId151" Type="http://schemas.openxmlformats.org/officeDocument/2006/relationships/hyperlink" Target="https://doi.org/10.64861/TUTU2866" TargetMode="External"/></Relationships>
</file>

<file path=word/_rels/footnotes.xml.rels><?xml version='1.0' encoding='UTF-8' standalone='yes'?>
<Relationships xmlns="http://schemas.openxmlformats.org/package/2006/relationships"><Relationship Id="rId162" Type="http://schemas.openxmlformats.org/officeDocument/2006/relationships/hyperlink" Target="https://doi.org/10.1016/j.actaastro.2017.04.034" TargetMode="External"/><Relationship Id="rId135" Type="http://schemas.openxmlformats.org/officeDocument/2006/relationships/hyperlink" Target="https://doi.org/10.1016/j.actaastro.2020.06.039" TargetMode="External"/><Relationship Id="rId142" Type="http://schemas.openxmlformats.org/officeDocument/2006/relationships/hyperlink" Target="https://doi.org/10.1016/j.actaastro.2023.02.040" TargetMode="External"/><Relationship Id="rId164" Type="http://schemas.openxmlformats.org/officeDocument/2006/relationships/hyperlink" Target="https://doi.org/10.1016/j.actaastro.2023.05.001" TargetMode="External"/><Relationship Id="rId146" Type="http://schemas.openxmlformats.org/officeDocument/2006/relationships/hyperlink" Target="https://doi.org/10.1016/j.actaastro.2023.10.042" TargetMode="External"/><Relationship Id="rId144" Type="http://schemas.openxmlformats.org/officeDocument/2006/relationships/hyperlink" Target="https://doi.org/10.1016/j.actaastro.2023.12.055" TargetMode="External"/><Relationship Id="rId133" Type="http://schemas.openxmlformats.org/officeDocument/2006/relationships/hyperlink" Target="https://doi.org/10.1016/j.actaastro.2024.03.070" TargetMode="External"/><Relationship Id="rId160" Type="http://schemas.openxmlformats.org/officeDocument/2006/relationships/hyperlink" Target="https://doi.org/10.1016/j.actaastro.2025.05.036" TargetMode="External"/><Relationship Id="rId170" Type="http://schemas.openxmlformats.org/officeDocument/2006/relationships/hyperlink" Target="https://doi.org/10.1016/j.actaastro.2025.07.014" TargetMode="External"/><Relationship Id="rId168" Type="http://schemas.openxmlformats.org/officeDocument/2006/relationships/hyperlink" Target="https://doi.org/10.1016/j.actaastro.2025.08.050" TargetMode="External"/><Relationship Id="rId166" Type="http://schemas.openxmlformats.org/officeDocument/2006/relationships/hyperlink" Target="https://doi.org/10.1016/j.actaastro.2025.10.018" TargetMode="External"/><Relationship Id="rId174" Type="http://schemas.openxmlformats.org/officeDocument/2006/relationships/hyperlink" Target="https://doi.org/10.1016/j.actaastro.2026.02.046" TargetMode="External"/><Relationship Id="rId172" Type="http://schemas.openxmlformats.org/officeDocument/2006/relationships/hyperlink" Target="https://doi.org/10.1016/j.actaastro.2026.03.037" TargetMode="External"/><Relationship Id="rId138" Type="http://schemas.openxmlformats.org/officeDocument/2006/relationships/hyperlink" Target="https://doi.org/10.64861/JLQE7584" TargetMode="External"/><Relationship Id="rId157" Type="http://schemas.openxmlformats.org/officeDocument/2006/relationships/hyperlink" Target="https://doi.org/10.64861/LDVO7244" TargetMode="External"/><Relationship Id="rId155" Type="http://schemas.openxmlformats.org/officeDocument/2006/relationships/hyperlink" Target="https://doi.org/10.64861/NAKM9168" TargetMode="External"/><Relationship Id="rId151" Type="http://schemas.openxmlformats.org/officeDocument/2006/relationships/hyperlink" Target="https://doi.org/10.64861/TUTU2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Information in Earth-Observation Tasking: A Decision-Analytic Model of When an Observation Is Worth Acquiring</dc:title>
  <dc:creator>Camila Acosta (1B-EOS-081)</dc:creator>
  <cp:keywords/>
  <dcterms:created xsi:type="dcterms:W3CDTF">2026-07-02T17:29:30Z</dcterms:created>
  <dcterms:modified xsi:type="dcterms:W3CDTF">2026-07-02T17:29:30Z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