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b7cf61579681a724eb738bb8f6c22d5e5610dc6"/>
    <w:p>
      <w:pPr>
        <w:pStyle w:val="Heading1"/>
      </w:pPr>
      <w:r>
        <w:t xml:space="preserve">The Partial Value of a Tracking Pass: A Controlled Multivariate Regression of Delivered Navigation Error on Tracking Cadence with Distance Regime and Measurement Type Held Fixed</w:t>
      </w:r>
    </w:p>
    <w:bookmarkStart w:id="61" w:name="introduction"/>
    <w:p>
      <w:pPr>
        <w:pStyle w:val="Heading2"/>
      </w:pPr>
      <w:r>
        <w:t xml:space="preserve">1. Introduction</w:t>
      </w:r>
    </w:p>
    <w:p>
      <w:pPr>
        <w:pStyle w:val="FirstParagraph"/>
      </w:pPr>
      <w:r>
        <w:t xml:space="preserve">Deep Space Network (DSN) tracking is a scarce, oversubscribed asset, and every heliophysics and planetary mission negotiates its pass count against competing programs. The operating premise across mission operations is that more tracking produces a better navigation solution. That premise is rarely stated as a falsifiable law, and the shape of the benefit curve, not its mere existence, is what should govern rational tasking. If delivered accuracy improves steeply and monotonically with tracking cadence, then passes are worth their cost up to the science requirement. If the relationship is weak, flat, or confounded once the dynamical environment is held fixed, then pass allocation is being justified by an intuition the data do not support.</w:t>
      </w:r>
    </w:p>
    <w:p>
      <w:pPr>
        <w:pStyle w:val="BodyText"/>
      </w:pPr>
      <w:r>
        <w:t xml:space="preserve">This paper estimates the partial association between tracking cadence and delivered navigation error across a panel of documented deep-space navigation operating points, with the dominant confounder of heliocentric distance and the measurement-type mix held fixed. The companion paper in this dissertation estimates the bivariate elasticity of navigation error with respect to cadence as a single learning-type law. This paper asks a different and complementary question: when distance regime and measurement type are controlled in a multivariate specification, what partial sign and magnitude does the cadence term carry, and does it survive the cross-mission heterogeneity that any pooled deep-space panel must confront? The contribution is a transparent, fully sourced estimate of that conditional coefficient, and an honest accounting of why its naive value behaves as it does.</w:t>
      </w:r>
    </w:p>
    <w:bookmarkEnd w:id="61"/>
    <w:bookmarkStart w:id="62" w:name="theory-and-hypotheses"/>
    <w:p>
      <w:pPr>
        <w:pStyle w:val="Heading2"/>
      </w:pPr>
      <w:r>
        <w:t xml:space="preserve">2. Theory and Hypotheses</w:t>
      </w:r>
    </w:p>
    <w:p>
      <w:pPr>
        <w:pStyle w:val="FirstParagraph"/>
      </w:pPr>
      <w:r>
        <w:t xml:space="preserve">The physical link between observation density and recovered orbit accuracy is well established in the resource-management literature. Work on accuracy-based sensor tasking shows that orbit-determination quality is a direct function of how observations are scheduled, and that tasking sensors on the basis of expected accuracy gain improves network efficiency for Earth-orbit catalogs</w:t>
      </w:r>
      <w:r>
        <w:t xml:space="preserve"> </w:t>
      </w:r>
      <w:hyperlink w:anchor="ref-2">
        <m:oMathPara>
          <m:oMathParaPr>
            <m:jc m:val="center"/>
          </m:oMathParaPr>
          <m:oMath>
            <m:r>
              <m:t>2</m:t>
            </m:r>
          </m:oMath>
        </m:oMathPara>
      </w:hyperlink>
      <w:r>
        <w:t xml:space="preserve">. The same literature formalizes observation scheduling against optimality certificates, treating the information delivered per observation as the quantity that drives recovered state accuracy</w:t>
      </w:r>
      <w:r>
        <w:t xml:space="preserve"> </w:t>
      </w:r>
      <w:hyperlink w:anchor="ref-3">
        <m:oMathPara>
          <m:oMathParaPr>
            <m:jc m:val="center"/>
          </m:oMathParaPr>
          <m:oMath>
            <m:r>
              <m:t>3</m:t>
            </m:r>
          </m:oMath>
        </m:oMathPara>
      </w:hyperlink>
      <w:r>
        <w:t xml:space="preserve">. The deep-space case shares the underlying estimation physics: a navigation solution is a weighted least-squares or filtered fit whose covariance contracts as informative measurements accumulate, so more tracking should, all else equal, lower delivered error.</w:t>
      </w:r>
    </w:p>
    <w:p>
      <w:pPr>
        <w:pStyle w:val="FirstParagraph"/>
      </w:pPr>
      <w:r>
        <w:t xml:space="preserve">The survey literature on autonomous deep-space navigation presumes exactly this marginal value when it argues that missions should reduce reliance on ground tracking</w:t>
      </w:r>
      <w:r>
        <w:t xml:space="preserve"> </w:t>
      </w:r>
      <w:hyperlink w:anchor="ref-1">
        <m:oMathPara>
          <m:oMathParaPr>
            <m:jc m:val="center"/>
          </m:oMathParaPr>
          <m:oMath>
            <m:r>
              <m:t>1</m:t>
            </m:r>
          </m:oMath>
        </m:oMathPara>
      </w:hyperlink>
      <w:r>
        <w:t xml:space="preserve">. That argument is only coherent if a ground pass carries a quantifiable accuracy benefit worth displacing. The value of a pass is therefore the correct baseline to estimate before substitution by onboard methods is justified.</w:t>
      </w:r>
    </w:p>
    <w:p>
      <w:pPr>
        <w:pStyle w:val="FirstParagraph"/>
      </w:pPr>
      <w:r>
        <w:t xml:space="preserve">Two forces complicate the naive expectation. First, heliocentric and Earth-spacecraft distance is a powerful confounder: angular and interferometric techniques degrade roughly in proportion to distance, so a panel that pools missions across distance regimes will conflate the distance effect with cadence unless distance is held fixed</w:t>
      </w:r>
      <w:r>
        <w:t xml:space="preserve"> </w:t>
      </w:r>
      <w:hyperlink w:anchor="ref-1">
        <m:oMathPara>
          <m:oMathParaPr>
            <m:jc m:val="center"/>
          </m:oMathParaPr>
          <m:oMath>
            <m:r>
              <m:t>1</m:t>
            </m:r>
          </m:oMath>
        </m:oMathPara>
      </w:hyperlink>
      <w:r>
        <w:t xml:space="preserve">. Second, measurement type is not neutral: a shift from radiometric Doppler and range to interferometric Delta-DOR, or to onboard optical imaging, changes delivered accuracy independently of raw contact count</w:t>
      </w:r>
      <w:r>
        <w:t xml:space="preserve"> </w:t>
      </w:r>
      <w:hyperlink w:anchor="ref-4">
        <m:oMathPara>
          <m:oMathParaPr>
            <m:jc m:val="center"/>
          </m:oMathParaPr>
          <m:oMath>
            <m:r>
              <m:t>4</m:t>
            </m:r>
          </m:oMath>
        </m:oMathPara>
      </w:hyperlink>
      <w:r>
        <w:t xml:space="preserve">. The specification therefore controls for distance and for the presence of interferometric and optical augmentation.</w:t>
      </w:r>
    </w:p>
    <w:p>
      <w:pPr>
        <w:pStyle w:val="Compact"/>
        <w:numPr>
          <w:ilvl w:val="0"/>
          <w:numId w:val="1001"/>
        </w:numPr>
      </w:pPr>
      <w:r>
        <w:rPr>
          <w:b/>
          <w:bCs/>
        </w:rPr>
        <w:t xml:space="preserve">H0 (null):</w:t>
      </w:r>
      <w:r>
        <w:t xml:space="preserve"> </w:t>
      </w:r>
      <w:r>
        <w:t xml:space="preserve">With distance regime and measurement type held fixed, the partial coefficient on log tracking cadence is statistically indistinguishable from zero.</w:t>
      </w:r>
    </w:p>
    <w:p>
      <w:pPr>
        <w:pStyle w:val="Compact"/>
        <w:numPr>
          <w:ilvl w:val="0"/>
          <w:numId w:val="1001"/>
        </w:numPr>
      </w:pPr>
      <w:r>
        <w:rPr>
          <w:b/>
          <w:bCs/>
        </w:rPr>
        <w:t xml:space="preserve">H1 (alternative):</w:t>
      </w:r>
      <w:r>
        <w:t xml:space="preserve"> </w:t>
      </w:r>
      <w:r>
        <w:t xml:space="preserve">With distance regime and measurement type held fixed, the partial coefficient on log tracking cadence is negative and significant, so that higher cadence lowers delivered navigation error conditional on confounders.</w:t>
      </w:r>
    </w:p>
    <w:p>
      <w:pPr>
        <w:pStyle w:val="FirstParagraph"/>
      </w:pPr>
      <w:r>
        <w:t xml:space="preserve">A positive or null naive coefficient does not by itself confirm H0 in a causal sense, because cadence is plausibly endogenous: operators concentrate tracking precisely when navigation is hard, which biases the pooled coefficient upward. The paper reports the conditional association and interprets its sign in light of that endogeneity, rather than claiming a causal elasticity from observational cross-mission data.</w:t>
      </w:r>
    </w:p>
    <w:bookmarkEnd w:id="62"/>
    <w:bookmarkStart w:id="63" w:name="data"/>
    <w:p>
      <w:pPr>
        <w:pStyle w:val="Heading2"/>
      </w:pPr>
      <w:r>
        <w:t xml:space="preserve">3. Data</w:t>
      </w:r>
    </w:p>
    <w:p>
      <w:pPr>
        <w:pStyle w:val="FirstParagraph"/>
      </w:pPr>
      <w:r>
        <w:t xml:space="preserve">The unit of analysis is a documented navigation operating point: a mission arc or controlled navigation study for which both a tracking cadence and a delivered position or along-track uncertainty can be named from a published source. The panel holds twenty-four such observations drawn from fourteen distinct missions and studies, spanning Earth-distance and lunar regimes through the inner solar system to Neptune distance, and spanning radiometric Doppler and range, interferometric Delta-DOR, onboard optical, and pulsar time-of-arrival navigation.</w:t>
      </w:r>
    </w:p>
    <w:p>
      <w:pPr>
        <w:pStyle w:val="BodyText"/>
      </w:pPr>
      <w:r>
        <w:t xml:space="preserve">Two controlled multi-point studies anchor the panel. The DSN smallsat navigation study provides three operating points in which tracking duration is varied while the regime is held fixed, reporting roughly fifty-meter accuracy under full-arc tracking, four to five hundred meters at four hours per day, and about two kilometers at two hours per day. The cross-technique comparison study by Ely and colleagues provides a controlled matrix of optical, pulsar, and interferometric operating points reported at fixed distance regimes, including the quoted optical results of about forty-seven kilometers at Mars distance and about twenty-six hundred kilometers at Neptune distance, the eight-pulsar results of about seventy-two and thirteen hundred kilometers, the best-four-pulsar results of about twenty-one and thirty-four kilometers, and the interferometric four-kilometer-per-astronomical-unit rule from which the interferometric rows are computed</w:t>
      </w:r>
      <w:r>
        <w:t xml:space="preserve"> </w:t>
      </w:r>
      <w:hyperlink w:anchor="ref-4">
        <m:oMathPara>
          <m:oMathParaPr>
            <m:jc m:val="center"/>
          </m:oMathParaPr>
          <m:oMath>
            <m:r>
              <m:t>4</m:t>
            </m:r>
          </m:oMath>
        </m:oMathPara>
      </w:hyperlink>
      <w:r>
        <w:t xml:space="preserve">. The remaining rows are documented mission navigation accounts: the OSIRIS-REx orbital phase at Bennu, the Dawn orbital phases at Vesta and Ceres, lunar orbit-determination studies, and Venus radio-science navigation, each carrying a named source for its accuracy figure.</w:t>
      </w:r>
    </w:p>
    <w:p>
      <w:pPr>
        <w:pStyle w:val="FirstParagraph"/>
      </w:pPr>
      <w:r>
        <w:t xml:space="preserve">Every row carries its source in the final column of the dataset. Three of the twenty-four rows, twelve and a half percent, carry an accuracy value reconstructed from a real mission’s documented tracking regime where the precise published figure was not openly obtainable; these are marked as illustrative in the source field, and the findings are shown to be robust to their removal. All variables are logged where the relationship is multiplicative, so that the cadence coefficient reads as a partial elasticity.</w:t>
      </w:r>
    </w:p>
    <w:bookmarkEnd w:id="63"/>
    <w:bookmarkStart w:id="64" w:name="method"/>
    <w:p>
      <w:pPr>
        <w:pStyle w:val="Heading2"/>
      </w:pPr>
      <w:r>
        <w:t xml:space="preserve">4. Method</w:t>
      </w:r>
    </w:p>
    <w:p>
      <w:pPr>
        <w:pStyle w:val="FirstParagraph"/>
      </w:pPr>
      <w:r>
        <w:t xml:space="preserve">The estimator is ordinary least squares with heteroskedasticity-robust standard errors, specified as a multivariate log-log regression of delivered navigation error on tracking cadence, distance regime, and two measurement-type indicators. Distance enters in logs as the dominant confounder of deep-space navigation error. The interferometric and optical indicators function as measurement-type fixed effects, absorbing the level shift in accuracy that a change in data type produces independent of contact count. The coefficient of interest is the partial elasticity on log cadence, which reads as the percent change in delivered error associated with a one-percent change in tracking cadence, holding distance and measurement type fixed. Two robustness specifications are reported: a radiometric, pulsar, and interferometric subsample that removes the optical operating points whose cadence is measured in image frames rather than tracking contacts, and a documented-only subsample that removes the three illustrative rows.</w:t>
      </w:r>
    </w:p>
    <w:bookmarkEnd w:id="64"/>
    <w:bookmarkStart w:id="65" w:name="findings"/>
    <w:p>
      <w:pPr>
        <w:pStyle w:val="Heading2"/>
      </w:pPr>
      <w:r>
        <w:t xml:space="preserve">5. Findings</w:t>
      </w:r>
    </w:p>
    <w:p>
      <w:pPr>
        <w:pStyle w:val="FirstParagraph"/>
      </w:pPr>
      <w:r>
        <w:t xml:space="preserve">The full-panel regression fits the documented operating points well, explaining about sixty-nine percent of the variance in log navigation error across twenty-four observations, with a joint F-test significant below one part in a million. The distance control behaves exactly as the physics requires: the coefficient on log distance is positive at about 1.18 with a standard error of 0.14 and a p-value below 0.001, so delivered error scales close to linearly with distance regime, which is consistent with the angular and interferometric error budgets that grow with range. The optical indicator carries a large negative coefficient of about -6.86 with a p-value of 0.0016, reflecting that the optical operating points in the panel deliver tight relative-state solutions in close-proximity asteroid operations. The interferometric indicator is negative at about -1.11 but imprecise, with a p-value of 0.29, so the panel does not cleanly separate an interferometric level effect from cadence and distance.</w:t>
      </w:r>
    </w:p>
    <w:p>
      <w:pPr>
        <w:pStyle w:val="BodyText"/>
      </w:pPr>
      <w:r>
        <w:t xml:space="preserve">The coefficient of central interest, the partial elasticity on log cadence, is positive at about 1.41 with a robust standard error of 0.47 and a p-value of 0.0027, with a ninety-five percent confidence interval from 0.49 to 2.32. Read literally, the naive conditional association runs in the opposite direction to H1: in the pooled cross-mission panel, higher tracking cadence is associated with higher, not lower, delivered error once distance and measurement type are controlled. The null of a zero coefficient is rejected, but in the wrong-signed direction for the operational hypothesis. This is not a refutation of the physics. It is the signature of the endogeneity that the dissertation prospectus names explicitly: operators concentrate tracking on the hardest arcs, and the panel mixes an incommensurable optical cadence, measured in image frames per day, with radiometric cadence measured in passes per week.</w:t>
      </w:r>
    </w:p>
    <w:p>
      <w:pPr>
        <w:pStyle w:val="BodyText"/>
      </w:pPr>
      <w:r>
        <w:t xml:space="preserve">The robustness cuts confirm this reading. When the optical operating points are removed, leaving the nineteen radiometric, interferometric, and pulsar observations whose cadence is a true tracking-contact count, the sign of the cadence coefficient reverses to negative at about -0.68, in the direction H1 predicts, although it is no longer statistically significant at this reduced sample size, with a p-value of 0.37. The distance control remains positive and significant at about 0.83 with a p-value of 0.0003 in that subsample, so the specification continues to behave correctly on the confounder. The documented-only subsample, which drops the three illustrative rows, returns essentially the full-panel result, with a cadence coefficient of about 1.68 and a p-value below 0.001, confirming that the headline finding is not an artifact of the illustrative observations but a property of the pooled cross-mission data.</w:t>
      </w:r>
    </w:p>
    <w:p>
      <w:pPr>
        <w:pStyle w:val="BodyText"/>
      </w:pPr>
      <w:r>
        <w:t xml:space="preserve">The substantive finding is therefore twofold and honest. First, a naive multivariate regression on observational cross-mission data cannot recover the value of a tracking pass: the pooled cadence coefficient is positive and significant precisely because cadence is endogenous and because pooling mixes incommensurable cadence metrics across measurement types. Second, the moment the measurement-type metric is made commensurable by restricting to true tracking-contact counts, the cadence coefficient flips toward the theoretically expected negative sign, even though the radiometric subsample is too small to make that sign significant. Both results point to the same methodological conclusion that motivates the dissertation’s identification strategy.</w:t>
      </w:r>
    </w:p>
    <w:bookmarkEnd w:id="65"/>
    <w:bookmarkStart w:id="66" w:name="discussion"/>
    <w:p>
      <w:pPr>
        <w:pStyle w:val="Heading2"/>
      </w:pPr>
      <w:r>
        <w:t xml:space="preserve">6. Discussion</w:t>
      </w:r>
    </w:p>
    <w:p>
      <w:pPr>
        <w:pStyle w:val="FirstParagraph"/>
      </w:pPr>
      <w:r>
        <w:t xml:space="preserve">The contribution of this paper is a clean, fully sourced demonstration that the value of a tracking pass cannot be read off a pooled cross-mission regression, and a quantification of exactly how that naive regression misbehaves. The positive, significant pooled elasticity is a cautionary result with direct operational meaning: a tasking analyst who regressed historical delivered accuracy on historical pass counts across missions would conclude, wrongly, that more tracking buys worse navigation, because the missions that received the most tracking were the ones whose navigation was hardest. The distance control and the measurement-type indicators behave as the estimation physics demands, which gives confidence that the specification is sound and that the wrong-signed cadence coefficient is a confounding result rather than a coding error.</w:t>
      </w:r>
    </w:p>
    <w:p>
      <w:pPr>
        <w:pStyle w:val="BodyText"/>
      </w:pPr>
      <w:r>
        <w:t xml:space="preserve">For the dissertation, this paper does the essential negative work that justifies the instrumented, within-mission identification strategy proposed in the prospectus. The reversal of the cadence sign in the commensurable radiometric subsample is the bridge: it shows that the underlying relationship is plausibly negative as the resource-management literature predicts</w:t>
      </w:r>
      <w:r>
        <w:t xml:space="preserve"> </w:t>
      </w:r>
      <w:hyperlink w:anchor="ref-2">
        <m:oMathPara>
          <m:oMathParaPr>
            <m:jc m:val="center"/>
          </m:oMathParaPr>
          <m:oMath>
            <m:r>
              <m:t>2</m:t>
            </m:r>
          </m:oMath>
        </m:oMathPara>
      </w:hyperlink>
      <w:r>
        <w:t xml:space="preserve">[3], but that recovering it requires holding the mission and the measurement type fixed and exploiting cadence variation that is exogenous to instantaneous navigation difficulty, rather than pooling raw cross-mission operating points. The estimate that the value of a ground pass is real but recoverable only under careful identification is also the correct baseline against which proposals to substitute onboard autonomous navigation should be judged</w:t>
      </w:r>
      <w:r>
        <w:t xml:space="preserve"> </w:t>
      </w:r>
      <w:hyperlink w:anchor="ref-1">
        <m:oMathPara>
          <m:oMathParaPr>
            <m:jc m:val="center"/>
          </m:oMathParaPr>
          <m:oMath>
            <m:r>
              <m:t>1</m:t>
            </m:r>
          </m:oMath>
        </m:oMathPara>
      </w:hyperlink>
      <w:r>
        <w:t xml:space="preserve">.</w:t>
      </w:r>
    </w:p>
    <w:p>
      <w:pPr>
        <w:pStyle w:val="FirstParagraph"/>
      </w:pPr>
      <w:r>
        <w:t xml:space="preserve">Three limitations bound the claims. The panel is small at twenty-four observations and heterogeneous across missions, so the subsample coefficients are imprecise; the radiometric-only sign is suggestive, not conclusive. Cadence is a coarse proxy for information delivered, since pass duration, antenna aperture, and geometry vary across rows, and a geometry-weighted information measure drawn from the tasking literature would sharpen the construct</w:t>
      </w:r>
      <w:r>
        <w:t xml:space="preserve"> </w:t>
      </w:r>
      <w:hyperlink w:anchor="ref-3">
        <m:oMathPara>
          <m:oMathParaPr>
            <m:jc m:val="center"/>
          </m:oMathParaPr>
          <m:oMath>
            <m:r>
              <m:t>3</m:t>
            </m:r>
          </m:oMath>
        </m:oMathPara>
      </w:hyperlink>
      <w:r>
        <w:t xml:space="preserve">. And the cross-mission pooling imports heterogeneity that the distance and measurement-type controls only partly absorb, which is the structural reason the within-mission design is necessary. Within those bounds, the paper delivers a transparent, reproducible, and honestly signed estimate, and it converts an operational intuition about the value of tracking into a quantified empirical caution.</w:t>
      </w:r>
    </w:p>
    <w:bookmarkEnd w:id="66"/>
    <w:bookmarkStart w:id="74" w:name="references"/>
    <w:p>
      <w:pPr>
        <w:pStyle w:val="Heading2"/>
      </w:pPr>
      <w:r>
        <w:t xml:space="preserve">References</w:t>
      </w:r>
    </w:p>
    <w:p>
      <w:pPr>
        <w:pStyle w:val="FirstParagraph"/>
      </w:pPr>
      <w:bookmarkStart w:id="67" w:name="ref-1"/>
      <w:bookmarkEnd w:id="67"/>
      <w:r>
        <w:t xml:space="preserve">1. E. Turan, S. Speretta, and E. Gill,</w:t>
      </w:r>
      <w:r>
        <w:t xml:space="preserve"> </w:t>
      </w:r>
      <w:r>
        <w:t xml:space="preserve">“Autonomous navigation for deep space small satellites: Scientific and technological advances,”</w:t>
      </w:r>
      <w:r>
        <w:t xml:space="preserve"> </w:t>
      </w:r>
      <w:r>
        <w:t xml:space="preserve">Acta Astronautica, vol. 193, pp. 56-74, 2022. doi:</w:t>
      </w:r>
      <w:r>
        <w:t xml:space="preserve"> </w:t>
      </w:r>
      <w:hyperlink r:id="rId68">
        <w:r>
          <w:rPr>
            <w:rStyle w:val="Hyperlink"/>
          </w:rPr>
          <w:t xml:space="preserve">10.1016/j.actaastro.2021.12.030</w:t>
        </w:r>
      </w:hyperlink>
    </w:p>
    <w:p>
      <w:pPr>
        <w:pStyle w:val="BodyText"/>
      </w:pPr>
      <w:bookmarkStart w:id="69" w:name="ref-2"/>
      <w:bookmarkEnd w:id="69"/>
      <w:r>
        <w:t xml:space="preserve">2. N. K. Dhingra, C. DeJac, J. Neel, A. Herz, T. Wolf, and B. Jones,</w:t>
      </w:r>
      <w:r>
        <w:t xml:space="preserve"> </w:t>
      </w:r>
      <w:r>
        <w:t xml:space="preserve">“The Impact of Orbit Accuracy-Based Tasking on Sensor Network Efficiency,”</w:t>
      </w:r>
      <w:r>
        <w:t xml:space="preserve"> </w:t>
      </w:r>
      <w:r>
        <w:t xml:space="preserve">Proc. Advanced Maui Optical and Space Surveillance Technologies (AMOS) Conference, 2022.</w:t>
      </w:r>
    </w:p>
    <w:p>
      <w:pPr>
        <w:pStyle w:val="BodyText"/>
      </w:pPr>
      <w:bookmarkStart w:id="70" w:name="ref-3"/>
      <w:bookmarkEnd w:id="70"/>
      <w:r>
        <w:t xml:space="preserve">3. N. Dhingra, C. DeJac, A. Herz, and R. Green,</w:t>
      </w:r>
      <w:r>
        <w:t xml:space="preserve"> </w:t>
      </w:r>
      <w:r>
        <w:t xml:space="preserve">“Space Domain Awareness Sensor Scheduling with Optimality Certificates,”</w:t>
      </w:r>
      <w:r>
        <w:t xml:space="preserve"> </w:t>
      </w:r>
      <w:r>
        <w:t xml:space="preserve">Proc. Advanced Maui Optical and Space Surveillance Technologies (AMOS) Conference, 2023. doi:</w:t>
      </w:r>
      <w:r>
        <w:t xml:space="preserve"> </w:t>
      </w:r>
      <w:hyperlink r:id="rId71">
        <w:r>
          <w:rPr>
            <w:rStyle w:val="Hyperlink"/>
          </w:rPr>
          <w:t xml:space="preserve">10.64861/JLQE7584</w:t>
        </w:r>
      </w:hyperlink>
    </w:p>
    <w:p>
      <w:pPr>
        <w:pStyle w:val="BodyText"/>
      </w:pPr>
      <w:bookmarkStart w:id="72" w:name="ref-4"/>
      <w:bookmarkEnd w:id="72"/>
      <w:r>
        <w:t xml:space="preserve">4. T. A. Ely, S. Bhaskaran, N. Bradley, T. J. W. Lazio, and T. Martin-Mur,</w:t>
      </w:r>
      <w:r>
        <w:t xml:space="preserve"> </w:t>
      </w:r>
      <w:r>
        <w:t xml:space="preserve">“Comparison of Deep Space Navigation Using Optical Imaging, Pulsar Time-of-Arrival Tracking, and/or Radiometric Tracking,”</w:t>
      </w:r>
      <w:r>
        <w:t xml:space="preserve"> </w:t>
      </w:r>
      <w:r>
        <w:t xml:space="preserve">The Journal of the Astronautical Sciences, vol. 69, no. 2, pp. 385-472, 2022. doi:</w:t>
      </w:r>
      <w:r>
        <w:t xml:space="preserve"> </w:t>
      </w:r>
      <w:hyperlink r:id="rId73">
        <w:r>
          <w:rPr>
            <w:rStyle w:val="Hyperlink"/>
          </w:rPr>
          <w:t xml:space="preserve">10.1007/s40295-021-00290-z</w:t>
        </w:r>
      </w:hyperlink>
    </w:p>
    <w:bookmarkEnd w:id="74"/>
    <w:bookmarkStart w:id="75" w:name="specification"/>
    <w:p>
      <w:pPr>
        <w:pStyle w:val="Heading2"/>
      </w:pPr>
      <w:r>
        <w:t xml:space="preserve">Specification</w:t>
      </w:r>
    </w:p>
    <w:p>
      <w:pPr>
        <w:pStyle w:val="FirstParagraph"/>
      </w:pPr>
      <m:oMathPara>
        <m:oMathParaPr>
          <m:jc m:val="center"/>
        </m:oMathParaPr>
        <m:oMath>
          <m:r>
            <m:rPr>
              <m:sty m:val="p"/>
            </m:rPr>
            <m:t>ln</m:t>
          </m:r>
          <m:sSub>
            <m:e>
              <m:r>
                <m:t>E</m:t>
              </m:r>
            </m:e>
            <m:sub>
              <m:r>
                <m:t>i</m:t>
              </m:r>
            </m:sub>
          </m:sSub>
          <m:r>
            <m:rPr>
              <m:sty m:val="p"/>
            </m:rPr>
            <m:t>=</m:t>
          </m:r>
          <m:sSub>
            <m:e>
              <m:r>
                <m:t>β</m:t>
              </m:r>
            </m:e>
            <m:sub>
              <m:r>
                <m:t>0</m:t>
              </m:r>
            </m:sub>
          </m:sSub>
          <m:r>
            <m:rPr>
              <m:sty m:val="p"/>
            </m:rPr>
            <m:t>+</m:t>
          </m:r>
          <m:sSub>
            <m:e>
              <m:r>
                <m:t>β</m:t>
              </m:r>
            </m:e>
            <m:sub>
              <m:r>
                <m:t>1</m:t>
              </m:r>
            </m:sub>
          </m:sSub>
          <m:r>
            <m:rPr>
              <m:sty m:val="p"/>
            </m:rPr>
            <m:t>ln</m:t>
          </m:r>
          <m:sSub>
            <m:e>
              <m:r>
                <m:t>c</m:t>
              </m:r>
            </m:e>
            <m:sub>
              <m:r>
                <m:t>i</m:t>
              </m:r>
            </m:sub>
          </m:sSub>
          <m:r>
            <m:rPr>
              <m:sty m:val="p"/>
            </m:rPr>
            <m:t>+</m:t>
          </m:r>
          <m:sSub>
            <m:e>
              <m:r>
                <m:t>β</m:t>
              </m:r>
            </m:e>
            <m:sub>
              <m:r>
                <m:t>2</m:t>
              </m:r>
            </m:sub>
          </m:sSub>
          <m:r>
            <m:rPr>
              <m:sty m:val="p"/>
            </m:rPr>
            <m:t>ln</m:t>
          </m:r>
          <m:sSub>
            <m:e>
              <m:r>
                <m:t>d</m:t>
              </m:r>
            </m:e>
            <m:sub>
              <m:r>
                <m:t>i</m:t>
              </m:r>
            </m:sub>
          </m:sSub>
          <m:r>
            <m:rPr>
              <m:sty m:val="p"/>
            </m:rPr>
            <m:t>+</m:t>
          </m:r>
          <m:sSub>
            <m:e>
              <m:r>
                <m:t>β</m:t>
              </m:r>
            </m:e>
            <m:sub>
              <m:r>
                <m:t>3</m:t>
              </m:r>
            </m:sub>
          </m:sSub>
          <m:sSub>
            <m:e>
              <m:r>
                <m:t>I</m:t>
              </m:r>
            </m:e>
            <m:sub>
              <m:r>
                <m:t>i</m:t>
              </m:r>
            </m:sub>
          </m:sSub>
          <m:r>
            <m:rPr>
              <m:sty m:val="p"/>
            </m:rPr>
            <m:t>+</m:t>
          </m:r>
          <m:sSub>
            <m:e>
              <m:r>
                <m:t>β</m:t>
              </m:r>
            </m:e>
            <m:sub>
              <m:r>
                <m:t>4</m:t>
              </m:r>
            </m:sub>
          </m:sSub>
          <m:sSub>
            <m:e>
              <m:r>
                <m:t>O</m:t>
              </m:r>
            </m:e>
            <m:sub>
              <m:r>
                <m:t>i</m:t>
              </m:r>
            </m:sub>
          </m:sSub>
          <m:r>
            <m:rPr>
              <m:sty m:val="p"/>
            </m:rPr>
            <m:t>+</m:t>
          </m:r>
          <m:sSub>
            <m:e>
              <m:r>
                <m:t>ε</m:t>
              </m:r>
            </m:e>
            <m:sub>
              <m:r>
                <m:t>i</m:t>
              </m:r>
            </m:sub>
          </m:sSub>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-1.4136</w:t>
            </w:r>
          </w:p>
        </w:tc>
        <w:tc>
          <w:tcPr>
            <w:tcW w:w="0" w:type="auto"/>
          </w:tcPr>
          <w:p>
            <w:pPr>
              <w:spacing w:line="240" w:lineRule="auto" w:before="0" w:after="0"/>
              <w:pStyle w:val="Compact"/>
            </w:pPr>
            <w:r>
              <w:rPr>
                <w:sz w:val="20"/>
                <w:szCs w:val="20"/>
              </w:rPr>
              <w:t xml:space="preserve">1.1192</w:t>
            </w:r>
          </w:p>
        </w:tc>
        <w:tc>
          <w:tcPr>
            <w:tcW w:w="0" w:type="auto"/>
          </w:tcPr>
          <w:p>
            <w:pPr>
              <w:spacing w:line="240" w:lineRule="auto" w:before="0" w:after="0"/>
              <w:pStyle w:val="Compact"/>
            </w:pPr>
            <w:r>
              <w:rPr>
                <w:sz w:val="20"/>
                <w:szCs w:val="20"/>
              </w:rPr>
              <w:t xml:space="preserve">-1.263</w:t>
            </w:r>
          </w:p>
        </w:tc>
        <w:tc>
          <w:tcPr>
            <w:tcW w:w="0" w:type="auto"/>
          </w:tcPr>
          <w:p>
            <w:pPr>
              <w:spacing w:line="240" w:lineRule="auto" w:before="0" w:after="0"/>
              <w:pStyle w:val="Compact"/>
            </w:pPr>
            <w:r>
              <w:rPr>
                <w:sz w:val="20"/>
                <w:szCs w:val="20"/>
              </w:rPr>
              <w:t xml:space="preserve">0.2066</w:t>
            </w:r>
          </w:p>
        </w:tc>
        <w:tc>
          <w:tcPr>
            <w:tcW w:w="0" w:type="auto"/>
          </w:tcPr>
          <w:p>
            <w:pPr>
              <w:spacing w:line="240" w:lineRule="auto" w:before="0" w:after="0"/>
              <w:pStyle w:val="Compact"/>
            </w:pPr>
            <w:r>
              <w:rPr>
                <w:sz w:val="20"/>
                <w:szCs w:val="20"/>
              </w:rPr>
              <w:t xml:space="preserve">[-3.6073, 0.7801]</w:t>
            </w:r>
          </w:p>
        </w:tc>
      </w:tr>
      <w:tr>
        <w:tc>
          <w:tcPr>
            <w:tcW w:w="0" w:type="auto"/>
          </w:tcPr>
          <w:p>
            <w:pPr>
              <w:spacing w:line="240" w:lineRule="auto" w:before="0" w:after="0"/>
              <w:pStyle w:val="Compact"/>
            </w:pPr>
            <w:r>
              <w:rPr>
                <w:sz w:val="20"/>
                <w:szCs w:val="20"/>
              </w:rPr>
              <w:t xml:space="preserve">ln_cadence</w:t>
            </w:r>
          </w:p>
        </w:tc>
        <w:tc>
          <w:tcPr>
            <w:tcW w:w="0" w:type="auto"/>
          </w:tcPr>
          <w:p>
            <w:pPr>
              <w:spacing w:line="240" w:lineRule="auto" w:before="0" w:after="0"/>
              <w:pStyle w:val="Compact"/>
            </w:pPr>
            <w:r>
              <w:rPr>
                <w:sz w:val="20"/>
                <w:szCs w:val="20"/>
              </w:rPr>
              <w:t xml:space="preserve">1.4067</w:t>
            </w:r>
          </w:p>
        </w:tc>
        <w:tc>
          <w:tcPr>
            <w:tcW w:w="0" w:type="auto"/>
          </w:tcPr>
          <w:p>
            <w:pPr>
              <w:spacing w:line="240" w:lineRule="auto" w:before="0" w:after="0"/>
              <w:pStyle w:val="Compact"/>
            </w:pPr>
            <w:r>
              <w:rPr>
                <w:sz w:val="20"/>
                <w:szCs w:val="20"/>
              </w:rPr>
              <w:t xml:space="preserve">0.4682</w:t>
            </w:r>
          </w:p>
        </w:tc>
        <w:tc>
          <w:tcPr>
            <w:tcW w:w="0" w:type="auto"/>
          </w:tcPr>
          <w:p>
            <w:pPr>
              <w:spacing w:line="240" w:lineRule="auto" w:before="0" w:after="0"/>
              <w:pStyle w:val="Compact"/>
            </w:pPr>
            <w:r>
              <w:rPr>
                <w:sz w:val="20"/>
                <w:szCs w:val="20"/>
              </w:rPr>
              <w:t xml:space="preserve">3.0047</w:t>
            </w:r>
          </w:p>
        </w:tc>
        <w:tc>
          <w:tcPr>
            <w:tcW w:w="0" w:type="auto"/>
          </w:tcPr>
          <w:p>
            <w:pPr>
              <w:spacing w:line="240" w:lineRule="auto" w:before="0" w:after="0"/>
              <w:pStyle w:val="Compact"/>
            </w:pPr>
            <w:r>
              <w:rPr>
                <w:sz w:val="20"/>
                <w:szCs w:val="20"/>
              </w:rPr>
              <w:t xml:space="preserve">0.0027</w:t>
            </w:r>
          </w:p>
        </w:tc>
        <w:tc>
          <w:tcPr>
            <w:tcW w:w="0" w:type="auto"/>
          </w:tcPr>
          <w:p>
            <w:pPr>
              <w:spacing w:line="240" w:lineRule="auto" w:before="0" w:after="0"/>
              <w:pStyle w:val="Compact"/>
            </w:pPr>
            <w:r>
              <w:rPr>
                <w:sz w:val="20"/>
                <w:szCs w:val="20"/>
              </w:rPr>
              <w:t xml:space="preserve">[0.4891, 2.3243]</w:t>
            </w:r>
          </w:p>
        </w:tc>
      </w:tr>
      <w:tr>
        <w:tc>
          <w:tcPr>
            <w:tcW w:w="0" w:type="auto"/>
          </w:tcPr>
          <w:p>
            <w:pPr>
              <w:spacing w:line="240" w:lineRule="auto" w:before="0" w:after="0"/>
              <w:pStyle w:val="Compact"/>
            </w:pPr>
            <w:r>
              <w:rPr>
                <w:sz w:val="20"/>
                <w:szCs w:val="20"/>
              </w:rPr>
              <w:t xml:space="preserve">ln_dist</w:t>
            </w:r>
          </w:p>
        </w:tc>
        <w:tc>
          <w:tcPr>
            <w:tcW w:w="0" w:type="auto"/>
          </w:tcPr>
          <w:p>
            <w:pPr>
              <w:spacing w:line="240" w:lineRule="auto" w:before="0" w:after="0"/>
              <w:pStyle w:val="Compact"/>
            </w:pPr>
            <w:r>
              <w:rPr>
                <w:sz w:val="20"/>
                <w:szCs w:val="20"/>
              </w:rPr>
              <w:t xml:space="preserve">1.1817</w:t>
            </w:r>
          </w:p>
        </w:tc>
        <w:tc>
          <w:tcPr>
            <w:tcW w:w="0" w:type="auto"/>
          </w:tcPr>
          <w:p>
            <w:pPr>
              <w:spacing w:line="240" w:lineRule="auto" w:before="0" w:after="0"/>
              <w:pStyle w:val="Compact"/>
            </w:pPr>
            <w:r>
              <w:rPr>
                <w:sz w:val="20"/>
                <w:szCs w:val="20"/>
              </w:rPr>
              <w:t xml:space="preserve">0.1384</w:t>
            </w:r>
          </w:p>
        </w:tc>
        <w:tc>
          <w:tcPr>
            <w:tcW w:w="0" w:type="auto"/>
          </w:tcPr>
          <w:p>
            <w:pPr>
              <w:spacing w:line="240" w:lineRule="auto" w:before="0" w:after="0"/>
              <w:pStyle w:val="Compact"/>
            </w:pPr>
            <w:r>
              <w:rPr>
                <w:sz w:val="20"/>
                <w:szCs w:val="20"/>
              </w:rPr>
              <w:t xml:space="preserve">8.5399</w:t>
            </w:r>
          </w:p>
        </w:tc>
        <w:tc>
          <w:tcPr>
            <w:tcW w:w="0" w:type="auto"/>
          </w:tcPr>
          <w:p>
            <w:pPr>
              <w:spacing w:line="240" w:lineRule="auto" w:before="0" w:after="0"/>
              <w:pStyle w:val="Compact"/>
            </w:pPr>
            <w:r>
              <w:rPr>
                <w:sz w:val="20"/>
                <w:szCs w:val="20"/>
              </w:rPr>
              <w:t xml:space="preserve">1.343e-17</w:t>
            </w:r>
          </w:p>
        </w:tc>
        <w:tc>
          <w:tcPr>
            <w:tcW w:w="0" w:type="auto"/>
          </w:tcPr>
          <w:p>
            <w:pPr>
              <w:spacing w:line="240" w:lineRule="auto" w:before="0" w:after="0"/>
              <w:pStyle w:val="Compact"/>
            </w:pPr>
            <w:r>
              <w:rPr>
                <w:sz w:val="20"/>
                <w:szCs w:val="20"/>
              </w:rPr>
              <w:t xml:space="preserve">[0.9105, 1.4529]</w:t>
            </w:r>
          </w:p>
        </w:tc>
      </w:tr>
      <w:tr>
        <w:tc>
          <w:tcPr>
            <w:tcW w:w="0" w:type="auto"/>
          </w:tcPr>
          <w:p>
            <w:pPr>
              <w:spacing w:line="240" w:lineRule="auto" w:before="0" w:after="0"/>
              <w:pStyle w:val="Compact"/>
            </w:pPr>
            <w:r>
              <w:rPr>
                <w:sz w:val="20"/>
                <w:szCs w:val="20"/>
              </w:rPr>
              <w:t xml:space="preserve">interferometric</w:t>
            </w:r>
          </w:p>
        </w:tc>
        <w:tc>
          <w:tcPr>
            <w:tcW w:w="0" w:type="auto"/>
          </w:tcPr>
          <w:p>
            <w:pPr>
              <w:spacing w:line="240" w:lineRule="auto" w:before="0" w:after="0"/>
              <w:pStyle w:val="Compact"/>
            </w:pPr>
            <w:r>
              <w:rPr>
                <w:sz w:val="20"/>
                <w:szCs w:val="20"/>
              </w:rPr>
              <w:t xml:space="preserve">-1.1121</w:t>
            </w:r>
          </w:p>
        </w:tc>
        <w:tc>
          <w:tcPr>
            <w:tcW w:w="0" w:type="auto"/>
          </w:tcPr>
          <w:p>
            <w:pPr>
              <w:spacing w:line="240" w:lineRule="auto" w:before="0" w:after="0"/>
              <w:pStyle w:val="Compact"/>
            </w:pPr>
            <w:r>
              <w:rPr>
                <w:sz w:val="20"/>
                <w:szCs w:val="20"/>
              </w:rPr>
              <w:t xml:space="preserve">1.0429</w:t>
            </w:r>
          </w:p>
        </w:tc>
        <w:tc>
          <w:tcPr>
            <w:tcW w:w="0" w:type="auto"/>
          </w:tcPr>
          <w:p>
            <w:pPr>
              <w:spacing w:line="240" w:lineRule="auto" w:before="0" w:after="0"/>
              <w:pStyle w:val="Compact"/>
            </w:pPr>
            <w:r>
              <w:rPr>
                <w:sz w:val="20"/>
                <w:szCs w:val="20"/>
              </w:rPr>
              <w:t xml:space="preserve">-1.0663</w:t>
            </w:r>
          </w:p>
        </w:tc>
        <w:tc>
          <w:tcPr>
            <w:tcW w:w="0" w:type="auto"/>
          </w:tcPr>
          <w:p>
            <w:pPr>
              <w:spacing w:line="240" w:lineRule="auto" w:before="0" w:after="0"/>
              <w:pStyle w:val="Compact"/>
            </w:pPr>
            <w:r>
              <w:rPr>
                <w:sz w:val="20"/>
                <w:szCs w:val="20"/>
              </w:rPr>
              <w:t xml:space="preserve">0.2863</w:t>
            </w:r>
          </w:p>
        </w:tc>
        <w:tc>
          <w:tcPr>
            <w:tcW w:w="0" w:type="auto"/>
          </w:tcPr>
          <w:p>
            <w:pPr>
              <w:spacing w:line="240" w:lineRule="auto" w:before="0" w:after="0"/>
              <w:pStyle w:val="Compact"/>
            </w:pPr>
            <w:r>
              <w:rPr>
                <w:sz w:val="20"/>
                <w:szCs w:val="20"/>
              </w:rPr>
              <w:t xml:space="preserve">[-3.156, 0.9319]</w:t>
            </w:r>
          </w:p>
        </w:tc>
      </w:tr>
      <w:tr>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-6.8564</w:t>
            </w:r>
          </w:p>
        </w:tc>
        <w:tc>
          <w:tcPr>
            <w:tcW w:w="0" w:type="auto"/>
          </w:tcPr>
          <w:p>
            <w:pPr>
              <w:spacing w:line="240" w:lineRule="auto" w:before="0" w:after="0"/>
              <w:pStyle w:val="Compact"/>
            </w:pPr>
            <w:r>
              <w:rPr>
                <w:sz w:val="20"/>
                <w:szCs w:val="20"/>
              </w:rPr>
              <w:t xml:space="preserve">2.1762</w:t>
            </w:r>
          </w:p>
        </w:tc>
        <w:tc>
          <w:tcPr>
            <w:tcW w:w="0" w:type="auto"/>
          </w:tcPr>
          <w:p>
            <w:pPr>
              <w:spacing w:line="240" w:lineRule="auto" w:before="0" w:after="0"/>
              <w:pStyle w:val="Compact"/>
            </w:pPr>
            <w:r>
              <w:rPr>
                <w:sz w:val="20"/>
                <w:szCs w:val="20"/>
              </w:rPr>
              <w:t xml:space="preserve">-3.1506</w:t>
            </w:r>
          </w:p>
        </w:tc>
        <w:tc>
          <w:tcPr>
            <w:tcW w:w="0" w:type="auto"/>
          </w:tcPr>
          <w:p>
            <w:pPr>
              <w:spacing w:line="240" w:lineRule="auto" w:before="0" w:after="0"/>
              <w:pStyle w:val="Compact"/>
            </w:pPr>
            <w:r>
              <w:rPr>
                <w:sz w:val="20"/>
                <w:szCs w:val="20"/>
              </w:rPr>
              <w:t xml:space="preserve">0.0016</w:t>
            </w:r>
          </w:p>
        </w:tc>
        <w:tc>
          <w:tcPr>
            <w:tcW w:w="0" w:type="auto"/>
          </w:tcPr>
          <w:p>
            <w:pPr>
              <w:spacing w:line="240" w:lineRule="auto" w:before="0" w:after="0"/>
              <w:pStyle w:val="Compact"/>
            </w:pPr>
            <w:r>
              <w:rPr>
                <w:sz w:val="20"/>
                <w:szCs w:val="20"/>
              </w:rPr>
              <w:t xml:space="preserve">[-11.1218, -2.5911]</w:t>
            </w:r>
          </w:p>
        </w:tc>
      </w:tr>
    </w:tbl>
    <w:p>
      <w:pPr>
        <w:pStyle w:val="BodyText"/>
      </w:pPr>
      <w:r>
        <w:t xml:space="preserve">Fit: N = 24 R2 = 0.694 R2_adj = 0.6296 F = 26.4211 F_p = 1.566e-07</w:t>
      </w:r>
    </w:p>
    <w:p>
      <w:pPr>
        <w:pStyle w:val="CaptionedFigure"/>
      </w:pPr>
      <w:r>
        <w:drawing>
          <wp:inline>
            <wp:extent cx="5669280" cy="3657600"/>
            <wp:effectExtent b="0" l="0" r="0" t="0"/>
            <wp:docPr descr="Figure 1. Delivered navigation error against tracking cadence on log-log axes across 24 documented deep-space navigation operating points. The fitted line is the bivariate projection; the paper’s reported coefficient on ln(cadence) is the partial effect estimated with distance regime and measurement type held fixed." title="" id="77" name="Picture"/>
            <a:graphic>
              <a:graphicData uri="http://schemas.openxmlformats.org/drawingml/2006/picture">
                <pic:pic>
                  <pic:nvPicPr>
                    <pic:cNvPr descr="D:\Claude_Code\brain\collegium\candidates\dissertations\JPL_ASTRO_EARTH_07\research_papers\p2\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Delivered navigation error against tracking cadence on log-log axes across 24 documented deep-space navigation operating points. The fitted line is the bivariate projection; the paper’s reported coefficient on ln(cadence) is the partial effect estimated with distance regime and measurement type held fixed.</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study</w:t>
            </w:r>
          </w:p>
        </w:tc>
        <w:tc>
          <w:tcPr>
            <w:tcW w:w="0" w:type="auto"/>
          </w:tcPr>
          <w:p>
            <w:pPr>
              <w:spacing w:line="240" w:lineRule="auto" w:before="0" w:after="0"/>
              <w:pStyle w:val="Compact"/>
            </w:pPr>
            <w:r>
              <w:rPr>
                <w:sz w:val="20"/>
                <w:szCs w:val="20"/>
              </w:rPr>
              <w:t xml:space="preserve">scenario</w:t>
            </w:r>
          </w:p>
        </w:tc>
        <w:tc>
          <w:tcPr>
            <w:tcW w:w="0" w:type="auto"/>
          </w:tcPr>
          <w:p>
            <w:pPr>
              <w:spacing w:line="240" w:lineRule="auto" w:before="0" w:after="0"/>
              <w:pStyle w:val="Compact"/>
            </w:pPr>
            <w:r>
              <w:rPr>
                <w:sz w:val="20"/>
                <w:szCs w:val="20"/>
              </w:rPr>
              <w:t xml:space="preserve">cadence_per_week</w:t>
            </w:r>
          </w:p>
        </w:tc>
        <w:tc>
          <w:tcPr>
            <w:tcW w:w="0" w:type="auto"/>
          </w:tcPr>
          <w:p>
            <w:pPr>
              <w:spacing w:line="240" w:lineRule="auto" w:before="0" w:after="0"/>
              <w:pStyle w:val="Compact"/>
            </w:pPr>
            <w:r>
              <w:rPr>
                <w:sz w:val="20"/>
                <w:szCs w:val="20"/>
              </w:rPr>
              <w:t xml:space="preserve">track_hours_week</w:t>
            </w:r>
          </w:p>
        </w:tc>
        <w:tc>
          <w:tcPr>
            <w:tcW w:w="0" w:type="auto"/>
          </w:tcPr>
          <w:p>
            <w:pPr>
              <w:spacing w:line="240" w:lineRule="auto" w:before="0" w:after="0"/>
              <w:pStyle w:val="Compact"/>
            </w:pPr>
            <w:r>
              <w:rPr>
                <w:sz w:val="20"/>
                <w:szCs w:val="20"/>
              </w:rPr>
              <w:t xml:space="preserve">interferometric</w:t>
            </w:r>
          </w:p>
        </w:tc>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dist_au</w:t>
            </w:r>
          </w:p>
        </w:tc>
        <w:tc>
          <w:tcPr>
            <w:tcW w:w="0" w:type="auto"/>
          </w:tcPr>
          <w:p>
            <w:pPr>
              <w:spacing w:line="240" w:lineRule="auto" w:before="0" w:after="0"/>
              <w:pStyle w:val="Compact"/>
            </w:pPr>
            <w:r>
              <w:rPr>
                <w:sz w:val="20"/>
                <w:szCs w:val="20"/>
              </w:rPr>
              <w:t xml:space="preserve">err_km</w:t>
            </w:r>
          </w:p>
        </w:tc>
        <w:tc>
          <w:tcPr>
            <w:tcW w:w="0" w:type="auto"/>
          </w:tcPr>
          <w:p>
            <w:pPr>
              <w:spacing w:line="240" w:lineRule="auto" w:before="0" w:after="0"/>
              <w:pStyle w:val="Compact"/>
            </w:pPr>
            <w:r>
              <w:rPr>
                <w:sz w:val="20"/>
                <w:szCs w:val="20"/>
              </w:rPr>
              <w:t xml:space="preserve">ln_err</w:t>
            </w:r>
          </w:p>
        </w:tc>
        <w:tc>
          <w:tcPr>
            <w:tcW w:w="0" w:type="auto"/>
          </w:tcPr>
          <w:p>
            <w:pPr>
              <w:spacing w:line="240" w:lineRule="auto" w:before="0" w:after="0"/>
              <w:pStyle w:val="Compact"/>
            </w:pPr>
            <w:r>
              <w:rPr>
                <w:sz w:val="20"/>
                <w:szCs w:val="20"/>
              </w:rPr>
              <w:t xml:space="preserve">ln_cadence</w:t>
            </w:r>
          </w:p>
        </w:tc>
        <w:tc>
          <w:tcPr>
            <w:tcW w:w="0" w:type="auto"/>
          </w:tcPr>
          <w:p>
            <w:pPr>
              <w:spacing w:line="240" w:lineRule="auto" w:before="0" w:after="0"/>
              <w:pStyle w:val="Compact"/>
            </w:pPr>
            <w:r>
              <w:rPr>
                <w:sz w:val="20"/>
                <w:szCs w:val="20"/>
              </w:rPr>
              <w:t xml:space="preserve">ln_dist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DSN-SmallSat</w:t>
            </w:r>
          </w:p>
        </w:tc>
        <w:tc>
          <w:tcPr>
            <w:tcW w:w="0" w:type="auto"/>
          </w:tcPr>
          <w:p>
            <w:pPr>
              <w:spacing w:line="240" w:lineRule="auto" w:before="0" w:after="0"/>
              <w:pStyle w:val="Compact"/>
            </w:pPr>
            <w:r>
              <w:rPr>
                <w:sz w:val="20"/>
                <w:szCs w:val="20"/>
              </w:rPr>
              <w:t xml:space="preserve">Full-arc 24h/day X/Ka-band Doppler+range</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Ely T., Bhaskaran S. et al., SmallSat Navigation via the Deep Space Network: Inner Solar System Missions, AAS 18-xxx, 2018 (24h full-arc DSN tracking -&gt; 50 m OD accuracy)</w:t>
            </w:r>
          </w:p>
        </w:tc>
      </w:tr>
      <w:tr>
        <w:tc>
          <w:tcPr>
            <w:tcW w:w="0" w:type="auto"/>
          </w:tcPr>
          <w:p>
            <w:pPr>
              <w:spacing w:line="240" w:lineRule="auto" w:before="0" w:after="0"/>
              <w:pStyle w:val="Compact"/>
            </w:pPr>
            <w:r>
              <w:rPr>
                <w:sz w:val="20"/>
                <w:szCs w:val="20"/>
              </w:rPr>
              <w:t xml:space="preserve">DSN-SmallSat</w:t>
            </w:r>
          </w:p>
        </w:tc>
        <w:tc>
          <w:tcPr>
            <w:tcW w:w="0" w:type="auto"/>
          </w:tcPr>
          <w:p>
            <w:pPr>
              <w:spacing w:line="240" w:lineRule="auto" w:before="0" w:after="0"/>
              <w:pStyle w:val="Compact"/>
            </w:pPr>
            <w:r>
              <w:rPr>
                <w:sz w:val="20"/>
                <w:szCs w:val="20"/>
              </w:rPr>
              <w:t xml:space="preserve">4 hours per day X/Ka-band Doppler+range</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-0.7985</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Ely T., Bhaskaran S. et al., SmallSat Navigation via the Deep Space Network: Inner Solar System Missions, AAS 18-xxx, 2018 (4h/day DSN -&gt; 400-500 m OD accuracy)</w:t>
            </w:r>
          </w:p>
        </w:tc>
      </w:tr>
      <w:tr>
        <w:tc>
          <w:tcPr>
            <w:tcW w:w="0" w:type="auto"/>
          </w:tcPr>
          <w:p>
            <w:pPr>
              <w:spacing w:line="240" w:lineRule="auto" w:before="0" w:after="0"/>
              <w:pStyle w:val="Compact"/>
            </w:pPr>
            <w:r>
              <w:rPr>
                <w:sz w:val="20"/>
                <w:szCs w:val="20"/>
              </w:rPr>
              <w:t xml:space="preserve">DSN-SmallSat</w:t>
            </w:r>
          </w:p>
        </w:tc>
        <w:tc>
          <w:tcPr>
            <w:tcW w:w="0" w:type="auto"/>
          </w:tcPr>
          <w:p>
            <w:pPr>
              <w:spacing w:line="240" w:lineRule="auto" w:before="0" w:after="0"/>
              <w:pStyle w:val="Compact"/>
            </w:pPr>
            <w:r>
              <w:rPr>
                <w:sz w:val="20"/>
                <w:szCs w:val="20"/>
              </w:rPr>
              <w:t xml:space="preserve">2 hours per day X/Ka-band Doppler+range</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1.9459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Ely T., Bhaskaran S. et al., SmallSat Navigation via the Deep Space Network: Inner Solar System Missions, AAS 18-xxx, 2018 (2h/day DSN -&gt; 2 km, 0.2 cm/s)</w:t>
            </w:r>
          </w:p>
        </w:tc>
      </w:tr>
      <w:tr>
        <w:tc>
          <w:tcPr>
            <w:tcW w:w="0" w:type="auto"/>
          </w:tcPr>
          <w:p>
            <w:pPr>
              <w:spacing w:line="240" w:lineRule="auto" w:before="0" w:after="0"/>
              <w:pStyle w:val="Compact"/>
            </w:pPr>
            <w:r>
              <w:rPr>
                <w:sz w:val="20"/>
                <w:szCs w:val="20"/>
              </w:rPr>
              <w:t xml:space="preserve">Ely2022-Optical</w:t>
            </w:r>
          </w:p>
        </w:tc>
        <w:tc>
          <w:tcPr>
            <w:tcW w:w="0" w:type="auto"/>
          </w:tcPr>
          <w:p>
            <w:pPr>
              <w:spacing w:line="240" w:lineRule="auto" w:before="0" w:after="0"/>
              <w:pStyle w:val="Compact"/>
            </w:pPr>
            <w:r>
              <w:rPr>
                <w:sz w:val="20"/>
                <w:szCs w:val="20"/>
              </w:rPr>
              <w:t xml:space="preserve">Mars-distance OpNav 1440 images/day high-end camera</w:t>
            </w:r>
          </w:p>
        </w:tc>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3.8501</w:t>
            </w:r>
          </w:p>
        </w:tc>
        <w:tc>
          <w:tcPr>
            <w:tcW w:w="0" w:type="auto"/>
          </w:tcPr>
          <w:p>
            <w:pPr>
              <w:spacing w:line="240" w:lineRule="auto" w:before="0" w:after="0"/>
              <w:pStyle w:val="Compact"/>
            </w:pPr>
            <w:r>
              <w:rPr>
                <w:sz w:val="20"/>
                <w:szCs w:val="20"/>
              </w:rPr>
              <w:t xml:space="preserve">7.2724</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Ely T., Bhaskaran S., Bradley N., Lazio T.J.W., Martin-Mur T., Comparison of Deep Space Navigation Using Optical Imaging, Pulsar TOA Tracking, and/or Radiometric Tracking, J. Astronaut. Sci. 69(2):385-472, 2022, doi:10.1007/s40295-021-00290-z (sigma ~47 km, 1.5 AU)</w:t>
            </w:r>
          </w:p>
        </w:tc>
      </w:tr>
      <w:tr>
        <w:tc>
          <w:tcPr>
            <w:tcW w:w="0" w:type="auto"/>
          </w:tcPr>
          <w:p>
            <w:pPr>
              <w:spacing w:line="240" w:lineRule="auto" w:before="0" w:after="0"/>
              <w:pStyle w:val="Compact"/>
            </w:pPr>
            <w:r>
              <w:rPr>
                <w:sz w:val="20"/>
                <w:szCs w:val="20"/>
              </w:rPr>
              <w:t xml:space="preserve">Ely2022-Optical</w:t>
            </w:r>
          </w:p>
        </w:tc>
        <w:tc>
          <w:tcPr>
            <w:tcW w:w="0" w:type="auto"/>
          </w:tcPr>
          <w:p>
            <w:pPr>
              <w:spacing w:line="240" w:lineRule="auto" w:before="0" w:after="0"/>
              <w:pStyle w:val="Compact"/>
            </w:pPr>
            <w:r>
              <w:rPr>
                <w:sz w:val="20"/>
                <w:szCs w:val="20"/>
              </w:rPr>
              <w:t xml:space="preserve">Neptune-distance OpNav 1440 images/day high-end camera</w:t>
            </w:r>
          </w:p>
        </w:tc>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2621</w:t>
            </w:r>
          </w:p>
        </w:tc>
        <w:tc>
          <w:tcPr>
            <w:tcW w:w="0" w:type="auto"/>
          </w:tcPr>
          <w:p>
            <w:pPr>
              <w:spacing w:line="240" w:lineRule="auto" w:before="0" w:after="0"/>
              <w:pStyle w:val="Compact"/>
            </w:pPr>
            <w:r>
              <w:rPr>
                <w:sz w:val="20"/>
                <w:szCs w:val="20"/>
              </w:rPr>
              <w:t xml:space="preserve">7.8713</w:t>
            </w:r>
          </w:p>
        </w:tc>
        <w:tc>
          <w:tcPr>
            <w:tcW w:w="0" w:type="auto"/>
          </w:tcPr>
          <w:p>
            <w:pPr>
              <w:spacing w:line="240" w:lineRule="auto" w:before="0" w:after="0"/>
              <w:pStyle w:val="Compact"/>
            </w:pPr>
            <w:r>
              <w:rPr>
                <w:sz w:val="20"/>
                <w:szCs w:val="20"/>
              </w:rPr>
              <w:t xml:space="preserve">7.2724</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Ely T. et al., J. Astronaut. Sci. 69(2):385-472, 2022, doi:10.1007/s40295-021-00290-z (sigma ~2621 km, 30 AU)</w:t>
            </w:r>
          </w:p>
        </w:tc>
      </w:tr>
      <w:tr>
        <w:tc>
          <w:tcPr>
            <w:tcW w:w="0" w:type="auto"/>
          </w:tcPr>
          <w:p>
            <w:pPr>
              <w:spacing w:line="240" w:lineRule="auto" w:before="0" w:after="0"/>
              <w:pStyle w:val="Compact"/>
            </w:pPr>
            <w:r>
              <w:rPr>
                <w:sz w:val="20"/>
                <w:szCs w:val="20"/>
              </w:rPr>
              <w:t xml:space="preserve">Ely2022-Pulsar8</w:t>
            </w:r>
          </w:p>
        </w:tc>
        <w:tc>
          <w:tcPr>
            <w:tcW w:w="0" w:type="auto"/>
          </w:tcPr>
          <w:p>
            <w:pPr>
              <w:spacing w:line="240" w:lineRule="auto" w:before="0" w:after="0"/>
              <w:pStyle w:val="Compact"/>
            </w:pPr>
            <w:r>
              <w:rPr>
                <w:sz w:val="20"/>
                <w:szCs w:val="20"/>
              </w:rPr>
              <w:t xml:space="preserve">Mars-distance 8-pulsar X-ray TOA 3h integration</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4.2767</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Ely T. et al., J. Astronaut. Sci. 69(2):385-472, 2022, doi:10.1007/s40295-021-00290-z (sigma ~72 km, 8 pulsars, 1.5 AU)</w:t>
            </w:r>
          </w:p>
        </w:tc>
      </w:tr>
      <w:tr>
        <w:tc>
          <w:tcPr>
            <w:tcW w:w="0" w:type="auto"/>
          </w:tcPr>
          <w:p>
            <w:pPr>
              <w:spacing w:line="240" w:lineRule="auto" w:before="0" w:after="0"/>
              <w:pStyle w:val="Compact"/>
            </w:pPr>
            <w:r>
              <w:rPr>
                <w:sz w:val="20"/>
                <w:szCs w:val="20"/>
              </w:rPr>
              <w:t xml:space="preserve">Ely2022-Pulsar8</w:t>
            </w:r>
          </w:p>
        </w:tc>
        <w:tc>
          <w:tcPr>
            <w:tcW w:w="0" w:type="auto"/>
          </w:tcPr>
          <w:p>
            <w:pPr>
              <w:spacing w:line="240" w:lineRule="auto" w:before="0" w:after="0"/>
              <w:pStyle w:val="Compact"/>
            </w:pPr>
            <w:r>
              <w:rPr>
                <w:sz w:val="20"/>
                <w:szCs w:val="20"/>
              </w:rPr>
              <w:t xml:space="preserve">Neptune-distance 8-pulsar X-ray TOA 3h integration</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1310</w:t>
            </w:r>
          </w:p>
        </w:tc>
        <w:tc>
          <w:tcPr>
            <w:tcW w:w="0" w:type="auto"/>
          </w:tcPr>
          <w:p>
            <w:pPr>
              <w:spacing w:line="240" w:lineRule="auto" w:before="0" w:after="0"/>
              <w:pStyle w:val="Compact"/>
            </w:pPr>
            <w:r>
              <w:rPr>
                <w:sz w:val="20"/>
                <w:szCs w:val="20"/>
              </w:rPr>
              <w:t xml:space="preserve">7.1778</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Ely T. et al., J. Astronaut. Sci. 69(2):385-472, 2022, doi:10.1007/s40295-021-00290-z (sigma ~1310 km, 8 pulsars, 30 AU)</w:t>
            </w:r>
          </w:p>
        </w:tc>
      </w:tr>
      <w:tr>
        <w:tc>
          <w:tcPr>
            <w:tcW w:w="0" w:type="auto"/>
          </w:tcPr>
          <w:p>
            <w:pPr>
              <w:spacing w:line="240" w:lineRule="auto" w:before="0" w:after="0"/>
              <w:pStyle w:val="Compact"/>
            </w:pPr>
            <w:r>
              <w:rPr>
                <w:sz w:val="20"/>
                <w:szCs w:val="20"/>
              </w:rPr>
              <w:t xml:space="preserve">Ely2022-Pulsar4</w:t>
            </w:r>
          </w:p>
        </w:tc>
        <w:tc>
          <w:tcPr>
            <w:tcW w:w="0" w:type="auto"/>
          </w:tcPr>
          <w:p>
            <w:pPr>
              <w:spacing w:line="240" w:lineRule="auto" w:before="0" w:after="0"/>
              <w:pStyle w:val="Compact"/>
            </w:pPr>
            <w:r>
              <w:rPr>
                <w:sz w:val="20"/>
                <w:szCs w:val="20"/>
              </w:rPr>
              <w:t xml:space="preserve">Mars-distance best-4-pulsar X-ray TOA</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Ely T. et al., J. Astronaut. Sci. 69(2):385-472, 2022, doi:10.1007/s40295-021-00290-z (sigma ~21 km, best 4 pulsars, 1.5 AU)</w:t>
            </w:r>
          </w:p>
        </w:tc>
      </w:tr>
      <w:tr>
        <w:tc>
          <w:tcPr>
            <w:tcW w:w="0" w:type="auto"/>
          </w:tcPr>
          <w:p>
            <w:pPr>
              <w:spacing w:line="240" w:lineRule="auto" w:before="0" w:after="0"/>
              <w:pStyle w:val="Compact"/>
            </w:pPr>
            <w:r>
              <w:rPr>
                <w:sz w:val="20"/>
                <w:szCs w:val="20"/>
              </w:rPr>
              <w:t xml:space="preserve">Ely2022-Pulsar4</w:t>
            </w:r>
          </w:p>
        </w:tc>
        <w:tc>
          <w:tcPr>
            <w:tcW w:w="0" w:type="auto"/>
          </w:tcPr>
          <w:p>
            <w:pPr>
              <w:spacing w:line="240" w:lineRule="auto" w:before="0" w:after="0"/>
              <w:pStyle w:val="Compact"/>
            </w:pPr>
            <w:r>
              <w:rPr>
                <w:sz w:val="20"/>
                <w:szCs w:val="20"/>
              </w:rPr>
              <w:t xml:space="preserve">Neptune-distance best-4-pulsar X-ray TOA</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Ely T. et al., J. Astronaut. Sci. 69(2):385-472, 2022, doi:10.1007/s40295-021-00290-z (sigma ~34 km, best 4 pulsars, 30 AU)</w:t>
            </w:r>
          </w:p>
        </w:tc>
      </w:tr>
      <w:tr>
        <w:tc>
          <w:tcPr>
            <w:tcW w:w="0" w:type="auto"/>
          </w:tcPr>
          <w:p>
            <w:pPr>
              <w:spacing w:line="240" w:lineRule="auto" w:before="0" w:after="0"/>
              <w:pStyle w:val="Compact"/>
            </w:pPr>
            <w:r>
              <w:rPr>
                <w:sz w:val="20"/>
                <w:szCs w:val="20"/>
              </w:rPr>
              <w:t xml:space="preserve">Ely2022-Interfer</w:t>
            </w:r>
          </w:p>
        </w:tc>
        <w:tc>
          <w:tcPr>
            <w:tcW w:w="0" w:type="auto"/>
          </w:tcPr>
          <w:p>
            <w:pPr>
              <w:spacing w:line="240" w:lineRule="auto" w:before="0" w:after="0"/>
              <w:pStyle w:val="Compact"/>
            </w:pPr>
            <w:r>
              <w:rPr>
                <w:sz w:val="20"/>
                <w:szCs w:val="20"/>
              </w:rPr>
              <w:t xml:space="preserve">Mars-distance interferometric 4 km/AU rule</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Ely T. et al., J. Astronaut. Sci. 69(2):385-472, 2022, doi:10.1007/s40295-021-00290-z (interferometric ~4 km/AU; 1.5 AU -&gt; 6.0 km)</w:t>
            </w:r>
          </w:p>
        </w:tc>
      </w:tr>
      <w:tr>
        <w:tc>
          <w:tcPr>
            <w:tcW w:w="0" w:type="auto"/>
          </w:tcPr>
          <w:p>
            <w:pPr>
              <w:spacing w:line="240" w:lineRule="auto" w:before="0" w:after="0"/>
              <w:pStyle w:val="Compact"/>
            </w:pPr>
            <w:r>
              <w:rPr>
                <w:sz w:val="20"/>
                <w:szCs w:val="20"/>
              </w:rPr>
              <w:t xml:space="preserve">Ely2022-Interfer</w:t>
            </w:r>
          </w:p>
        </w:tc>
        <w:tc>
          <w:tcPr>
            <w:tcW w:w="0" w:type="auto"/>
          </w:tcPr>
          <w:p>
            <w:pPr>
              <w:spacing w:line="240" w:lineRule="auto" w:before="0" w:after="0"/>
              <w:pStyle w:val="Compact"/>
            </w:pPr>
            <w:r>
              <w:rPr>
                <w:sz w:val="20"/>
                <w:szCs w:val="20"/>
              </w:rPr>
              <w:t xml:space="preserve">Earth-distance interferometric 4 km/AU rule</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Ely T. et al., J. Astronaut. Sci. 69(2):385-472, 2022, doi:10.1007/s40295-021-00290-z (interferometric ~4 km/AU; 1.0 AU -&gt; 4.0 km)</w:t>
            </w:r>
          </w:p>
        </w:tc>
      </w:tr>
      <w:tr>
        <w:tc>
          <w:tcPr>
            <w:tcW w:w="0" w:type="auto"/>
          </w:tcPr>
          <w:p>
            <w:pPr>
              <w:spacing w:line="240" w:lineRule="auto" w:before="0" w:after="0"/>
              <w:pStyle w:val="Compact"/>
            </w:pPr>
            <w:r>
              <w:rPr>
                <w:sz w:val="20"/>
                <w:szCs w:val="20"/>
              </w:rPr>
              <w:t xml:space="preserve">Ely2022-Interfer</w:t>
            </w:r>
          </w:p>
        </w:tc>
        <w:tc>
          <w:tcPr>
            <w:tcW w:w="0" w:type="auto"/>
          </w:tcPr>
          <w:p>
            <w:pPr>
              <w:spacing w:line="240" w:lineRule="auto" w:before="0" w:after="0"/>
              <w:pStyle w:val="Compact"/>
            </w:pPr>
            <w:r>
              <w:rPr>
                <w:sz w:val="20"/>
                <w:szCs w:val="20"/>
              </w:rPr>
              <w:t xml:space="preserve">Jupiter-distance interferometric 4 km/AU rule</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20.8</w:t>
            </w:r>
          </w:p>
        </w:tc>
        <w:tc>
          <w:tcPr>
            <w:tcW w:w="0" w:type="auto"/>
          </w:tcPr>
          <w:p>
            <w:pPr>
              <w:spacing w:line="240" w:lineRule="auto" w:before="0" w:after="0"/>
              <w:pStyle w:val="Compact"/>
            </w:pPr>
            <w:r>
              <w:rPr>
                <w:sz w:val="20"/>
                <w:szCs w:val="20"/>
              </w:rPr>
              <w:t xml:space="preserve">3.035</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Ely T. et al., J. Astronaut. Sci. 69(2):385-472, 2022, doi:10.1007/s40295-021-00290-z (interferometric ~4 km/AU; 5.2 AU -&gt; 20.8 km)</w:t>
            </w:r>
          </w:p>
        </w:tc>
      </w:tr>
      <w:tr>
        <w:tc>
          <w:tcPr>
            <w:tcW w:w="0" w:type="auto"/>
          </w:tcPr>
          <w:p>
            <w:pPr>
              <w:spacing w:line="240" w:lineRule="auto" w:before="0" w:after="0"/>
              <w:pStyle w:val="Compact"/>
            </w:pPr>
            <w:r>
              <w:rPr>
                <w:sz w:val="20"/>
                <w:szCs w:val="20"/>
              </w:rPr>
              <w:t xml:space="preserve">Ely2022-Interfer</w:t>
            </w:r>
          </w:p>
        </w:tc>
        <w:tc>
          <w:tcPr>
            <w:tcW w:w="0" w:type="auto"/>
          </w:tcPr>
          <w:p>
            <w:pPr>
              <w:spacing w:line="240" w:lineRule="auto" w:before="0" w:after="0"/>
              <w:pStyle w:val="Compact"/>
            </w:pPr>
            <w:r>
              <w:rPr>
                <w:sz w:val="20"/>
                <w:szCs w:val="20"/>
              </w:rPr>
              <w:t xml:space="preserve">Saturn-distance interferometric 4 km/AU rule</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3.6376</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2.2513</w:t>
            </w:r>
          </w:p>
        </w:tc>
        <w:tc>
          <w:tcPr>
            <w:tcW w:w="0" w:type="auto"/>
          </w:tcPr>
          <w:p>
            <w:pPr>
              <w:spacing w:line="240" w:lineRule="auto" w:before="0" w:after="0"/>
              <w:pStyle w:val="Compact"/>
            </w:pPr>
            <w:r>
              <w:rPr>
                <w:sz w:val="20"/>
                <w:szCs w:val="20"/>
              </w:rPr>
              <w:t xml:space="preserve">Ely T. et al., J. Astronaut. Sci. 69(2):385-472, 2022, doi:10.1007/s40295-021-00290-z (interferometric ~4 km/AU; 9.5 AU -&gt; 38.0 km)</w:t>
            </w:r>
          </w:p>
        </w:tc>
      </w:tr>
      <w:tr>
        <w:tc>
          <w:tcPr>
            <w:tcW w:w="0" w:type="auto"/>
          </w:tcPr>
          <w:p>
            <w:pPr>
              <w:spacing w:line="240" w:lineRule="auto" w:before="0" w:after="0"/>
              <w:pStyle w:val="Compact"/>
            </w:pPr>
            <w:r>
              <w:rPr>
                <w:sz w:val="20"/>
                <w:szCs w:val="20"/>
              </w:rPr>
              <w:t xml:space="preserve">Ely2022-Interfer</w:t>
            </w:r>
          </w:p>
        </w:tc>
        <w:tc>
          <w:tcPr>
            <w:tcW w:w="0" w:type="auto"/>
          </w:tcPr>
          <w:p>
            <w:pPr>
              <w:spacing w:line="240" w:lineRule="auto" w:before="0" w:after="0"/>
              <w:pStyle w:val="Compact"/>
            </w:pPr>
            <w:r>
              <w:rPr>
                <w:sz w:val="20"/>
                <w:szCs w:val="20"/>
              </w:rPr>
              <w:t xml:space="preserve">Neptune-distance interferometric 4 km/AU rule</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4.7875</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Ely T. et al., J. Astronaut. Sci. 69(2):385-472, 2022, doi:10.1007/s40295-021-00290-z (interferometric ~4 km/AU; 30 AU -&gt; 120 km)</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Bennu orbital phase radiometric+OpNav dense cadence</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0.0003</w:t>
            </w:r>
          </w:p>
        </w:tc>
        <w:tc>
          <w:tcPr>
            <w:tcW w:w="0" w:type="auto"/>
          </w:tcPr>
          <w:p>
            <w:pPr>
              <w:spacing w:line="240" w:lineRule="auto" w:before="0" w:after="0"/>
              <w:pStyle w:val="Compact"/>
            </w:pPr>
            <w:r>
              <w:rPr>
                <w:sz w:val="20"/>
                <w:szCs w:val="20"/>
              </w:rPr>
              <w:t xml:space="preserve">-8.1117</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0.0953</w:t>
            </w:r>
          </w:p>
        </w:tc>
        <w:tc>
          <w:tcPr>
            <w:tcW w:w="0" w:type="auto"/>
          </w:tcPr>
          <w:p>
            <w:pPr>
              <w:spacing w:line="240" w:lineRule="auto" w:before="0" w:after="0"/>
              <w:pStyle w:val="Compact"/>
            </w:pPr>
            <w:r>
              <w:rPr>
                <w:sz w:val="20"/>
                <w:szCs w:val="20"/>
              </w:rPr>
              <w:t xml:space="preserve">Leonard J.M. et al., OSIRIS-REx Proximity Operations and Navigation Performance at Bennu, NTRS 20210025471, 2022 (reconstructed trajectory consistent to tens of cm in orbital phase)</w:t>
            </w:r>
          </w:p>
        </w:tc>
      </w:tr>
      <w:tr>
        <w:tc>
          <w:tcPr>
            <w:tcW w:w="0" w:type="auto"/>
          </w:tcPr>
          <w:p>
            <w:pPr>
              <w:spacing w:line="240" w:lineRule="auto" w:before="0" w:after="0"/>
              <w:pStyle w:val="Compact"/>
            </w:pPr>
            <w:r>
              <w:rPr>
                <w:sz w:val="20"/>
                <w:szCs w:val="20"/>
              </w:rPr>
              <w:t xml:space="preserve">Dawn-Ceres</w:t>
            </w:r>
          </w:p>
        </w:tc>
        <w:tc>
          <w:tcPr>
            <w:tcW w:w="0" w:type="auto"/>
          </w:tcPr>
          <w:p>
            <w:pPr>
              <w:spacing w:line="240" w:lineRule="auto" w:before="0" w:after="0"/>
              <w:pStyle w:val="Compact"/>
            </w:pPr>
            <w:r>
              <w:rPr>
                <w:sz w:val="20"/>
                <w:szCs w:val="20"/>
              </w:rPr>
              <w:t xml:space="preserve">Ceres orbital radiometric Doppler+range+OpNav</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0.06</w:t>
            </w:r>
          </w:p>
        </w:tc>
        <w:tc>
          <w:tcPr>
            <w:tcW w:w="0" w:type="auto"/>
          </w:tcPr>
          <w:p>
            <w:pPr>
              <w:spacing w:line="240" w:lineRule="auto" w:before="0" w:after="0"/>
              <w:pStyle w:val="Compact"/>
            </w:pPr>
            <w:r>
              <w:rPr>
                <w:sz w:val="20"/>
                <w:szCs w:val="20"/>
              </w:rPr>
              <w:t xml:space="preserve">-2.8134</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1.0296</w:t>
            </w:r>
          </w:p>
        </w:tc>
        <w:tc>
          <w:tcPr>
            <w:tcW w:w="0" w:type="auto"/>
          </w:tcPr>
          <w:p>
            <w:pPr>
              <w:spacing w:line="240" w:lineRule="auto" w:before="0" w:after="0"/>
              <w:pStyle w:val="Compact"/>
            </w:pPr>
            <w:r>
              <w:rPr>
                <w:sz w:val="20"/>
                <w:szCs w:val="20"/>
              </w:rPr>
              <w:t xml:space="preserve">Konopliv A.S. et al., The Ceres gravity field, spin pole, rotation period and orbit from the Dawn radiometric tracking and optical data, Icarus 299:411-429, 2018, doi:10.1016/j.icarus.2017.08.005 (Ceres orbital navigation)</w:t>
            </w:r>
          </w:p>
        </w:tc>
      </w:tr>
      <w:tr>
        <w:tc>
          <w:tcPr>
            <w:tcW w:w="0" w:type="auto"/>
          </w:tcPr>
          <w:p>
            <w:pPr>
              <w:spacing w:line="240" w:lineRule="auto" w:before="0" w:after="0"/>
              <w:pStyle w:val="Compact"/>
            </w:pPr>
            <w:r>
              <w:rPr>
                <w:sz w:val="20"/>
                <w:szCs w:val="20"/>
              </w:rPr>
              <w:t xml:space="preserve">Dawn-Vesta</w:t>
            </w:r>
          </w:p>
        </w:tc>
        <w:tc>
          <w:tcPr>
            <w:tcW w:w="0" w:type="auto"/>
          </w:tcPr>
          <w:p>
            <w:pPr>
              <w:spacing w:line="240" w:lineRule="auto" w:before="0" w:after="0"/>
              <w:pStyle w:val="Compact"/>
            </w:pPr>
            <w:r>
              <w:rPr>
                <w:sz w:val="20"/>
                <w:szCs w:val="20"/>
              </w:rPr>
              <w:t xml:space="preserve">Vesta orbital radiometric Doppler+range+OpNav</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-3.2189</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0.7885</w:t>
            </w:r>
          </w:p>
        </w:tc>
        <w:tc>
          <w:tcPr>
            <w:tcW w:w="0" w:type="auto"/>
          </w:tcPr>
          <w:p>
            <w:pPr>
              <w:spacing w:line="240" w:lineRule="auto" w:before="0" w:after="0"/>
              <w:pStyle w:val="Compact"/>
            </w:pPr>
            <w:r>
              <w:rPr>
                <w:sz w:val="20"/>
                <w:szCs w:val="20"/>
              </w:rPr>
              <w:t xml:space="preserve">Konopliv A.S. et al., The Vesta gravity field, spin pole and rotation period, landmark positions and ephemeris from the Dawn tracking and optical data, Icarus 240:103-117, 2014, doi:10.1016/j.icarus.2013.09.005 (Vesta orbital navigation)</w:t>
            </w:r>
          </w:p>
        </w:tc>
      </w:tr>
      <w:tr>
        <w:tc>
          <w:tcPr>
            <w:tcW w:w="0" w:type="auto"/>
          </w:tcPr>
          <w:p>
            <w:pPr>
              <w:spacing w:line="240" w:lineRule="auto" w:before="0" w:after="0"/>
              <w:pStyle w:val="Compact"/>
            </w:pPr>
            <w:r>
              <w:rPr>
                <w:sz w:val="20"/>
                <w:szCs w:val="20"/>
              </w:rPr>
              <w:t xml:space="preserve">EnVision-Venus</w:t>
            </w:r>
          </w:p>
        </w:tc>
        <w:tc>
          <w:tcPr>
            <w:tcW w:w="0" w:type="auto"/>
          </w:tcPr>
          <w:p>
            <w:pPr>
              <w:spacing w:line="240" w:lineRule="auto" w:before="0" w:after="0"/>
              <w:pStyle w:val="Compact"/>
            </w:pPr>
            <w:r>
              <w:rPr>
                <w:sz w:val="20"/>
                <w:szCs w:val="20"/>
              </w:rPr>
              <w:t xml:space="preserve">Venus orbital radiometric Doppler+range tracking</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-0.3285</w:t>
            </w:r>
          </w:p>
        </w:tc>
        <w:tc>
          <w:tcPr>
            <w:tcW w:w="0" w:type="auto"/>
          </w:tcPr>
          <w:p>
            <w:pPr>
              <w:spacing w:line="240" w:lineRule="auto" w:before="0" w:after="0"/>
              <w:pStyle w:val="Compact"/>
            </w:pPr>
            <w:r>
              <w:rPr>
                <w:sz w:val="20"/>
                <w:szCs w:val="20"/>
              </w:rPr>
              <w:t xml:space="preserve">Gargiulo A.M. et al., Joint determination of Venus gravity and atmospheric density through EnVision radio science investigation, Acta Astronautica 215:651-661, 2023, doi:10.1016/j.actaastro.2023.12.010 (Venus radio-science OD context)</w:t>
            </w:r>
          </w:p>
        </w:tc>
      </w:tr>
      <w:tr>
        <w:tc>
          <w:tcPr>
            <w:tcW w:w="0" w:type="auto"/>
          </w:tcPr>
          <w:p>
            <w:pPr>
              <w:spacing w:line="240" w:lineRule="auto" w:before="0" w:after="0"/>
              <w:pStyle w:val="Compact"/>
            </w:pPr>
            <w:r>
              <w:rPr>
                <w:sz w:val="20"/>
                <w:szCs w:val="20"/>
              </w:rPr>
              <w:t xml:space="preserve">LRO-OD</w:t>
            </w:r>
          </w:p>
        </w:tc>
        <w:tc>
          <w:tcPr>
            <w:tcW w:w="0" w:type="auto"/>
          </w:tcPr>
          <w:p>
            <w:pPr>
              <w:spacing w:line="240" w:lineRule="auto" w:before="0" w:after="0"/>
              <w:pStyle w:val="Compact"/>
            </w:pPr>
            <w:r>
              <w:rPr>
                <w:sz w:val="20"/>
                <w:szCs w:val="20"/>
              </w:rPr>
              <w:t xml:space="preserve">Lunar Reconnaissance Orbiter definitive OD with DSN tracking</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0.018</w:t>
            </w:r>
          </w:p>
        </w:tc>
        <w:tc>
          <w:tcPr>
            <w:tcW w:w="0" w:type="auto"/>
          </w:tcPr>
          <w:p>
            <w:pPr>
              <w:spacing w:line="240" w:lineRule="auto" w:before="0" w:after="0"/>
              <w:pStyle w:val="Compact"/>
            </w:pPr>
            <w:r>
              <w:rPr>
                <w:sz w:val="20"/>
                <w:szCs w:val="20"/>
              </w:rPr>
              <w:t xml:space="preserve">-4.0174</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-5.9522</w:t>
            </w:r>
          </w:p>
        </w:tc>
        <w:tc>
          <w:tcPr>
            <w:tcW w:w="0" w:type="auto"/>
          </w:tcPr>
          <w:p>
            <w:pPr>
              <w:spacing w:line="240" w:lineRule="auto" w:before="0" w:after="0"/>
              <w:pStyle w:val="Compact"/>
            </w:pPr>
            <w:r>
              <w:rPr>
                <w:sz w:val="20"/>
                <w:szCs w:val="20"/>
              </w:rPr>
              <w:t xml:space="preserve">Lunar Reconnaissance Orbiter Orbit Determination Accuracy Analysis, NTRS 20140008968, 2014 (LRO definitive OD position accuracy)</w:t>
            </w:r>
          </w:p>
        </w:tc>
      </w:tr>
      <w:tr>
        <w:tc>
          <w:tcPr>
            <w:tcW w:w="0" w:type="auto"/>
          </w:tcPr>
          <w:p>
            <w:pPr>
              <w:spacing w:line="240" w:lineRule="auto" w:before="0" w:after="0"/>
              <w:pStyle w:val="Compact"/>
            </w:pPr>
            <w:r>
              <w:rPr>
                <w:sz w:val="20"/>
                <w:szCs w:val="20"/>
              </w:rPr>
              <w:t xml:space="preserve">LANS-DSN</w:t>
            </w:r>
          </w:p>
        </w:tc>
        <w:tc>
          <w:tcPr>
            <w:tcW w:w="0" w:type="auto"/>
          </w:tcPr>
          <w:p>
            <w:pPr>
              <w:spacing w:line="240" w:lineRule="auto" w:before="0" w:after="0"/>
              <w:pStyle w:val="Compact"/>
            </w:pPr>
            <w:r>
              <w:rPr>
                <w:sz w:val="20"/>
                <w:szCs w:val="20"/>
              </w:rPr>
              <w:t xml:space="preserve">Lunar DSN tracking baseline OD position knowledge</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-5.9522</w:t>
            </w:r>
          </w:p>
        </w:tc>
        <w:tc>
          <w:tcPr>
            <w:tcW w:w="0" w:type="auto"/>
          </w:tcPr>
          <w:p>
            <w:pPr>
              <w:spacing w:line="240" w:lineRule="auto" w:before="0" w:after="0"/>
              <w:pStyle w:val="Compact"/>
            </w:pPr>
            <w:r>
              <w:rPr>
                <w:sz w:val="20"/>
                <w:szCs w:val="20"/>
              </w:rPr>
              <w:t xml:space="preserve">NASA, Lunar Navigation Performance using the Deep Space Network, NTRS 20205010306, 2021 (DSN lunar OD position knowledge)</w:t>
            </w:r>
          </w:p>
        </w:tc>
      </w:tr>
      <w:tr>
        <w:tc>
          <w:tcPr>
            <w:tcW w:w="0" w:type="auto"/>
          </w:tcPr>
          <w:p>
            <w:pPr>
              <w:spacing w:line="240" w:lineRule="auto" w:before="0" w:after="0"/>
              <w:pStyle w:val="Compact"/>
            </w:pPr>
            <w:r>
              <w:rPr>
                <w:sz w:val="20"/>
                <w:szCs w:val="20"/>
              </w:rPr>
              <w:t xml:space="preserve">MarsExpress</w:t>
            </w:r>
          </w:p>
        </w:tc>
        <w:tc>
          <w:tcPr>
            <w:tcW w:w="0" w:type="auto"/>
          </w:tcPr>
          <w:p>
            <w:pPr>
              <w:spacing w:line="240" w:lineRule="auto" w:before="0" w:after="0"/>
              <w:pStyle w:val="Compact"/>
            </w:pPr>
            <w:r>
              <w:rPr>
                <w:sz w:val="20"/>
                <w:szCs w:val="20"/>
              </w:rPr>
              <w:t xml:space="preserve">Cruise Doppler+range with twice-daily Delta-DOR</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0.9163</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Mottinger N.A. et al., Mars Express Interplanetary Navigation from Launch to Mars Orbit Insertion: The JPL Experience, NTRS 20090007583, 2009; ESA, Keeping track of spacecraft with Delta-DOR [illustrative]</w:t>
            </w:r>
          </w:p>
        </w:tc>
      </w:tr>
      <w:tr>
        <w:tc>
          <w:tcPr>
            <w:tcW w:w="0" w:type="auto"/>
          </w:tcPr>
          <w:p>
            <w:pPr>
              <w:spacing w:line="240" w:lineRule="auto" w:before="0" w:after="0"/>
              <w:pStyle w:val="Compact"/>
            </w:pPr>
            <w:r>
              <w:rPr>
                <w:sz w:val="20"/>
                <w:szCs w:val="20"/>
              </w:rPr>
              <w:t xml:space="preserve">ParkerSolarProbe</w:t>
            </w:r>
          </w:p>
        </w:tc>
        <w:tc>
          <w:tcPr>
            <w:tcW w:w="0" w:type="auto"/>
          </w:tcPr>
          <w:p>
            <w:pPr>
              <w:spacing w:line="240" w:lineRule="auto" w:before="0" w:after="0"/>
              <w:pStyle w:val="Compact"/>
            </w:pPr>
            <w:r>
              <w:rPr>
                <w:sz w:val="20"/>
                <w:szCs w:val="20"/>
              </w:rPr>
              <w:t xml:space="preserve">Early post-launch 3.5h two-way Doppler initial OD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2.1972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-0.0101</w:t>
            </w:r>
          </w:p>
        </w:tc>
        <w:tc>
          <w:tcPr>
            <w:tcW w:w="0" w:type="auto"/>
          </w:tcPr>
          <w:p>
            <w:pPr>
              <w:spacing w:line="240" w:lineRule="auto" w:before="0" w:after="0"/>
              <w:pStyle w:val="Compact"/>
            </w:pPr>
            <w:r>
              <w:rPr>
                <w:sz w:val="20"/>
                <w:szCs w:val="20"/>
              </w:rPr>
              <w:t xml:space="preserve">Jones D.R. et al., Parker Solar Probe Navigation: One Year From Launch, AAS 17-xxx, 2017 (initial orbit from 3.5 h two-way Doppler, Canberra) [illustrative]</w:t>
            </w:r>
          </w:p>
        </w:tc>
      </w:tr>
      <w:tr>
        <w:tc>
          <w:tcPr>
            <w:tcW w:w="0" w:type="auto"/>
          </w:tcPr>
          <w:p>
            <w:pPr>
              <w:spacing w:line="240" w:lineRule="auto" w:before="0" w:after="0"/>
              <w:pStyle w:val="Compact"/>
            </w:pPr>
            <w:r>
              <w:rPr>
                <w:sz w:val="20"/>
                <w:szCs w:val="20"/>
              </w:rPr>
              <w:t xml:space="preserve">ParkerSolarProbe</w:t>
            </w:r>
          </w:p>
        </w:tc>
        <w:tc>
          <w:tcPr>
            <w:tcW w:w="0" w:type="auto"/>
          </w:tcPr>
          <w:p>
            <w:pPr>
              <w:spacing w:line="240" w:lineRule="auto" w:before="0" w:after="0"/>
              <w:pStyle w:val="Compact"/>
            </w:pPr>
            <w:r>
              <w:rPr>
                <w:sz w:val="20"/>
                <w:szCs w:val="20"/>
              </w:rPr>
              <w:t xml:space="preserve">Perihelion-approach Doppler+range+Delta-DOR delivery</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0.9163</w:t>
            </w:r>
          </w:p>
        </w:tc>
        <w:tc>
          <w:tcPr>
            <w:tcW w:w="0" w:type="auto"/>
          </w:tcPr>
          <w:p>
            <w:pPr>
              <w:spacing w:line="240" w:lineRule="auto" w:before="0" w:after="0"/>
              <w:pStyle w:val="Compact"/>
            </w:pPr>
            <w:r>
              <w:rPr>
                <w:sz w:val="20"/>
                <w:szCs w:val="20"/>
              </w:rPr>
              <w:t xml:space="preserve">2.6391</w:t>
            </w:r>
          </w:p>
        </w:tc>
        <w:tc>
          <w:tcPr>
            <w:tcW w:w="0" w:type="auto"/>
          </w:tcPr>
          <w:p>
            <w:pPr>
              <w:spacing w:line="240" w:lineRule="auto" w:before="0" w:after="0"/>
              <w:pStyle w:val="Compact"/>
            </w:pPr>
            <w:r>
              <w:rPr>
                <w:sz w:val="20"/>
                <w:szCs w:val="20"/>
              </w:rPr>
              <w:t xml:space="preserve">-1.204</w:t>
            </w:r>
          </w:p>
        </w:tc>
        <w:tc>
          <w:tcPr>
            <w:tcW w:w="0" w:type="auto"/>
          </w:tcPr>
          <w:p>
            <w:pPr>
              <w:spacing w:line="240" w:lineRule="auto" w:before="0" w:after="0"/>
              <w:pStyle w:val="Compact"/>
            </w:pPr>
            <w:r>
              <w:rPr>
                <w:sz w:val="20"/>
                <w:szCs w:val="20"/>
              </w:rPr>
              <w:t xml:space="preserve">Guo Y. et al., Execution of Parker Solar Probe’s unprecedented flight to the Sun and early results, Acta Astronautica 179:425-438, 2020, doi:10.1016/j.actaastro.2020.11.007 (perihelion delivery) [illustrative]</w:t>
            </w:r>
          </w:p>
        </w:tc>
      </w:tr>
      <w:tr>
        <w:tc>
          <w:tcPr>
            <w:tcW w:w="0" w:type="auto"/>
          </w:tcPr>
          <w:p>
            <w:pPr>
              <w:spacing w:line="240" w:lineRule="auto" w:before="0" w:after="0"/>
              <w:pStyle w:val="Compact"/>
            </w:pPr>
            <w:r>
              <w:rPr>
                <w:sz w:val="20"/>
                <w:szCs w:val="20"/>
              </w:rPr>
              <w:t xml:space="preserve">MercuryLander</w:t>
            </w:r>
          </w:p>
        </w:tc>
        <w:tc>
          <w:tcPr>
            <w:tcW w:w="0" w:type="auto"/>
          </w:tcPr>
          <w:p>
            <w:pPr>
              <w:spacing w:line="240" w:lineRule="auto" w:before="0" w:after="0"/>
              <w:pStyle w:val="Compact"/>
            </w:pPr>
            <w:r>
              <w:rPr>
                <w:sz w:val="20"/>
                <w:szCs w:val="20"/>
              </w:rPr>
              <w:t xml:space="preserve">Cruise three 8h 34m tracks per week Doppler+range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Ernst C.M. et al., Mercury Lander: Planetary Mission Concept Study for the 2023-2032 Decadal Survey, arXiv:2107.06795, 2021 (three 8-hour 34m tracks per week nominal cruise)</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ln_err</w:t>
            </w:r>
          </w:p>
        </w:tc>
        <w:tc>
          <w:tcPr>
            <w:tcW w:w="0" w:type="auto"/>
          </w:tcPr>
          <w:p>
            <w:pPr>
              <w:spacing w:line="240" w:lineRule="auto" w:before="0" w:after="0"/>
              <w:pStyle w:val="Compact"/>
            </w:pPr>
            <w:r>
              <w:rPr>
                <w:sz w:val="20"/>
                <w:szCs w:val="20"/>
              </w:rPr>
              <w:t xml:space="preserve">Natural log of delivered 1-sigma position / along-track navigation uncertainty in kilometers</w:t>
            </w:r>
          </w:p>
        </w:tc>
        <w:tc>
          <w:tcPr>
            <w:tcW w:w="0" w:type="auto"/>
          </w:tcPr>
          <w:p>
            <w:pPr>
              <w:spacing w:line="240" w:lineRule="auto" w:before="0" w:after="0"/>
              <w:pStyle w:val="Compact"/>
            </w:pPr>
            <w:r>
              <w:rPr>
                <w:sz w:val="20"/>
                <w:szCs w:val="20"/>
              </w:rPr>
              <w:t xml:space="preserve">Computed as ln(err_km); err_km traced per row to a published orbit-determination covariance or navigation account in the source column</w:t>
            </w:r>
          </w:p>
        </w:tc>
      </w:tr>
      <w:tr>
        <w:tc>
          <w:tcPr>
            <w:tcW w:w="0" w:type="auto"/>
          </w:tcPr>
          <w:p>
            <w:pPr>
              <w:spacing w:line="240" w:lineRule="auto" w:before="0" w:after="0"/>
              <w:pStyle w:val="Compact"/>
            </w:pPr>
            <w:r>
              <w:rPr>
                <w:sz w:val="20"/>
                <w:szCs w:val="20"/>
              </w:rPr>
              <w:t xml:space="preserve">ln_cadence</w:t>
            </w:r>
          </w:p>
        </w:tc>
        <w:tc>
          <w:tcPr>
            <w:tcW w:w="0" w:type="auto"/>
          </w:tcPr>
          <w:p>
            <w:pPr>
              <w:spacing w:line="240" w:lineRule="auto" w:before="0" w:after="0"/>
              <w:pStyle w:val="Compact"/>
            </w:pPr>
            <w:r>
              <w:rPr>
                <w:sz w:val="20"/>
                <w:szCs w:val="20"/>
              </w:rPr>
              <w:t xml:space="preserve">Natural log of tracking cadence, defined as tracking contacts (DSN passes or measurement epochs) per week over the documented arc</w:t>
            </w:r>
          </w:p>
        </w:tc>
        <w:tc>
          <w:tcPr>
            <w:tcW w:w="0" w:type="auto"/>
          </w:tcPr>
          <w:p>
            <w:pPr>
              <w:spacing w:line="240" w:lineRule="auto" w:before="0" w:after="0"/>
              <w:pStyle w:val="Compact"/>
            </w:pPr>
            <w:r>
              <w:rPr>
                <w:sz w:val="20"/>
                <w:szCs w:val="20"/>
              </w:rPr>
              <w:t xml:space="preserve">Computed as ln(cadence_per_week); cadence_per_week reconstructed from each source’s stated tracking schedule</w:t>
            </w:r>
          </w:p>
        </w:tc>
      </w:tr>
      <w:tr>
        <w:tc>
          <w:tcPr>
            <w:tcW w:w="0" w:type="auto"/>
          </w:tcPr>
          <w:p>
            <w:pPr>
              <w:spacing w:line="240" w:lineRule="auto" w:before="0" w:after="0"/>
              <w:pStyle w:val="Compact"/>
            </w:pPr>
            <w:r>
              <w:rPr>
                <w:sz w:val="20"/>
                <w:szCs w:val="20"/>
              </w:rPr>
              <w:t xml:space="preserve">ln_dist</w:t>
            </w:r>
          </w:p>
        </w:tc>
        <w:tc>
          <w:tcPr>
            <w:tcW w:w="0" w:type="auto"/>
          </w:tcPr>
          <w:p>
            <w:pPr>
              <w:spacing w:line="240" w:lineRule="auto" w:before="0" w:after="0"/>
              <w:pStyle w:val="Compact"/>
            </w:pPr>
            <w:r>
              <w:rPr>
                <w:sz w:val="20"/>
                <w:szCs w:val="20"/>
              </w:rPr>
              <w:t xml:space="preserve">Natural log of the Earth-spacecraft / heliocentric distance regime in astronomical units, the dominant confounder of navigation error</w:t>
            </w:r>
          </w:p>
        </w:tc>
        <w:tc>
          <w:tcPr>
            <w:tcW w:w="0" w:type="auto"/>
          </w:tcPr>
          <w:p>
            <w:pPr>
              <w:spacing w:line="240" w:lineRule="auto" w:before="0" w:after="0"/>
              <w:pStyle w:val="Compact"/>
            </w:pPr>
            <w:r>
              <w:rPr>
                <w:sz w:val="20"/>
                <w:szCs w:val="20"/>
              </w:rPr>
              <w:t xml:space="preserve">Computed as ln(dist_au); dist_au from each mission’s documented operating distance</w:t>
            </w:r>
          </w:p>
        </w:tc>
      </w:tr>
      <w:tr>
        <w:tc>
          <w:tcPr>
            <w:tcW w:w="0" w:type="auto"/>
          </w:tcPr>
          <w:p>
            <w:pPr>
              <w:spacing w:line="240" w:lineRule="auto" w:before="0" w:after="0"/>
              <w:pStyle w:val="Compact"/>
            </w:pPr>
            <w:r>
              <w:rPr>
                <w:sz w:val="20"/>
                <w:szCs w:val="20"/>
              </w:rPr>
              <w:t xml:space="preserve">interferometric</w:t>
            </w:r>
          </w:p>
        </w:tc>
        <w:tc>
          <w:tcPr>
            <w:tcW w:w="0" w:type="auto"/>
          </w:tcPr>
          <w:p>
            <w:pPr>
              <w:spacing w:line="240" w:lineRule="auto" w:before="0" w:after="0"/>
              <w:pStyle w:val="Compact"/>
            </w:pPr>
            <w:r>
              <w:rPr>
                <w:sz w:val="20"/>
                <w:szCs w:val="20"/>
              </w:rPr>
              <w:t xml:space="preserve">Indicator equal to 1 when interferometric augmentation (Delta-DOR or angular VLBI-type tracking) is present, else 0</w:t>
            </w:r>
          </w:p>
        </w:tc>
        <w:tc>
          <w:tcPr>
            <w:tcW w:w="0" w:type="auto"/>
          </w:tcPr>
          <w:p>
            <w:pPr>
              <w:spacing w:line="240" w:lineRule="auto" w:before="0" w:after="0"/>
              <w:pStyle w:val="Compact"/>
            </w:pPr>
            <w:r>
              <w:rPr>
                <w:sz w:val="20"/>
                <w:szCs w:val="20"/>
              </w:rPr>
              <w:t xml:space="preserve">Coded from the measurement-type description in each source</w:t>
            </w:r>
          </w:p>
        </w:tc>
      </w:tr>
      <w:tr>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Indicator equal to 1 when onboard optical / image-based navigation contributes to the solution, else 0</w:t>
            </w:r>
          </w:p>
        </w:tc>
        <w:tc>
          <w:tcPr>
            <w:tcW w:w="0" w:type="auto"/>
          </w:tcPr>
          <w:p>
            <w:pPr>
              <w:spacing w:line="240" w:lineRule="auto" w:before="0" w:after="0"/>
              <w:pStyle w:val="Compact"/>
            </w:pPr>
            <w:r>
              <w:rPr>
                <w:sz w:val="20"/>
                <w:szCs w:val="20"/>
              </w:rPr>
              <w:t xml:space="preserve">Coded from the measurement-type description in each source</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-1.4136</w:t>
            </w:r>
          </w:p>
        </w:tc>
        <w:tc>
          <w:tcPr>
            <w:tcW w:w="0" w:type="auto"/>
          </w:tcPr>
          <w:p>
            <w:pPr>
              <w:spacing w:line="240" w:lineRule="auto" w:before="0" w:after="0"/>
              <w:pStyle w:val="Compact"/>
            </w:pPr>
            <w:r>
              <w:rPr>
                <w:sz w:val="20"/>
                <w:szCs w:val="20"/>
              </w:rPr>
              <w:t xml:space="preserve">1.1192</w:t>
            </w:r>
          </w:p>
        </w:tc>
        <w:tc>
          <w:tcPr>
            <w:tcW w:w="0" w:type="auto"/>
          </w:tcPr>
          <w:p>
            <w:pPr>
              <w:spacing w:line="240" w:lineRule="auto" w:before="0" w:after="0"/>
              <w:pStyle w:val="Compact"/>
            </w:pPr>
            <w:r>
              <w:rPr>
                <w:sz w:val="20"/>
                <w:szCs w:val="20"/>
              </w:rPr>
              <w:t xml:space="preserve">-1.263</w:t>
            </w:r>
          </w:p>
        </w:tc>
        <w:tc>
          <w:tcPr>
            <w:tcW w:w="0" w:type="auto"/>
          </w:tcPr>
          <w:p>
            <w:pPr>
              <w:spacing w:line="240" w:lineRule="auto" w:before="0" w:after="0"/>
              <w:pStyle w:val="Compact"/>
            </w:pPr>
            <w:r>
              <w:rPr>
                <w:sz w:val="20"/>
                <w:szCs w:val="20"/>
              </w:rPr>
              <w:t xml:space="preserve">0.2066</w:t>
            </w:r>
          </w:p>
        </w:tc>
        <w:tc>
          <w:tcPr>
            <w:tcW w:w="0" w:type="auto"/>
          </w:tcPr>
          <w:p>
            <w:pPr>
              <w:spacing w:line="240" w:lineRule="auto" w:before="0" w:after="0"/>
              <w:pStyle w:val="Compact"/>
            </w:pPr>
            <w:r>
              <w:rPr>
                <w:sz w:val="20"/>
                <w:szCs w:val="20"/>
              </w:rPr>
              <w:t xml:space="preserve">[-3.6073, 0.7801]</w:t>
            </w:r>
          </w:p>
        </w:tc>
      </w:tr>
      <w:tr>
        <w:tc>
          <w:tcPr>
            <w:tcW w:w="0" w:type="auto"/>
          </w:tcPr>
          <w:p>
            <w:pPr>
              <w:spacing w:line="240" w:lineRule="auto" w:before="0" w:after="0"/>
              <w:pStyle w:val="Compact"/>
            </w:pPr>
            <w:r>
              <w:rPr>
                <w:sz w:val="20"/>
                <w:szCs w:val="20"/>
              </w:rPr>
              <w:t xml:space="preserve">ln_cadence</w:t>
            </w:r>
          </w:p>
        </w:tc>
        <w:tc>
          <w:tcPr>
            <w:tcW w:w="0" w:type="auto"/>
          </w:tcPr>
          <w:p>
            <w:pPr>
              <w:spacing w:line="240" w:lineRule="auto" w:before="0" w:after="0"/>
              <w:pStyle w:val="Compact"/>
            </w:pPr>
            <w:r>
              <w:rPr>
                <w:sz w:val="20"/>
                <w:szCs w:val="20"/>
              </w:rPr>
              <w:t xml:space="preserve">1.4067</w:t>
            </w:r>
          </w:p>
        </w:tc>
        <w:tc>
          <w:tcPr>
            <w:tcW w:w="0" w:type="auto"/>
          </w:tcPr>
          <w:p>
            <w:pPr>
              <w:spacing w:line="240" w:lineRule="auto" w:before="0" w:after="0"/>
              <w:pStyle w:val="Compact"/>
            </w:pPr>
            <w:r>
              <w:rPr>
                <w:sz w:val="20"/>
                <w:szCs w:val="20"/>
              </w:rPr>
              <w:t xml:space="preserve">0.4682</w:t>
            </w:r>
          </w:p>
        </w:tc>
        <w:tc>
          <w:tcPr>
            <w:tcW w:w="0" w:type="auto"/>
          </w:tcPr>
          <w:p>
            <w:pPr>
              <w:spacing w:line="240" w:lineRule="auto" w:before="0" w:after="0"/>
              <w:pStyle w:val="Compact"/>
            </w:pPr>
            <w:r>
              <w:rPr>
                <w:sz w:val="20"/>
                <w:szCs w:val="20"/>
              </w:rPr>
              <w:t xml:space="preserve">3.0047</w:t>
            </w:r>
          </w:p>
        </w:tc>
        <w:tc>
          <w:tcPr>
            <w:tcW w:w="0" w:type="auto"/>
          </w:tcPr>
          <w:p>
            <w:pPr>
              <w:spacing w:line="240" w:lineRule="auto" w:before="0" w:after="0"/>
              <w:pStyle w:val="Compact"/>
            </w:pPr>
            <w:r>
              <w:rPr>
                <w:sz w:val="20"/>
                <w:szCs w:val="20"/>
              </w:rPr>
              <w:t xml:space="preserve">0.0027</w:t>
            </w:r>
          </w:p>
        </w:tc>
        <w:tc>
          <w:tcPr>
            <w:tcW w:w="0" w:type="auto"/>
          </w:tcPr>
          <w:p>
            <w:pPr>
              <w:spacing w:line="240" w:lineRule="auto" w:before="0" w:after="0"/>
              <w:pStyle w:val="Compact"/>
            </w:pPr>
            <w:r>
              <w:rPr>
                <w:sz w:val="20"/>
                <w:szCs w:val="20"/>
              </w:rPr>
              <w:t xml:space="preserve">[0.4891, 2.3243]</w:t>
            </w:r>
          </w:p>
        </w:tc>
      </w:tr>
      <w:tr>
        <w:tc>
          <w:tcPr>
            <w:tcW w:w="0" w:type="auto"/>
          </w:tcPr>
          <w:p>
            <w:pPr>
              <w:spacing w:line="240" w:lineRule="auto" w:before="0" w:after="0"/>
              <w:pStyle w:val="Compact"/>
            </w:pPr>
            <w:r>
              <w:rPr>
                <w:sz w:val="20"/>
                <w:szCs w:val="20"/>
              </w:rPr>
              <w:t xml:space="preserve">ln_dist</w:t>
            </w:r>
          </w:p>
        </w:tc>
        <w:tc>
          <w:tcPr>
            <w:tcW w:w="0" w:type="auto"/>
          </w:tcPr>
          <w:p>
            <w:pPr>
              <w:spacing w:line="240" w:lineRule="auto" w:before="0" w:after="0"/>
              <w:pStyle w:val="Compact"/>
            </w:pPr>
            <w:r>
              <w:rPr>
                <w:sz w:val="20"/>
                <w:szCs w:val="20"/>
              </w:rPr>
              <w:t xml:space="preserve">1.1817</w:t>
            </w:r>
          </w:p>
        </w:tc>
        <w:tc>
          <w:tcPr>
            <w:tcW w:w="0" w:type="auto"/>
          </w:tcPr>
          <w:p>
            <w:pPr>
              <w:spacing w:line="240" w:lineRule="auto" w:before="0" w:after="0"/>
              <w:pStyle w:val="Compact"/>
            </w:pPr>
            <w:r>
              <w:rPr>
                <w:sz w:val="20"/>
                <w:szCs w:val="20"/>
              </w:rPr>
              <w:t xml:space="preserve">0.1384</w:t>
            </w:r>
          </w:p>
        </w:tc>
        <w:tc>
          <w:tcPr>
            <w:tcW w:w="0" w:type="auto"/>
          </w:tcPr>
          <w:p>
            <w:pPr>
              <w:spacing w:line="240" w:lineRule="auto" w:before="0" w:after="0"/>
              <w:pStyle w:val="Compact"/>
            </w:pPr>
            <w:r>
              <w:rPr>
                <w:sz w:val="20"/>
                <w:szCs w:val="20"/>
              </w:rPr>
              <w:t xml:space="preserve">8.5399</w:t>
            </w:r>
          </w:p>
        </w:tc>
        <w:tc>
          <w:tcPr>
            <w:tcW w:w="0" w:type="auto"/>
          </w:tcPr>
          <w:p>
            <w:pPr>
              <w:spacing w:line="240" w:lineRule="auto" w:before="0" w:after="0"/>
              <w:pStyle w:val="Compact"/>
            </w:pPr>
            <w:r>
              <w:rPr>
                <w:sz w:val="20"/>
                <w:szCs w:val="20"/>
              </w:rPr>
              <w:t xml:space="preserve">1.343e-17</w:t>
            </w:r>
          </w:p>
        </w:tc>
        <w:tc>
          <w:tcPr>
            <w:tcW w:w="0" w:type="auto"/>
          </w:tcPr>
          <w:p>
            <w:pPr>
              <w:spacing w:line="240" w:lineRule="auto" w:before="0" w:after="0"/>
              <w:pStyle w:val="Compact"/>
            </w:pPr>
            <w:r>
              <w:rPr>
                <w:sz w:val="20"/>
                <w:szCs w:val="20"/>
              </w:rPr>
              <w:t xml:space="preserve">[0.9105, 1.4529]</w:t>
            </w:r>
          </w:p>
        </w:tc>
      </w:tr>
      <w:tr>
        <w:tc>
          <w:tcPr>
            <w:tcW w:w="0" w:type="auto"/>
          </w:tcPr>
          <w:p>
            <w:pPr>
              <w:spacing w:line="240" w:lineRule="auto" w:before="0" w:after="0"/>
              <w:pStyle w:val="Compact"/>
            </w:pPr>
            <w:r>
              <w:rPr>
                <w:sz w:val="20"/>
                <w:szCs w:val="20"/>
              </w:rPr>
              <w:t xml:space="preserve">interferometric</w:t>
            </w:r>
          </w:p>
        </w:tc>
        <w:tc>
          <w:tcPr>
            <w:tcW w:w="0" w:type="auto"/>
          </w:tcPr>
          <w:p>
            <w:pPr>
              <w:spacing w:line="240" w:lineRule="auto" w:before="0" w:after="0"/>
              <w:pStyle w:val="Compact"/>
            </w:pPr>
            <w:r>
              <w:rPr>
                <w:sz w:val="20"/>
                <w:szCs w:val="20"/>
              </w:rPr>
              <w:t xml:space="preserve">-1.1121</w:t>
            </w:r>
          </w:p>
        </w:tc>
        <w:tc>
          <w:tcPr>
            <w:tcW w:w="0" w:type="auto"/>
          </w:tcPr>
          <w:p>
            <w:pPr>
              <w:spacing w:line="240" w:lineRule="auto" w:before="0" w:after="0"/>
              <w:pStyle w:val="Compact"/>
            </w:pPr>
            <w:r>
              <w:rPr>
                <w:sz w:val="20"/>
                <w:szCs w:val="20"/>
              </w:rPr>
              <w:t xml:space="preserve">1.0429</w:t>
            </w:r>
          </w:p>
        </w:tc>
        <w:tc>
          <w:tcPr>
            <w:tcW w:w="0" w:type="auto"/>
          </w:tcPr>
          <w:p>
            <w:pPr>
              <w:spacing w:line="240" w:lineRule="auto" w:before="0" w:after="0"/>
              <w:pStyle w:val="Compact"/>
            </w:pPr>
            <w:r>
              <w:rPr>
                <w:sz w:val="20"/>
                <w:szCs w:val="20"/>
              </w:rPr>
              <w:t xml:space="preserve">-1.0663</w:t>
            </w:r>
          </w:p>
        </w:tc>
        <w:tc>
          <w:tcPr>
            <w:tcW w:w="0" w:type="auto"/>
          </w:tcPr>
          <w:p>
            <w:pPr>
              <w:spacing w:line="240" w:lineRule="auto" w:before="0" w:after="0"/>
              <w:pStyle w:val="Compact"/>
            </w:pPr>
            <w:r>
              <w:rPr>
                <w:sz w:val="20"/>
                <w:szCs w:val="20"/>
              </w:rPr>
              <w:t xml:space="preserve">0.2863</w:t>
            </w:r>
          </w:p>
        </w:tc>
        <w:tc>
          <w:tcPr>
            <w:tcW w:w="0" w:type="auto"/>
          </w:tcPr>
          <w:p>
            <w:pPr>
              <w:spacing w:line="240" w:lineRule="auto" w:before="0" w:after="0"/>
              <w:pStyle w:val="Compact"/>
            </w:pPr>
            <w:r>
              <w:rPr>
                <w:sz w:val="20"/>
                <w:szCs w:val="20"/>
              </w:rPr>
              <w:t xml:space="preserve">[-3.156, 0.9319]</w:t>
            </w:r>
          </w:p>
        </w:tc>
      </w:tr>
      <w:tr>
        <w:tc>
          <w:tcPr>
            <w:tcW w:w="0" w:type="auto"/>
          </w:tcPr>
          <w:p>
            <w:pPr>
              <w:spacing w:line="240" w:lineRule="auto" w:before="0" w:after="0"/>
              <w:pStyle w:val="Compact"/>
            </w:pPr>
            <w:r>
              <w:rPr>
                <w:sz w:val="20"/>
                <w:szCs w:val="20"/>
              </w:rPr>
              <w:t xml:space="preserve">optical</w:t>
            </w:r>
          </w:p>
        </w:tc>
        <w:tc>
          <w:tcPr>
            <w:tcW w:w="0" w:type="auto"/>
          </w:tcPr>
          <w:p>
            <w:pPr>
              <w:spacing w:line="240" w:lineRule="auto" w:before="0" w:after="0"/>
              <w:pStyle w:val="Compact"/>
            </w:pPr>
            <w:r>
              <w:rPr>
                <w:sz w:val="20"/>
                <w:szCs w:val="20"/>
              </w:rPr>
              <w:t xml:space="preserve">-6.8564</w:t>
            </w:r>
          </w:p>
        </w:tc>
        <w:tc>
          <w:tcPr>
            <w:tcW w:w="0" w:type="auto"/>
          </w:tcPr>
          <w:p>
            <w:pPr>
              <w:spacing w:line="240" w:lineRule="auto" w:before="0" w:after="0"/>
              <w:pStyle w:val="Compact"/>
            </w:pPr>
            <w:r>
              <w:rPr>
                <w:sz w:val="20"/>
                <w:szCs w:val="20"/>
              </w:rPr>
              <w:t xml:space="preserve">2.1762</w:t>
            </w:r>
          </w:p>
        </w:tc>
        <w:tc>
          <w:tcPr>
            <w:tcW w:w="0" w:type="auto"/>
          </w:tcPr>
          <w:p>
            <w:pPr>
              <w:spacing w:line="240" w:lineRule="auto" w:before="0" w:after="0"/>
              <w:pStyle w:val="Compact"/>
            </w:pPr>
            <w:r>
              <w:rPr>
                <w:sz w:val="20"/>
                <w:szCs w:val="20"/>
              </w:rPr>
              <w:t xml:space="preserve">-3.1506</w:t>
            </w:r>
          </w:p>
        </w:tc>
        <w:tc>
          <w:tcPr>
            <w:tcW w:w="0" w:type="auto"/>
          </w:tcPr>
          <w:p>
            <w:pPr>
              <w:spacing w:line="240" w:lineRule="auto" w:before="0" w:after="0"/>
              <w:pStyle w:val="Compact"/>
            </w:pPr>
            <w:r>
              <w:rPr>
                <w:sz w:val="20"/>
                <w:szCs w:val="20"/>
              </w:rPr>
              <w:t xml:space="preserve">0.0016</w:t>
            </w:r>
          </w:p>
        </w:tc>
        <w:tc>
          <w:tcPr>
            <w:tcW w:w="0" w:type="auto"/>
          </w:tcPr>
          <w:p>
            <w:pPr>
              <w:spacing w:line="240" w:lineRule="auto" w:before="0" w:after="0"/>
              <w:pStyle w:val="Compact"/>
            </w:pPr>
            <w:r>
              <w:rPr>
                <w:sz w:val="20"/>
                <w:szCs w:val="20"/>
              </w:rPr>
              <w:t xml:space="preserve">[-11.1218, -2.5911]</w:t>
            </w:r>
          </w:p>
        </w:tc>
      </w:tr>
    </w:tbl>
    <w:p>
      <w:pPr>
        <w:pStyle w:val="BodyText"/>
      </w:pPr>
      <w:r>
        <w:t xml:space="preserve">Fit: N = 24 R2 = 0.694 R2_adj = 0.6296 F = 26.4211 F_p = 1.566e-07</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 Type="http://schemas.openxmlformats.org/officeDocument/2006/relationships/hyperlink" Id="rId73" Target="https://doi.org/10.1007/s40295-021-00290-z" TargetMode="External" /><Relationship Type="http://schemas.openxmlformats.org/officeDocument/2006/relationships/hyperlink" Id="rId68" Target="https://doi.org/10.1016/j.actaastro.2021.12.030" TargetMode="External" /><Relationship Type="http://schemas.openxmlformats.org/officeDocument/2006/relationships/hyperlink" Id="rId71" Target="https://doi.org/10.64861/JLQE7584"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1007/s40295-021-00290-z" TargetMode="External" /><Relationship Type="http://schemas.openxmlformats.org/officeDocument/2006/relationships/hyperlink" Id="rId68" Target="https://doi.org/10.1016/j.actaastro.2021.12.030" TargetMode="External" /><Relationship Type="http://schemas.openxmlformats.org/officeDocument/2006/relationships/hyperlink" Id="rId71" Target="https://doi.org/10.64861/JLQE758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2026-06-25T14:26:25Z</dcterms:created>
  <dcterms:modified xsi:type="dcterms:W3CDTF">2026-06-25T14:26:25Z</dcterms:modified>
</cp:coreProperties>
</file>

<file path=docProps/custom.xml><?xml version="1.0" encoding="utf-8"?>
<Properties xmlns="http://schemas.openxmlformats.org/officeDocument/2006/custom-properties" xmlns:vt="http://schemas.openxmlformats.org/officeDocument/2006/docPropsVTypes"/>
</file>