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2daa40521bd4170259ef6b359296fdbdf62bf17"/>
    <w:p>
      <w:pPr>
        <w:pStyle w:val="Heading1"/>
      </w:pPr>
      <w:r>
        <w:t xml:space="preserve">Navigation-Solution Accuracy as a Function of Tracking Cadence: A Fixed-Effects Regression of Deep-Space Mission-Phase Orbit-Determination Performance</w:t>
      </w:r>
    </w:p>
    <w:bookmarkStart w:id="61" w:name="introduction"/>
    <w:p>
      <w:pPr>
        <w:pStyle w:val="Heading2"/>
      </w:pPr>
      <w:r>
        <w:t xml:space="preserve">1. Introduction</w:t>
      </w:r>
    </w:p>
    <w:p>
      <w:pPr>
        <w:pStyle w:val="FirstParagraph"/>
      </w:pPr>
      <w:r>
        <w:t xml:space="preserve">Every deep-space mission buys its navigation accuracy with a finite, shared resource: time on the Deep Space Network (DSN). Radiometric tracking, the two-way Doppler and range measurements that anchor a spacecraft’s trajectory, is scheduled in passes, and the number of passes a mission receives per week is a budgetary as much as a physical quantity. As more flight projects compete for the same antennas, the question of how much navigation accuracy a given tracking cadence actually delivers moves from an engineering footnote to a resource-allocation problem with mission-design consequences</w:t>
      </w:r>
      <w:r>
        <w:t xml:space="preserve"> </w:t>
      </w:r>
      <w:hyperlink w:anchor="ref-1">
        <m:oMathPara>
          <m:oMathParaPr>
            <m:jc m:val="center"/>
          </m:oMathParaPr>
          <m:oMath>
            <m:r>
              <m:t>1</m:t>
            </m:r>
          </m:oMath>
        </m:oMathPara>
      </w:hyperlink>
      <w:r>
        <w:t xml:space="preserve">.</w:t>
      </w:r>
    </w:p>
    <w:p>
      <w:pPr>
        <w:pStyle w:val="FirstParagraph"/>
      </w:pPr>
      <w:r>
        <w:t xml:space="preserve">This paper treats that question empirically. It asks whether navigation-solution uncertainty, the reported position or orbit-determination error for a mission phase, varies systematically with the weekly volume of DSN tracking, once the dominant physical drivers of accuracy are held fixed. The hypothesis is the one operations engineers act on intuitively but that is rarely quantified across missions: denser tracking yields tighter orbit solutions. Establishing the size and statistical strength of that association, across heterogeneous missions and phases, gives mission planners and the DSN scheduling community a defensible coefficient rather than a folk heuristic.</w:t>
      </w:r>
    </w:p>
    <w:p>
      <w:pPr>
        <w:pStyle w:val="BodyText"/>
      </w:pPr>
      <w:r>
        <w:t xml:space="preserve">The contribution is a cross-mission regression. Rather than simulate one spacecraft’s covariance under varying schedules, the analysis assembles documented tracking cadences and navigation-accuracy figures from twenty-three real mission phases, from Mars orbiters to the outer-planet flagships, and estimates the partial effect of cadence with distance and operational phase controlled.</w:t>
      </w:r>
    </w:p>
    <w:bookmarkEnd w:id="61"/>
    <w:bookmarkStart w:id="62" w:name="theory-and-hypotheses"/>
    <w:p>
      <w:pPr>
        <w:pStyle w:val="Heading2"/>
      </w:pPr>
      <w:r>
        <w:t xml:space="preserve">2. Theory and Hypotheses</w:t>
      </w:r>
    </w:p>
    <w:p>
      <w:pPr>
        <w:pStyle w:val="FirstParagraph"/>
      </w:pPr>
      <w:r>
        <w:t xml:space="preserve">Radiometric navigation accuracy is governed by measurement geometry, measurement noise, and the length and density of the data arc over which the orbit is estimated. Thornton and Border, in the canonical DESCANSO treatment, describe how Doppler and range observables constrain a spacecraft state, and how multi-pass arcs progressively reduce the estimated-state covariance relative to short, single-pass solutions</w:t>
      </w:r>
      <w:r>
        <w:t xml:space="preserve"> </w:t>
      </w:r>
      <w:hyperlink w:anchor="ref-2">
        <m:oMathPara>
          <m:oMathParaPr>
            <m:jc m:val="center"/>
          </m:oMathParaPr>
          <m:oMath>
            <m:r>
              <m:t>2</m:t>
            </m:r>
          </m:oMath>
        </m:oMathPara>
      </w:hyperlink>
      <w:r>
        <w:t xml:space="preserve">. More tracking within an arc adds independent geometry and beats down stochastic measurement noise, both of which sharpen the solution.</w:t>
      </w:r>
    </w:p>
    <w:p>
      <w:pPr>
        <w:pStyle w:val="FirstParagraph"/>
      </w:pPr>
      <w:r>
        <w:t xml:space="preserve">Tracking cadence is the operational lever on data-arc density. Two distinct mechanisms connect cadence to accuracy. First, denser passes increase the raw count of independent Doppler and range points; Notaro and colleagues show, for the Cassini case, that adding stations and observations reduces Doppler noise and improves the recovered radial-velocity signal</w:t>
      </w:r>
      <w:r>
        <w:t xml:space="preserve"> </w:t>
      </w:r>
      <w:hyperlink w:anchor="ref-3">
        <m:oMathPara>
          <m:oMathParaPr>
            <m:jc m:val="center"/>
          </m:oMathParaPr>
          <m:oMath>
            <m:r>
              <m:t>3</m:t>
            </m:r>
          </m:oMath>
        </m:oMathPara>
      </w:hyperlink>
      <w:r>
        <w:t xml:space="preserve">. Second, frequent tracking shortens the prediction horizon over which an aging orbit solution must be extrapolated, limiting the growth of predicted-state error between updates, which is precisely why orbiter navigation teams schedule routine ephemeris predictions on a fixed weekly rhythm</w:t>
      </w:r>
      <w:r>
        <w:t xml:space="preserve"> </w:t>
      </w:r>
      <w:hyperlink w:anchor="ref-4">
        <m:oMathPara>
          <m:oMathParaPr>
            <m:jc m:val="center"/>
          </m:oMathParaPr>
          <m:oMath>
            <m:r>
              <m:t>4</m:t>
            </m:r>
          </m:oMath>
        </m:oMathPara>
      </w:hyperlink>
      <w:r>
        <w:t xml:space="preserve">.</w:t>
      </w:r>
    </w:p>
    <w:p>
      <w:pPr>
        <w:pStyle w:val="FirstParagraph"/>
      </w:pPr>
      <w:r>
        <w:t xml:space="preserve">Two confounds must be controlled. Earth distance degrades both the signal-to-noise ratio of the radio link and the plane-of-sky leverage of line-of-sight tracking, so accuracy at the outer planets is structurally worse than at Mars at any cadence</w:t>
      </w:r>
      <w:r>
        <w:t xml:space="preserve"> </w:t>
      </w:r>
      <w:hyperlink w:anchor="ref-5">
        <m:oMathPara>
          <m:oMathParaPr>
            <m:jc m:val="center"/>
          </m:oMathParaPr>
          <m:oMath>
            <m:r>
              <m:t>5</m:t>
            </m:r>
          </m:oMath>
        </m:oMathPara>
      </w:hyperlink>
      <w:r>
        <w:t xml:space="preserve">. Operational phase also matters: orbital and proximity-operations phases admit optical-navigation and landmark data and benefit from a well-determined local gravity field, whereas interplanetary cruise relies on radiometrics alone</w:t>
      </w:r>
      <w:r>
        <w:t xml:space="preserve"> </w:t>
      </w:r>
      <w:hyperlink w:anchor="ref-6">
        <m:oMathPara>
          <m:oMathParaPr>
            <m:jc m:val="center"/>
          </m:oMathParaPr>
          <m:oMath>
            <m:r>
              <m:t>6</m:t>
            </m:r>
          </m:oMath>
        </m:oMathPara>
      </w:hyperlink>
      <w:r>
        <w:t xml:space="preserve">. The empirical design therefore conditions on both.</w:t>
      </w:r>
    </w:p>
    <w:p>
      <w:pPr>
        <w:pStyle w:val="FirstParagraph"/>
      </w:pPr>
      <w:r>
        <w:t xml:space="preserve">The hypothesis is directional. Holding Earth distance and operational phase fixed, navigation-solution uncertainty falls as weekly tracking volume rises; in the regression below, the coefficient on tracking-hours per week is expected to be negative.</w:t>
      </w:r>
    </w:p>
    <w:bookmarkEnd w:id="62"/>
    <w:bookmarkStart w:id="63" w:name="data"/>
    <w:p>
      <w:pPr>
        <w:pStyle w:val="Heading2"/>
      </w:pPr>
      <w:r>
        <w:t xml:space="preserve">3. Data</w:t>
      </w:r>
    </w:p>
    <w:p>
      <w:pPr>
        <w:pStyle w:val="FirstParagraph"/>
      </w:pPr>
      <w:r>
        <w:t xml:space="preserve">The dataset comprises twenty-three deep-space mission-phase observations, each compiled from documented sources and recorded in the accompanying data file with a per-row citation. For each phase the file records the scheduled DSN tracking volume in tracking-hours per week, the reported navigation or orbit-determination position uncertainty (expressed as log base 10 of kilometers), the representative geocentric distance (log base 10 of astronomical units), and an indicator for orbital versus cruise phase.</w:t>
      </w:r>
    </w:p>
    <w:p>
      <w:pPr>
        <w:pStyle w:val="BodyText"/>
      </w:pPr>
      <w:r>
        <w:t xml:space="preserve">The observations span a wide operating envelope. Tracking volumes range from sparse deep-cruise coverage of a few hours per week to near-continuous coverage of roughly fifty tracking-hours per week during critical events. Distances span from low planetary orbit to the outer solar system. Navigation accuracies range across several orders of magnitude, from meter-class reconstructed orbits at Mars and Bennu to thousand-kilometer-class position knowledge during sparse deep cruise. Sources include mission navigation and radio-science papers (Mars Reconnaissance Orbiter, Mars Express, Dawn, OSIRIS-REx, Cassini, New Horizons), DSN allocation and radio-science planning studies, and the DESCANSO radiometric-tracking monograph. Three rows, where a precise per-phase uncertainty was not separately published, are marked illustrative and held below fifteen percent of the sample; all other rows carry a documented accuracy figure or a sourced order-of-magnitude class.</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specified as a fixed-effects-style regression in which the operational-phase indicator and the distance covariate absorb the structural drivers of accuracy so that the cadence coefficient is identified from within-regime variation. The dependent variable is log base 10 of navigation uncertainty in kilometers; the regressors are weekly tracking-hours, log base 10 of Earth distance, and the orbital-phase indicator. The logarithmic specification reflects the multiplicative, order-of-magnitude character of navigation error and renders the coefficients interpretable as proportional effects. The full specification and variable construction are given in the embedded workbook.</w:t>
      </w:r>
    </w:p>
    <w:bookmarkEnd w:id="64"/>
    <w:bookmarkStart w:id="65" w:name="findings"/>
    <w:p>
      <w:pPr>
        <w:pStyle w:val="Heading2"/>
      </w:pPr>
      <w:r>
        <w:t xml:space="preserve">5. Findings</w:t>
      </w:r>
    </w:p>
    <w:p>
      <w:pPr>
        <w:pStyle w:val="FirstParagraph"/>
      </w:pPr>
      <w:r>
        <w:t xml:space="preserve">The model fits well and the cadence hypothesis is supported. Across the twenty-three mission phases the regression explains a large share of the variation in navigation accuracy, with R-squared of 0.88 and adjusted R-squared of 0.86, and the overall fit is highly significant (F = 85.1 on the reported degrees of freedom, p well below 0.001).</w:t>
      </w:r>
    </w:p>
    <w:p>
      <w:pPr>
        <w:pStyle w:val="BodyText"/>
      </w:pPr>
      <w:r>
        <w:t xml:space="preserve">The coefficient on weekly tracking volume is negative and statistically significant: an estimated change of -0.0213 in log base 10 navigation uncertainty per additional tracking-hour per week, with a robust standard error of 0.0057 (p = 0.0002). Interpreted on the original scale, each additional ten tracking-hours per week is associated with roughly a 0.21 reduction in log base 10 kilometers, about a thirty-eight percent reduction in position uncertainty, holding distance and phase fixed. The sign matches the hypothesis and the precision is high relative to the estimate.</w:t>
      </w:r>
    </w:p>
    <w:p>
      <w:pPr>
        <w:pStyle w:val="BodyText"/>
      </w:pPr>
      <w:r>
        <w:t xml:space="preserve">The control coefficients behave exactly as the physics demands, which lends credibility to the cadence estimate. Earth distance carries a positive coefficient of 1.5636 (robust standard error 0.2197, p below 0.001): a tenfold increase in geocentric distance is associated with roughly a 1.56 increase in log base 10 kilometers of uncertainty, the expected penalty from degraded link and weaker plane-of-sky geometry at greater range. The orbital-phase indicator carries a coefficient of -1.9885 (robust standard error 0.2612, p below 0.001), so orbital and proximity-operations phases show navigation uncertainty nearly two orders of magnitude smaller than cruise at comparable distance and cadence, consistent with the added value of optical and landmark navigation and a determined local gravity field. The intercept is 1.1092 (standard error 0.2575).</w:t>
      </w:r>
    </w:p>
    <w:p>
      <w:pPr>
        <w:pStyle w:val="BodyText"/>
      </w:pPr>
      <w:r>
        <w:t xml:space="preserve">Taken together, the three terms partition the cross-mission spread in navigation accuracy into a distance penalty, a phase premium, and a cadence effect that is independently significant once the first two are removed.</w:t>
      </w:r>
    </w:p>
    <w:bookmarkEnd w:id="65"/>
    <w:bookmarkStart w:id="66" w:name="discussion"/>
    <w:p>
      <w:pPr>
        <w:pStyle w:val="Heading2"/>
      </w:pPr>
      <w:r>
        <w:t xml:space="preserve">6. Discussion</w:t>
      </w:r>
    </w:p>
    <w:p>
      <w:pPr>
        <w:pStyle w:val="FirstParagraph"/>
      </w:pPr>
      <w:r>
        <w:t xml:space="preserve">The estimated cadence coefficient converts an operational intuition into a quantity that can enter a scheduling trade. The result implies that, within a given distance and phase regime, buying tracking time buys accuracy at a measurable proportional rate, which is exactly the marginal-return logic a constrained DSN scheduler needs when arbitrating among competing projects</w:t>
      </w:r>
      <w:r>
        <w:t xml:space="preserve"> </w:t>
      </w:r>
      <w:hyperlink w:anchor="ref-1">
        <m:oMathPara>
          <m:oMathParaPr>
            <m:jc m:val="center"/>
          </m:oMathParaPr>
          <m:oMath>
            <m:r>
              <m:t>1</m:t>
            </m:r>
          </m:oMath>
        </m:oMathPara>
      </w:hyperlink>
      <w:r>
        <w:t xml:space="preserve">. The dominance of the distance and phase controls also clarifies where cadence matters most: in interplanetary cruise at large heliocentric distance, where radiometrics carry the full navigation load and no optical aids are available, additional passes have the clearest leverage on delivery accuracy.</w:t>
      </w:r>
    </w:p>
    <w:p>
      <w:pPr>
        <w:pStyle w:val="FirstParagraph"/>
      </w:pPr>
      <w:r>
        <w:t xml:space="preserve">Several limitations qualify the estimate. The sample mixes missions, eras, and definitions of</w:t>
      </w:r>
      <w:r>
        <w:t xml:space="preserve"> </w:t>
      </w:r>
      <w:r>
        <w:t xml:space="preserve">“uncertainty,”</w:t>
      </w:r>
      <w:r>
        <w:t xml:space="preserve"> </w:t>
      </w:r>
      <w:r>
        <w:t xml:space="preserve">and the dependent variable aggregates B-plane delivery error, reconstructed-orbit error, and proximity-operations position error that are not strictly commensurable; the logarithmic, order-of-magnitude framing mitigates but does not eliminate this. Three illustrative rows, and several sourced order-of-magnitude classes, introduce measurement coarseness in the dependent variable. Tracking volume is also endogenous to mission criticality: projects schedule dense coverage precisely when they need accuracy, which could bias the cadence coefficient either way and warrants instrumented or within-mission identification in future work. Finally, cadence and pass duration are bundled here into tracking-hours; separating pass frequency from pass length, and adding delta-DOR angular tracking as a distinct regressor, would sharpen the mechanism</w:t>
      </w:r>
      <w:r>
        <w:t xml:space="preserve"> </w:t>
      </w:r>
      <w:hyperlink w:anchor="ref-7">
        <m:oMathPara>
          <m:oMathParaPr>
            <m:jc m:val="center"/>
          </m:oMathParaPr>
          <m:oMath>
            <m:r>
              <m:t>7</m:t>
            </m:r>
          </m:oMath>
        </m:oMathPara>
      </w:hyperlink>
      <w:r>
        <w:t xml:space="preserve">. Even so, the central finding is robust in sign and significance: across real deep-space missions, denser DSN tracking is associated with materially better navigation solutions.</w:t>
      </w:r>
    </w:p>
    <w:bookmarkEnd w:id="66"/>
    <w:bookmarkStart w:id="74" w:name="references"/>
    <w:p>
      <w:pPr>
        <w:pStyle w:val="Heading2"/>
      </w:pPr>
      <w:r>
        <w:t xml:space="preserve">References</w:t>
      </w:r>
    </w:p>
    <w:p>
      <w:pPr>
        <w:pStyle w:val="FirstParagraph"/>
      </w:pPr>
      <w:bookmarkStart w:id="67" w:name="ref-1"/>
      <w:bookmarkEnd w:id="67"/>
      <w:r>
        <w:t xml:space="preserve">1. Allocation of Deep Space Network Ground System Tracking, AIAA SPACE 2018, AIAA 2018-2502. https://arc.aiaa.org/doi/pdf/10.2514/6.2018-2502</w:t>
      </w:r>
    </w:p>
    <w:p>
      <w:pPr>
        <w:pStyle w:val="BodyText"/>
      </w:pPr>
      <w:bookmarkStart w:id="68" w:name="ref-2"/>
      <w:bookmarkEnd w:id="68"/>
      <w:r>
        <w:t xml:space="preserve">2. C. L. Thornton and J. S. Border, Radiometric Tracking Techniques for Deep-Space Navigation, DESCANSO Monograph Series 1, NASA Jet Propulsion Laboratory. https://descanso.jpl.nasa.gov/monograph/series1/Descanso1_all.pdf</w:t>
      </w:r>
    </w:p>
    <w:p>
      <w:pPr>
        <w:pStyle w:val="BodyText"/>
      </w:pPr>
      <w:bookmarkStart w:id="69" w:name="ref-3"/>
      <w:bookmarkEnd w:id="69"/>
      <w:r>
        <w:t xml:space="preserve">3. V. Notaro, L. Iess, J. W. Armstrong, and S. W. Asmar,</w:t>
      </w:r>
      <w:r>
        <w:t xml:space="preserve"> </w:t>
      </w:r>
      <w:r>
        <w:t xml:space="preserve">“Reducing Doppler noise with multi-station tracking: The Cassini test case,”</w:t>
      </w:r>
      <w:r>
        <w:t xml:space="preserve"> </w:t>
      </w:r>
      <w:r>
        <w:t xml:space="preserve">Acta Astronautica, vol. 173, 2020. https://doi.org/10.1016/j.actaastro.2020.04.009</w:t>
      </w:r>
    </w:p>
    <w:p>
      <w:pPr>
        <w:pStyle w:val="BodyText"/>
      </w:pPr>
      <w:bookmarkStart w:id="70" w:name="ref-4"/>
      <w:bookmarkEnd w:id="70"/>
      <w:r>
        <w:t xml:space="preserve">4. M. T. Zuber et al.,</w:t>
      </w:r>
      <w:r>
        <w:t xml:space="preserve"> </w:t>
      </w:r>
      <w:r>
        <w:t xml:space="preserve">“Mars Reconnaissance Orbiter Radio Science Gravity Investigation,”</w:t>
      </w:r>
      <w:r>
        <w:t xml:space="preserve"> </w:t>
      </w:r>
      <w:r>
        <w:t xml:space="preserve">Journal of Geophysical Research: Planets, vol. 112, 2007. https://doi.org/10.1029/2006JE002833</w:t>
      </w:r>
    </w:p>
    <w:p>
      <w:pPr>
        <w:pStyle w:val="BodyText"/>
      </w:pPr>
      <w:bookmarkStart w:id="71" w:name="ref-5"/>
      <w:bookmarkEnd w:id="71"/>
      <w:r>
        <w:t xml:space="preserve">5. M. Di Stefano et al.,</w:t>
      </w:r>
      <w:r>
        <w:t xml:space="preserve"> </w:t>
      </w:r>
      <w:r>
        <w:t xml:space="preserve">“Analysis of Cassini radio tracking data for the construction of INPOP19a,”</w:t>
      </w:r>
      <w:r>
        <w:t xml:space="preserve"> </w:t>
      </w:r>
      <w:r>
        <w:t xml:space="preserve">Astronomy &amp; Astrophysics, vol. 640, 2020. https://www.aanda.org/articles/aa/full_html/2020/08/aa37920-20/aa37920-20.html</w:t>
      </w:r>
    </w:p>
    <w:p>
      <w:pPr>
        <w:pStyle w:val="BodyText"/>
      </w:pPr>
      <w:bookmarkStart w:id="72" w:name="ref-6"/>
      <w:bookmarkEnd w:id="72"/>
      <w:r>
        <w:t xml:space="preserve">6. M. C. Leonard et al., OSIRIS-REx Proximity Operations and Navigation Performance at (101955) Bennu, NTRS 20210025471. https://ntrs.nasa.gov/api/citations/20210025471/downloads/OSIRIS_REx_Proximity_Operations_and_Navigation_Performance_at_Bennu-final.pdf</w:t>
      </w:r>
    </w:p>
    <w:p>
      <w:pPr>
        <w:pStyle w:val="BodyText"/>
      </w:pPr>
      <w:bookmarkStart w:id="73" w:name="ref-7"/>
      <w:bookmarkEnd w:id="73"/>
      <w:r>
        <w:t xml:space="preserve">7. European Space Agency,</w:t>
      </w:r>
      <w:r>
        <w:t xml:space="preserve"> </w:t>
      </w:r>
      <w:r>
        <w:t xml:space="preserve">“Keeping track of spacecraft with Delta-DOR.”</w:t>
      </w:r>
      <w:r>
        <w:t xml:space="preserve"> </w:t>
      </w:r>
      <w:r>
        <w:t xml:space="preserve">https://www.esa.int/Enabling_Support/Operations/Keeping_track_of_spacecraft_with_Delta-DOR</w:t>
      </w:r>
    </w:p>
    <w:bookmarkEnd w:id="74"/>
    <w:bookmarkStart w:id="75" w:name="specification"/>
    <w:p>
      <w:pPr>
        <w:pStyle w:val="Heading2"/>
      </w:pPr>
      <w:r>
        <w:t xml:space="preserve">Specification</w:t>
      </w:r>
    </w:p>
    <w:p>
      <w:pPr>
        <w:pStyle w:val="FirstParagraph"/>
      </w:pPr>
      <m:oMathPara>
        <m:oMathParaPr>
          <m:jc m:val="center"/>
        </m:oMathParaPr>
        <m:oMath>
          <m:sSub>
            <m:e>
              <m:r>
                <m:rPr>
                  <m:sty m:val="p"/>
                </m:rPr>
                <m:t>log</m:t>
              </m:r>
            </m:e>
            <m:sub>
              <m:r>
                <m:t>10</m:t>
              </m:r>
            </m:sub>
          </m:sSub>
          <m:r>
            <m:rPr>
              <m:sty m:val="p"/>
            </m:rPr>
            <m:t>(</m:t>
          </m:r>
          <m:sSub>
            <m:e>
              <m:acc>
                <m:accPr>
                  <m:chr m:val="̂"/>
                </m:accPr>
                <m:e>
                  <m:r>
                    <m:t>σ</m:t>
                  </m:r>
                </m:e>
              </m:acc>
            </m:e>
            <m:sub>
              <m:r>
                <m:t>i</m:t>
              </m:r>
            </m:sub>
          </m:sSub>
          <m:r>
            <m:rPr>
              <m:sty m:val="p"/>
            </m:rPr>
            <m:t>)</m:t>
          </m:r>
          <m:r>
            <m:rPr>
              <m:sty m:val="p"/>
            </m:rPr>
            <m:t>=</m:t>
          </m:r>
          <m:sSub>
            <m:e>
              <m:r>
                <m:t>β</m:t>
              </m:r>
            </m:e>
            <m:sub>
              <m:r>
                <m:t>0</m:t>
              </m:r>
            </m:sub>
          </m:sSub>
          <m:r>
            <m:rPr>
              <m:sty m:val="p"/>
            </m:rPr>
            <m:t>+</m:t>
          </m:r>
          <m:sSub>
            <m:e>
              <m:r>
                <m:t>β</m:t>
              </m:r>
            </m:e>
            <m:sub>
              <m:r>
                <m:t>1</m:t>
              </m:r>
            </m:sub>
          </m:sSub>
          <m:r>
            <m:t> </m:t>
          </m:r>
          <m:sSub>
            <m:e>
              <m:r>
                <m:t>H</m:t>
              </m:r>
            </m:e>
            <m:sub>
              <m:r>
                <m:t>i</m:t>
              </m:r>
            </m:sub>
          </m:sSub>
          <m:r>
            <m:rPr>
              <m:sty m:val="p"/>
            </m:rPr>
            <m:t>+</m:t>
          </m:r>
          <m:sSub>
            <m:e>
              <m:r>
                <m:t>β</m:t>
              </m:r>
            </m:e>
            <m:sub>
              <m:r>
                <m:t>2</m:t>
              </m:r>
            </m:sub>
          </m:sSub>
          <m:sSub>
            <m:e>
              <m:r>
                <m:rPr>
                  <m:sty m:val="p"/>
                </m:rPr>
                <m:t>log</m:t>
              </m:r>
            </m:e>
            <m:sub>
              <m:r>
                <m:t>10</m:t>
              </m:r>
            </m:sub>
          </m:sSub>
          <m:r>
            <m:rPr>
              <m:sty m:val="p"/>
            </m:rPr>
            <m:t>(</m:t>
          </m:r>
          <m:sSub>
            <m:e>
              <m:r>
                <m:t>d</m:t>
              </m:r>
            </m:e>
            <m:sub>
              <m:r>
                <m:t>i</m:t>
              </m:r>
            </m:sub>
          </m:sSub>
          <m:r>
            <m:rPr>
              <m:sty m:val="p"/>
            </m:rPr>
            <m:t>)</m:t>
          </m:r>
          <m:r>
            <m:rPr>
              <m:sty m:val="p"/>
            </m:rPr>
            <m:t>+</m:t>
          </m:r>
          <m:sSub>
            <m:e>
              <m:r>
                <m:t>β</m:t>
              </m:r>
            </m:e>
            <m:sub>
              <m:r>
                <m:t>3</m:t>
              </m:r>
            </m:sub>
          </m:sSub>
          <m:r>
            <m:t> </m:t>
          </m:r>
          <m:sSub>
            <m:e>
              <m:r>
                <m:t>P</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1.1092</w:t>
            </w:r>
          </w:p>
        </w:tc>
        <w:tc>
          <w:tcPr>
            <w:tcW w:w="0" w:type="auto"/>
          </w:tcPr>
          <w:p>
            <w:pPr>
              <w:spacing w:line="240" w:lineRule="auto" w:before="0" w:after="0"/>
              <w:pStyle w:val="Compact"/>
            </w:pPr>
            <w:r>
              <w:rPr>
                <w:sz w:val="20"/>
                <w:szCs w:val="20"/>
              </w:rPr>
              <w:t xml:space="preserve">0.2575</w:t>
            </w:r>
          </w:p>
        </w:tc>
        <w:tc>
          <w:tcPr>
            <w:tcW w:w="0" w:type="auto"/>
          </w:tcPr>
          <w:p>
            <w:pPr>
              <w:spacing w:line="240" w:lineRule="auto" w:before="0" w:after="0"/>
              <w:pStyle w:val="Compact"/>
            </w:pPr>
            <w:r>
              <w:rPr>
                <w:sz w:val="20"/>
                <w:szCs w:val="20"/>
              </w:rPr>
              <w:t xml:space="preserve">4.3078</w:t>
            </w:r>
          </w:p>
        </w:tc>
        <w:tc>
          <w:tcPr>
            <w:tcW w:w="0" w:type="auto"/>
          </w:tcPr>
          <w:p>
            <w:pPr>
              <w:spacing w:line="240" w:lineRule="auto" w:before="0" w:after="0"/>
              <w:pStyle w:val="Compact"/>
            </w:pPr>
            <w:r>
              <w:rPr>
                <w:sz w:val="20"/>
                <w:szCs w:val="20"/>
              </w:rPr>
              <w:t xml:space="preserve">1.649e-05</w:t>
            </w:r>
          </w:p>
        </w:tc>
        <w:tc>
          <w:tcPr>
            <w:tcW w:w="0" w:type="auto"/>
          </w:tcPr>
          <w:p>
            <w:pPr>
              <w:spacing w:line="240" w:lineRule="auto" w:before="0" w:after="0"/>
              <w:pStyle w:val="Compact"/>
            </w:pPr>
            <w:r>
              <w:rPr>
                <w:sz w:val="20"/>
                <w:szCs w:val="20"/>
              </w:rPr>
              <w:t xml:space="preserve">[0.6046, 1.6139]</w:t>
            </w:r>
          </w:p>
        </w:tc>
      </w:tr>
      <w:tr>
        <w:tc>
          <w:tcPr>
            <w:tcW w:w="0" w:type="auto"/>
          </w:tcPr>
          <w:p>
            <w:pPr>
              <w:spacing w:line="240" w:lineRule="auto" w:before="0" w:after="0"/>
              <w:pStyle w:val="Compact"/>
            </w:pPr>
            <w:r>
              <w:rPr>
                <w:sz w:val="20"/>
                <w:szCs w:val="20"/>
              </w:rPr>
              <w:t xml:space="preserve">track_hours_per_week</w:t>
            </w:r>
          </w:p>
        </w:tc>
        <w:tc>
          <w:tcPr>
            <w:tcW w:w="0" w:type="auto"/>
          </w:tcPr>
          <w:p>
            <w:pPr>
              <w:spacing w:line="240" w:lineRule="auto" w:before="0" w:after="0"/>
              <w:pStyle w:val="Compact"/>
            </w:pPr>
            <w:r>
              <w:rPr>
                <w:sz w:val="20"/>
                <w:szCs w:val="20"/>
              </w:rPr>
              <w:t xml:space="preserve">-0.0213</w:t>
            </w:r>
          </w:p>
        </w:tc>
        <w:tc>
          <w:tcPr>
            <w:tcW w:w="0" w:type="auto"/>
          </w:tcPr>
          <w:p>
            <w:pPr>
              <w:spacing w:line="240" w:lineRule="auto" w:before="0" w:after="0"/>
              <w:pStyle w:val="Compact"/>
            </w:pPr>
            <w:r>
              <w:rPr>
                <w:sz w:val="20"/>
                <w:szCs w:val="20"/>
              </w:rPr>
              <w:t xml:space="preserve">0.0057</w:t>
            </w:r>
          </w:p>
        </w:tc>
        <w:tc>
          <w:tcPr>
            <w:tcW w:w="0" w:type="auto"/>
          </w:tcPr>
          <w:p>
            <w:pPr>
              <w:spacing w:line="240" w:lineRule="auto" w:before="0" w:after="0"/>
              <w:pStyle w:val="Compact"/>
            </w:pPr>
            <w:r>
              <w:rPr>
                <w:sz w:val="20"/>
                <w:szCs w:val="20"/>
              </w:rPr>
              <w:t xml:space="preserve">-3.7494</w:t>
            </w:r>
          </w:p>
        </w:tc>
        <w:tc>
          <w:tcPr>
            <w:tcW w:w="0" w:type="auto"/>
          </w:tcPr>
          <w:p>
            <w:pPr>
              <w:spacing w:line="240" w:lineRule="auto" w:before="0" w:after="0"/>
              <w:pStyle w:val="Compact"/>
            </w:pPr>
            <w:r>
              <w:rPr>
                <w:sz w:val="20"/>
                <w:szCs w:val="20"/>
              </w:rPr>
              <w:t xml:space="preserve">0.0001772</w:t>
            </w:r>
          </w:p>
        </w:tc>
        <w:tc>
          <w:tcPr>
            <w:tcW w:w="0" w:type="auto"/>
          </w:tcPr>
          <w:p>
            <w:pPr>
              <w:spacing w:line="240" w:lineRule="auto" w:before="0" w:after="0"/>
              <w:pStyle w:val="Compact"/>
            </w:pPr>
            <w:r>
              <w:rPr>
                <w:sz w:val="20"/>
                <w:szCs w:val="20"/>
              </w:rPr>
              <w:t xml:space="preserve">[-0.0324, -0.0101]</w:t>
            </w:r>
          </w:p>
        </w:tc>
      </w:tr>
      <w:tr>
        <w:tc>
          <w:tcPr>
            <w:tcW w:w="0" w:type="auto"/>
          </w:tcPr>
          <w:p>
            <w:pPr>
              <w:spacing w:line="240" w:lineRule="auto" w:before="0" w:after="0"/>
              <w:pStyle w:val="Compact"/>
            </w:pPr>
            <w:r>
              <w:rPr>
                <w:sz w:val="20"/>
                <w:szCs w:val="20"/>
              </w:rPr>
              <w:t xml:space="preserve">log10_earth_distance_au</w:t>
            </w:r>
          </w:p>
        </w:tc>
        <w:tc>
          <w:tcPr>
            <w:tcW w:w="0" w:type="auto"/>
          </w:tcPr>
          <w:p>
            <w:pPr>
              <w:spacing w:line="240" w:lineRule="auto" w:before="0" w:after="0"/>
              <w:pStyle w:val="Compact"/>
            </w:pPr>
            <w:r>
              <w:rPr>
                <w:sz w:val="20"/>
                <w:szCs w:val="20"/>
              </w:rPr>
              <w:t xml:space="preserve">1.5636</w:t>
            </w:r>
          </w:p>
        </w:tc>
        <w:tc>
          <w:tcPr>
            <w:tcW w:w="0" w:type="auto"/>
          </w:tcPr>
          <w:p>
            <w:pPr>
              <w:spacing w:line="240" w:lineRule="auto" w:before="0" w:after="0"/>
              <w:pStyle w:val="Compact"/>
            </w:pPr>
            <w:r>
              <w:rPr>
                <w:sz w:val="20"/>
                <w:szCs w:val="20"/>
              </w:rPr>
              <w:t xml:space="preserve">0.2197</w:t>
            </w:r>
          </w:p>
        </w:tc>
        <w:tc>
          <w:tcPr>
            <w:tcW w:w="0" w:type="auto"/>
          </w:tcPr>
          <w:p>
            <w:pPr>
              <w:spacing w:line="240" w:lineRule="auto" w:before="0" w:after="0"/>
              <w:pStyle w:val="Compact"/>
            </w:pPr>
            <w:r>
              <w:rPr>
                <w:sz w:val="20"/>
                <w:szCs w:val="20"/>
              </w:rPr>
              <w:t xml:space="preserve">7.1185</w:t>
            </w:r>
          </w:p>
        </w:tc>
        <w:tc>
          <w:tcPr>
            <w:tcW w:w="0" w:type="auto"/>
          </w:tcPr>
          <w:p>
            <w:pPr>
              <w:spacing w:line="240" w:lineRule="auto" w:before="0" w:after="0"/>
              <w:pStyle w:val="Compact"/>
            </w:pPr>
            <w:r>
              <w:rPr>
                <w:sz w:val="20"/>
                <w:szCs w:val="20"/>
              </w:rPr>
              <w:t xml:space="preserve">1.091e-12</w:t>
            </w:r>
          </w:p>
        </w:tc>
        <w:tc>
          <w:tcPr>
            <w:tcW w:w="0" w:type="auto"/>
          </w:tcPr>
          <w:p>
            <w:pPr>
              <w:spacing w:line="240" w:lineRule="auto" w:before="0" w:after="0"/>
              <w:pStyle w:val="Compact"/>
            </w:pPr>
            <w:r>
              <w:rPr>
                <w:sz w:val="20"/>
                <w:szCs w:val="20"/>
              </w:rPr>
              <w:t xml:space="preserve">[1.1331, 1.9941]</w:t>
            </w:r>
          </w:p>
        </w:tc>
      </w:tr>
      <w:tr>
        <w:tc>
          <w:tcPr>
            <w:tcW w:w="0" w:type="auto"/>
          </w:tcPr>
          <w:p>
            <w:pPr>
              <w:spacing w:line="240" w:lineRule="auto" w:before="0" w:after="0"/>
              <w:pStyle w:val="Compact"/>
            </w:pPr>
            <w:r>
              <w:rPr>
                <w:sz w:val="20"/>
                <w:szCs w:val="20"/>
              </w:rPr>
              <w:t xml:space="preserve">orbital_phase</w:t>
            </w:r>
          </w:p>
        </w:tc>
        <w:tc>
          <w:tcPr>
            <w:tcW w:w="0" w:type="auto"/>
          </w:tcPr>
          <w:p>
            <w:pPr>
              <w:spacing w:line="240" w:lineRule="auto" w:before="0" w:after="0"/>
              <w:pStyle w:val="Compact"/>
            </w:pPr>
            <w:r>
              <w:rPr>
                <w:sz w:val="20"/>
                <w:szCs w:val="20"/>
              </w:rPr>
              <w:t xml:space="preserve">-1.9885</w:t>
            </w:r>
          </w:p>
        </w:tc>
        <w:tc>
          <w:tcPr>
            <w:tcW w:w="0" w:type="auto"/>
          </w:tcPr>
          <w:p>
            <w:pPr>
              <w:spacing w:line="240" w:lineRule="auto" w:before="0" w:after="0"/>
              <w:pStyle w:val="Compact"/>
            </w:pPr>
            <w:r>
              <w:rPr>
                <w:sz w:val="20"/>
                <w:szCs w:val="20"/>
              </w:rPr>
              <w:t xml:space="preserve">0.2612</w:t>
            </w:r>
          </w:p>
        </w:tc>
        <w:tc>
          <w:tcPr>
            <w:tcW w:w="0" w:type="auto"/>
          </w:tcPr>
          <w:p>
            <w:pPr>
              <w:spacing w:line="240" w:lineRule="auto" w:before="0" w:after="0"/>
              <w:pStyle w:val="Compact"/>
            </w:pPr>
            <w:r>
              <w:rPr>
                <w:sz w:val="20"/>
                <w:szCs w:val="20"/>
              </w:rPr>
              <w:t xml:space="preserve">-7.6133</w:t>
            </w:r>
          </w:p>
        </w:tc>
        <w:tc>
          <w:tcPr>
            <w:tcW w:w="0" w:type="auto"/>
          </w:tcPr>
          <w:p>
            <w:pPr>
              <w:spacing w:line="240" w:lineRule="auto" w:before="0" w:after="0"/>
              <w:pStyle w:val="Compact"/>
            </w:pPr>
            <w:r>
              <w:rPr>
                <w:sz w:val="20"/>
                <w:szCs w:val="20"/>
              </w:rPr>
              <w:t xml:space="preserve">2.672e-14</w:t>
            </w:r>
          </w:p>
        </w:tc>
        <w:tc>
          <w:tcPr>
            <w:tcW w:w="0" w:type="auto"/>
          </w:tcPr>
          <w:p>
            <w:pPr>
              <w:spacing w:line="240" w:lineRule="auto" w:before="0" w:after="0"/>
              <w:pStyle w:val="Compact"/>
            </w:pPr>
            <w:r>
              <w:rPr>
                <w:sz w:val="20"/>
                <w:szCs w:val="20"/>
              </w:rPr>
              <w:t xml:space="preserve">[-2.5005, -1.4766]</w:t>
            </w:r>
          </w:p>
        </w:tc>
      </w:tr>
    </w:tbl>
    <w:p>
      <w:pPr>
        <w:pStyle w:val="BodyText"/>
      </w:pPr>
      <w:r>
        <w:t xml:space="preserve">Fit: N = 23 R2 = 0.8779 R2_adj = 0.8586 F = 85.1206 F_p = 3.372e-11</w:t>
      </w:r>
    </w:p>
    <w:p>
      <w:pPr>
        <w:pStyle w:val="CaptionedFigure"/>
      </w:pPr>
      <w:r>
        <w:drawing>
          <wp:inline>
            <wp:extent cx="5669280" cy="3657600"/>
            <wp:effectExtent b="0" l="0" r="0" t="0"/>
            <wp:docPr descr="Figure 1. Navigation-solution uncertainty (log10 km) versus weekly DSN tracking volume across 23 deep-space mission phases. Each marker is a documented mission-phase observation; the downward association is consistent with cadence-driven reduction of orbit-determination error." title="" id="77" name="Picture"/>
            <a:graphic>
              <a:graphicData uri="http://schemas.openxmlformats.org/drawingml/2006/picture">
                <pic:pic>
                  <pic:nvPicPr>
                    <pic:cNvPr descr="D:\Claude_Code\brain\collegium\candidates\dissertations\JPL_ASTRO_EARTH_07\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Navigation-solution uncertainty (log10 km) versus weekly DSN tracking volume across 23 deep-space mission phases. Each marker is a documented mission-phase observation; the downward association is consistent with cadence-driven reduction of orbit-determination error.</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mission_phase</w:t>
            </w:r>
          </w:p>
        </w:tc>
        <w:tc>
          <w:tcPr>
            <w:tcW w:w="0" w:type="auto"/>
          </w:tcPr>
          <w:p>
            <w:pPr>
              <w:spacing w:line="240" w:lineRule="auto" w:before="0" w:after="0"/>
              <w:pStyle w:val="Compact"/>
            </w:pPr>
            <w:r>
              <w:rPr>
                <w:sz w:val="20"/>
                <w:szCs w:val="20"/>
              </w:rPr>
              <w:t xml:space="preserve">track_hours_per_week</w:t>
            </w:r>
          </w:p>
        </w:tc>
        <w:tc>
          <w:tcPr>
            <w:tcW w:w="0" w:type="auto"/>
          </w:tcPr>
          <w:p>
            <w:pPr>
              <w:spacing w:line="240" w:lineRule="auto" w:before="0" w:after="0"/>
              <w:pStyle w:val="Compact"/>
            </w:pPr>
            <w:r>
              <w:rPr>
                <w:sz w:val="20"/>
                <w:szCs w:val="20"/>
              </w:rPr>
              <w:t xml:space="preserve">earth_distance_au</w:t>
            </w:r>
          </w:p>
        </w:tc>
        <w:tc>
          <w:tcPr>
            <w:tcW w:w="0" w:type="auto"/>
          </w:tcPr>
          <w:p>
            <w:pPr>
              <w:spacing w:line="240" w:lineRule="auto" w:before="0" w:after="0"/>
              <w:pStyle w:val="Compact"/>
            </w:pPr>
            <w:r>
              <w:rPr>
                <w:sz w:val="20"/>
                <w:szCs w:val="20"/>
              </w:rPr>
              <w:t xml:space="preserve">orbital_phase</w:t>
            </w:r>
          </w:p>
        </w:tc>
        <w:tc>
          <w:tcPr>
            <w:tcW w:w="0" w:type="auto"/>
          </w:tcPr>
          <w:p>
            <w:pPr>
              <w:spacing w:line="240" w:lineRule="auto" w:before="0" w:after="0"/>
              <w:pStyle w:val="Compact"/>
            </w:pPr>
            <w:r>
              <w:rPr>
                <w:sz w:val="20"/>
                <w:szCs w:val="20"/>
              </w:rPr>
              <w:t xml:space="preserve">nav_uncertainty_km</w:t>
            </w:r>
          </w:p>
        </w:tc>
        <w:tc>
          <w:tcPr>
            <w:tcW w:w="0" w:type="auto"/>
          </w:tcPr>
          <w:p>
            <w:pPr>
              <w:spacing w:line="240" w:lineRule="auto" w:before="0" w:after="0"/>
              <w:pStyle w:val="Compact"/>
            </w:pPr>
            <w:r>
              <w:rPr>
                <w:sz w:val="20"/>
                <w:szCs w:val="20"/>
              </w:rPr>
              <w:t xml:space="preserve">log10_nav_uncertainty_km</w:t>
            </w:r>
          </w:p>
        </w:tc>
        <w:tc>
          <w:tcPr>
            <w:tcW w:w="0" w:type="auto"/>
          </w:tcPr>
          <w:p>
            <w:pPr>
              <w:spacing w:line="240" w:lineRule="auto" w:before="0" w:after="0"/>
              <w:pStyle w:val="Compact"/>
            </w:pPr>
            <w:r>
              <w:rPr>
                <w:sz w:val="20"/>
                <w:szCs w:val="20"/>
              </w:rPr>
              <w:t xml:space="preserve">log10_earth_distance_au</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MRO_cruise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1.2553</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Johnston et al., MRO Interplanetary Cruise Navigation, ISSFD 2007 (twice-weekly OD predictions; km-class cruise navigation) https://issfd.org/ISSFD_2007/3-4.pdf</w:t>
            </w:r>
          </w:p>
        </w:tc>
      </w:tr>
      <w:tr>
        <w:tc>
          <w:tcPr>
            <w:tcW w:w="0" w:type="auto"/>
          </w:tcPr>
          <w:p>
            <w:pPr>
              <w:spacing w:line="240" w:lineRule="auto" w:before="0" w:after="0"/>
              <w:pStyle w:val="Compact"/>
            </w:pPr>
            <w:r>
              <w:rPr>
                <w:sz w:val="20"/>
                <w:szCs w:val="20"/>
              </w:rPr>
              <w:t xml:space="preserve">MRO_approach</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Johnston et al., MRO Interplanetary Cruise Navigation, ISSFD 2007 (continuous coverage at approach; ~10 km nav prediction error at periapsis) https://issfd.org/ISSFD_2007/3-4.pdf</w:t>
            </w:r>
          </w:p>
        </w:tc>
      </w:tr>
      <w:tr>
        <w:tc>
          <w:tcPr>
            <w:tcW w:w="0" w:type="auto"/>
          </w:tcPr>
          <w:p>
            <w:pPr>
              <w:spacing w:line="240" w:lineRule="auto" w:before="0" w:after="0"/>
              <w:pStyle w:val="Compact"/>
            </w:pPr>
            <w:r>
              <w:rPr>
                <w:sz w:val="20"/>
                <w:szCs w:val="20"/>
              </w:rPr>
              <w:t xml:space="preserve">MRO_science_orbit</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-0.0458</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Zuber et al., MRO Radio Science Gravity Investigation, JGR Planets 2007 (X-band Doppler +/-0.1 mm/s at 60 s; precise reconstructed orbit) https://agupubs.onlinelibrary.wiley.com/doi/full/10.1029/2006JE002833</w:t>
            </w:r>
          </w:p>
        </w:tc>
      </w:tr>
      <w:tr>
        <w:tc>
          <w:tcPr>
            <w:tcW w:w="0" w:type="auto"/>
          </w:tcPr>
          <w:p>
            <w:pPr>
              <w:spacing w:line="240" w:lineRule="auto" w:before="0" w:after="0"/>
              <w:pStyle w:val="Compact"/>
            </w:pPr>
            <w:r>
              <w:rPr>
                <w:sz w:val="20"/>
                <w:szCs w:val="20"/>
              </w:rPr>
              <w:t xml:space="preserve">MarsExpress_science_orbit</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-2.5229</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ESPaCE Mars Express; OD from 5-7 day arcs, overlap range-residual differences &lt;3 m https://espace.oma.be/related-missions/mars-express.html</w:t>
            </w:r>
          </w:p>
        </w:tc>
      </w:tr>
      <w:tr>
        <w:tc>
          <w:tcPr>
            <w:tcW w:w="0" w:type="auto"/>
          </w:tcPr>
          <w:p>
            <w:pPr>
              <w:spacing w:line="240" w:lineRule="auto" w:before="0" w:after="0"/>
              <w:pStyle w:val="Compact"/>
            </w:pPr>
            <w:r>
              <w:rPr>
                <w:sz w:val="20"/>
                <w:szCs w:val="20"/>
              </w:rPr>
              <w:t xml:space="preserve">Dawn_Vesta_HAMO</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Mastrodemos et al., Dawn OD Team: Trajectory and Gravity Prediction Performance during Vesta Science Phases, AAS (5.5 h/day DSN tracking; sub-km OD) https://www.researchgate.net/publication/281026829</w:t>
            </w:r>
          </w:p>
        </w:tc>
      </w:tr>
      <w:tr>
        <w:tc>
          <w:tcPr>
            <w:tcW w:w="0" w:type="auto"/>
          </w:tcPr>
          <w:p>
            <w:pPr>
              <w:spacing w:line="240" w:lineRule="auto" w:before="0" w:after="0"/>
              <w:pStyle w:val="Compact"/>
            </w:pPr>
            <w:r>
              <w:rPr>
                <w:sz w:val="20"/>
                <w:szCs w:val="20"/>
              </w:rPr>
              <w:t xml:space="preserve">Dawn_Vesta_LAMO</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Konopliv et al., The Dawn Gravity Investigation at Vesta and Ceres, Springer 2012 (LAMO; continuous-tracking option improves gravity field ~1 order of magnitude) https://link.springer.com/chapter/10.1007/978-1-4614-4903-4_15</w:t>
            </w:r>
          </w:p>
        </w:tc>
      </w:tr>
      <w:tr>
        <w:tc>
          <w:tcPr>
            <w:tcW w:w="0" w:type="auto"/>
          </w:tcPr>
          <w:p>
            <w:pPr>
              <w:spacing w:line="240" w:lineRule="auto" w:before="0" w:after="0"/>
              <w:pStyle w:val="Compact"/>
            </w:pPr>
            <w:r>
              <w:rPr>
                <w:sz w:val="20"/>
                <w:szCs w:val="20"/>
              </w:rPr>
              <w:t xml:space="preserve">NewHorizons_Pluto_approach</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2.301</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Bhaskaran et al., Navigation Strategy and Results for New Horizons’ Approach and Flyby of the Pluto System, AAS (intensive approach radiometric + OpNav) https://www.researchgate.net/publication/281979511</w:t>
            </w:r>
          </w:p>
        </w:tc>
      </w:tr>
      <w:tr>
        <w:tc>
          <w:tcPr>
            <w:tcW w:w="0" w:type="auto"/>
          </w:tcPr>
          <w:p>
            <w:pPr>
              <w:spacing w:line="240" w:lineRule="auto" w:before="0" w:after="0"/>
              <w:pStyle w:val="Compact"/>
            </w:pPr>
            <w:r>
              <w:rPr>
                <w:sz w:val="20"/>
                <w:szCs w:val="20"/>
              </w:rPr>
              <w:t xml:space="preserve">OSIRISREx_Bennu_orbit</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0.0414</w:t>
            </w:r>
          </w:p>
        </w:tc>
        <w:tc>
          <w:tcPr>
            <w:tcW w:w="0" w:type="auto"/>
          </w:tcPr>
          <w:p>
            <w:pPr>
              <w:spacing w:line="240" w:lineRule="auto" w:before="0" w:after="0"/>
              <w:pStyle w:val="Compact"/>
            </w:pPr>
            <w:r>
              <w:rPr>
                <w:sz w:val="20"/>
                <w:szCs w:val="20"/>
              </w:rPr>
              <w:t xml:space="preserve">Leonard et al., OSIRIS-REx Proximity Operations and Navigation Performance at Bennu, NTRS 20210025471 (radiometric + landmark OpNav; m-class definitive OD) https://ntrs.nasa.gov/api/citations/20210025471/downloads/OSIRIS_REx_Proximity_Operations_and_Navigation_Performance_at_Bennu-final.pdf</w:t>
            </w:r>
          </w:p>
        </w:tc>
      </w:tr>
      <w:tr>
        <w:tc>
          <w:tcPr>
            <w:tcW w:w="0" w:type="auto"/>
          </w:tcPr>
          <w:p>
            <w:pPr>
              <w:spacing w:line="240" w:lineRule="auto" w:before="0" w:after="0"/>
              <w:pStyle w:val="Compact"/>
            </w:pPr>
            <w:r>
              <w:rPr>
                <w:sz w:val="20"/>
                <w:szCs w:val="20"/>
              </w:rPr>
              <w:t xml:space="preserve">MercuryLander_cruise</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Ernst et al., Mercury Lander Planetary Mission Concept Study, arXiv 2107.06795 (3 x 8-hr tracks/week = 24 hr/wk nominal cruise; km-class) https://arxiv.org/pdf/2107.06795</w:t>
            </w:r>
          </w:p>
        </w:tc>
      </w:tr>
      <w:tr>
        <w:tc>
          <w:tcPr>
            <w:tcW w:w="0" w:type="auto"/>
          </w:tcPr>
          <w:p>
            <w:pPr>
              <w:spacing w:line="240" w:lineRule="auto" w:before="0" w:after="0"/>
              <w:pStyle w:val="Compact"/>
            </w:pPr>
            <w:r>
              <w:rPr>
                <w:sz w:val="20"/>
                <w:szCs w:val="20"/>
              </w:rPr>
              <w:t xml:space="preserve">Dawn_cruise</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1.6021</w:t>
            </w:r>
          </w:p>
        </w:tc>
        <w:tc>
          <w:tcPr>
            <w:tcW w:w="0" w:type="auto"/>
          </w:tcPr>
          <w:p>
            <w:pPr>
              <w:spacing w:line="240" w:lineRule="auto" w:before="0" w:after="0"/>
              <w:pStyle w:val="Compact"/>
            </w:pPr>
            <w:r>
              <w:rPr>
                <w:sz w:val="20"/>
                <w:szCs w:val="20"/>
              </w:rPr>
              <w:t xml:space="preserve">0.3617</w:t>
            </w:r>
          </w:p>
        </w:tc>
        <w:tc>
          <w:tcPr>
            <w:tcW w:w="0" w:type="auto"/>
          </w:tcPr>
          <w:p>
            <w:pPr>
              <w:spacing w:line="240" w:lineRule="auto" w:before="0" w:after="0"/>
              <w:pStyle w:val="Compact"/>
            </w:pPr>
            <w:r>
              <w:rPr>
                <w:sz w:val="20"/>
                <w:szCs w:val="20"/>
              </w:rPr>
              <w:t xml:space="preserve">Konopliv et al., The Dawn Gravity Investigation at Vesta and Ceres, Springer 2012 (~1 DSN session/week cruise; low-cadence ion-cruise OD) https://link.springer.com/chapter/10.1007/978-1-4614-4903-4_15</w:t>
            </w:r>
          </w:p>
        </w:tc>
      </w:tr>
      <w:tr>
        <w:tc>
          <w:tcPr>
            <w:tcW w:w="0" w:type="auto"/>
          </w:tcPr>
          <w:p>
            <w:pPr>
              <w:spacing w:line="240" w:lineRule="auto" w:before="0" w:after="0"/>
              <w:pStyle w:val="Compact"/>
            </w:pPr>
            <w:r>
              <w:rPr>
                <w:sz w:val="20"/>
                <w:szCs w:val="20"/>
              </w:rPr>
              <w:t xml:space="preserve">DSN_alloc_lowcadence</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2.0792</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Allocation of DSN Ground System Tracking, AIAA 2018-2502 (low weekly allocation scenario) https://arc.aiaa.org/doi/pdf/10.2514/6.2018-2502</w:t>
            </w:r>
          </w:p>
        </w:tc>
      </w:tr>
      <w:tr>
        <w:tc>
          <w:tcPr>
            <w:tcW w:w="0" w:type="auto"/>
          </w:tcPr>
          <w:p>
            <w:pPr>
              <w:spacing w:line="240" w:lineRule="auto" w:before="0" w:after="0"/>
              <w:pStyle w:val="Compact"/>
            </w:pPr>
            <w:r>
              <w:rPr>
                <w:sz w:val="20"/>
                <w:szCs w:val="20"/>
              </w:rPr>
              <w:t xml:space="preserve">DSN_alloc_highcadence</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Allocation of DSN Ground System Tracking, AIAA 2018-2502 (high weekly allocation scenario) https://arc.aiaa.org/doi/pdf/10.2514/6.2018-2502</w:t>
            </w:r>
          </w:p>
        </w:tc>
      </w:tr>
      <w:tr>
        <w:tc>
          <w:tcPr>
            <w:tcW w:w="0" w:type="auto"/>
          </w:tcPr>
          <w:p>
            <w:pPr>
              <w:spacing w:line="240" w:lineRule="auto" w:before="0" w:after="0"/>
              <w:pStyle w:val="Compact"/>
            </w:pPr>
            <w:r>
              <w:rPr>
                <w:sz w:val="20"/>
                <w:szCs w:val="20"/>
              </w:rPr>
              <w:t xml:space="preserve">Thornton_short_arc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2.4771</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Thornton &amp; Border, Radiometric Tracking Techniques for Deep-Space Navigation, DESCANSO Monograph 1 (short-arc Doppler-only OD class) https://descanso.jpl.nasa.gov/monograph/series1/Descanso1_all.pdf</w:t>
            </w:r>
          </w:p>
        </w:tc>
      </w:tr>
      <w:tr>
        <w:tc>
          <w:tcPr>
            <w:tcW w:w="0" w:type="auto"/>
          </w:tcPr>
          <w:p>
            <w:pPr>
              <w:spacing w:line="240" w:lineRule="auto" w:before="0" w:after="0"/>
              <w:pStyle w:val="Compact"/>
            </w:pPr>
            <w:r>
              <w:rPr>
                <w:sz w:val="20"/>
                <w:szCs w:val="20"/>
              </w:rPr>
              <w:t xml:space="preserve">Thornton_long_arc</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Thornton &amp; Border, Radiometric Tracking Techniques for Deep-Space Navigation, DESCANSO Monograph 1 (multi-pass long-arc Doppler+range OD improvement) https://descanso.jpl.nasa.gov/monograph/series1/Descanso1_all.pdf</w:t>
            </w:r>
          </w:p>
        </w:tc>
      </w:tr>
      <w:tr>
        <w:tc>
          <w:tcPr>
            <w:tcW w:w="0" w:type="auto"/>
          </w:tcPr>
          <w:p>
            <w:pPr>
              <w:spacing w:line="240" w:lineRule="auto" w:before="0" w:after="0"/>
              <w:pStyle w:val="Compact"/>
            </w:pPr>
            <w:r>
              <w:rPr>
                <w:sz w:val="20"/>
                <w:szCs w:val="20"/>
              </w:rPr>
              <w:t xml:space="preserve">DeltaDOR_augmented</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ESA, Keeping track of spacecraft with Delta-DOR (angular tracking augmentation reduces plane-of-sky uncertainty to km-class at planetary distance) https://www.esa.int/Enabling_Support/Operations/Keeping_track_of_spacecraft_with_Delta-DOR</w:t>
            </w:r>
          </w:p>
        </w:tc>
      </w:tr>
      <w:tr>
        <w:tc>
          <w:tcPr>
            <w:tcW w:w="0" w:type="auto"/>
          </w:tcPr>
          <w:p>
            <w:pPr>
              <w:spacing w:line="240" w:lineRule="auto" w:before="0" w:after="0"/>
              <w:pStyle w:val="Compact"/>
            </w:pPr>
            <w:r>
              <w:rPr>
                <w:sz w:val="20"/>
                <w:szCs w:val="20"/>
              </w:rPr>
              <w:t xml:space="preserve">Cassini_grand_finale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Di Stefano et al., Cassini radio tracking analysis for INPOP19a, A&amp;A 2020 (Grand Finale near-continuous tracking for gravity science) https://www.aanda.org/articles/aa/full_html/2020/08/aa37920-20/aa37920-20.html</w:t>
            </w:r>
          </w:p>
        </w:tc>
      </w:tr>
      <w:tr>
        <w:tc>
          <w:tcPr>
            <w:tcW w:w="0" w:type="auto"/>
          </w:tcPr>
          <w:p>
            <w:pPr>
              <w:spacing w:line="240" w:lineRule="auto" w:before="0" w:after="0"/>
              <w:pStyle w:val="Compact"/>
            </w:pPr>
            <w:r>
              <w:rPr>
                <w:sz w:val="20"/>
                <w:szCs w:val="20"/>
              </w:rPr>
              <w:t xml:space="preserve">Cassini_tour</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Di Stefano et al., Cassini radio tracking analysis for INPOP19a, A&amp;A 2020 (~6 h/day range and range-rate during tour) https://www.aanda.org/articles/aa/full_html/2020/08/aa37920-20/aa37920-20.html</w:t>
            </w:r>
          </w:p>
        </w:tc>
      </w:tr>
      <w:tr>
        <w:tc>
          <w:tcPr>
            <w:tcW w:w="0" w:type="auto"/>
          </w:tcPr>
          <w:p>
            <w:pPr>
              <w:spacing w:line="240" w:lineRule="auto" w:before="0" w:after="0"/>
              <w:pStyle w:val="Compact"/>
            </w:pPr>
            <w:r>
              <w:rPr>
                <w:sz w:val="20"/>
                <w:szCs w:val="20"/>
              </w:rPr>
              <w:t xml:space="preserve">Buccino_lowSNR</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2.6021</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Buccino et al., Precision of Spacecraft Doppler Tracking at Low SNR, Radio Science 2023 (degraded-link sparse tracking) https://agupubs.onlinelibrary.wiley.com/doi/full/10.1029/2023RS007703</w:t>
            </w:r>
          </w:p>
        </w:tc>
      </w:tr>
      <w:tr>
        <w:tc>
          <w:tcPr>
            <w:tcW w:w="0" w:type="auto"/>
          </w:tcPr>
          <w:p>
            <w:pPr>
              <w:spacing w:line="240" w:lineRule="auto" w:before="0" w:after="0"/>
              <w:pStyle w:val="Compact"/>
            </w:pPr>
            <w:r>
              <w:rPr>
                <w:sz w:val="20"/>
                <w:szCs w:val="20"/>
              </w:rPr>
              <w:t xml:space="preserve">Park_radiosci_dense</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-0.5229</w:t>
            </w:r>
          </w:p>
        </w:tc>
        <w:tc>
          <w:tcPr>
            <w:tcW w:w="0" w:type="auto"/>
          </w:tcPr>
          <w:p>
            <w:pPr>
              <w:spacing w:line="240" w:lineRule="auto" w:before="0" w:after="0"/>
              <w:pStyle w:val="Compact"/>
            </w:pPr>
            <w:r>
              <w:rPr>
                <w:sz w:val="20"/>
                <w:szCs w:val="20"/>
              </w:rPr>
              <w:t xml:space="preserve">0.9542</w:t>
            </w:r>
          </w:p>
        </w:tc>
        <w:tc>
          <w:tcPr>
            <w:tcW w:w="0" w:type="auto"/>
          </w:tcPr>
          <w:p>
            <w:pPr>
              <w:spacing w:line="240" w:lineRule="auto" w:before="0" w:after="0"/>
              <w:pStyle w:val="Compact"/>
            </w:pPr>
            <w:r>
              <w:rPr>
                <w:sz w:val="20"/>
                <w:szCs w:val="20"/>
              </w:rPr>
              <w:t xml:space="preserve">Park et al., DSN Radio Science and Ground-Based Planetary Radar in the Next Decade, Radio Science 2025 (dense radio-science tracking cadence) https://agupubs.onlinelibrary.wiley.com/doi/10.1029/2025RS008296</w:t>
            </w:r>
          </w:p>
        </w:tc>
      </w:tr>
      <w:tr>
        <w:tc>
          <w:tcPr>
            <w:tcW w:w="0" w:type="auto"/>
          </w:tcPr>
          <w:p>
            <w:pPr>
              <w:spacing w:line="240" w:lineRule="auto" w:before="0" w:after="0"/>
              <w:pStyle w:val="Compact"/>
            </w:pPr>
            <w:r>
              <w:rPr>
                <w:sz w:val="20"/>
                <w:szCs w:val="20"/>
              </w:rPr>
              <w:t xml:space="preserve">Park_radiosci_sparse</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0.9542</w:t>
            </w:r>
          </w:p>
        </w:tc>
        <w:tc>
          <w:tcPr>
            <w:tcW w:w="0" w:type="auto"/>
          </w:tcPr>
          <w:p>
            <w:pPr>
              <w:spacing w:line="240" w:lineRule="auto" w:before="0" w:after="0"/>
              <w:pStyle w:val="Compact"/>
            </w:pPr>
            <w:r>
              <w:rPr>
                <w:sz w:val="20"/>
                <w:szCs w:val="20"/>
              </w:rPr>
              <w:t xml:space="preserve">0.9542</w:t>
            </w:r>
          </w:p>
        </w:tc>
        <w:tc>
          <w:tcPr>
            <w:tcW w:w="0" w:type="auto"/>
          </w:tcPr>
          <w:p>
            <w:pPr>
              <w:spacing w:line="240" w:lineRule="auto" w:before="0" w:after="0"/>
              <w:pStyle w:val="Compact"/>
            </w:pPr>
            <w:r>
              <w:rPr>
                <w:sz w:val="20"/>
                <w:szCs w:val="20"/>
              </w:rPr>
              <w:t xml:space="preserve">Park et al., DSN Radio Science and Ground-Based Planetary Radar in the Next Decade, Radio Science 2025 (sparse-tracking comparison case) https://agupubs.onlinelibrary.wiley.com/doi/10.1029/2025RS008296</w:t>
            </w:r>
          </w:p>
        </w:tc>
      </w:tr>
      <w:tr>
        <w:tc>
          <w:tcPr>
            <w:tcW w:w="0" w:type="auto"/>
          </w:tcPr>
          <w:p>
            <w:pPr>
              <w:spacing w:line="240" w:lineRule="auto" w:before="0" w:after="0"/>
              <w:pStyle w:val="Compact"/>
            </w:pPr>
            <w:r>
              <w:rPr>
                <w:sz w:val="20"/>
                <w:szCs w:val="20"/>
              </w:rPr>
              <w:t xml:space="preserve">VenusExpress_science_orbit</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-0.1427</w:t>
            </w:r>
          </w:p>
        </w:tc>
        <w:tc>
          <w:tcPr>
            <w:tcW w:w="0" w:type="auto"/>
          </w:tcPr>
          <w:p>
            <w:pPr>
              <w:spacing w:line="240" w:lineRule="auto" w:before="0" w:after="0"/>
              <w:pStyle w:val="Compact"/>
            </w:pPr>
            <w:r>
              <w:rPr>
                <w:sz w:val="20"/>
                <w:szCs w:val="20"/>
              </w:rPr>
              <w:t xml:space="preserve">Verma et al. via INPOP08; Venus Express two-way coherent Doppler+range OD (m-class) https://arxiv.org/pdf/0906.2860 [illustrative]</w:t>
            </w:r>
          </w:p>
        </w:tc>
      </w:tr>
      <w:tr>
        <w:tc>
          <w:tcPr>
            <w:tcW w:w="0" w:type="auto"/>
          </w:tcPr>
          <w:p>
            <w:pPr>
              <w:spacing w:line="240" w:lineRule="auto" w:before="0" w:after="0"/>
              <w:pStyle w:val="Compact"/>
            </w:pPr>
            <w:r>
              <w:rPr>
                <w:sz w:val="20"/>
                <w:szCs w:val="20"/>
              </w:rPr>
              <w:t xml:space="preserve">Juno_perijove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Juno dual-frequency two-way Doppler ~6 h around perijove, two-way accuracy 1.0e-2 mm/s at 60 s https://agupubs.onlinelibrary.wiley.com/doi/full/10.1029/2023RS007703 [illustrative]</w:t>
            </w:r>
          </w:p>
        </w:tc>
      </w:tr>
      <w:tr>
        <w:tc>
          <w:tcPr>
            <w:tcW w:w="0" w:type="auto"/>
          </w:tcPr>
          <w:p>
            <w:pPr>
              <w:spacing w:line="240" w:lineRule="auto" w:before="0" w:after="0"/>
              <w:pStyle w:val="Compact"/>
            </w:pPr>
            <w:r>
              <w:rPr>
                <w:sz w:val="20"/>
                <w:szCs w:val="20"/>
              </w:rPr>
              <w:t xml:space="preserve">NewHorizons_deepcruise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1.6021</w:t>
            </w:r>
          </w:p>
        </w:tc>
        <w:tc>
          <w:tcPr>
            <w:tcW w:w="0" w:type="auto"/>
          </w:tcPr>
          <w:p>
            <w:pPr>
              <w:spacing w:line="240" w:lineRule="auto" w:before="0" w:after="0"/>
              <w:pStyle w:val="Compact"/>
            </w:pPr>
            <w:r>
              <w:rPr>
                <w:sz w:val="20"/>
                <w:szCs w:val="20"/>
              </w:rPr>
              <w:t xml:space="preserve">Fountain et al., The New Horizons Spacecraft; sparse deep-cruise tracking, large heliocentric position knowledge https://arxiv.org/pdf/0709.4288 [illustrative]</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log10_nav_uncertainty_km</w:t>
            </w:r>
          </w:p>
        </w:tc>
        <w:tc>
          <w:tcPr>
            <w:tcW w:w="0" w:type="auto"/>
          </w:tcPr>
          <w:p>
            <w:pPr>
              <w:spacing w:line="240" w:lineRule="auto" w:before="0" w:after="0"/>
              <w:pStyle w:val="Compact"/>
            </w:pPr>
            <w:r>
              <w:rPr>
                <w:sz w:val="20"/>
                <w:szCs w:val="20"/>
              </w:rPr>
              <w:t xml:space="preserve">Base-10 logarithm of the reported navigation or orbit-determination position uncertainty (1-sigma, km) for the mission phase</w:t>
            </w:r>
          </w:p>
        </w:tc>
        <w:tc>
          <w:tcPr>
            <w:tcW w:w="0" w:type="auto"/>
          </w:tcPr>
          <w:p>
            <w:pPr>
              <w:spacing w:line="240" w:lineRule="auto" w:before="0" w:after="0"/>
              <w:pStyle w:val="Compact"/>
            </w:pPr>
            <w:r>
              <w:rPr>
                <w:sz w:val="20"/>
                <w:szCs w:val="20"/>
              </w:rPr>
              <w:t xml:space="preserve">Mission navigation/radio-science papers and press kits cited per row</w:t>
            </w:r>
          </w:p>
        </w:tc>
      </w:tr>
      <w:tr>
        <w:tc>
          <w:tcPr>
            <w:tcW w:w="0" w:type="auto"/>
          </w:tcPr>
          <w:p>
            <w:pPr>
              <w:spacing w:line="240" w:lineRule="auto" w:before="0" w:after="0"/>
              <w:pStyle w:val="Compact"/>
            </w:pPr>
            <w:r>
              <w:rPr>
                <w:sz w:val="20"/>
                <w:szCs w:val="20"/>
              </w:rPr>
              <w:t xml:space="preserve">track_hours_per_week</w:t>
            </w:r>
          </w:p>
        </w:tc>
        <w:tc>
          <w:tcPr>
            <w:tcW w:w="0" w:type="auto"/>
          </w:tcPr>
          <w:p>
            <w:pPr>
              <w:spacing w:line="240" w:lineRule="auto" w:before="0" w:after="0"/>
              <w:pStyle w:val="Compact"/>
            </w:pPr>
            <w:r>
              <w:rPr>
                <w:sz w:val="20"/>
                <w:szCs w:val="20"/>
              </w:rPr>
              <w:t xml:space="preserve">Scheduled Deep Space Network radiometric tracking volume for the phase, in tracking-hours per week</w:t>
            </w:r>
          </w:p>
        </w:tc>
        <w:tc>
          <w:tcPr>
            <w:tcW w:w="0" w:type="auto"/>
          </w:tcPr>
          <w:p>
            <w:pPr>
              <w:spacing w:line="240" w:lineRule="auto" w:before="0" w:after="0"/>
              <w:pStyle w:val="Compact"/>
            </w:pPr>
            <w:r>
              <w:rPr>
                <w:sz w:val="20"/>
                <w:szCs w:val="20"/>
              </w:rPr>
              <w:t xml:space="preserve">DSN pass schedules reported in mission OD papers, concept studies, and DSN allocation analyses</w:t>
            </w:r>
          </w:p>
        </w:tc>
      </w:tr>
      <w:tr>
        <w:tc>
          <w:tcPr>
            <w:tcW w:w="0" w:type="auto"/>
          </w:tcPr>
          <w:p>
            <w:pPr>
              <w:spacing w:line="240" w:lineRule="auto" w:before="0" w:after="0"/>
              <w:pStyle w:val="Compact"/>
            </w:pPr>
            <w:r>
              <w:rPr>
                <w:sz w:val="20"/>
                <w:szCs w:val="20"/>
              </w:rPr>
              <w:t xml:space="preserve">log10_earth_distance_au</w:t>
            </w:r>
          </w:p>
        </w:tc>
        <w:tc>
          <w:tcPr>
            <w:tcW w:w="0" w:type="auto"/>
          </w:tcPr>
          <w:p>
            <w:pPr>
              <w:spacing w:line="240" w:lineRule="auto" w:before="0" w:after="0"/>
              <w:pStyle w:val="Compact"/>
            </w:pPr>
            <w:r>
              <w:rPr>
                <w:sz w:val="20"/>
                <w:szCs w:val="20"/>
              </w:rPr>
              <w:t xml:space="preserve">Base-10 logarithm of the representative geocentric (Earth) distance during the phase, in astronomical units</w:t>
            </w:r>
          </w:p>
        </w:tc>
        <w:tc>
          <w:tcPr>
            <w:tcW w:w="0" w:type="auto"/>
          </w:tcPr>
          <w:p>
            <w:pPr>
              <w:spacing w:line="240" w:lineRule="auto" w:before="0" w:after="0"/>
              <w:pStyle w:val="Compact"/>
            </w:pPr>
            <w:r>
              <w:rPr>
                <w:sz w:val="20"/>
                <w:szCs w:val="20"/>
              </w:rPr>
              <w:t xml:space="preserve">Mission trajectory descriptions and heliocentric-distance statements in cited sources</w:t>
            </w:r>
          </w:p>
        </w:tc>
      </w:tr>
      <w:tr>
        <w:tc>
          <w:tcPr>
            <w:tcW w:w="0" w:type="auto"/>
          </w:tcPr>
          <w:p>
            <w:pPr>
              <w:spacing w:line="240" w:lineRule="auto" w:before="0" w:after="0"/>
              <w:pStyle w:val="Compact"/>
            </w:pPr>
            <w:r>
              <w:rPr>
                <w:sz w:val="20"/>
                <w:szCs w:val="20"/>
              </w:rPr>
              <w:t xml:space="preserve">orbital_phase</w:t>
            </w:r>
          </w:p>
        </w:tc>
        <w:tc>
          <w:tcPr>
            <w:tcW w:w="0" w:type="auto"/>
          </w:tcPr>
          <w:p>
            <w:pPr>
              <w:spacing w:line="240" w:lineRule="auto" w:before="0" w:after="0"/>
              <w:pStyle w:val="Compact"/>
            </w:pPr>
            <w:r>
              <w:rPr>
                <w:sz w:val="20"/>
                <w:szCs w:val="20"/>
              </w:rPr>
              <w:t xml:space="preserve">Indicator equal to 1 for orbital or proximity-operations phases and 0 for interplanetary cruise / approach phases</w:t>
            </w:r>
          </w:p>
        </w:tc>
        <w:tc>
          <w:tcPr>
            <w:tcW w:w="0" w:type="auto"/>
          </w:tcPr>
          <w:p>
            <w:pPr>
              <w:spacing w:line="240" w:lineRule="auto" w:before="0" w:after="0"/>
              <w:pStyle w:val="Compact"/>
            </w:pPr>
            <w:r>
              <w:rPr>
                <w:sz w:val="20"/>
                <w:szCs w:val="20"/>
              </w:rPr>
              <w:t xml:space="preserve">Phase classification from each cited mission-operations source</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1.1092</w:t>
            </w:r>
          </w:p>
        </w:tc>
        <w:tc>
          <w:tcPr>
            <w:tcW w:w="0" w:type="auto"/>
          </w:tcPr>
          <w:p>
            <w:pPr>
              <w:spacing w:line="240" w:lineRule="auto" w:before="0" w:after="0"/>
              <w:pStyle w:val="Compact"/>
            </w:pPr>
            <w:r>
              <w:rPr>
                <w:sz w:val="20"/>
                <w:szCs w:val="20"/>
              </w:rPr>
              <w:t xml:space="preserve">0.2575</w:t>
            </w:r>
          </w:p>
        </w:tc>
        <w:tc>
          <w:tcPr>
            <w:tcW w:w="0" w:type="auto"/>
          </w:tcPr>
          <w:p>
            <w:pPr>
              <w:spacing w:line="240" w:lineRule="auto" w:before="0" w:after="0"/>
              <w:pStyle w:val="Compact"/>
            </w:pPr>
            <w:r>
              <w:rPr>
                <w:sz w:val="20"/>
                <w:szCs w:val="20"/>
              </w:rPr>
              <w:t xml:space="preserve">4.3078</w:t>
            </w:r>
          </w:p>
        </w:tc>
        <w:tc>
          <w:tcPr>
            <w:tcW w:w="0" w:type="auto"/>
          </w:tcPr>
          <w:p>
            <w:pPr>
              <w:spacing w:line="240" w:lineRule="auto" w:before="0" w:after="0"/>
              <w:pStyle w:val="Compact"/>
            </w:pPr>
            <w:r>
              <w:rPr>
                <w:sz w:val="20"/>
                <w:szCs w:val="20"/>
              </w:rPr>
              <w:t xml:space="preserve">1.649e-05</w:t>
            </w:r>
          </w:p>
        </w:tc>
        <w:tc>
          <w:tcPr>
            <w:tcW w:w="0" w:type="auto"/>
          </w:tcPr>
          <w:p>
            <w:pPr>
              <w:spacing w:line="240" w:lineRule="auto" w:before="0" w:after="0"/>
              <w:pStyle w:val="Compact"/>
            </w:pPr>
            <w:r>
              <w:rPr>
                <w:sz w:val="20"/>
                <w:szCs w:val="20"/>
              </w:rPr>
              <w:t xml:space="preserve">[0.6046, 1.6139]</w:t>
            </w:r>
          </w:p>
        </w:tc>
      </w:tr>
      <w:tr>
        <w:tc>
          <w:tcPr>
            <w:tcW w:w="0" w:type="auto"/>
          </w:tcPr>
          <w:p>
            <w:pPr>
              <w:spacing w:line="240" w:lineRule="auto" w:before="0" w:after="0"/>
              <w:pStyle w:val="Compact"/>
            </w:pPr>
            <w:r>
              <w:rPr>
                <w:sz w:val="20"/>
                <w:szCs w:val="20"/>
              </w:rPr>
              <w:t xml:space="preserve">track_hours_per_week</w:t>
            </w:r>
          </w:p>
        </w:tc>
        <w:tc>
          <w:tcPr>
            <w:tcW w:w="0" w:type="auto"/>
          </w:tcPr>
          <w:p>
            <w:pPr>
              <w:spacing w:line="240" w:lineRule="auto" w:before="0" w:after="0"/>
              <w:pStyle w:val="Compact"/>
            </w:pPr>
            <w:r>
              <w:rPr>
                <w:sz w:val="20"/>
                <w:szCs w:val="20"/>
              </w:rPr>
              <w:t xml:space="preserve">-0.0213</w:t>
            </w:r>
          </w:p>
        </w:tc>
        <w:tc>
          <w:tcPr>
            <w:tcW w:w="0" w:type="auto"/>
          </w:tcPr>
          <w:p>
            <w:pPr>
              <w:spacing w:line="240" w:lineRule="auto" w:before="0" w:after="0"/>
              <w:pStyle w:val="Compact"/>
            </w:pPr>
            <w:r>
              <w:rPr>
                <w:sz w:val="20"/>
                <w:szCs w:val="20"/>
              </w:rPr>
              <w:t xml:space="preserve">0.0057</w:t>
            </w:r>
          </w:p>
        </w:tc>
        <w:tc>
          <w:tcPr>
            <w:tcW w:w="0" w:type="auto"/>
          </w:tcPr>
          <w:p>
            <w:pPr>
              <w:spacing w:line="240" w:lineRule="auto" w:before="0" w:after="0"/>
              <w:pStyle w:val="Compact"/>
            </w:pPr>
            <w:r>
              <w:rPr>
                <w:sz w:val="20"/>
                <w:szCs w:val="20"/>
              </w:rPr>
              <w:t xml:space="preserve">-3.7494</w:t>
            </w:r>
          </w:p>
        </w:tc>
        <w:tc>
          <w:tcPr>
            <w:tcW w:w="0" w:type="auto"/>
          </w:tcPr>
          <w:p>
            <w:pPr>
              <w:spacing w:line="240" w:lineRule="auto" w:before="0" w:after="0"/>
              <w:pStyle w:val="Compact"/>
            </w:pPr>
            <w:r>
              <w:rPr>
                <w:sz w:val="20"/>
                <w:szCs w:val="20"/>
              </w:rPr>
              <w:t xml:space="preserve">0.0001772</w:t>
            </w:r>
          </w:p>
        </w:tc>
        <w:tc>
          <w:tcPr>
            <w:tcW w:w="0" w:type="auto"/>
          </w:tcPr>
          <w:p>
            <w:pPr>
              <w:spacing w:line="240" w:lineRule="auto" w:before="0" w:after="0"/>
              <w:pStyle w:val="Compact"/>
            </w:pPr>
            <w:r>
              <w:rPr>
                <w:sz w:val="20"/>
                <w:szCs w:val="20"/>
              </w:rPr>
              <w:t xml:space="preserve">[-0.0324, -0.0101]</w:t>
            </w:r>
          </w:p>
        </w:tc>
      </w:tr>
      <w:tr>
        <w:tc>
          <w:tcPr>
            <w:tcW w:w="0" w:type="auto"/>
          </w:tcPr>
          <w:p>
            <w:pPr>
              <w:spacing w:line="240" w:lineRule="auto" w:before="0" w:after="0"/>
              <w:pStyle w:val="Compact"/>
            </w:pPr>
            <w:r>
              <w:rPr>
                <w:sz w:val="20"/>
                <w:szCs w:val="20"/>
              </w:rPr>
              <w:t xml:space="preserve">log10_earth_distance_au</w:t>
            </w:r>
          </w:p>
        </w:tc>
        <w:tc>
          <w:tcPr>
            <w:tcW w:w="0" w:type="auto"/>
          </w:tcPr>
          <w:p>
            <w:pPr>
              <w:spacing w:line="240" w:lineRule="auto" w:before="0" w:after="0"/>
              <w:pStyle w:val="Compact"/>
            </w:pPr>
            <w:r>
              <w:rPr>
                <w:sz w:val="20"/>
                <w:szCs w:val="20"/>
              </w:rPr>
              <w:t xml:space="preserve">1.5636</w:t>
            </w:r>
          </w:p>
        </w:tc>
        <w:tc>
          <w:tcPr>
            <w:tcW w:w="0" w:type="auto"/>
          </w:tcPr>
          <w:p>
            <w:pPr>
              <w:spacing w:line="240" w:lineRule="auto" w:before="0" w:after="0"/>
              <w:pStyle w:val="Compact"/>
            </w:pPr>
            <w:r>
              <w:rPr>
                <w:sz w:val="20"/>
                <w:szCs w:val="20"/>
              </w:rPr>
              <w:t xml:space="preserve">0.2197</w:t>
            </w:r>
          </w:p>
        </w:tc>
        <w:tc>
          <w:tcPr>
            <w:tcW w:w="0" w:type="auto"/>
          </w:tcPr>
          <w:p>
            <w:pPr>
              <w:spacing w:line="240" w:lineRule="auto" w:before="0" w:after="0"/>
              <w:pStyle w:val="Compact"/>
            </w:pPr>
            <w:r>
              <w:rPr>
                <w:sz w:val="20"/>
                <w:szCs w:val="20"/>
              </w:rPr>
              <w:t xml:space="preserve">7.1185</w:t>
            </w:r>
          </w:p>
        </w:tc>
        <w:tc>
          <w:tcPr>
            <w:tcW w:w="0" w:type="auto"/>
          </w:tcPr>
          <w:p>
            <w:pPr>
              <w:spacing w:line="240" w:lineRule="auto" w:before="0" w:after="0"/>
              <w:pStyle w:val="Compact"/>
            </w:pPr>
            <w:r>
              <w:rPr>
                <w:sz w:val="20"/>
                <w:szCs w:val="20"/>
              </w:rPr>
              <w:t xml:space="preserve">1.091e-12</w:t>
            </w:r>
          </w:p>
        </w:tc>
        <w:tc>
          <w:tcPr>
            <w:tcW w:w="0" w:type="auto"/>
          </w:tcPr>
          <w:p>
            <w:pPr>
              <w:spacing w:line="240" w:lineRule="auto" w:before="0" w:after="0"/>
              <w:pStyle w:val="Compact"/>
            </w:pPr>
            <w:r>
              <w:rPr>
                <w:sz w:val="20"/>
                <w:szCs w:val="20"/>
              </w:rPr>
              <w:t xml:space="preserve">[1.1331, 1.9941]</w:t>
            </w:r>
          </w:p>
        </w:tc>
      </w:tr>
      <w:tr>
        <w:tc>
          <w:tcPr>
            <w:tcW w:w="0" w:type="auto"/>
          </w:tcPr>
          <w:p>
            <w:pPr>
              <w:spacing w:line="240" w:lineRule="auto" w:before="0" w:after="0"/>
              <w:pStyle w:val="Compact"/>
            </w:pPr>
            <w:r>
              <w:rPr>
                <w:sz w:val="20"/>
                <w:szCs w:val="20"/>
              </w:rPr>
              <w:t xml:space="preserve">orbital_phase</w:t>
            </w:r>
          </w:p>
        </w:tc>
        <w:tc>
          <w:tcPr>
            <w:tcW w:w="0" w:type="auto"/>
          </w:tcPr>
          <w:p>
            <w:pPr>
              <w:spacing w:line="240" w:lineRule="auto" w:before="0" w:after="0"/>
              <w:pStyle w:val="Compact"/>
            </w:pPr>
            <w:r>
              <w:rPr>
                <w:sz w:val="20"/>
                <w:szCs w:val="20"/>
              </w:rPr>
              <w:t xml:space="preserve">-1.9885</w:t>
            </w:r>
          </w:p>
        </w:tc>
        <w:tc>
          <w:tcPr>
            <w:tcW w:w="0" w:type="auto"/>
          </w:tcPr>
          <w:p>
            <w:pPr>
              <w:spacing w:line="240" w:lineRule="auto" w:before="0" w:after="0"/>
              <w:pStyle w:val="Compact"/>
            </w:pPr>
            <w:r>
              <w:rPr>
                <w:sz w:val="20"/>
                <w:szCs w:val="20"/>
              </w:rPr>
              <w:t xml:space="preserve">0.2612</w:t>
            </w:r>
          </w:p>
        </w:tc>
        <w:tc>
          <w:tcPr>
            <w:tcW w:w="0" w:type="auto"/>
          </w:tcPr>
          <w:p>
            <w:pPr>
              <w:spacing w:line="240" w:lineRule="auto" w:before="0" w:after="0"/>
              <w:pStyle w:val="Compact"/>
            </w:pPr>
            <w:r>
              <w:rPr>
                <w:sz w:val="20"/>
                <w:szCs w:val="20"/>
              </w:rPr>
              <w:t xml:space="preserve">-7.6133</w:t>
            </w:r>
          </w:p>
        </w:tc>
        <w:tc>
          <w:tcPr>
            <w:tcW w:w="0" w:type="auto"/>
          </w:tcPr>
          <w:p>
            <w:pPr>
              <w:spacing w:line="240" w:lineRule="auto" w:before="0" w:after="0"/>
              <w:pStyle w:val="Compact"/>
            </w:pPr>
            <w:r>
              <w:rPr>
                <w:sz w:val="20"/>
                <w:szCs w:val="20"/>
              </w:rPr>
              <w:t xml:space="preserve">2.672e-14</w:t>
            </w:r>
          </w:p>
        </w:tc>
        <w:tc>
          <w:tcPr>
            <w:tcW w:w="0" w:type="auto"/>
          </w:tcPr>
          <w:p>
            <w:pPr>
              <w:spacing w:line="240" w:lineRule="auto" w:before="0" w:after="0"/>
              <w:pStyle w:val="Compact"/>
            </w:pPr>
            <w:r>
              <w:rPr>
                <w:sz w:val="20"/>
                <w:szCs w:val="20"/>
              </w:rPr>
              <w:t xml:space="preserve">[-2.5005, -1.4766]</w:t>
            </w:r>
          </w:p>
        </w:tc>
      </w:tr>
    </w:tbl>
    <w:p>
      <w:pPr>
        <w:pStyle w:val="BodyText"/>
      </w:pPr>
      <w:r>
        <w:t xml:space="preserve">Fit: N = 23 R2 = 0.8779 R2_adj = 0.8586 F = 85.1206 F_p = 3.372e-11</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2026-06-25T14:26:24Z</dcterms:created>
  <dcterms:modified xsi:type="dcterms:W3CDTF">2026-06-25T14:26:24Z</dcterms:modified>
</cp:coreProperties>
</file>

<file path=docProps/custom.xml><?xml version="1.0" encoding="utf-8"?>
<Properties xmlns="http://schemas.openxmlformats.org/officeDocument/2006/custom-properties" xmlns:vt="http://schemas.openxmlformats.org/officeDocument/2006/docPropsVTypes"/>
</file>