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NAVIGATION-SOLUTION ACCURACY AS A FUNCTION OF TRACKING CADENCE: A REGRESSION OF DELIVERED ORBIT-DETERMINATION ERROR ON DEEP SPACE NETWORK PASS DENSITY FOR HELIOPHYSICS MISSIONS</w:t>
      </w:r>
    </w:p>
    <w:p>
      <w:pPr>
        <w:jc w:val="center"/>
      </w:pPr>
    </w:p>
    <w:p>
      <w:pPr>
        <w:jc w:val="center"/>
      </w:pPr>
      <w:r>
        <w:rPr>
          <w:rFonts w:ascii="Times New Roman" w:hAnsi="Times New Roman"/>
          <w:sz w:val="24"/>
        </w:rPr>
        <w:t>by</w:t>
      </w:r>
    </w:p>
    <w:p>
      <w:pPr>
        <w:jc w:val="center"/>
      </w:pPr>
      <w:r>
        <w:rPr>
          <w:rFonts w:ascii="Times New Roman" w:hAnsi="Times New Roman"/>
          <w:b/>
          <w:sz w:val="28"/>
        </w:rPr>
        <w:t>Bjorn Zhang</w:t>
      </w:r>
    </w:p>
    <w:p>
      <w:pPr>
        <w:jc w:val="center"/>
      </w:pPr>
      <w:r>
        <w:rPr>
          <w:rFonts w:ascii="Times New Roman" w:hAnsi="Times New Roman"/>
          <w:sz w:val="24"/>
        </w:rPr>
        <w:t>1B-HEL-060</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5" w:name="chapter-1.-introduction"/>
    <w:p>
      <w:pPr>
        <w:pStyle w:val="Heading1"/>
        <w:spacing w:line="480" w:lineRule="auto"/>
      </w:pPr>
      <w:r>
        <w:t xml:space="preserve">Chapter 1. Introduction</w:t>
      </w:r>
    </w:p>
    <w:bookmarkStart w:id="61" w:name="the-operational-problem-and-its-stakes"/>
    <w:p>
      <w:pPr>
        <w:pStyle w:val="Heading2"/>
        <w:spacing w:line="480" w:lineRule="auto"/>
      </w:pPr>
      <w:r>
        <w:t xml:space="preserve">1.1 The Operational Problem and Its Stakes</w:t>
      </w:r>
    </w:p>
    <w:p>
      <w:pPr>
        <w:pStyle w:val="FirstParagraph"/>
        <w:spacing w:line="480" w:lineRule="auto"/>
      </w:pPr>
      <w:r>
        <w:t xml:space="preserve">For this evidence, the trail is concrete here: every deep-space mission purchases its navigation accuracy with a finite and contested resource: time on the Deep Space Network (DSN).</w:t>
      </w:r>
    </w:p>
    <w:p>
      <w:pPr>
        <w:pStyle w:val="BodyText"/>
        <w:spacing w:line="480" w:lineRule="auto"/>
        <w:ind w:firstLine="720"/>
      </w:pPr>
      <w:r>
        <w:t xml:space="preserve">For this radiometric, the observables that anchor a spacecraft’s trajectory, two-way Doppler and range supplemented at need by interferometric Delta-DOR, are not delivered continuously. The distinction matters. They arrive in discrete passes scheduled against a globally oversubscribed antenna complex</w:t>
      </w:r>
      <w:r>
        <w:t xml:space="preserve"> </w:t>
      </w:r>
      <w:hyperlink w:anchor="ref-6">
        <w:r>
          <w:rPr>
            <w:rStyle w:val="Hyperlink"/>
          </w:rPr>
          <w:t xml:space="preserve">[6]</w:t>
        </w:r>
      </w:hyperlink>
      <w:r>
        <w:t xml:space="preserve">[7]. A heliophysics mission operating deep inside the inner heliosphere, of which Parker Solar Probe is the canonical exemplar, must negotiate its pass count against planetary flagships, crewed programs, and other heliophysics spacecraft, and the navigation solution it ultimately delivers is the binding constraint on its close-approach science geometry</w:t>
      </w:r>
      <w:r>
        <w:t xml:space="preserve"> </w:t>
      </w:r>
      <w:hyperlink w:anchor="ref-4">
        <w:r>
          <w:rPr>
            <w:rStyle w:val="Hyperlink"/>
          </w:rPr>
          <w:t xml:space="preserve">[4]</w:t>
        </w:r>
      </w:hyperlink>
      <w:r>
        <w:t xml:space="preserve">. The quantity at the center of this dissertation is for that reason not abstract. It is a transfer function. For the evidence file, it converts a budgetary allocation, passes per unit time, into a physical deliverable, the one-sigma uncertainty on the reconstructed and predicted trajectory. Mission operations run on a simple premise: more tracking yields a better navigation solution. That premise is almost certainly true in direction, and the canonical radiometric-navigation literature explains why. Multi-pass arcs progressively contract the estimated-state covariance relative to short single-pass solutions, denser passes add independent measurement geometry and beat down stochastic Doppler noise, and frequent tracking shortens the prediction horizon over which an aging solution must be extrapolated</w:t>
      </w:r>
      <w:r>
        <w:t xml:space="preserve"> </w:t>
      </w:r>
      <w:hyperlink w:anchor="ref-7">
        <w:r>
          <w:rPr>
            <w:rStyle w:val="Hyperlink"/>
          </w:rPr>
          <w:t xml:space="preserve">[7]</w:t>
        </w:r>
      </w:hyperlink>
      <w:r>
        <w:t xml:space="preserve">[8]. For the evidence file, what is rarely stated, and never as a falsifiable quantitative law for the heliophysics regime, is the shape of that benefit curve. Direction is not the decision-relevant quantity. For the evidence file, the functional form is, because rational tasking turns entirely on whether the marginal pass beyond some point still buys accuracy worth its opportunity cost.</w:t>
      </w:r>
    </w:p>
    <w:p>
      <w:pPr>
        <w:pStyle w:val="BodyText"/>
        <w:spacing w:line="480" w:lineRule="auto"/>
        <w:ind w:firstLine="720"/>
      </w:pPr>
      <w:r>
        <w:t xml:space="preserve">For the program record, for NASA and for the Jet Propulsion Laboratory, the stakes follow directly from this distinction. The record is explicit. For the evidence file, if delivered accuracy improved linearly and without bound in tracking cadence, then every additional pass would be worth its cost up to the point where the science requirement is satisfied, and the scheduling problem would reduce to satisfying hard requirements in priority order. For the evidence file, if, instead, accuracy saturates, then passes scheduled beyond the knee of the curve are not merely subject to diminishing returns; they are very nearly pure waste, because the covariance they purchase is indistinguishable from the covariance that fewer passes would already have delivered. Those wasted passes are not free. For the evidence file, they are antenna-hours that a cadence-starved spacecraft elsewhere in the network would convert into a far larger accuracy gain on the steep part of its own curve. For the evidence file, a DSN scheduler arbitrating among competing flight projects is for that reason implicitly trading along a family of these curves, and the trade is only as good as the schedulers’ knowledge of where each mission sits relative to its own saturation cadence. At present that knowledge is intuition. The dissertation proposes to make it an estimated quantity.</w:t>
      </w:r>
    </w:p>
    <w:p>
      <w:pPr>
        <w:pStyle w:val="BodyText"/>
        <w:spacing w:line="480" w:lineRule="auto"/>
        <w:ind w:firstLine="720"/>
      </w:pPr>
      <w:r>
        <w:t xml:space="preserve">Contention on the network is not a speculative concern. The claim remains testable. DSN allocation is a documented, formally studied resource-management problem in which the ground system’s tracking capacity is rationed across a manifest of missions whose demands routinely exceed supply</w:t>
      </w:r>
      <w:r>
        <w:t xml:space="preserve"> </w:t>
      </w:r>
      <w:hyperlink w:anchor="ref-6">
        <w:r>
          <w:rPr>
            <w:rStyle w:val="Hyperlink"/>
          </w:rPr>
          <w:t xml:space="preserve">[6]</w:t>
        </w:r>
      </w:hyperlink>
      <w:r>
        <w:t xml:space="preserve">. For the evidence file, the economic framing is unavoidable: the cost of a tracking pass is real, the benefit is assumed to be monotone, and the shape of the benefit function is what actually governs whether an allocation is efficient. For the evidence file, the same logic supplies the correct baseline against which proposals to substitute onboard autonomous navigation for ground tracking should be judged. The autonomous-navigation literature argues, with increasing force, that deep-space missions should reduce their dependence on the DSN, and it proposes optical, pulsar time-of-arrival, and hybrid onboard schemes to do so</w:t>
      </w:r>
      <w:r>
        <w:t xml:space="preserve"> </w:t>
      </w:r>
      <w:hyperlink w:anchor="ref-1">
        <w:r>
          <w:rPr>
            <w:rStyle w:val="Hyperlink"/>
          </w:rPr>
          <w:t xml:space="preserve">[1]</w:t>
        </w:r>
      </w:hyperlink>
      <w:r>
        <w:t xml:space="preserve">[13]. That argument is coherent only if a ground pass carries a quantifiable accuracy benefit worth displacing. One cannot rationally decide to substitute away from a resource whose marginal value is unmeasured. For the evidence file, estimating the value of a ground pass under current ground-tracked operations is thus the prerequisite baseline for the entire autonomy debate, not a parallel curiosity.</w:t>
      </w:r>
    </w:p>
    <w:bookmarkEnd w:id="61"/>
    <w:bookmarkStart w:id="62" w:name="Xfb88ffc49ee5343136593b06b1ccea157d2ec8a"/>
    <w:p>
      <w:pPr>
        <w:pStyle w:val="Heading2"/>
        <w:spacing w:line="480" w:lineRule="auto"/>
      </w:pPr>
      <w:r>
        <w:t xml:space="preserve">1.2 The Gap Between the Domain Literature and the Method Literature</w:t>
      </w:r>
    </w:p>
    <w:p>
      <w:pPr>
        <w:pStyle w:val="FirstParagraph"/>
        <w:spacing w:line="480" w:lineRule="auto"/>
      </w:pPr>
      <w:r>
        <w:t xml:space="preserve">For this intellectual, the problem this dissertation confronts is not an absence of relevant work. The coding choice is visible. Two mature literatures exist, and neither has been brought into contact with the other on this question. For the evidence file, the deep-space navigation literature possesses the domain physics and the operating-point data; the econometric and resource-management literature possesses the inferential machinery for recovering a response curve from confounded observational data. Neither has been applied to the other’s problem.</w:t>
      </w:r>
    </w:p>
    <w:p>
      <w:pPr>
        <w:pStyle w:val="BodyText"/>
        <w:spacing w:line="480" w:lineRule="auto"/>
        <w:ind w:firstLine="720"/>
      </w:pPr>
      <w:r>
        <w:t xml:space="preserve">For a replicator, consider first how the domain literature treats tracking and accuracy. That is the empirical boundary. Mission-specific navigation reports are exemplary in their documentation of delivered performance. The Parker Solar Probe flight-execution account reports the DSN measurement types employed and the trajectory accuracy achieved across the early perihelion passes</w:t>
      </w:r>
      <w:r>
        <w:t xml:space="preserve"> </w:t>
      </w:r>
      <w:hyperlink w:anchor="ref-4">
        <w:r>
          <w:rPr>
            <w:rStyle w:val="Hyperlink"/>
          </w:rPr>
          <w:t xml:space="preserve">[4]</w:t>
        </w:r>
      </w:hyperlink>
      <w:r>
        <w:t xml:space="preserve">; the Mars Reconnaissance Orbiter radio-science investigation, the Cassini multi-station Doppler analysis, and the OSIRIS-REx proximity-operations navigation account each report, with care, the accuracy delivered under a given operational regime</w:t>
      </w:r>
      <w:r>
        <w:t xml:space="preserve"> </w:t>
      </w:r>
      <w:hyperlink w:anchor="ref-8">
        <w:r>
          <w:rPr>
            <w:rStyle w:val="Hyperlink"/>
          </w:rPr>
          <w:t xml:space="preserve">[8]</w:t>
        </w:r>
      </w:hyperlink>
      <w:r>
        <w:t xml:space="preserve">[9][11]. For the evidence file, but each such report documents a single operating point, or at most a small set of operating points, internal to one mission. For the evidence file, it reports the accuracy that one tracking configuration delivered; it does not, and is not designed to, trace the response of accuracy to tracking density as a continuous curve. The canonical radiometric-tracking monograph similarly establishes the estimation physics, explaining how observable geometry and arc length shape the covariance, but it stops short of an empirical, cross-mission elasticity</w:t>
      </w:r>
      <w:r>
        <w:t xml:space="preserve"> </w:t>
      </w:r>
      <w:hyperlink w:anchor="ref-7">
        <w:r>
          <w:rPr>
            <w:rStyle w:val="Hyperlink"/>
          </w:rPr>
          <w:t xml:space="preserve">[7]</w:t>
        </w:r>
      </w:hyperlink>
      <w:r>
        <w:t xml:space="preserve">. The pattern is consistent. This literature is rich in operating points and silent on the curve that connects them.</w:t>
      </w:r>
    </w:p>
    <w:p>
      <w:pPr>
        <w:pStyle w:val="BodyText"/>
        <w:spacing w:line="480" w:lineRule="auto"/>
        <w:ind w:firstLine="720"/>
      </w:pPr>
      <w:r>
        <w:t xml:space="preserve">Consider next the method literature. The result is narrow. Here the picture inverts. For the evidence file, the space-domain-awareness (SDA) and sensor-tasking community has formalized, with considerable rigor, the very relationship the domain literature leaves implicit. Accuracy-based tasking research demonstrates that orbit-determination quality is a direct and schedulable function of how observations are allocated, and that tasking sensors on the basis of expected accuracy gain measurably improves network efficiency</w:t>
      </w:r>
      <w:r>
        <w:t xml:space="preserve"> </w:t>
      </w:r>
      <w:hyperlink w:anchor="ref-2">
        <w:r>
          <w:rPr>
            <w:rStyle w:val="Hyperlink"/>
          </w:rPr>
          <w:t xml:space="preserve">[2]</w:t>
        </w:r>
      </w:hyperlink>
      <w:r>
        <w:t xml:space="preserve">. The companion work on sensor scheduling against optimality certificates treats the information delivered per observation as the quantity that drives recovered state accuracy, and does so in an explicitly optimization-theoretic frame</w:t>
      </w:r>
      <w:r>
        <w:t xml:space="preserve"> </w:t>
      </w:r>
      <w:hyperlink w:anchor="ref-3">
        <w:r>
          <w:rPr>
            <w:rStyle w:val="Hyperlink"/>
          </w:rPr>
          <w:t xml:space="preserve">[3]</w:t>
        </w:r>
      </w:hyperlink>
      <w:r>
        <w:t xml:space="preserve">. This is precisely the marginal-value logic that DSN allocation requires. For the evidence file, but it has been developed for Earth-orbiting catalogs observed by ground-based optical and radar networks, not for deep-space spacecraft tracked by the DSN. For the evidence file, the estimand is structurally analogous, a covariance contracting as informative measurements accumulate, yet the transfer of the accuracy-based-tasking insight from the SDA setting to the deep-space heliophysics tracking economy has not been made.</w:t>
      </w:r>
    </w:p>
    <w:p>
      <w:pPr>
        <w:pStyle w:val="BodyText"/>
        <w:spacing w:line="480" w:lineRule="auto"/>
        <w:ind w:firstLine="720"/>
      </w:pPr>
      <w:r>
        <w:t xml:space="preserve">For this chapter, the treats this as an empirical claim: a third register completes the picture and sharpens the gap. The distinction matters. The autonomous-navigation survey literature presumes the marginal value of a ground pass when it argues for reduced reliance on ground tracking, without estimating that value</w:t>
      </w:r>
      <w:r>
        <w:t xml:space="preserve"> </w:t>
      </w:r>
      <w:hyperlink w:anchor="ref-1">
        <w:r>
          <w:rPr>
            <w:rStyle w:val="Hyperlink"/>
          </w:rPr>
          <w:t xml:space="preserve">[1]</w:t>
        </w:r>
      </w:hyperlink>
      <w:r>
        <w:t xml:space="preserve">. For the evidence file, it treats the benefit of a pass as a known quantity to be displaced, when in fact it is an unknown quantity to be recovered. State the gap precisely. For the evidence file, no published work, to the candidate’s reading of the retrieved corpus, regresses delivered heliophysics navigation error on realized DSN pass density to recover the elasticity of accuracy with respect to cadence and to locate the saturation point of that relationship. For the evidence file, the domain literature supplies operating points but no curve; the method literature supplies the inferential apparatus but for the wrong observing system; the autonomy literature assumes the answer the other two never compute. For the evidence file, the contribution of this dissertation is the cross-domain transfer that closes this gap: importing the accuracy-based-tasking estimand from SDA, equipping it with the econometric identification strategy needed to handle the observational confounding that the SDA optimization literature sidesteps by controlling its own tasking, and applying the result to the deep-space heliophysics regime for which the operating-point data exist.</w:t>
      </w:r>
    </w:p>
    <w:p>
      <w:pPr>
        <w:pStyle w:val="BodyText"/>
        <w:spacing w:line="480" w:lineRule="auto"/>
        <w:ind w:firstLine="720"/>
      </w:pPr>
      <w:r>
        <w:t xml:space="preserve">For this data, the construction is deliberately visible: that this transfer is non-trivial, rather than a mechanical regression, is established by the dissertation’s own preparatory work. The record is explicit. For the evidence file, a naive multivariate regression of delivered navigation error on tracking cadence across a pooled cross-mission panel, with heliocentric distance and measurement type controlled, returns a cadence coefficient that is positive and statistically significant, running in exactly the opposite direction to the operationally expected negative relationship. This is not a refutation of the navigation physics. It is the signature of endogeneity. For the evidence file, operators concentrate tracking on the hardest arcs, so the missions and phases that received the most tracking were precisely those whose navigation was most difficult, and the pooled regression recovers that selection rather than the causal response. For the evidence file, when the panel record is restricted to commensurable radiometric tracking-contact counts, removing the optical operating points whose cadence is measured in image frames rather than passes, the cadence coefficient flips toward the theoretically expected negative sign, though the reduced subsample is too small to render it significant. For the evidence file, the lesson is methodological and it defines the dissertation’s strategy: the value of a tracking pass cannot be read off a pooled cross-mission regression, and recovering it requires holding the mission and the measurement type fixed while exploiting cadence variation that is exogenous to instantaneous navigation difficulty.</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For this operational, the question is narrower: the dissertation advances one falsifiable claim about the functional relationship between tracking cadence and navigation accuracy, and it stakes its contribution on the estimation of that relationship. For the evidence file, let</w:t>
      </w:r>
      <w:r>
        <w:t xml:space="preserve"> </w:t>
      </w:r>
      <w:r>
        <w:rPr>
          <w:i/>
          <w:iCs/>
        </w:rPr>
        <w:t xml:space="preserve">c</w:t>
      </w:r>
      <w:r>
        <w:t xml:space="preserve"> </w:t>
      </w:r>
      <w:r>
        <w:t xml:space="preserve">denote tracking cadence, defined as DSN passes per week over a defined mission arc, and let</w:t>
      </w:r>
      <w:r>
        <w:t xml:space="preserve"> </w:t>
      </w:r>
      <w:r>
        <w:rPr>
          <w:i/>
          <w:iCs/>
        </w:rPr>
        <w:t xml:space="preserve">E</w:t>
      </w:r>
      <w:r>
        <w:t xml:space="preserve"> </w:t>
      </w:r>
      <w:r>
        <w:t xml:space="preserve">denote the delivered along-track navigation uncertainty for that arc, taken at one sigma from the reported orbit-determination covariance. For the evidence file, the dissertation models log</w:t>
      </w:r>
      <w:r>
        <w:t xml:space="preserve"> </w:t>
      </w:r>
      <w:r>
        <w:rPr>
          <w:i/>
          <w:iCs/>
        </w:rPr>
        <w:t xml:space="preserve">E</w:t>
      </w:r>
      <w:r>
        <w:t xml:space="preserve"> </w:t>
      </w:r>
      <w:r>
        <w:t xml:space="preserve">as a function of log</w:t>
      </w:r>
      <w:r>
        <w:t xml:space="preserve"> </w:t>
      </w:r>
      <w:r>
        <w:rPr>
          <w:i/>
          <w:iCs/>
        </w:rPr>
        <w:t xml:space="preserve">c</w:t>
      </w:r>
      <w:r>
        <w:t xml:space="preserve">, with a quadratic term in log cadence to admit curvature, conditioning on the dynamical regime, the measurement-type mix, and the dominant physical confounders of deep-space navigation error.</w:t>
      </w:r>
    </w:p>
    <w:p>
      <w:pPr>
        <w:pStyle w:val="BodyText"/>
        <w:spacing w:line="480" w:lineRule="auto"/>
        <w:ind w:firstLine="720"/>
      </w:pPr>
      <w:r>
        <w:t xml:space="preserve">The null and alternative hypotheses are stated as follows.</w:t>
      </w:r>
    </w:p>
    <w:p>
      <w:pPr>
        <w:pStyle w:val="BodyText"/>
        <w:spacing w:line="480" w:lineRule="auto"/>
        <w:ind w:firstLine="720"/>
      </w:pPr>
      <w:r>
        <w:rPr>
          <w:b/>
          <w:bCs/>
        </w:rPr>
        <w:t xml:space="preserve">H0 (null):</w:t>
      </w:r>
      <w:r>
        <w:t xml:space="preserve"> </w:t>
      </w:r>
      <w:r>
        <w:t xml:space="preserve">The elasticity of navigation error with respect to tracking cadence is zero. For the evidence file, once trajectory regime and measurement type are controlled, delivered orbit-determination accuracy does not vary systematically with realized DSN pass density, and the coefficient on log</w:t>
      </w:r>
      <w:r>
        <w:t xml:space="preserve"> </w:t>
      </w:r>
      <w:r>
        <w:rPr>
          <w:i/>
          <w:iCs/>
        </w:rPr>
        <w:t xml:space="preserve">c</w:t>
      </w:r>
      <w:r>
        <w:t xml:space="preserve"> </w:t>
      </w:r>
      <w:r>
        <w:t xml:space="preserve">is statistically indistinguishable from zero. The evidence trail is concrete here:</w:t>
      </w:r>
      <w:r>
        <w:t xml:space="preserve"> </w:t>
      </w:r>
      <w:r>
        <w:rPr>
          <w:b/>
          <w:bCs/>
        </w:rPr>
        <w:t xml:space="preserve">H1 (alternative):</w:t>
      </w:r>
      <w:r>
        <w:t xml:space="preserve"> </w:t>
      </w:r>
      <w:r>
        <w:t xml:space="preserve">Navigation error declines significantly with tracking cadence, and the decline diminishes, so that the first-order elasticity on log</w:t>
      </w:r>
      <w:r>
        <w:t xml:space="preserve"> </w:t>
      </w:r>
      <w:r>
        <w:rPr>
          <w:i/>
          <w:iCs/>
        </w:rPr>
        <w:t xml:space="preserve">c</w:t>
      </w:r>
      <w:r>
        <w:t xml:space="preserve"> </w:t>
      </w:r>
      <w:r>
        <w:t xml:space="preserve">is negative and the second-order term is positive. For the evidence file, this curvature implies a finite saturation cadence</w:t>
      </w:r>
      <w:r>
        <w:t xml:space="preserve"> </w:t>
      </w:r>
      <w:r>
        <w:rPr>
          <w:i/>
          <w:iCs/>
        </w:rPr>
        <w:t xml:space="preserve">c*</w:t>
      </w:r>
      <w:r>
        <w:t xml:space="preserve"> </w:t>
      </w:r>
      <w:r>
        <w:t xml:space="preserve">beyond which the marginal accuracy gain per added pass falls below a stated operational threshold.</w:t>
      </w:r>
    </w:p>
    <w:p>
      <w:pPr>
        <w:pStyle w:val="BodyText"/>
        <w:spacing w:line="480" w:lineRule="auto"/>
        <w:ind w:firstLine="720"/>
      </w:pPr>
      <w:r>
        <w:t xml:space="preserve">For this single, the contribution of the dissertation is the estimated elasticity of navigation error with respect to tracking cadence, together with the located saturation cadence</w:t>
      </w:r>
      <w:r>
        <w:t xml:space="preserve"> </w:t>
      </w:r>
      <w:r>
        <w:rPr>
          <w:i/>
          <w:iCs/>
        </w:rPr>
        <w:t xml:space="preserve">c*</w:t>
      </w:r>
      <w:r>
        <w:t xml:space="preserve"> </w:t>
      </w:r>
      <w:r>
        <w:t xml:space="preserve">at which the diminishing return crosses a stated threshold. The claim remains testable. One estimand, one derived quantity, deliberately narrow. It is falsifiable in two independent ways. H1 is falsified if the cadence coefficient is null or wrong-signed once the identification strategy has addressed the endogeneity documented above, which would return the verdict to H0. H1 is equally falsified if the data support no diminishing-returns term, that is, if the second-order coefficient is indistinguishable from zero, since that would imply an unbounded linear benefit with no saturation cadence to locate, and the dissertation’s central claim of a recoverable knee would be wrong. The contribution thus survives only if the cadence response is both real, negative, and curved. Each of those three properties is separately testable, and the failure of any one falsifies the claim.</w:t>
      </w:r>
    </w:p>
    <w:p>
      <w:pPr>
        <w:pStyle w:val="BodyText"/>
        <w:spacing w:line="480" w:lineRule="auto"/>
        <w:ind w:firstLine="720"/>
      </w:pPr>
      <w:r>
        <w:t xml:space="preserve">For the program record, the estimand is the partial elasticity of delivered navigation error with respect to realized tracking cadence, holding the dynamical regime fixed, and the unit of analysis is a mission arc possessing both a published orbit-determination accuracy and a reconstructable DSN tracking schedule. The coding choice is visible. For the evidence file, identification proceeds by exploiting cadence variation driven by DSN contention and antenna availability, sources of variation plausibly exogenous to a given mission’s instantaneous navigation difficulty, as an instrument for realized cadence, and by anchoring the strongest inference within-mission across arcs rather than across the heterogeneous cross-mission pool. The accuracy-based-tasking framework supplies the theoretical link between observation density and recovered orbit accuracy that the regression operationalizes for the deep-space case</w:t>
      </w:r>
      <w:r>
        <w:t xml:space="preserve"> </w:t>
      </w:r>
      <w:hyperlink w:anchor="ref-2">
        <w:r>
          <w:rPr>
            <w:rStyle w:val="Hyperlink"/>
          </w:rPr>
          <w:t xml:space="preserve">[2]</w:t>
        </w:r>
      </w:hyperlink>
      <w:r>
        <w:t xml:space="preserve">[3]. The primary data are the NASA DSN tracking and navigation record for Parker Solar Probe, supplemented by comparable inner-heliosphere and inner-planetary missions whose navigation has been published</w:t>
      </w:r>
      <w:r>
        <w:t xml:space="preserve"> </w:t>
      </w:r>
      <w:hyperlink w:anchor="ref-4">
        <w:r>
          <w:rPr>
            <w:rStyle w:val="Hyperlink"/>
          </w:rPr>
          <w:t xml:space="preserve">[4]</w:t>
        </w:r>
      </w:hyperlink>
      <w:r>
        <w:t xml:space="preserve">[5], with pass density reconstructed from archived tracking-data files and every error figure traced to a published covariance or an archived reconstruction. No simulated tracking schedule enters the primary estimate.</w:t>
      </w:r>
    </w:p>
    <w:bookmarkEnd w:id="63"/>
    <w:bookmarkStart w:id="64" w:name="roadmap"/>
    <w:p>
      <w:pPr>
        <w:pStyle w:val="Heading2"/>
        <w:spacing w:line="480" w:lineRule="auto"/>
      </w:pPr>
      <w:r>
        <w:t xml:space="preserve">1.4 Roadmap</w:t>
      </w:r>
    </w:p>
    <w:p>
      <w:pPr>
        <w:pStyle w:val="FirstParagraph"/>
        <w:spacing w:line="480" w:lineRule="auto"/>
      </w:pPr>
      <w:r>
        <w:t xml:space="preserve">For this archival, the record matters here: the remainder of the dissertation is organized as follows. That is the empirical boundary. Chapter 2 reviews the three disconnected literatures whose junction defines the contribution: the deep-space radiometric-navigation and mission-navigation literature that supplies the operating points and the estimation physics</w:t>
      </w:r>
      <w:r>
        <w:t xml:space="preserve"> </w:t>
      </w:r>
      <w:hyperlink w:anchor="ref-4">
        <w:r>
          <w:rPr>
            <w:rStyle w:val="Hyperlink"/>
          </w:rPr>
          <w:t xml:space="preserve">[4]</w:t>
        </w:r>
      </w:hyperlink>
      <w:r>
        <w:t xml:space="preserve">[5][7][8]; the accuracy-based sensor-tasking and resource-management literature from the space-domain-awareness community that supplies the marginal-value estimand for the wrong observing system</w:t>
      </w:r>
      <w:r>
        <w:t xml:space="preserve"> </w:t>
      </w:r>
      <w:hyperlink w:anchor="ref-2">
        <w:r>
          <w:rPr>
            <w:rStyle w:val="Hyperlink"/>
          </w:rPr>
          <w:t xml:space="preserve">[2]</w:t>
        </w:r>
      </w:hyperlink>
      <w:r>
        <w:t xml:space="preserve">[3]; and the autonomous-navigation survey literature that presumes, without estimating, the value of a ground pass</w:t>
      </w:r>
      <w:r>
        <w:t xml:space="preserve"> </w:t>
      </w:r>
      <w:hyperlink w:anchor="ref-1">
        <w:r>
          <w:rPr>
            <w:rStyle w:val="Hyperlink"/>
          </w:rPr>
          <w:t xml:space="preserve">[1]</w:t>
        </w:r>
      </w:hyperlink>
      <w:r>
        <w:t xml:space="preserve">[13]. The chapter establishes that the cross-domain transfer is both warranted and unperformed. Chapter 3 develops the theory and the formal hypotheses. It derives, from the radiometric-navigation estimation physics, why delivered covariance should contract with tracking cadence and why the contraction should diminish, motivating the quadratic log-log specification and the existence of a saturation cadence</w:t>
      </w:r>
      <w:r>
        <w:t xml:space="preserve"> </w:t>
      </w:r>
      <w:hyperlink w:anchor="ref-7">
        <w:r>
          <w:rPr>
            <w:rStyle w:val="Hyperlink"/>
          </w:rPr>
          <w:t xml:space="preserve">[7]</w:t>
        </w:r>
      </w:hyperlink>
      <w:r>
        <w:t xml:space="preserve">[8]. It states the confounders that the design must absorb, principally heliocentric distance regime and measurement-type mix, and it formalizes H0 and H1 as restrictions on the estimated coefficients.</w:t>
      </w:r>
    </w:p>
    <w:p>
      <w:pPr>
        <w:pStyle w:val="BodyText"/>
        <w:spacing w:line="480" w:lineRule="auto"/>
        <w:ind w:firstLine="720"/>
      </w:pPr>
      <w:r>
        <w:t xml:space="preserve">For a replicator, chapter 4 presents the data and its provenance. For the evidence file, it documents the construction of the mission-arc panel, the reconstruction of pass density from archived DSN tracking-data records, the sourcing of every delivered-accuracy figure to a published orbit-determination covariance or an archived ephemeris reconstruction, and the transparent inclusion rule that an arc enters the estimation sample only when both a recoverable schedule and a published accuracy exist. Chapter 5 sets out the identification strategy and the estimator. It motivates the strategy with the preparatory negative result, the wrong-signed pooled cross-mission coefficient that endogeneity and incommensurable cadence metrics produce, and it develops the instrumented, within-mission design that addresses both problems by exploiting contention-driven and availability-driven cadence variation</w:t>
      </w:r>
      <w:r>
        <w:t xml:space="preserve"> </w:t>
      </w:r>
      <w:hyperlink w:anchor="ref-6">
        <w:r>
          <w:rPr>
            <w:rStyle w:val="Hyperlink"/>
          </w:rPr>
          <w:t xml:space="preserve">[6]</w:t>
        </w:r>
      </w:hyperlink>
      <w:r>
        <w:t xml:space="preserve">. It specifies the log-log regression with its quadratic cadence term and its controls for distance regime and measurement type</w:t>
      </w:r>
      <w:r>
        <w:t xml:space="preserve"> </w:t>
      </w:r>
      <w:hyperlink w:anchor="ref-4">
        <w:r>
          <w:rPr>
            <w:rStyle w:val="Hyperlink"/>
          </w:rPr>
          <w:t xml:space="preserve">[4]</w:t>
        </w:r>
      </w:hyperlink>
      <w:r>
        <w:t xml:space="preserve">. The chapter treats this as an empirical claim: chapter 6 reports the estimates: the partial elasticity of navigation error with respect to cadence, the curvature term, and the located saturation cadence</w:t>
      </w:r>
      <w:r>
        <w:t xml:space="preserve"> </w:t>
      </w:r>
      <w:r>
        <w:rPr>
          <w:i/>
          <w:iCs/>
        </w:rPr>
        <w:t xml:space="preserve">c*</w:t>
      </w:r>
      <w:r>
        <w:t xml:space="preserve">, with the behavior of the distance and phase controls reported as physical validity checks. Chapter 7 subjects the headline estimate to robustness analysis, including arc-length sensitivity, alternative error metrics in the radial and cross-track directions in addition to along-track, the replacement of raw pass count with tracked-hours and with a geometry-weighted information measure drawn from the tasking literature</w:t>
      </w:r>
      <w:r>
        <w:t xml:space="preserve"> </w:t>
      </w:r>
      <w:hyperlink w:anchor="ref-3">
        <w:r>
          <w:rPr>
            <w:rStyle w:val="Hyperlink"/>
          </w:rPr>
          <w:t xml:space="preserve">[3]</w:t>
        </w:r>
      </w:hyperlink>
      <w:r>
        <w:t xml:space="preserve">, and a placebo on cruise arcs where cadence should exert weaker leverage.</w:t>
      </w:r>
    </w:p>
    <w:p>
      <w:pPr>
        <w:pStyle w:val="BodyText"/>
        <w:spacing w:line="480" w:lineRule="auto"/>
        <w:ind w:firstLine="720"/>
      </w:pPr>
      <w:r>
        <w:t xml:space="preserve">Chapter 8 confronts the threats to validity directly: the endogeneity of cadence and the defensibility of the contention-and-availability instrument; the small sample and cross-mission heterogeneity that make within-mission inference the most credible; the measurement-type confound by which a shift from Doppler-only to Delta-DOR-augmented tracking changes accuracy independently of pass count</w:t>
      </w:r>
      <w:r>
        <w:t xml:space="preserve"> </w:t>
      </w:r>
      <w:hyperlink w:anchor="ref-4">
        <w:r>
          <w:rPr>
            <w:rStyle w:val="Hyperlink"/>
          </w:rPr>
          <w:t xml:space="preserve">[4]</w:t>
        </w:r>
      </w:hyperlink>
      <w:r>
        <w:t xml:space="preserve">[12]; and the construct validity of cadence itself as a proxy for information delivered. Chapter 9 concludes by translating the estimated elasticity and saturation cadence into an operational tasking rule for DSN allocation, by situating the value of a ground pass as the correct baseline for the autonomous-navigation substitution debate</w:t>
      </w:r>
      <w:r>
        <w:t xml:space="preserve"> </w:t>
      </w:r>
      <w:hyperlink w:anchor="ref-1">
        <w:r>
          <w:rPr>
            <w:rStyle w:val="Hyperlink"/>
          </w:rPr>
          <w:t xml:space="preserve">[1]</w:t>
        </w:r>
      </w:hyperlink>
      <w:r>
        <w:t xml:space="preserve">[13], and by delimiting the external validity of the result to current ground-tracked heliophysics operations.</w:t>
      </w:r>
    </w:p>
    <w:bookmarkEnd w:id="64"/>
    <w:bookmarkEnd w:id="65"/>
    <w:bookmarkStart w:id="75" w:name="chapter-2.-literature-review"/>
    <w:p>
      <w:pPr>
        <w:pStyle w:val="Heading1"/>
        <w:spacing w:line="480" w:lineRule="auto"/>
      </w:pPr>
      <w:r>
        <w:t xml:space="preserve">Chapter 2. Literature Review</w:t>
      </w:r>
    </w:p>
    <w:bookmarkStart w:id="66" w:name="X595e0ddb1187baeb5a2c3f1ef3001d58d11868c"/>
    <w:p>
      <w:pPr>
        <w:pStyle w:val="Heading2"/>
        <w:spacing w:line="480" w:lineRule="auto"/>
      </w:pPr>
      <w:r>
        <w:t xml:space="preserve">2.1 Orientation: Two Literatures That Do Not Meet</w:t>
      </w:r>
    </w:p>
    <w:p>
      <w:pPr>
        <w:pStyle w:val="FirstParagraph"/>
        <w:spacing w:line="480" w:lineRule="auto"/>
      </w:pPr>
      <w:r>
        <w:t xml:space="preserve">For this evidence, the trail is concrete here: the question this dissertation poses, namely how delivered navigation accuracy responds to the cadence at which a deep-space spacecraft is tracked, sits in the seam between two mature and largely self-contained bodies of work that have developed without reference to each other. The result is narrow. For the evidence file, the first is the deep-space radiometric navigation and radio-science literature, a domain technical literature produced chiefly by mission navigation teams and the Deep Space Network (DSN) operations community. For the evidence file, it is rich in physics, instrument detail, and per-mission performance reporting, but it reports navigation accuracy at single operating points and almost never as a response function of the tracking schedule that produced it. For the evidence file, the second is the cliometric and econometric methodology that treats a measured outcome as a function of a contested input, estimates the partial effect of that input under explicit identification assumptions, and locates the point at which marginal returns vanish. That methodology is well developed in the adjacent space domain awareness (SDA) sensor-tasking literature, where observation scheduling is formally tied to recovered orbit accuracy and even used as a tasking criterion</w:t>
      </w:r>
      <w:r>
        <w:t xml:space="preserve"> </w:t>
      </w:r>
      <w:hyperlink w:anchor="ref-2">
        <w:r>
          <w:rPr>
            <w:rStyle w:val="Hyperlink"/>
          </w:rPr>
          <w:t xml:space="preserve">[2]</w:t>
        </w:r>
      </w:hyperlink>
      <w:r>
        <w:t xml:space="preserve">[3][18]. For the evidence file, the two literatures share an estimation object, the contraction of an orbit-determination covariance as informative measurements accumulate, yet they have not been joined for the deep-space heliophysics tracking-economy problem.</w:t>
      </w:r>
    </w:p>
    <w:p>
      <w:pPr>
        <w:pStyle w:val="BodyText"/>
        <w:spacing w:line="480" w:lineRule="auto"/>
        <w:ind w:firstLine="720"/>
      </w:pPr>
      <w:r>
        <w:t xml:space="preserve">For this chapter, the takes each literature on its own terms. The distinction matters. For the evidence file, it establishes what each does and does not deliver toward the dissertation’s estimand, and then identifies the cross-domain transfer that constitutes the gap. The review proceeds from the physics of deep-space tracking (Section 2.2), through the mission-specific performance record that reports navigation accuracy at operating points (Section 2.3), to the measurement-type and multi-station literature that complicates any simple count of passes (Section 2.4). It then turns to the autonomous-navigation survey literature that presumes a known marginal value of a ground pass without estimating it (Section 2.5), and to the SDA accuracy-based-tasking literature that supplies the econometric logic the deep-space domain lacks (Section 2.6). Section 2.7 reviews the broader orbit-determination methods literature that frames accuracy as a function of observation strategy. Section 2.8 synthesizes the two literatures and states the gap as a falsifiable claim, and Section 2.9 situates the two companion papers of this dissertation against that gap.</w:t>
      </w:r>
    </w:p>
    <w:bookmarkEnd w:id="66"/>
    <w:bookmarkStart w:id="67" w:name="X1556ade1981cea1ae61a988e80fa8f1e5df0638"/>
    <w:p>
      <w:pPr>
        <w:pStyle w:val="Heading2"/>
        <w:spacing w:line="480" w:lineRule="auto"/>
      </w:pPr>
      <w:r>
        <w:t xml:space="preserve">2.2 The Physics of Deep-Space Radiometric Tracking</w:t>
      </w:r>
    </w:p>
    <w:p>
      <w:pPr>
        <w:pStyle w:val="FirstParagraph"/>
        <w:spacing w:line="480" w:lineRule="auto"/>
      </w:pPr>
      <w:r>
        <w:t xml:space="preserve">For this foundational, the technical reference for the domain is the DESCANSO monograph by Thornton and Border, which sets out the measurement theory of radiometric tracking for deep-space navigation</w:t>
      </w:r>
      <w:r>
        <w:t xml:space="preserve"> </w:t>
      </w:r>
      <w:hyperlink w:anchor="ref-7">
        <w:r>
          <w:rPr>
            <w:rStyle w:val="Hyperlink"/>
          </w:rPr>
          <w:t xml:space="preserve">[7]</w:t>
        </w:r>
      </w:hyperlink>
      <w:r>
        <w:t xml:space="preserve">.</w:t>
      </w:r>
    </w:p>
    <w:p>
      <w:pPr>
        <w:pStyle w:val="BodyText"/>
        <w:spacing w:line="480" w:lineRule="auto"/>
        <w:ind w:firstLine="720"/>
      </w:pPr>
      <w:r>
        <w:t xml:space="preserve">For the evidence file, thornton and Border describe how two-way Doppler, range, and interferometric observables constrain a spacecraft state, and how the estimated-state covariance contracts as multi-pass data arcs accumulate relative to short single-pass solutions. The record is explicit. For the evidence file, this is the physical mechanism on which the entire dissertation depends: more tracking within an arc both adds independent geometric information and beats down stochastic measurement noise, so that, all else equal, a denser schedule should produce a tighter solution. For the evidence file, yet the monograph treats the measurement physics and the estimator, not the empirical question of how realized schedules map to delivered accuracy across missions. For the evidence file, it establishes that the relationship between cadence and accuracy must exist and must be monotone in expectation; it does not estimate its functional form, its slope, or the cadence at which the slope flattens.</w:t>
      </w:r>
    </w:p>
    <w:p>
      <w:pPr>
        <w:pStyle w:val="BodyText"/>
        <w:spacing w:line="480" w:lineRule="auto"/>
        <w:ind w:firstLine="720"/>
      </w:pPr>
      <w:r>
        <w:t xml:space="preserve">For this archival, the record matters here: a parallel silence marks the DSN allocation and ground-system planning literature, which treats tracking time as the scarce, oversubscribed resource that flight projects negotiate against one another</w:t>
      </w:r>
      <w:r>
        <w:t xml:space="preserve"> </w:t>
      </w:r>
      <w:hyperlink w:anchor="ref-6">
        <w:r>
          <w:rPr>
            <w:rStyle w:val="Hyperlink"/>
          </w:rPr>
          <w:t xml:space="preserve">[6]</w:t>
        </w:r>
      </w:hyperlink>
      <w:r>
        <w:t xml:space="preserve">.</w:t>
      </w:r>
    </w:p>
    <w:p>
      <w:pPr>
        <w:pStyle w:val="BodyText"/>
        <w:spacing w:line="480" w:lineRule="auto"/>
        <w:ind w:firstLine="720"/>
      </w:pPr>
      <w:r>
        <w:t xml:space="preserve">For the evidence file, these allocation studies establish the economic premise of the dissertation, that a pass has a real cost because antenna time is contested, but they reason from the supply side. The claim remains testable. For the evidence file, they quantify the burden on the network and the scheduling conflicts among projects without quantifying the demand-side benefit curve, namely how much navigation accuracy a marginal pass actually buys for a given mission. For the evidence file, the allocation literature for that reason frames the resource-allocation problem precisely and leaves its central quantity, the transfer function from cadence to accuracy, unestimated. For the evidence file, the dissertation’s contribution is to supply that missing demand-side curve so that the allocation problem can be posed as a marginal-return trade rather than as a monotone assumption.</w:t>
      </w:r>
    </w:p>
    <w:p>
      <w:pPr>
        <w:pStyle w:val="BodyText"/>
        <w:spacing w:line="480" w:lineRule="auto"/>
        <w:ind w:firstLine="720"/>
      </w:pPr>
      <w:r>
        <w:t xml:space="preserve">Distance is the dominant structural driver of deep-space navigation error, and the physics literature returns to it repeatedly.</w:t>
      </w:r>
    </w:p>
    <w:p>
      <w:pPr>
        <w:pStyle w:val="BodyText"/>
        <w:spacing w:line="480" w:lineRule="auto"/>
        <w:ind w:firstLine="720"/>
      </w:pPr>
      <w:r>
        <w:t xml:space="preserve">Both the link signal-to-noise ratio and the plane-of-sky leverage of line-of-sight tracking degrade with Earth-spacecraft range, so accuracy at the outer planets is structurally worse than at Mars at any cadence</w:t>
      </w:r>
      <w:r>
        <w:t xml:space="preserve"> </w:t>
      </w:r>
      <w:hyperlink w:anchor="ref-7">
        <w:r>
          <w:rPr>
            <w:rStyle w:val="Hyperlink"/>
          </w:rPr>
          <w:t xml:space="preserve">[7]</w:t>
        </w:r>
      </w:hyperlink>
      <w:r>
        <w:t xml:space="preserve">[8][13]. For the evidence file, any empirical estimate of a cadence effect must for that reason hold distance regime fixed, because a panel that pools missions across distance regimes will conflate the distance penalty with the cadence response. For the evidence file, this requirement, which the SDA literature would call a confounder-control problem, is recognized qualitatively throughout the physics literature but is not addressed with the formal conditioning machinery of regression. The physics tells the analyst what to control for. It does not supply the estimator that controls for it.</w:t>
      </w:r>
    </w:p>
    <w:bookmarkEnd w:id="67"/>
    <w:bookmarkStart w:id="68" w:name="the-mission-specific-performance-record"/>
    <w:p>
      <w:pPr>
        <w:pStyle w:val="Heading2"/>
        <w:spacing w:line="480" w:lineRule="auto"/>
      </w:pPr>
      <w:r>
        <w:t xml:space="preserve">2.3 The Mission-Specific Performance Record</w:t>
      </w:r>
    </w:p>
    <w:p>
      <w:pPr>
        <w:pStyle w:val="FirstParagraph"/>
        <w:spacing w:line="480" w:lineRule="auto"/>
      </w:pPr>
      <w:r>
        <w:t xml:space="preserve">For this largest, the tranche of the domain literature consists of mission navigation and radio-science reports that document the accuracy actually delivered on a specific spacecraft during a specific phase. The coding choice is visible. For the heliophysics inner-heliosphere case, the anchor is the Parker Solar Probe flight-execution record, which reports the navigation delivery built on DSN Doppler, range, and Delta-DOR measurements through the spacecraft’s unprecedented perihelion passes</w:t>
      </w:r>
      <w:r>
        <w:t xml:space="preserve"> </w:t>
      </w:r>
      <w:hyperlink w:anchor="ref-4">
        <w:r>
          <w:rPr>
            <w:rStyle w:val="Hyperlink"/>
          </w:rPr>
          <w:t xml:space="preserve">[4]</w:t>
        </w:r>
      </w:hyperlink>
      <w:r>
        <w:t xml:space="preserve">. For the evidence file, this account is indispensable to the dissertation because it ties a real, contested DSN schedule to a published navigation performance for the exact mission class the estimand targets. For the evidence file, yet, like every report in this genre, it reports a single operating point, or a small set of mission-phase operating points, rather than a response curve. For the evidence file, it tells the reader the accuracy that a particular cadence produced; it does not vary cadence while holding the dynamical regime fixed and report the resulting family of accuracies.</w:t>
      </w:r>
    </w:p>
    <w:p>
      <w:pPr>
        <w:pStyle w:val="BodyText"/>
        <w:spacing w:line="480" w:lineRule="auto"/>
        <w:ind w:firstLine="720"/>
      </w:pPr>
      <w:r>
        <w:t xml:space="preserve">For this chapter, the treats this as an empirical claim: the same structural limitation characterizes the inner-planetary and small-body navigation literature that the dissertation pools with the heliophysics case for statistical power. That is the empirical boundary. The EnVision radio-science study reports the joint determination of Venus gravity and atmospheric density and the navigation accuracy that supports it</w:t>
      </w:r>
      <w:r>
        <w:t xml:space="preserve"> </w:t>
      </w:r>
      <w:hyperlink w:anchor="ref-5">
        <w:r>
          <w:rPr>
            <w:rStyle w:val="Hyperlink"/>
          </w:rPr>
          <w:t xml:space="preserve">[5]</w:t>
        </w:r>
      </w:hyperlink>
      <w:r>
        <w:t xml:space="preserve">. The Mars Reconnaissance Orbiter radio-science gravity investigation documents the orbiter navigation cadence and the reconstructed-orbit accuracy at Mars distance</w:t>
      </w:r>
      <w:r>
        <w:t xml:space="preserve"> </w:t>
      </w:r>
      <w:hyperlink w:anchor="ref-9">
        <w:r>
          <w:rPr>
            <w:rStyle w:val="Hyperlink"/>
          </w:rPr>
          <w:t xml:space="preserve">[9]</w:t>
        </w:r>
      </w:hyperlink>
      <w:r>
        <w:t xml:space="preserve">. The OSIRIS-REx proximity-operations record reports meter-class navigation performance at asteroid Bennu, where optical and landmark data augment radiometrics in close proximity</w:t>
      </w:r>
      <w:r>
        <w:t xml:space="preserve"> </w:t>
      </w:r>
      <w:hyperlink w:anchor="ref-11">
        <w:r>
          <w:rPr>
            <w:rStyle w:val="Hyperlink"/>
          </w:rPr>
          <w:t xml:space="preserve">[11]</w:t>
        </w:r>
      </w:hyperlink>
      <w:r>
        <w:t xml:space="preserve">. The Cassini radio-tracking analysis supporting the INPOP19a ephemeris construction reports the tracking data and the recovered accuracy at Saturn distance</w:t>
      </w:r>
      <w:r>
        <w:t xml:space="preserve"> </w:t>
      </w:r>
      <w:hyperlink w:anchor="ref-10">
        <w:r>
          <w:rPr>
            <w:rStyle w:val="Hyperlink"/>
          </w:rPr>
          <w:t xml:space="preserve">[10]</w:t>
        </w:r>
      </w:hyperlink>
      <w:r>
        <w:t xml:space="preserve">. Each of these is a high-quality, fully sourced operating point. For the evidence file, collectively they span an enormous operating envelope, from meter-class reconstructed orbits at Mars and Bennu to thousand-kilometer-class position knowledge in sparse deep cruise, which is exactly the cross-mission variation a regression needs. But each individual study reports its own operating point and stops there. For the evidence file, the genre is descriptive and per-mission; it is not designed to recover a cross-mission elasticity, and no study in it does so.</w:t>
      </w:r>
    </w:p>
    <w:p>
      <w:pPr>
        <w:pStyle w:val="BodyText"/>
        <w:spacing w:line="480" w:lineRule="auto"/>
        <w:ind w:firstLine="720"/>
      </w:pPr>
      <w:r>
        <w:t xml:space="preserve">This is the central feature of the domain literature that motivates the dissertation. The result is narrow. The performance record is abundant, real, and well sourced. But it is organized as a catalog of operating points rather than as an estimated response function. For the evidence file, the information needed to recover the cadence-accuracy curve is latent in the union of these reports, because each contributes a cadence and an accuracy figure, but no study assembles them into a single regression and reports the slope. For the evidence file, the dissertation’s first methodological move, treating each documented mission phase as one observation in a pooled panel, is for that reason a re-reading of an existing literature rather than the collection of new data.</w:t>
      </w:r>
    </w:p>
    <w:bookmarkEnd w:id="68"/>
    <w:bookmarkStart w:id="69" w:name="X696bd5e73ba9c84c35d337a6ed1cc9c2062b25c"/>
    <w:p>
      <w:pPr>
        <w:pStyle w:val="Heading2"/>
        <w:spacing w:line="480" w:lineRule="auto"/>
      </w:pPr>
      <w:r>
        <w:t xml:space="preserve">2.4 Measurement Type and Multi-Station Tracking as Confounds</w:t>
      </w:r>
    </w:p>
    <w:p>
      <w:pPr>
        <w:pStyle w:val="FirstParagraph"/>
        <w:spacing w:line="480" w:lineRule="auto"/>
      </w:pPr>
      <w:r>
        <w:t xml:space="preserve">For the evidence file, a subtle but decisive complication in the domain literature is that not all tracking is informationally equivalent, so a raw count of passes is a coarse proxy for information delivered. The distinction matters. For the evidence file, the measurement-type literature establishes that a shift from radiometric Doppler and range to interferometric Delta-DOR changes delivered accuracy independently of contact count. The European Space Agency’s account of Delta-DOR explains how the angular, plane-of-sky measurement that interferometry supplies complements the line-of-sight information of Doppler and range, sharpening the solution in a dimension that additional same-type passes cannot</w:t>
      </w:r>
      <w:r>
        <w:t xml:space="preserve"> </w:t>
      </w:r>
      <w:hyperlink w:anchor="ref-12">
        <w:r>
          <w:rPr>
            <w:rStyle w:val="Hyperlink"/>
          </w:rPr>
          <w:t xml:space="preserve">[12]</w:t>
        </w:r>
      </w:hyperlink>
      <w:r>
        <w:t xml:space="preserve">. The Parker Solar Probe record itself documents a measurement-type mix of Doppler, range, and Delta-DOR, which means that within a single mission the accuracy delivered per pass depends on which observable was scheduled</w:t>
      </w:r>
      <w:r>
        <w:t xml:space="preserve"> </w:t>
      </w:r>
      <w:hyperlink w:anchor="ref-4">
        <w:r>
          <w:rPr>
            <w:rStyle w:val="Hyperlink"/>
          </w:rPr>
          <w:t xml:space="preserve">[4]</w:t>
        </w:r>
      </w:hyperlink>
      <w:r>
        <w:t xml:space="preserve">. For the evidence file, an estimate of a cadence effect that does not separate measurement type from raw pass count will conflate the two and misattribute a measurement-quality gain to cadence. The operational question is narrower: a different strand reinforces this point. Notaro and colleagues, in the Cassini test case, show that adding stations and observations reduces Doppler noise and improves the recovered radial-velocity signal</w:t>
      </w:r>
      <w:r>
        <w:t xml:space="preserve"> </w:t>
      </w:r>
      <w:hyperlink w:anchor="ref-8">
        <w:r>
          <w:rPr>
            <w:rStyle w:val="Hyperlink"/>
          </w:rPr>
          <w:t xml:space="preserve">[8]</w:t>
        </w:r>
      </w:hyperlink>
      <w:r>
        <w:t xml:space="preserve">. For the evidence file, this demonstrates that the informational content of a tracking interval depends on station geometry and the number of antennas brought to bear, not merely on the number of scheduled passes. Two schedules with identical pass counts can for that reason deliver different accuracies if their station configurations differ. For the dissertation this implies that pass count is a construct in need of careful operationalization: a robust specification must be able to replace pass count with tracked hours or with a geometry-weighted information measure, and must treat the presence of interferometric augmentation as a control rather than absorbing it into the cadence term.</w:t>
      </w:r>
    </w:p>
    <w:p>
      <w:pPr>
        <w:pStyle w:val="BodyText"/>
        <w:spacing w:line="480" w:lineRule="auto"/>
        <w:ind w:firstLine="720"/>
      </w:pPr>
      <w:r>
        <w:t xml:space="preserve">For this cross-technique, the comparison by Ely and colleagues is the most systematic treatment of measurement-type effects in the deep-space navigation literature and is for that reason pivotal for this review</w:t>
      </w:r>
      <w:r>
        <w:t xml:space="preserve"> </w:t>
      </w:r>
      <w:hyperlink w:anchor="ref-13">
        <w:r>
          <w:rPr>
            <w:rStyle w:val="Hyperlink"/>
          </w:rPr>
          <w:t xml:space="preserve">[13]</w:t>
        </w:r>
      </w:hyperlink>
      <w:r>
        <w:t xml:space="preserve">. For the evidence file, the study reports a controlled matrix of optical, pulsar time-of-arrival, and interferometric radiometric operating points at fixed distance regimes, including optical results of roughly forty-seven kilometers at Mars distance and roughly twenty-six hundred kilometers at Neptune distance, eight-pulsar results, best-four-pulsar results, and an interferometric four-kilometer-per-astronomical-unit rule. For the evidence file, this matrix is the closest the domain literature comes to a designed comparison that holds regime fixed while varying the data type. Its existence makes two things clear. For the evidence file, first, the level shift between measurement types is large, often larger than any plausible cadence effect, so measurement type must enter any specification as a fixed effect or the cadence coefficient will be swamped. For the evidence file, second, and decisively for identification, the cadence of an optical campaign is measured in image frames per day, a metric that is not commensurable with the passes per week of radiometric tracking. For the evidence file, pooling optical and radiometric operating points into one cadence variable for that reason mixes incommensurable units, a problem the dissertation’s second companion paper confronts directly. For the evidence file, the Ely matrix thus supplies both the controls a sound specification needs and a cautionary lesson about the limits of pooling.</w:t>
      </w:r>
    </w:p>
    <w:bookmarkEnd w:id="69"/>
    <w:bookmarkStart w:id="70" w:name="X096fbcbacb1ad3278e980e7007be4b3d1181c37"/>
    <w:p>
      <w:pPr>
        <w:pStyle w:val="Heading2"/>
        <w:spacing w:line="480" w:lineRule="auto"/>
      </w:pPr>
      <w:r>
        <w:t xml:space="preserve">2.5 The Autonomous-Navigation Survey Literature</w:t>
      </w:r>
    </w:p>
    <w:p>
      <w:pPr>
        <w:pStyle w:val="FirstParagraph"/>
        <w:spacing w:line="480" w:lineRule="auto"/>
      </w:pPr>
      <w:r>
        <w:t xml:space="preserve">For the evidence file, a distinct strand of the domain literature argues that deep-space missions should reduce their reliance on ground tracking by adopting onboard autonomous navigation. The record is explicit. The survey by Turan, Speretta, and Gill catalogs the scientific and technological advances in autonomous navigation for deep-space small satellites and frames ground-tracking dependence as a constraint to be relaxed</w:t>
      </w:r>
      <w:r>
        <w:t xml:space="preserve"> </w:t>
      </w:r>
      <w:hyperlink w:anchor="ref-1">
        <w:r>
          <w:rPr>
            <w:rStyle w:val="Hyperlink"/>
          </w:rPr>
          <w:t xml:space="preserve">[1]</w:t>
        </w:r>
      </w:hyperlink>
      <w:r>
        <w:t xml:space="preserve">. The broader survey of orbit determination for space situational awareness by Kazemi and colleagues similarly maps the methods landscape and treats reduced ground dependence as a design goal</w:t>
      </w:r>
      <w:r>
        <w:t xml:space="preserve"> </w:t>
      </w:r>
      <w:hyperlink w:anchor="ref-23">
        <w:r>
          <w:rPr>
            <w:rStyle w:val="Hyperlink"/>
          </w:rPr>
          <w:t xml:space="preserve">[23]</w:t>
        </w:r>
      </w:hyperlink>
      <w:r>
        <w:t xml:space="preserve">. Pulsar-based and optical autonomous methods are advanced as substitutes: the pulsar-navigation performance literature evaluates X-ray pulsar selection criteria and the accuracy achievable without ground tracking</w:t>
      </w:r>
      <w:r>
        <w:t xml:space="preserve"> </w:t>
      </w:r>
      <w:hyperlink w:anchor="ref-29">
        <w:r>
          <w:rPr>
            <w:rStyle w:val="Hyperlink"/>
          </w:rPr>
          <w:t xml:space="preserve">[29]</w:t>
        </w:r>
      </w:hyperlink>
      <w:r>
        <w:t xml:space="preserve">, and vision-based and image-processing navigation methods are developed for cooperative docking, small-body approach, and mission-specific applications such as the HERA pseudorange and Sun-phase-angle estimation</w:t>
      </w:r>
      <w:r>
        <w:t xml:space="preserve"> </w:t>
      </w:r>
      <w:hyperlink w:anchor="ref-21">
        <w:r>
          <w:rPr>
            <w:rStyle w:val="Hyperlink"/>
          </w:rPr>
          <w:t xml:space="preserve">[21]</w:t>
        </w:r>
      </w:hyperlink>
      <w:r>
        <w:t xml:space="preserve">[24]. Mission concepts for space-weather small spacecraft likewise assume an operating posture in which ground tracking is a contested input to be economized</w:t>
      </w:r>
      <w:r>
        <w:t xml:space="preserve"> </w:t>
      </w:r>
      <w:hyperlink w:anchor="ref-22">
        <w:r>
          <w:rPr>
            <w:rStyle w:val="Hyperlink"/>
          </w:rPr>
          <w:t xml:space="preserve">[22]</w:t>
        </w:r>
      </w:hyperlink>
      <w:r>
        <w:t xml:space="preserve">.</w:t>
      </w:r>
    </w:p>
    <w:p>
      <w:pPr>
        <w:pStyle w:val="BodyText"/>
        <w:spacing w:line="480" w:lineRule="auto"/>
        <w:ind w:firstLine="720"/>
      </w:pPr>
      <w:r>
        <w:t xml:space="preserve">For this evidence, the trail is concrete here: the logical structure of this literature is what matters for the present review. The claim remains testable. For the evidence file, an argument that a mission should substitute onboard navigation for ground tracking is coherent only if the ground pass it proposes to displace carries a quantifiable accuracy benefit worth displacing. For the evidence file, the autonomous-navigation literature for that reason presumes a marginal value of a ground pass that it does not itself estimate. For the evidence file, it takes the benefit of ground tracking as a known baseline and reasons about when onboard methods can match or beat it, but the baseline, the value of a pass, is exactly the quantity the dissertation sets out to recover. The autonomous-navigation literature thus identifies the dissertation’s estimand as operationally important without supplying it. For the evidence file, the dissertation’s estimate of the value of a ground pass under current ground-tracked operations is, in this light, the correct baseline against which the substitution proposals of the autonomous-navigation literature should be judged.</w:t>
      </w:r>
    </w:p>
    <w:bookmarkEnd w:id="70"/>
    <w:bookmarkStart w:id="71" w:name="X2d89af7de24d31c62bb40a0d2bc23ed1de8aa58"/>
    <w:p>
      <w:pPr>
        <w:pStyle w:val="Heading2"/>
        <w:spacing w:line="480" w:lineRule="auto"/>
      </w:pPr>
      <w:r>
        <w:t xml:space="preserve">2.6 The Space Domain Awareness Accuracy-Based-Tasking Literature</w:t>
      </w:r>
    </w:p>
    <w:p>
      <w:pPr>
        <w:pStyle w:val="FirstParagraph"/>
        <w:spacing w:line="480" w:lineRule="auto"/>
      </w:pPr>
      <w:r>
        <w:t xml:space="preserve">For the program record, the methodological resource that the deep-space domain lacks exists, fully developed, in the adjacent SDA sensor-tasking literature. The coding choice is visible. For the evidence file, produced largely for Earth-orbiting catalogs tracked by ground-based optical and radar networks, this body of work formalizes the relationship between observation scheduling and recovered orbit accuracy and uses it as an active tasking criterion. Dhingra and colleagues demonstrate that tasking sensors on the basis of expected orbit-accuracy gain improves sensor-network efficiency, treating the accuracy improvement per observation as the quantity to be maximized</w:t>
      </w:r>
      <w:r>
        <w:t xml:space="preserve"> </w:t>
      </w:r>
      <w:hyperlink w:anchor="ref-2">
        <w:r>
          <w:rPr>
            <w:rStyle w:val="Hyperlink"/>
          </w:rPr>
          <w:t xml:space="preserve">[2]</w:t>
        </w:r>
      </w:hyperlink>
      <w:r>
        <w:t xml:space="preserve">. The follow-on work formalizes observation scheduling against optimality certificates, treating the information delivered per observation as the driver of recovered state accuracy and providing guarantees on the scheduling decision</w:t>
      </w:r>
      <w:r>
        <w:t xml:space="preserve"> </w:t>
      </w:r>
      <w:hyperlink w:anchor="ref-3">
        <w:r>
          <w:rPr>
            <w:rStyle w:val="Hyperlink"/>
          </w:rPr>
          <w:t xml:space="preserve">[3]</w:t>
        </w:r>
      </w:hyperlink>
      <w:r>
        <w:t xml:space="preserve">. Herz earlier framed the same idea as a sensor-tasking approach designed explicitly for improved orbit-determination accuracy and more efficient use of ground assets</w:t>
      </w:r>
      <w:r>
        <w:t xml:space="preserve"> </w:t>
      </w:r>
      <w:hyperlink w:anchor="ref-18">
        <w:r>
          <w:rPr>
            <w:rStyle w:val="Hyperlink"/>
          </w:rPr>
          <w:t xml:space="preserve">[18]</w:t>
        </w:r>
      </w:hyperlink>
      <w:r>
        <w:t xml:space="preserve">, which is, in the SDA register, precisely the tracking-economy problem the dissertation poses in the deep-space register.</w:t>
      </w:r>
    </w:p>
    <w:p>
      <w:pPr>
        <w:pStyle w:val="BodyText"/>
        <w:spacing w:line="480" w:lineRule="auto"/>
        <w:ind w:firstLine="720"/>
      </w:pPr>
      <w:r>
        <w:t xml:space="preserve">For this methodological, the transferability of this literature is high, because it operationalizes the same estimation object the deep-space domain treats only descriptively. That is the empirical boundary. For the evidence file, the SDA literature is explicit that orbit-determination quality is a function of how observations are scheduled, and it builds estimators and tasking rules on that function. Supporting strands quantify orbit-prediction and estimation accuracy as a function of observation strategy: automated assessment of orbit predictions and estimations for catalog maintenance</w:t>
      </w:r>
      <w:r>
        <w:t xml:space="preserve"> </w:t>
      </w:r>
      <w:hyperlink w:anchor="ref-15">
        <w:r>
          <w:rPr>
            <w:rStyle w:val="Hyperlink"/>
          </w:rPr>
          <w:t xml:space="preserve">[15]</w:t>
        </w:r>
      </w:hyperlink>
      <w:r>
        <w:t xml:space="preserve">, optimization of orbit-prediction strategies for navigation satellites</w:t>
      </w:r>
      <w:r>
        <w:t xml:space="preserve"> </w:t>
      </w:r>
      <w:hyperlink w:anchor="ref-27">
        <w:r>
          <w:rPr>
            <w:rStyle w:val="Hyperlink"/>
          </w:rPr>
          <w:t xml:space="preserve">[27]</w:t>
        </w:r>
      </w:hyperlink>
      <w:r>
        <w:t xml:space="preserve">, and accuracy analysis of orbit determination under specific signal and geometry conditions</w:t>
      </w:r>
      <w:r>
        <w:t xml:space="preserve"> </w:t>
      </w:r>
      <w:hyperlink w:anchor="ref-25">
        <w:r>
          <w:rPr>
            <w:rStyle w:val="Hyperlink"/>
          </w:rPr>
          <w:t xml:space="preserve">[25]</w:t>
        </w:r>
      </w:hyperlink>
      <w:r>
        <w:t xml:space="preserve">. The track-association and admissible-region methods literature</w:t>
      </w:r>
      <w:r>
        <w:t xml:space="preserve"> </w:t>
      </w:r>
      <w:hyperlink w:anchor="ref-19">
        <w:r>
          <w:rPr>
            <w:rStyle w:val="Hyperlink"/>
          </w:rPr>
          <w:t xml:space="preserve">[19]</w:t>
        </w:r>
      </w:hyperlink>
      <w:r>
        <w:t xml:space="preserve">, the machine-learning approaches to object characterization and detection that feed the tasking pipeline</w:t>
      </w:r>
      <w:r>
        <w:t xml:space="preserve"> </w:t>
      </w:r>
      <w:hyperlink w:anchor="ref-16">
        <w:r>
          <w:rPr>
            <w:rStyle w:val="Hyperlink"/>
          </w:rPr>
          <w:t xml:space="preserve">[16]</w:t>
        </w:r>
      </w:hyperlink>
      <w:r>
        <w:t xml:space="preserve">[17][20][26], and the sensor-network architectures proposed for lunar and cislunar domains</w:t>
      </w:r>
      <w:r>
        <w:t xml:space="preserve"> </w:t>
      </w:r>
      <w:hyperlink w:anchor="ref-14">
        <w:r>
          <w:rPr>
            <w:rStyle w:val="Hyperlink"/>
          </w:rPr>
          <w:t xml:space="preserve">[14]</w:t>
        </w:r>
      </w:hyperlink>
      <w:r>
        <w:t xml:space="preserve"> </w:t>
      </w:r>
      <w:r>
        <w:t xml:space="preserve">together constitute a domain in which the accuracy-versus-observation relationship is a first-class, estimated object rather than a latent one.</w:t>
      </w:r>
    </w:p>
    <w:p>
      <w:pPr>
        <w:pStyle w:val="BodyText"/>
        <w:spacing w:line="480" w:lineRule="auto"/>
        <w:ind w:firstLine="720"/>
      </w:pPr>
      <w:r>
        <w:t xml:space="preserve">For this archival, the record matters here: the decisive limitation of the SDA literature, for the dissertation’s purposes, is its domain of application. The result is narrow. For the evidence file, its accuracy-based-tasking framework is built for Earth-orbiting catalogs observed by ground-based optical and radar sensors, not for deep-space spacecraft tracked by the DSN. For the evidence file, the estimation physics is shared, the covariance of a state estimate contracts as informative measurements accumulate, but the operating regime is entirely different: deep-space tracking is line-of-sight radiometric and interferometric rather than optical and radar, the scarce asset is a small number of large antennas rather than a distributed sensor network, and the dynamical environment is heliocentric cruise and close-approach rather than Earth orbit. For the evidence file, the SDA literature for that reason supplies the econometric logic, the treatment of accuracy gain per observation as an estimable and taskable quantity, but has never been imported into the deep-space heliophysics tracking-economy problem. That import is the methodological core of the dissertation.</w:t>
      </w:r>
    </w:p>
    <w:bookmarkEnd w:id="71"/>
    <w:bookmarkStart w:id="72" w:name="Xb221492c93c328220a8492f156cc0abf2bc408c"/>
    <w:p>
      <w:pPr>
        <w:pStyle w:val="Heading2"/>
        <w:spacing w:line="480" w:lineRule="auto"/>
      </w:pPr>
      <w:r>
        <w:t xml:space="preserve">2.7 Orbit-Determination Methods and Observation Strategy</w:t>
      </w:r>
    </w:p>
    <w:p>
      <w:pPr>
        <w:pStyle w:val="FirstParagraph"/>
        <w:spacing w:line="480" w:lineRule="auto"/>
      </w:pPr>
      <w:r>
        <w:t xml:space="preserve">For a replicator, bridging the two literatures is a methods literature on orbit determination that frames accuracy as a function of observation strategy across both Earth-orbit and deep-space settings. The survey of orbit determination for space situational awareness consolidates the estimator families and the observation-design considerations that govern recovered accuracy</w:t>
      </w:r>
      <w:r>
        <w:t xml:space="preserve"> </w:t>
      </w:r>
      <w:hyperlink w:anchor="ref-23">
        <w:r>
          <w:rPr>
            <w:rStyle w:val="Hyperlink"/>
          </w:rPr>
          <w:t xml:space="preserve">[23]</w:t>
        </w:r>
      </w:hyperlink>
      <w:r>
        <w:t xml:space="preserve">. Studies of orbit-determination accuracy under specific observation geometries, such as high-Earth-orbit determination from multi-GNSS sidelobe signals</w:t>
      </w:r>
      <w:r>
        <w:t xml:space="preserve"> </w:t>
      </w:r>
      <w:hyperlink w:anchor="ref-25">
        <w:r>
          <w:rPr>
            <w:rStyle w:val="Hyperlink"/>
          </w:rPr>
          <w:t xml:space="preserve">[25]</w:t>
        </w:r>
      </w:hyperlink>
      <w:r>
        <w:t xml:space="preserve">, and of orbit-prediction optimization for navigation-satellite constellations</w:t>
      </w:r>
      <w:r>
        <w:t xml:space="preserve"> </w:t>
      </w:r>
      <w:hyperlink w:anchor="ref-27">
        <w:r>
          <w:rPr>
            <w:rStyle w:val="Hyperlink"/>
          </w:rPr>
          <w:t xml:space="preserve">[27]</w:t>
        </w:r>
      </w:hyperlink>
      <w:r>
        <w:t xml:space="preserve">, establish that delivered accuracy is a tunable function of how and how often a target is observed. Constellation-deployment and mission-design optimization studies extend the same logic to the design of observation campaigns under resource constraints</w:t>
      </w:r>
      <w:r>
        <w:t xml:space="preserve"> </w:t>
      </w:r>
      <w:hyperlink w:anchor="ref-28">
        <w:r>
          <w:rPr>
            <w:rStyle w:val="Hyperlink"/>
          </w:rPr>
          <w:t xml:space="preserve">[28]</w:t>
        </w:r>
      </w:hyperlink>
      <w:r>
        <w:t xml:space="preserve">. For the evidence file, this methods literature confirms that the cadence-accuracy relationship is, in principle, an estimable response function and not merely a qualitative expectation, and it supplies the estimator vocabulary, weighted least squares and filtered estimation with covariance contraction, that both the domain and the SDA literatures share.</w:t>
      </w:r>
    </w:p>
    <w:p>
      <w:pPr>
        <w:pStyle w:val="BodyText"/>
        <w:spacing w:line="480" w:lineRule="auto"/>
        <w:ind w:firstLine="720"/>
      </w:pPr>
      <w:r>
        <w:t xml:space="preserve">For the evidence file, what this methods literature does not do is estimate the response function for the deep-space DSN-tracked heliophysics case from realized schedules and reported covariances. For the evidence file, it establishes the form of the relationship and the conditioning variables that must be held fixed, distance regime and measurement type foremost among them, but it leaves the specific deep-space elasticity and its saturation cadence unmeasured. For the evidence file, the dissertation occupies exactly this vacancy: it applies the estimable-response-function framing of the methods literature, using the conditioning variables the physics literature names, to the operating points the mission-performance literature reports, and recovers the coefficient the SDA literature would call the accuracy gain per unit of tasking.</w:t>
      </w:r>
    </w:p>
    <w:bookmarkEnd w:id="72"/>
    <w:bookmarkStart w:id="73" w:name="synthesis-and-the-gap"/>
    <w:p>
      <w:pPr>
        <w:pStyle w:val="Heading2"/>
        <w:spacing w:line="480" w:lineRule="auto"/>
      </w:pPr>
      <w:r>
        <w:t xml:space="preserve">2.8 Synthesis and the Gap</w:t>
      </w:r>
    </w:p>
    <w:p>
      <w:pPr>
        <w:pStyle w:val="FirstParagraph"/>
        <w:spacing w:line="480" w:lineRule="auto"/>
      </w:pPr>
      <w:r>
        <w:t xml:space="preserve">For this two, the literatures can now be set side by side. The domain technical literature, comprising the radiometric-tracking physics</w:t>
      </w:r>
      <w:r>
        <w:t xml:space="preserve"> </w:t>
      </w:r>
      <w:hyperlink w:anchor="ref-7">
        <w:r>
          <w:rPr>
            <w:rStyle w:val="Hyperlink"/>
          </w:rPr>
          <w:t xml:space="preserve">[7]</w:t>
        </w:r>
      </w:hyperlink>
      <w:r>
        <w:t xml:space="preserve">, the DSN allocation studies</w:t>
      </w:r>
      <w:r>
        <w:t xml:space="preserve"> </w:t>
      </w:r>
      <w:hyperlink w:anchor="ref-6">
        <w:r>
          <w:rPr>
            <w:rStyle w:val="Hyperlink"/>
          </w:rPr>
          <w:t xml:space="preserve">[6]</w:t>
        </w:r>
      </w:hyperlink>
      <w:r>
        <w:t xml:space="preserve">, the mission-specific navigation and radio-science reports</w:t>
      </w:r>
      <w:r>
        <w:t xml:space="preserve"> </w:t>
      </w:r>
      <w:hyperlink w:anchor="ref-4">
        <w:r>
          <w:rPr>
            <w:rStyle w:val="Hyperlink"/>
          </w:rPr>
          <w:t xml:space="preserve">[4]</w:t>
        </w:r>
      </w:hyperlink>
      <w:r>
        <w:t xml:space="preserve">[5][9][10][11], the measurement-type and multi-station work</w:t>
      </w:r>
      <w:r>
        <w:t xml:space="preserve"> </w:t>
      </w:r>
      <w:hyperlink w:anchor="ref-8">
        <w:r>
          <w:rPr>
            <w:rStyle w:val="Hyperlink"/>
          </w:rPr>
          <w:t xml:space="preserve">[8]</w:t>
        </w:r>
      </w:hyperlink>
      <w:r>
        <w:t xml:space="preserve">[12][13], and the autonomous-navigation surveys</w:t>
      </w:r>
      <w:r>
        <w:t xml:space="preserve"> </w:t>
      </w:r>
      <w:hyperlink w:anchor="ref-1">
        <w:r>
          <w:rPr>
            <w:rStyle w:val="Hyperlink"/>
          </w:rPr>
          <w:t xml:space="preserve">[1]</w:t>
        </w:r>
      </w:hyperlink>
      <w:r>
        <w:t xml:space="preserve">[23], supplies the physical mechanism, the contested-resource premise, the controls that must be held fixed, and an abundant catalog of real operating points. For the evidence file, but it reports accuracy at single operating points rather than as a response curve, it frames the resource-allocation problem from the supply side without estimating the demand-side benefit, and it presumes the marginal value of a ground pass without measuring it. The cliometric and econometric methodology, developed in the SDA sensor-tasking literature</w:t>
      </w:r>
      <w:r>
        <w:t xml:space="preserve"> </w:t>
      </w:r>
      <w:hyperlink w:anchor="ref-2">
        <w:r>
          <w:rPr>
            <w:rStyle w:val="Hyperlink"/>
          </w:rPr>
          <w:t xml:space="preserve">[2]</w:t>
        </w:r>
      </w:hyperlink>
      <w:r>
        <w:t xml:space="preserve">[3][18] and the orbit-determination methods literature</w:t>
      </w:r>
      <w:r>
        <w:t xml:space="preserve"> </w:t>
      </w:r>
      <w:hyperlink w:anchor="ref-15">
        <w:r>
          <w:rPr>
            <w:rStyle w:val="Hyperlink"/>
          </w:rPr>
          <w:t xml:space="preserve">[15]</w:t>
        </w:r>
      </w:hyperlink>
      <w:r>
        <w:t xml:space="preserve">[23][25][27], supplies exactly the missing machinery: it treats accuracy gain per observation as an estimable partial effect, conditions on confounders, and turns the relationship into a tasking rule. For the evidence file, but it has been developed for Earth-orbiting catalogs under ground-based optical and radar networks, not for deep-space DSN-tracked heliophysics spacecraft, and its accuracy-based-tasking insight has never been imported into the deep-space tracking-economy problem.</w:t>
      </w:r>
    </w:p>
    <w:p>
      <w:pPr>
        <w:pStyle w:val="BodyText"/>
        <w:spacing w:line="480" w:lineRule="auto"/>
        <w:ind w:firstLine="720"/>
      </w:pPr>
      <w:r>
        <w:t xml:space="preserve">For this data, the construction is deliberately visible: the gap is for that reason a cross-domain transfer that no published work has performed. For the evidence file, to the candidate’s reading of the retrieved corpus, no study regresses delivered heliophysics navigation error on realized DSN pass density to recover the elasticity of accuracy with respect to cadence and to locate the saturation cadence beyond which a marginal pass buys negligible accuracy. The mission-performance literature contains the data, latent across many separate reports, but assembles it nowhere. For the evidence file, the physics literature names the confounders, distance regime and measurement type, but supplies no estimator that conditions on them. The SDA literature supplies the estimator and the tasking logic but applies it in the wrong regime. The autonomous-navigation literature identifies the estimand as operationally decisive but takes it as given rather than recovering it. For the evidence file, the dissertation joins these strands by importing the SDA accuracy-based-tasking logic into the deep-space domain, operationalizing it as a log-log regression of delivered navigation error on tracking cadence with distance regime and measurement type held fixed, and estimating it on the union of documented operating points.</w:t>
      </w:r>
    </w:p>
    <w:p>
      <w:pPr>
        <w:pStyle w:val="BodyText"/>
        <w:spacing w:line="480" w:lineRule="auto"/>
        <w:ind w:firstLine="720"/>
      </w:pPr>
      <w:r>
        <w:t xml:space="preserve">Two features of this gap sharpen the dissertation’s identification strategy, and both are anticipated in the reviewed literatures. First, the measurement-type and multi-station work establishes that pass count is a coarse construct, so the cadence variable must be operationalized carefully and measurement type must enter as a control; pooling incommensurable cadence metrics, image frames against passes, will corrupt the coefficient</w:t>
      </w:r>
      <w:r>
        <w:t xml:space="preserve"> </w:t>
      </w:r>
      <w:hyperlink w:anchor="ref-8">
        <w:r>
          <w:rPr>
            <w:rStyle w:val="Hyperlink"/>
          </w:rPr>
          <w:t xml:space="preserve">[8]</w:t>
        </w:r>
      </w:hyperlink>
      <w:r>
        <w:t xml:space="preserve">[12][13]. Second, the very logic of the allocation and autonomous-navigation literatures implies that cadence is endogenous: operators concentrate tracking precisely when navigation is hard, since the contested resource is rationed toward the arcs that most need it</w:t>
      </w:r>
      <w:r>
        <w:t xml:space="preserve"> </w:t>
      </w:r>
      <w:hyperlink w:anchor="ref-1">
        <w:r>
          <w:rPr>
            <w:rStyle w:val="Hyperlink"/>
          </w:rPr>
          <w:t xml:space="preserve">[1]</w:t>
        </w:r>
      </w:hyperlink>
      <w:r>
        <w:t xml:space="preserve">[6]. For the evidence file, a naive cross-mission regression will for that reason recover a biased, possibly wrong-signed coefficient, because the missions and arcs that received the most tracking were the ones whose navigation was hardest. The SDA literature, which schedules observations on accuracy gain, embodies this same endogeneity in reverse, observation density is chosen as a function of expected accuracy need</w:t>
      </w:r>
      <w:r>
        <w:t xml:space="preserve"> </w:t>
      </w:r>
      <w:hyperlink w:anchor="ref-2">
        <w:r>
          <w:rPr>
            <w:rStyle w:val="Hyperlink"/>
          </w:rPr>
          <w:t xml:space="preserve">[2]</w:t>
        </w:r>
      </w:hyperlink>
      <w:r>
        <w:t xml:space="preserve">[3][18]. For the evidence file, recovering the structural elasticity for that reason requires holding the mission and measurement type fixed and exploiting cadence variation driven by DSN contention and antenna availability that is plausibly exogenous to a mission’s instantaneous navigation difficulty. For the evidence file, the gap is thus not merely an unestimated coefficient but an unestimated coefficient whose recovery demands an identification strategy that neither literature has had occasion to develop, because neither has posed the deep-space cadence-accuracy regression in the first place.</w:t>
      </w:r>
    </w:p>
    <w:bookmarkEnd w:id="73"/>
    <w:bookmarkStart w:id="74" w:name="position-of-the-companion-papers"/>
    <w:p>
      <w:pPr>
        <w:pStyle w:val="Heading2"/>
        <w:spacing w:line="480" w:lineRule="auto"/>
      </w:pPr>
      <w:r>
        <w:t xml:space="preserve">2.9 Position of the Companion Papers</w:t>
      </w:r>
    </w:p>
    <w:p>
      <w:pPr>
        <w:pStyle w:val="FirstParagraph"/>
        <w:spacing w:line="480" w:lineRule="auto"/>
      </w:pPr>
      <w:r>
        <w:t xml:space="preserve">For this two, the companion papers of this dissertation occupy this gap in complementary ways, and the literature reviewed above explains why both are necessary. The first companion paper estimates a cross-mission fixed-effects regression of navigation-solution uncertainty on weekly tracking volume, with Earth distance and operational phase held fixed, across twenty-three documented deep-space mission phases drawn from the mission-performance literature</w:t>
      </w:r>
      <w:r>
        <w:t xml:space="preserve"> </w:t>
      </w:r>
      <w:hyperlink w:anchor="ref-4">
        <w:r>
          <w:rPr>
            <w:rStyle w:val="Hyperlink"/>
          </w:rPr>
          <w:t xml:space="preserve">[4]</w:t>
        </w:r>
      </w:hyperlink>
      <w:r>
        <w:t xml:space="preserve">[8][9][10][11] and grounded in the radiometric-tracking physics</w:t>
      </w:r>
      <w:r>
        <w:t xml:space="preserve"> </w:t>
      </w:r>
      <w:hyperlink w:anchor="ref-7">
        <w:r>
          <w:rPr>
            <w:rStyle w:val="Hyperlink"/>
          </w:rPr>
          <w:t xml:space="preserve">[7]</w:t>
        </w:r>
      </w:hyperlink>
      <w:r>
        <w:t xml:space="preserve"> </w:t>
      </w:r>
      <w:r>
        <w:t xml:space="preserve">and DSN allocation premise</w:t>
      </w:r>
      <w:r>
        <w:t xml:space="preserve"> </w:t>
      </w:r>
      <w:hyperlink w:anchor="ref-6">
        <w:r>
          <w:rPr>
            <w:rStyle w:val="Hyperlink"/>
          </w:rPr>
          <w:t xml:space="preserve">[6]</w:t>
        </w:r>
      </w:hyperlink>
      <w:r>
        <w:t xml:space="preserve">. For the evidence file, it recovers a negative and significant cadence coefficient with the distance and phase controls behaving as the physics demands, which establishes that the cadence-accuracy relationship is real and estimable once the dominant structural drivers are conditioned out. For the evidence file, this paper performs the positive work of demonstrating that the response function exists and can be measured from the existing literature.</w:t>
      </w:r>
    </w:p>
    <w:p>
      <w:pPr>
        <w:pStyle w:val="BodyText"/>
        <w:spacing w:line="480" w:lineRule="auto"/>
        <w:ind w:firstLine="720"/>
      </w:pPr>
      <w:r>
        <w:t xml:space="preserve">For the empirical reader, the second companion paper performs the essential negative work that the endogeneity concern requires. It estimates a multivariate log-log regression of delivered navigation error on tracking cadence across a panel that holds distance regime and measurement type fixed, drawing on the controlled cross-technique matrix of Ely and colleagues</w:t>
      </w:r>
      <w:r>
        <w:t xml:space="preserve"> </w:t>
      </w:r>
      <w:hyperlink w:anchor="ref-13">
        <w:r>
          <w:rPr>
            <w:rStyle w:val="Hyperlink"/>
          </w:rPr>
          <w:t xml:space="preserve">[13]</w:t>
        </w:r>
      </w:hyperlink>
      <w:r>
        <w:t xml:space="preserve">, the DSN smallsat navigation study, and documented mission accounts</w:t>
      </w:r>
      <w:r>
        <w:t xml:space="preserve"> </w:t>
      </w:r>
      <w:hyperlink w:anchor="ref-5">
        <w:r>
          <w:rPr>
            <w:rStyle w:val="Hyperlink"/>
          </w:rPr>
          <w:t xml:space="preserve">[5]</w:t>
        </w:r>
      </w:hyperlink>
      <w:r>
        <w:t xml:space="preserve">[11], with the accuracy-based-tasking logic of the SDA literature supplying the theoretical link</w:t>
      </w:r>
      <w:r>
        <w:t xml:space="preserve"> </w:t>
      </w:r>
      <w:hyperlink w:anchor="ref-2">
        <w:r>
          <w:rPr>
            <w:rStyle w:val="Hyperlink"/>
          </w:rPr>
          <w:t xml:space="preserve">[2]</w:t>
        </w:r>
      </w:hyperlink>
      <w:r>
        <w:t xml:space="preserve">[3]. It finds that the naive pooled cadence coefficient is positive and significant, the wrong sign for the operational hypothesis, precisely since cadence is endogenous and since pooling mixes the incommensurable optical and radiometric cadence metrics the measurement-type literature warns against</w:t>
      </w:r>
      <w:r>
        <w:t xml:space="preserve"> </w:t>
      </w:r>
      <w:hyperlink w:anchor="ref-13">
        <w:r>
          <w:rPr>
            <w:rStyle w:val="Hyperlink"/>
          </w:rPr>
          <w:t xml:space="preserve">[13]</w:t>
        </w:r>
      </w:hyperlink>
      <w:r>
        <w:t xml:space="preserve">. For the evidence file, when the panel record is restricted to commensurable tracking-contact counts, the coefficient reverses toward the theoretically expected negative sign, though the reduced sample renders it imprecise. For the evidence file, this paper thus demonstrates, from the literature itself, that the value of a tracking pass cannot be read off a pooled cross-mission regression and that recovering it demands the within-mission, instrumented identification the prospectus proposes. For the evidence file, together the two papers convert the latent, catalog-form evidence of the domain literature into an estimated response function, import the accuracy-based-tasking logic of the SDA literature into the deep-space regime, and expose the endogeneity that the autonomous-navigation and allocation literatures presume but never confront. The gap identified in Section 2.8 is, in this way, both located and addressed.</w:t>
      </w:r>
    </w:p>
    <w:bookmarkEnd w:id="74"/>
    <w:bookmarkEnd w:id="75"/>
    <w:bookmarkStart w:id="88" w:name="Xcfcc00a3ded59aed0c781c16bfc121f2a509603"/>
    <w:p>
      <w:pPr>
        <w:pStyle w:val="Heading1"/>
        <w:spacing w:line="480" w:lineRule="auto"/>
      </w:pPr>
      <w:r>
        <w:t xml:space="preserve">Chapter 3. Theoretical Framework and Hypotheses</w:t>
      </w:r>
    </w:p>
    <w:bookmarkStart w:id="76" w:name="purpose-and-position-of-the-chapter"/>
    <w:p>
      <w:pPr>
        <w:pStyle w:val="Heading2"/>
        <w:spacing w:line="480" w:lineRule="auto"/>
      </w:pPr>
      <w:r>
        <w:t xml:space="preserve">3.1 Purpose and Position of the Chapter</w:t>
      </w:r>
    </w:p>
    <w:p>
      <w:pPr>
        <w:pStyle w:val="FirstParagraph"/>
        <w:spacing w:line="480" w:lineRule="auto"/>
      </w:pPr>
      <w:r>
        <w:t xml:space="preserve">For this evidence, the trail is concrete here: the two empirical papers that anchor this dissertation establish, between them, a paradox that demands a theory rather than a further regression.</w:t>
      </w:r>
    </w:p>
    <w:p>
      <w:pPr>
        <w:pStyle w:val="BodyText"/>
        <w:spacing w:line="480" w:lineRule="auto"/>
        <w:ind w:firstLine="720"/>
      </w:pPr>
      <w:r>
        <w:t xml:space="preserve">For this first, the paper recovers a strong negative association between weekly tracking volume and delivered navigation error across twenty-three deep-space mission phases, with each additional ten tracking-hours per week buying roughly a thirty-eight percent reduction in position uncertainty once distance and operational phase are held fixed. For the evidence file, the second paper, drawing on a partly overlapping panel of twenty-four operating points and controlling explicitly for measurement type, finds the cadence coefficient flipping to a positive and significant value, and recovers the theoretically expected negative sign only when the panel record is restricted to commensurable radiometric tracking-contact counts, at which point the small radiometric subsample can no longer make the sign significant. The reconciliation of those two results is not a matter of choosing the better fit. For the evidence file, it is a matter of stating, precisely and falsifiably, what the underlying relationship between tracking cadence and navigation accuracy actually is, why naive estimation of it misbehaves, and what an honest estimate must for that reason hold fixed. The chapter performs that work. It develops the theoretical mechanism that links a Deep Space Network (DSN) pass to a tightened orbit-determination (OD) covariance, traces the causal logic from that mechanism through the confounders that contaminate it, and then states the formal hypotheses H0 and H1 that the dissertation’s identification strategy is designed to adjudicate.</w:t>
      </w:r>
    </w:p>
    <w:p>
      <w:pPr>
        <w:pStyle w:val="BodyText"/>
        <w:spacing w:line="480" w:lineRule="auto"/>
        <w:ind w:firstLine="720"/>
      </w:pPr>
      <w:r>
        <w:t xml:space="preserve">For this chapter, the proceeds in four movements. Section 3.2 builds the estimation-theoretic mechanism: why an OD covariance contracts as informative measurements accumulate, and why that contraction is expected to diminish at the margin. Section 3.3 develops the causal logic, separating the structural drivers of accuracy that any specification must condition on from the endogenous scheduling behavior that biases the cadence coefficient. Section 3.4 states the formal model, defines the estimand, and presents H0 and H1 together with their falsification conditions. Section 3.5 closes by situating the hypotheses against the autonomous-navigation baseline that gives the value of a ground pass its operational meaning.</w:t>
      </w:r>
    </w:p>
    <w:bookmarkEnd w:id="76"/>
    <w:bookmarkStart w:id="79" w:name="the-estimation-theoretic-mechanism"/>
    <w:p>
      <w:pPr>
        <w:pStyle w:val="Heading2"/>
        <w:spacing w:line="480" w:lineRule="auto"/>
      </w:pPr>
      <w:r>
        <w:t xml:space="preserve">3.2 The Estimation-Theoretic Mechanism</w:t>
      </w:r>
    </w:p>
    <w:bookmarkStart w:id="77" w:name="the-covariance-contraction-premise"/>
    <w:p>
      <w:pPr>
        <w:pStyle w:val="Heading3"/>
        <w:spacing w:line="480" w:lineRule="auto"/>
      </w:pPr>
      <w:r>
        <w:t xml:space="preserve">3.2.1 The covariance-contraction premise</w:t>
      </w:r>
    </w:p>
    <w:p>
      <w:pPr>
        <w:pStyle w:val="FirstParagraph"/>
        <w:spacing w:line="480" w:lineRule="auto"/>
      </w:pPr>
      <w:r>
        <w:t xml:space="preserve">For this archival, the record matters here: a deep-space navigation solution is, at bottom, the covariance of a weighted least-squares or filtered estimate of a spacecraft state.</w:t>
      </w:r>
    </w:p>
    <w:p>
      <w:pPr>
        <w:pStyle w:val="BodyText"/>
        <w:spacing w:line="480" w:lineRule="auto"/>
        <w:ind w:firstLine="720"/>
      </w:pPr>
      <w:r>
        <w:t xml:space="preserve">Radiometric tracking supplies the measurements that constrain it. Two-way Doppler senses line-of-sight velocity, range senses line-of-sight distance, and Delta-DOR senses plane-of-sky angular position by differencing the arrival of a signal at two widely separated stations against a quasar reference</w:t>
      </w:r>
      <w:r>
        <w:t xml:space="preserve"> </w:t>
      </w:r>
      <w:hyperlink w:anchor="ref-12">
        <w:r>
          <w:rPr>
            <w:rStyle w:val="Hyperlink"/>
          </w:rPr>
          <w:t xml:space="preserve">[12]</w:t>
        </w:r>
      </w:hyperlink>
      <w:r>
        <w:t xml:space="preserve">. The canonical DESCANSO treatment of these observables describes how a multi-pass arc progressively reduces the estimated-state covariance relative to a short, single-pass solution, since each additional pass contributes independent measurement geometry and beats down the stochastic component of measurement noise</w:t>
      </w:r>
      <w:r>
        <w:t xml:space="preserve"> </w:t>
      </w:r>
      <w:hyperlink w:anchor="ref-7">
        <w:r>
          <w:rPr>
            <w:rStyle w:val="Hyperlink"/>
          </w:rPr>
          <w:t xml:space="preserve">[7]</w:t>
        </w:r>
      </w:hyperlink>
      <w:r>
        <w:t xml:space="preserve">. For the evidence file, this is the foundational premise of the dissertation, and it is not in dispute: holding everything else fixed, more informative tracking within an arc produces a tighter solution.</w:t>
      </w:r>
    </w:p>
    <w:p>
      <w:pPr>
        <w:pStyle w:val="BodyText"/>
        <w:spacing w:line="480" w:lineRule="auto"/>
        <w:ind w:firstLine="720"/>
      </w:pPr>
      <w:r>
        <w:t xml:space="preserve">Two distinct sub-mechanisms carry this premise, and the distinction matters for the functional form proposed below. The first is the accumulation of independent information. For the evidence file, each Doppler and range point is a noisy observation of the state through a measurement geometry; as the count of independent points grows, the information matrix accumulates and its inverse, the covariance, contracts. Notaro and colleagues demonstrate this directly for the Cassini case, showing that adding stations and observations reduces Doppler noise and sharpens the recovered radial-velocity signal</w:t>
      </w:r>
      <w:r>
        <w:t xml:space="preserve"> </w:t>
      </w:r>
      <w:hyperlink w:anchor="ref-8">
        <w:r>
          <w:rPr>
            <w:rStyle w:val="Hyperlink"/>
          </w:rPr>
          <w:t xml:space="preserve">[8]</w:t>
        </w:r>
      </w:hyperlink>
      <w:r>
        <w:t xml:space="preserve">. The second sub-mechanism is the suppression of prediction-horizon growth. For the evidence file, a navigation solution is not estimated once and consulted thereafter; it is propagated forward, and the predicted-state error grows as the propagation horizon lengthens. Frequent tracking shortens the interval over which an aging solution must be extrapolated before the next update arrives, which is precisely why orbiter navigation teams schedule routine ephemeris predictions on a fixed weekly rhythm instead of an irregular one</w:t>
      </w:r>
      <w:r>
        <w:t xml:space="preserve"> </w:t>
      </w:r>
      <w:hyperlink w:anchor="ref-9">
        <w:r>
          <w:rPr>
            <w:rStyle w:val="Hyperlink"/>
          </w:rPr>
          <w:t xml:space="preserve">[9]</w:t>
        </w:r>
      </w:hyperlink>
      <w:r>
        <w:t xml:space="preserve">. For the evidence file, tracking cadence, the number of passes per unit time, is the operational lever that acts on both sub-mechanisms simultaneously: it raises the rate at which independent information accumulates and it shortens the mean prediction horizon between solutions.</w:t>
      </w:r>
    </w:p>
    <w:bookmarkEnd w:id="77"/>
    <w:bookmarkStart w:id="78" w:name="why-the-contraction-must-diminish"/>
    <w:p>
      <w:pPr>
        <w:pStyle w:val="Heading3"/>
        <w:spacing w:line="480" w:lineRule="auto"/>
      </w:pPr>
      <w:r>
        <w:t xml:space="preserve">3.2.2 Why the contraction must diminish</w:t>
      </w:r>
    </w:p>
    <w:p>
      <w:pPr>
        <w:pStyle w:val="FirstParagraph"/>
        <w:spacing w:line="480" w:lineRule="auto"/>
      </w:pPr>
      <w:r>
        <w:t xml:space="preserve">For this covariance-contraction, the premise, taken alone, predicts only that error falls as cadence rises. The dissertation’s distinctive theoretical claim is sharper. For the evidence file, the contraction diminishes at the margin, so that the function relating error to cadence is convex in log space and possesses a finite saturation cadence beyond which an added pass buys negligible accuracy. This claim follows from the same estimation theory that supplies the contraction premise.</w:t>
      </w:r>
    </w:p>
    <w:p>
      <w:pPr>
        <w:pStyle w:val="BodyText"/>
        <w:spacing w:line="480" w:lineRule="auto"/>
        <w:ind w:firstLine="720"/>
      </w:pPr>
      <w:r>
        <w:t xml:space="preserve">For this chapter, the treats this as an empirical claim: consider the information matrix as the sum of per-measurement information contributions. For the evidence file, when tracking is sparse, each added pass contributes geometry and noise reduction that the existing arc does not already supply, and the marginal information per pass is large. For the evidence file, as cadence rises, successive passes increasingly duplicate geometry the arc already contains, and the marginal information per pass falls. In the limit, the OD covariance becomes constrained not by the count of radiometric points but by the systematic error floor of the observables themselves: media calibration, station-location uncertainty, and the geometric leverage available from the Earth-spacecraft line of sight. Beyond that floor, additional passes refine an already-saturated information matrix and the marginal accuracy gain collapses toward zero. The accuracy-based tasking literature from space domain awareness formalizes exactly this logic for Earth-orbit catalogs, treating the information delivered per observation, instead of the raw observation count, as the quantity that drives recovered state accuracy, and scheduling sensors on the basis of expected accuracy gain instead of uniform coverage</w:t>
      </w:r>
      <w:r>
        <w:t xml:space="preserve"> </w:t>
      </w:r>
      <w:hyperlink w:anchor="ref-2">
        <w:r>
          <w:rPr>
            <w:rStyle w:val="Hyperlink"/>
          </w:rPr>
          <w:t xml:space="preserve">[2]</w:t>
        </w:r>
      </w:hyperlink>
      <w:r>
        <w:t xml:space="preserve">[3]. For the evidence file, that literature has not been imported into the deep-space DSN-tracked heliophysics case, and importing it is the theoretical bridge this dissertation builds. For the evidence file, its operational payload is that a marginal pass scheduled beyond the saturation cadence is not merely low-value; it is reallocatable to a cadence-starved spacecraft at no accuracy cost to the donor.</w:t>
      </w:r>
    </w:p>
    <w:p>
      <w:pPr>
        <w:pStyle w:val="BodyText"/>
        <w:spacing w:line="480" w:lineRule="auto"/>
        <w:ind w:firstLine="720"/>
      </w:pPr>
      <w:r>
        <w:t xml:space="preserve">For this diminishing-returns, the claim is what converts a folk heuristic into a tasking rule. For the evidence file, if accuracy improved linearly and without bound in cadence, the rational policy would be to track every mission to its science requirement and no theory of saturation would be needed. The economic content lives entirely in the curvature. For the evidence file, where the knee sits in the error-versus-cadence curve is what tells a constrained scheduler where the marginal value of a pass falls below its opportunity cost.</w:t>
      </w:r>
    </w:p>
    <w:bookmarkEnd w:id="78"/>
    <w:bookmarkEnd w:id="79"/>
    <w:bookmarkStart w:id="82" w:name="the-causal-logic-and-its-confounders"/>
    <w:p>
      <w:pPr>
        <w:pStyle w:val="Heading2"/>
        <w:spacing w:line="480" w:lineRule="auto"/>
      </w:pPr>
      <w:r>
        <w:t xml:space="preserve">3.3 The Causal Logic and Its Confounders</w:t>
      </w:r>
    </w:p>
    <w:bookmarkStart w:id="80" w:name="Xc5ffc6dc77e579aed88531a2855fae9a9bbdf64"/>
    <w:p>
      <w:pPr>
        <w:pStyle w:val="Heading3"/>
        <w:spacing w:line="480" w:lineRule="auto"/>
      </w:pPr>
      <w:r>
        <w:t xml:space="preserve">3.3.1 Structural drivers that must be conditioned out</w:t>
      </w:r>
    </w:p>
    <w:p>
      <w:pPr>
        <w:pStyle w:val="FirstParagraph"/>
        <w:spacing w:line="480" w:lineRule="auto"/>
      </w:pPr>
      <w:r>
        <w:t xml:space="preserve">For this operational, the question is narrower: the mechanism of Section 3.2 describes the partial effect of cadence with the dynamical environment held fixed. For the evidence file, the cross-mission record does not hold that environment fixed, and two structural drivers dominate the raw spread in navigation accuracy. Both must be conditioned out before any cadence effect is interpretable. The first is Earth-spacecraft distance. Range punishes the solution twice. Increasing it degrades the signal-to-noise ratio of the radio link and weakens the plane-of-sky leverage of line-of-sight tracking, and the angular and interferometric error budgets grow roughly in proportion to distance, so that the interferometric contribution scales as a fixed angular error multiplied by range</w:t>
      </w:r>
      <w:r>
        <w:t xml:space="preserve"> </w:t>
      </w:r>
      <w:hyperlink w:anchor="ref-4">
        <w:r>
          <w:rPr>
            <w:rStyle w:val="Hyperlink"/>
          </w:rPr>
          <w:t xml:space="preserve">[4]</w:t>
        </w:r>
      </w:hyperlink>
      <w:r>
        <w:t xml:space="preserve">[8]. The first empirical paper recovers this penalty cleanly, estimating that a tenfold increase in geocentric distance is associated with roughly a 1.56 increase in log-base-ten kilometers of uncertainty, and the second paper recovers a comparable positive distance elasticity of about 1.18 in its full panel and 0.83 in its radiometric subsample. For the evidence file, a specification that omitted distance would attribute to cadence the accuracy differences that are in fact the signature of range, because outer-solar-system missions are simultaneously farther and, often, differently tracked.</w:t>
      </w:r>
    </w:p>
    <w:p>
      <w:pPr>
        <w:pStyle w:val="BodyText"/>
        <w:spacing w:line="480" w:lineRule="auto"/>
        <w:ind w:firstLine="720"/>
      </w:pPr>
      <w:r>
        <w:t xml:space="preserve">For the empirical reader, the second structural driver is operational phase and its associated measurement-type mix. Orbital and proximity-operations phases admit optical-navigation and landmark data and benefit from a well-determined local gravity field, whereas interplanetary cruise relies on radiometrics alone</w:t>
      </w:r>
      <w:r>
        <w:t xml:space="preserve"> </w:t>
      </w:r>
      <w:hyperlink w:anchor="ref-11">
        <w:r>
          <w:rPr>
            <w:rStyle w:val="Hyperlink"/>
          </w:rPr>
          <w:t xml:space="preserve">[11]</w:t>
        </w:r>
      </w:hyperlink>
      <w:r>
        <w:t xml:space="preserve">. For the evidence file, the first paper estimates that orbital phases show navigation uncertainty nearly two orders of magnitude smaller than cruise at comparable distance and cadence. The second paper sharpens the lesson into a confound of construct: a shift from radiometric Doppler and range to interferometric Delta-DOR, or to onboard optical imaging, changes delivered accuracy independently of raw contact count, and its optical operating points carry a large negative level effect since they deliver tight relative-state solutions in close-proximity asteroid operations</w:t>
      </w:r>
      <w:r>
        <w:t xml:space="preserve"> </w:t>
      </w:r>
      <w:hyperlink w:anchor="ref-4">
        <w:r>
          <w:rPr>
            <w:rStyle w:val="Hyperlink"/>
          </w:rPr>
          <w:t xml:space="preserve">[4]</w:t>
        </w:r>
      </w:hyperlink>
      <w:r>
        <w:t xml:space="preserve">[12]. For the evidence file, cadence measured in image frames per day is not commensurable with cadence measured in radiometric passes per week, and pooling the two contaminates the cadence coefficient at the level of the measured quantity itself.</w:t>
      </w:r>
    </w:p>
    <w:bookmarkEnd w:id="80"/>
    <w:bookmarkStart w:id="81" w:name="the-endogeneity-of-cadence"/>
    <w:p>
      <w:pPr>
        <w:pStyle w:val="Heading3"/>
        <w:spacing w:line="480" w:lineRule="auto"/>
      </w:pPr>
      <w:r>
        <w:t xml:space="preserve">3.3.2 The endogeneity of cadence</w:t>
      </w:r>
    </w:p>
    <w:p>
      <w:pPr>
        <w:pStyle w:val="FirstParagraph"/>
        <w:spacing w:line="480" w:lineRule="auto"/>
      </w:pPr>
      <w:r>
        <w:t xml:space="preserve">For this evidence, the trail is concrete here: conditioning on distance and measurement type is necessary but not sufficient, because cadence is not assigned to mission arcs at random. For the evidence file, operators concentrate tracking precisely on the arcs where navigation is hard: near perihelion, near a maneuver, near a critical encounter. This is rational behavior. It is also the central threat to identification. It induces a positive correlation between cadence and difficulty that runs counter to the negative mechanism of Section 3.2, biasing the naive cadence coefficient toward zero or beyond it into the wrong sign. The second empirical paper is the controlled demonstration of this endogeneity. Its pooled cadence coefficient is positive and significant at about 1.41, the opposite of the operational hypothesis, and the paper reads that result not as a refutation of the physics but as the signature of two superimposed contaminations: the endogenous concentration of tracking on the hardest arcs, and the incommensurable pooling of optical and radiometric cadence metrics. The diagnostic that confirms this reading is decisive. When the panel record is restricted to true radiometric tracking-contact counts, removing the optical operating points, the cadence sign reverses to the theoretically expected negative value of about -0.68, though the reduced sample renders it insignificant. The sign flip is the tell. For the evidence file, it shows the underlying relationship is negative as the mechanism predicts, and that the wrong-signed pooled estimate is an artifact of confounding rather than a property of the physics.</w:t>
      </w:r>
    </w:p>
    <w:p>
      <w:pPr>
        <w:pStyle w:val="BodyText"/>
        <w:spacing w:line="480" w:lineRule="auto"/>
        <w:ind w:firstLine="720"/>
      </w:pPr>
      <w:r>
        <w:t xml:space="preserve">For the program record, the causal logic for that reason terminates in a specific identification requirement. For the evidence file, the estimand of interest is the partial elasticity of delivered navigation error with respect to realized cadence, holding the dynamical regime and the measurement type fixed, and it can be recovered only by exploiting cadence variation that is exogenous to the individual mission’s instantaneous navigation difficulty. For the evidence file, the prospectus names that source of variation: DSN contention and antenna availability, which vary for reasons of network-wide scheduling pressure that are plausibly independent of any single spacecraft’s momentary navigation hardness, and which for that reason serve as an instrument for realized cadence. For the evidence file, the within-mission, instrumented design is not a methodological preference; it is the logical consequence of the endogeneity that the companion paper exhibits in the open.</w:t>
      </w:r>
    </w:p>
    <w:bookmarkEnd w:id="81"/>
    <w:bookmarkEnd w:id="82"/>
    <w:bookmarkStart w:id="86" w:name="formal-model-and-hypotheses"/>
    <w:p>
      <w:pPr>
        <w:pStyle w:val="Heading2"/>
        <w:spacing w:line="480" w:lineRule="auto"/>
      </w:pPr>
      <w:r>
        <w:t xml:space="preserve">3.4 Formal Model and Hypotheses</w:t>
      </w:r>
    </w:p>
    <w:bookmarkStart w:id="83" w:name="the-functional-specification"/>
    <w:p>
      <w:pPr>
        <w:pStyle w:val="Heading3"/>
        <w:spacing w:line="480" w:lineRule="auto"/>
      </w:pPr>
      <w:r>
        <w:t xml:space="preserve">3.4.1 The functional specification</w:t>
      </w:r>
    </w:p>
    <w:p>
      <w:pPr>
        <w:pStyle w:val="FirstParagraph"/>
        <w:spacing w:line="480" w:lineRule="auto"/>
      </w:pPr>
      <w:r>
        <w:t xml:space="preserve">For the evidence file, let</w:t>
      </w:r>
      <w:r>
        <w:t xml:space="preserve"> </w:t>
      </w:r>
      <w:r>
        <w:rPr>
          <w:i/>
          <w:iCs/>
        </w:rPr>
        <w:t xml:space="preserve">c</w:t>
      </w:r>
      <w:r>
        <w:t xml:space="preserve"> </w:t>
      </w:r>
      <w:r>
        <w:t xml:space="preserve">denote tracking cadence, defined as DSN passes per week over a defined mission arc, and let</w:t>
      </w:r>
      <w:r>
        <w:t xml:space="preserve"> </w:t>
      </w:r>
      <w:r>
        <w:rPr>
          <w:i/>
          <w:iCs/>
        </w:rPr>
        <w:t xml:space="preserve">E</w:t>
      </w:r>
      <w:r>
        <w:t xml:space="preserve"> </w:t>
      </w:r>
      <w:r>
        <w:t xml:space="preserve">denote the delivered along-track navigation uncertainty at one sigma, taken from the reported OD covariance for that arc. The dissertation models the logarithm of error as a function of the logarithm of cadence, with a quadratic term in log cadence to capture the diminishing returns developed in Section 3.2.2, and with the structural confounders of Section 3.3.1 entered as controls:</w:t>
      </w:r>
    </w:p>
    <w:p>
      <w:pPr>
        <w:pStyle w:val="BodyText"/>
        <w:spacing w:line="480" w:lineRule="auto"/>
        <w:ind w:firstLine="720"/>
      </w:pPr>
      <w:r>
        <w:t xml:space="preserve">log</w:t>
      </w:r>
      <w:r>
        <w:t xml:space="preserve"> </w:t>
      </w:r>
      <w:r>
        <w:rPr>
          <w:i/>
          <w:iCs/>
        </w:rPr>
        <w:t xml:space="preserve">E</w:t>
      </w:r>
      <w:r>
        <w:t xml:space="preserve"> </w:t>
      </w:r>
      <w:r>
        <w:t xml:space="preserve">= β0 + β1 log</w:t>
      </w:r>
      <w:r>
        <w:t xml:space="preserve"> </w:t>
      </w:r>
      <w:r>
        <w:rPr>
          <w:i/>
          <w:iCs/>
        </w:rPr>
        <w:t xml:space="preserve">c</w:t>
      </w:r>
      <w:r>
        <w:t xml:space="preserve"> </w:t>
      </w:r>
      <w:r>
        <w:t xml:space="preserve">+ β2 (log</w:t>
      </w:r>
      <w:r>
        <w:t xml:space="preserve"> </w:t>
      </w:r>
      <w:r>
        <w:rPr>
          <w:i/>
          <w:iCs/>
        </w:rPr>
        <w:t xml:space="preserve">c</w:t>
      </w:r>
      <w:r>
        <w:t xml:space="preserve">)^2 + γ’ X + ε,</w:t>
      </w:r>
    </w:p>
    <w:p>
      <w:pPr>
        <w:pStyle w:val="BodyText"/>
        <w:spacing w:line="480" w:lineRule="auto"/>
        <w:ind w:firstLine="720"/>
      </w:pPr>
      <w:r>
        <w:t xml:space="preserve">where X collects the distance regime, the measurement-type mix across Doppler, range, and Delta-DOR, and a dynamical-difficulty proxy capturing the solar-radiation-pressure and gravity-gradient environment of the arc</w:t>
      </w:r>
      <w:r>
        <w:t xml:space="preserve"> </w:t>
      </w:r>
      <w:hyperlink w:anchor="ref-4">
        <w:r>
          <w:rPr>
            <w:rStyle w:val="Hyperlink"/>
          </w:rPr>
          <w:t xml:space="preserve">[4]</w:t>
        </w:r>
      </w:hyperlink>
      <w:r>
        <w:t xml:space="preserve">. For the evidence file, the logarithmic form is dictated by the multiplicative, order-of-magnitude character of navigation error documented across both empirical papers, in which accuracy ranges from meter-class reconstructed orbits to thousand-kilometer-class deep-cruise position knowledge. In this specification β1 is the partial elasticity of navigation error with respect to cadence at the reference point, and the curvature term β2 governs whether and where the contraction saturates. The chapter treats this as an empirical claim: the estimand is β1 together with the saturation cadence</w:t>
      </w:r>
      <w:r>
        <w:t xml:space="preserve"> </w:t>
      </w:r>
      <w:r>
        <w:rPr>
          <w:i/>
          <w:iCs/>
        </w:rPr>
        <w:t xml:space="preserve">c*</w:t>
      </w:r>
      <w:r>
        <w:t xml:space="preserve"> </w:t>
      </w:r>
      <w:r>
        <w:t xml:space="preserve">implied jointly by β1 and β2. For the evidence file, the saturation cadence is treated as the value of</w:t>
      </w:r>
      <w:r>
        <w:t xml:space="preserve"> </w:t>
      </w:r>
      <w:r>
        <w:rPr>
          <w:i/>
          <w:iCs/>
        </w:rPr>
        <w:t xml:space="preserve">c</w:t>
      </w:r>
      <w:r>
        <w:t xml:space="preserve"> </w:t>
      </w:r>
      <w:r>
        <w:t xml:space="preserve">beyond which the marginal accuracy gain per added pass falls below a stated operational threshold, recovered analytically from the first-order condition of the fitted curve. Estimating β1 alone establishes whether cadence matters; estimating</w:t>
      </w:r>
      <w:r>
        <w:t xml:space="preserve"> </w:t>
      </w:r>
      <w:r>
        <w:rPr>
          <w:i/>
          <w:iCs/>
        </w:rPr>
        <w:t xml:space="preserve">c*</w:t>
      </w:r>
      <w:r>
        <w:t xml:space="preserve"> </w:t>
      </w:r>
      <w:r>
        <w:t xml:space="preserve">is the dissertation’s distinctive deliverable, since it is the quantity that a constrained scheduler can act on.</w:t>
      </w:r>
    </w:p>
    <w:bookmarkEnd w:id="83"/>
    <w:bookmarkStart w:id="84" w:name="the-hypotheses"/>
    <w:p>
      <w:pPr>
        <w:pStyle w:val="Heading3"/>
        <w:spacing w:line="480" w:lineRule="auto"/>
      </w:pPr>
      <w:r>
        <w:t xml:space="preserve">3.4.2 The hypotheses</w:t>
      </w:r>
    </w:p>
    <w:p>
      <w:pPr>
        <w:pStyle w:val="FirstParagraph"/>
        <w:spacing w:line="480" w:lineRule="auto"/>
      </w:pPr>
      <w:r>
        <w:t xml:space="preserve">For this data, the construction is deliberately visible: the dissertation makes one falsifiable claim about the functional relationship between tracking cadence and navigation accuracy, stated as a null and an alternative.</w:t>
      </w:r>
      <w:r>
        <w:t xml:space="preserve"> </w:t>
      </w:r>
      <w:r>
        <w:rPr>
          <w:b/>
          <w:bCs/>
        </w:rPr>
        <w:t xml:space="preserve">H0 (null).</w:t>
      </w:r>
      <w:r>
        <w:t xml:space="preserve"> </w:t>
      </w:r>
      <w:r>
        <w:t xml:space="preserve">The elasticity of navigation error with respect to tracking cadence is zero. With the dynamical regime and the measurement type held fixed, delivered OD accuracy does not vary systematically with realized DSN pass density, and the coefficient on log cadence is statistically indistinguishable from zero: β1 = 0. Under H0 there is no transfer function to estimate, the saturation cadence is undefined, and the operational intuition that tracking buys accuracy is unsupported once confounders are removed. The operational question is narrower:</w:t>
      </w:r>
      <w:r>
        <w:t xml:space="preserve"> </w:t>
      </w:r>
      <w:r>
        <w:rPr>
          <w:b/>
          <w:bCs/>
        </w:rPr>
        <w:t xml:space="preserve">H1 (alternative).</w:t>
      </w:r>
      <w:r>
        <w:t xml:space="preserve"> </w:t>
      </w:r>
      <w:r>
        <w:t xml:space="preserve">Navigation error declines significantly with tracking cadence and the decline diminishes at the margin. The elasticity is negative and the second-order term is positive, β1 &lt; 0 and β2 &gt; 0, which together imply a finite saturation cadence</w:t>
      </w:r>
      <w:r>
        <w:t xml:space="preserve"> </w:t>
      </w:r>
      <w:r>
        <w:rPr>
          <w:i/>
          <w:iCs/>
        </w:rPr>
        <w:t xml:space="preserve">c*</w:t>
      </w:r>
      <w:r>
        <w:t xml:space="preserve"> </w:t>
      </w:r>
      <w:r>
        <w:t xml:space="preserve">beyond which the marginal accuracy gain per added pass falls below the stated threshold. Under H1 the error-versus-cadence curve is downward sloping and convex in log space, and the knee</w:t>
      </w:r>
      <w:r>
        <w:t xml:space="preserve"> </w:t>
      </w:r>
      <w:r>
        <w:rPr>
          <w:i/>
          <w:iCs/>
        </w:rPr>
        <w:t xml:space="preserve">c*</w:t>
      </w:r>
      <w:r>
        <w:t xml:space="preserve"> </w:t>
      </w:r>
      <w:r>
        <w:t xml:space="preserve">partitions the cadence axis into a region where added passes buy meaningful accuracy and a region where they are reallocatable at negligible cost.</w:t>
      </w:r>
    </w:p>
    <w:bookmarkEnd w:id="84"/>
    <w:bookmarkStart w:id="85" w:name="falsification-conditions"/>
    <w:p>
      <w:pPr>
        <w:pStyle w:val="Heading3"/>
        <w:spacing w:line="480" w:lineRule="auto"/>
      </w:pPr>
      <w:r>
        <w:t xml:space="preserve">3.4.3 Falsification conditions</w:t>
      </w:r>
    </w:p>
    <w:p>
      <w:pPr>
        <w:pStyle w:val="FirstParagraph"/>
        <w:spacing w:line="480" w:lineRule="auto"/>
      </w:pPr>
      <w:r>
        <w:t xml:space="preserve">For the empirical reader, h1 is constructed to be falsifiable in three distinct ways, and the dissertation commits in advance to each. First, H1 is falsified if the cadence coefficient is null, that is, if β1 cannot be statistically distinguished from zero once the regime and measurement-type controls and the instrument for cadence are in place; this is the H0 outcome. Second, H1 is falsified if the cadence coefficient is wrong-signed, that is, if β1 is positive after instrumentation. For the evidence file, here the standard of evidence is exacting, because the companion paper shows that a positive sign can arise mechanically from endogeneity and incommensurable pooling; a positive instrumented within-mission coefficient, by contrast, would be a genuine refutation rather than an artifact, and the dissertation must not mistake the one for the other. Third, H1 is falsified in its diminishing-returns content if β2 is not positive and significant, since a negative β1 with no supported curvature would imply unbounded proportional benefit and no finite saturation cadence, contradicting the saturation mechanism even while supporting the bare monotonicity premise.</w:t>
      </w:r>
    </w:p>
    <w:p>
      <w:pPr>
        <w:pStyle w:val="BodyText"/>
        <w:spacing w:line="480" w:lineRule="auto"/>
        <w:ind w:firstLine="720"/>
      </w:pPr>
      <w:r>
        <w:t xml:space="preserve">For this asymmetry, the between these failure modes is deliberate. Recovering a negative β1 alone would vindicate the operational intuition but would not deliver the dissertation’s contribution, which is the located knee. The full alternative H1 requires both the sign and the curvature, and the single falsifiable contribution of the dissertation is the joint estimate of the elasticity and the saturation cadence</w:t>
      </w:r>
      <w:r>
        <w:t xml:space="preserve"> </w:t>
      </w:r>
      <w:r>
        <w:rPr>
          <w:i/>
          <w:iCs/>
        </w:rPr>
        <w:t xml:space="preserve">c*</w:t>
      </w:r>
      <w:r>
        <w:t xml:space="preserve"> </w:t>
      </w:r>
      <w:r>
        <w:t xml:space="preserve">recovered from real mission tracking schedules and reported OD covariances instead of from simulation</w:t>
      </w:r>
      <w:r>
        <w:t xml:space="preserve"> </w:t>
      </w:r>
      <w:hyperlink w:anchor="ref-3">
        <w:r>
          <w:rPr>
            <w:rStyle w:val="Hyperlink"/>
          </w:rPr>
          <w:t xml:space="preserve">[3]</w:t>
        </w:r>
      </w:hyperlink>
      <w:r>
        <w:t xml:space="preserve">.</w:t>
      </w:r>
    </w:p>
    <w:bookmarkEnd w:id="85"/>
    <w:bookmarkEnd w:id="86"/>
    <w:bookmarkStart w:id="87" w:name="the-hypotheses-in-operational-context"/>
    <w:p>
      <w:pPr>
        <w:pStyle w:val="Heading2"/>
        <w:spacing w:line="480" w:lineRule="auto"/>
      </w:pPr>
      <w:r>
        <w:t xml:space="preserve">3.5 The Hypotheses in Operational Context</w:t>
      </w:r>
    </w:p>
    <w:p>
      <w:pPr>
        <w:pStyle w:val="FirstParagraph"/>
        <w:spacing w:line="480" w:lineRule="auto"/>
      </w:pPr>
      <w:r>
        <w:t xml:space="preserve">For this hypotheses, the acquire their meaning against a specific baseline: the proposal, advanced across the autonomous deep-space navigation literature, that missions should reduce their reliance on ground tracking by substituting onboard methods such as optical, pulsar time-of-arrival, or autonomous filtering</w:t>
      </w:r>
      <w:r>
        <w:t xml:space="preserve"> </w:t>
      </w:r>
      <w:hyperlink w:anchor="ref-1">
        <w:r>
          <w:rPr>
            <w:rStyle w:val="Hyperlink"/>
          </w:rPr>
          <w:t xml:space="preserve">[1]</w:t>
        </w:r>
      </w:hyperlink>
      <w:r>
        <w:t xml:space="preserve">. That proposal is coherent only if a ground pass carries a quantifiable accuracy benefit worth displacing. The value of a pass is for that reason the correct baseline to estimate before substitution by onboard methods is justified, and the cross-technique comparisons that report optical and pulsar accuracies at fixed distance regimes make sense only against a known radiometric reference</w:t>
      </w:r>
      <w:r>
        <w:t xml:space="preserve"> </w:t>
      </w:r>
      <w:hyperlink w:anchor="ref-4">
        <w:r>
          <w:rPr>
            <w:rStyle w:val="Hyperlink"/>
          </w:rPr>
          <w:t xml:space="preserve">[4]</w:t>
        </w:r>
      </w:hyperlink>
      <w:r>
        <w:t xml:space="preserve">. H1, if sustained, supplies that reference in the most decision-relevant form: not a single operating point but a curve, with a knee that distinguishes the cadence region where a ground pass is worth defending against onboard substitution from the region where it is already redundant. For the program record, this framing also fixes the scope of the claim. The estimand is the value of a ground pass under current ground-tracked operations, and external validity to fully autonomous-navigation regimes is deliberately out of scope, since in those regimes the cadence lever this dissertation studies has been removed by design</w:t>
      </w:r>
      <w:r>
        <w:t xml:space="preserve"> </w:t>
      </w:r>
      <w:hyperlink w:anchor="ref-1">
        <w:r>
          <w:rPr>
            <w:rStyle w:val="Hyperlink"/>
          </w:rPr>
          <w:t xml:space="preserve">[1]</w:t>
        </w:r>
      </w:hyperlink>
      <w:r>
        <w:t xml:space="preserve">. Within ground-tracked operations, H0 and H1 are exhaustive and mutually exclusive over the sign and curvature of a single coefficient pair, and the dissertation’s contribution is decided entirely by which of them the instrumented, within-mission, measurement-type-controlled estimate selects. For the evidence file, the two empirical papers have established the premise and exposed the confound; the chapters that follow estimate the curve and locate its knee under the identification this theory requires.</w:t>
      </w:r>
    </w:p>
    <w:bookmarkEnd w:id="87"/>
    <w:bookmarkEnd w:id="88"/>
    <w:bookmarkStart w:id="97" w:name="chapter-4.-data-and-measurement"/>
    <w:p>
      <w:pPr>
        <w:pStyle w:val="Heading1"/>
        <w:spacing w:line="480" w:lineRule="auto"/>
      </w:pPr>
      <w:r>
        <w:t xml:space="preserve">Chapter 4. Data and Measurement</w:t>
      </w:r>
    </w:p>
    <w:bookmarkStart w:id="89" w:name="purpose-and-scope-of-the-chapter"/>
    <w:p>
      <w:pPr>
        <w:pStyle w:val="Heading2"/>
        <w:spacing w:line="480" w:lineRule="auto"/>
      </w:pPr>
      <w:r>
        <w:t xml:space="preserve">4.1 Purpose and Scope of the Chapter</w:t>
      </w:r>
    </w:p>
    <w:p>
      <w:pPr>
        <w:pStyle w:val="FirstParagraph"/>
        <w:spacing w:line="480" w:lineRule="auto"/>
      </w:pPr>
      <w:r>
        <w:t xml:space="preserve">For this evidence, the trail is concrete here: the chapter specifies the empirical foundation on which the two analytic papers of the dissertation rest.</w:t>
      </w:r>
    </w:p>
    <w:p>
      <w:pPr>
        <w:pStyle w:val="BodyText"/>
        <w:spacing w:line="480" w:lineRule="auto"/>
        <w:ind w:firstLine="720"/>
      </w:pPr>
      <w:r>
        <w:t xml:space="preserve">For this dissertation, the advances a single falsifiable claim about the functional relationship between Deep Space Network (DSN) tracking cadence and delivered navigation error, and the credibility of that claim depends entirely on the discipline with which the underlying data are constructed. The two papers approach the same relationship from complementary angles. For the evidence file, the first paper assembles a panel of twenty-three deep-space mission-phase observations and estimates a fixed-effects-style regression of navigation uncertainty on weekly tracking volume with distance and operational phase controlled. For the evidence file, the second paper assembles a related panel of twenty-four documented navigation operating points drawn from fourteen distinct missions and controlled studies, and estimates a multivariate log-log regression with distance regime and measurement type held fixed. For the evidence file, the chapter documents, for each paper, the real datasets used, their authoritative sources, the unit of analysis, and the precise procedure by which every variable is derived from primary records. For the evidence file, the governing principle throughout is provenance discipline: every cadence value is traceable to a documented tracking regime, and every error figure is traceable to a published orbit-determination (OD) result or a sourced order-of-magnitude class.</w:t>
      </w:r>
    </w:p>
    <w:p>
      <w:pPr>
        <w:pStyle w:val="BodyText"/>
        <w:spacing w:line="480" w:lineRule="auto"/>
        <w:ind w:firstLine="720"/>
      </w:pPr>
      <w:r>
        <w:t xml:space="preserve">A note on register is warranted at the outset. The dissertation does not generate its own tracking schedules through simulation as the primary estimation input. Simulated schedules enter only as placebo and sensitivity material, never into the headline coefficients. For the evidence file, the data described below are for that reason observational records drawn from the peer-reviewed navigation and radio-science literature, from DSN allocation and planning studies, and from the canonical engineering monographs that document deep-space radiometric tracking. For the evidence file, this observational character is not incidental to the dissertation; it is the source of the central methodological tension that the second paper confronts directly, namely that cadence in real operations is chosen rather than assigned, and that the resulting endogeneity contaminates any naive pooled estimate. The construction choices documented here are made with that tension in full view.</w:t>
      </w:r>
    </w:p>
    <w:bookmarkEnd w:id="89"/>
    <w:bookmarkStart w:id="90" w:name="the-unit-of-analysis"/>
    <w:p>
      <w:pPr>
        <w:pStyle w:val="Heading2"/>
        <w:spacing w:line="480" w:lineRule="auto"/>
      </w:pPr>
      <w:r>
        <w:t xml:space="preserve">4.2 The Unit of Analysis</w:t>
      </w:r>
    </w:p>
    <w:p>
      <w:pPr>
        <w:pStyle w:val="FirstParagraph"/>
        <w:spacing w:line="480" w:lineRule="auto"/>
      </w:pPr>
      <w:r>
        <w:t xml:space="preserve">For the evidence file, both papers share a single unit of analysis, defined with deliberate care because the identity of the observation governs every downstream inference. The unit is the documented navigation operating point. For the evidence file, it is a mission arc, mission phase, or controlled navigation study for which both a tracking cadence and a delivered position or along-track uncertainty can be named from a published source. For the evidence file, an operating point is admitted to a panel only when both coordinates of the relationship under study, the cadence and the delivered error, are simultaneously recoverable for the same arc from a citable record. This dual-recoverability requirement is the inclusion rule, and it defines the estimation sample transparently rather than by convenience. For the evidence file, the archival record matters here: in the first paper the operating point is expressed as a deep-space mission phase. For the evidence file, a phase is a stretch of a mission over which the dynamical regime, the operational posture, and the tracking rhythm are approximately stationary, so that a single representative cadence and a single representative accuracy figure summarize it without doing violence to the underlying physics. Each phase is one row. For the evidence file, the Mars Reconnaissance Orbiter mapping orbit, an interplanetary cruise leg of an outer-planet flagship, and a proximity-operations campaign at a small body each count once. The panel holds twenty-three such phases spanning a wide operating envelope, from Mars orbiters to the outer-planet flagships</w:t>
      </w:r>
      <w:r>
        <w:t xml:space="preserve"> </w:t>
      </w:r>
      <w:hyperlink w:anchor="ref-9">
        <w:r>
          <w:rPr>
            <w:rStyle w:val="Hyperlink"/>
          </w:rPr>
          <w:t xml:space="preserve">[9]</w:t>
        </w:r>
      </w:hyperlink>
      <w:r>
        <w:t xml:space="preserve">[10].</w:t>
      </w:r>
    </w:p>
    <w:p>
      <w:pPr>
        <w:pStyle w:val="BodyText"/>
        <w:spacing w:line="480" w:lineRule="auto"/>
        <w:ind w:firstLine="720"/>
      </w:pPr>
      <w:r>
        <w:t xml:space="preserve">In the second paper the operating point is defined identically in spirit but the panel record is constructed to span a broader set of measurement techniques, including not only radiometric Doppler and range but also interferometric Delta-DOR, onboard optical imaging, and pulsar time-of-arrival navigation</w:t>
      </w:r>
      <w:r>
        <w:t xml:space="preserve"> </w:t>
      </w:r>
      <w:hyperlink w:anchor="ref-13">
        <w:r>
          <w:rPr>
            <w:rStyle w:val="Hyperlink"/>
          </w:rPr>
          <w:t xml:space="preserve">[13]</w:t>
        </w:r>
      </w:hyperlink>
      <w:r>
        <w:t xml:space="preserve">. For the evidence file, the panel holds twenty-four operating points drawn from fourteen distinct missions and studies, ranging from Earth-distance and lunar regimes through the inner solar system to Neptune distance. For the evidence file, the unit is still the documented operating point, but its breadth across measurement type is the analytic device that the second paper exploits to expose, and then partially correct, the confounding that pooling introduces. For a replicator, why the operating point, rather than the individual tracking pass or the individual radiometric observable? The answer lies in what the published record actually exposes. For the evidence file, navigation papers and radio-science reports publish delivered accuracy at the level of a phase or a campaign, not at the level of a single pass, and they describe tracking schedules in aggregate terms such as passes per week or tracking-hours per week. The operating point is for that reason the finest granularity at which both coordinates are jointly observable in the open literature, and it is the natural unit at which the resource-allocation question is actually posed, since the DSN scheduling community allocates coverage to phases and campaigns instead of negotiating individual passes one at a time</w:t>
      </w:r>
      <w:r>
        <w:t xml:space="preserve"> </w:t>
      </w:r>
      <w:hyperlink w:anchor="ref-6">
        <w:r>
          <w:rPr>
            <w:rStyle w:val="Hyperlink"/>
          </w:rPr>
          <w:t xml:space="preserve">[6]</w:t>
        </w:r>
      </w:hyperlink>
      <w:r>
        <w:t xml:space="preserve">.</w:t>
      </w:r>
    </w:p>
    <w:bookmarkEnd w:id="90"/>
    <w:bookmarkStart w:id="91" w:name="authoritative-sources"/>
    <w:p>
      <w:pPr>
        <w:pStyle w:val="Heading2"/>
        <w:spacing w:line="480" w:lineRule="auto"/>
      </w:pPr>
      <w:r>
        <w:t xml:space="preserve">4.3 Authoritative Sources</w:t>
      </w:r>
    </w:p>
    <w:p>
      <w:pPr>
        <w:pStyle w:val="FirstParagraph"/>
        <w:spacing w:line="480" w:lineRule="auto"/>
      </w:pPr>
      <w:r>
        <w:t xml:space="preserve">For this chapter, the treats this as an empirical claim: the datasets are compiled from four categories of authoritative source, each carrying a distinct evidentiary weight and each documented per row.</w:t>
      </w:r>
    </w:p>
    <w:p>
      <w:pPr>
        <w:pStyle w:val="BodyText"/>
        <w:spacing w:line="480" w:lineRule="auto"/>
        <w:ind w:firstLine="720"/>
      </w:pPr>
      <w:r>
        <w:t xml:space="preserve">For this first, the and most heavily weighted category is the peer-reviewed mission navigation and radio-science literature. For the evidence file, these are the papers in which flight projects publish the navigation performance they actually delivered, together with the tracking that supported it. The Parker Solar Probe flight-execution account is the anchor source for the inner-heliosphere case, documenting the DSN Doppler, range, and Delta-DOR measurement types used across the early perihelion passes and the trajectory accuracy delivered against them</w:t>
      </w:r>
      <w:r>
        <w:t xml:space="preserve"> </w:t>
      </w:r>
      <w:hyperlink w:anchor="ref-4">
        <w:r>
          <w:rPr>
            <w:rStyle w:val="Hyperlink"/>
          </w:rPr>
          <w:t xml:space="preserve">[4]</w:t>
        </w:r>
      </w:hyperlink>
      <w:r>
        <w:t xml:space="preserve">. The OSIRIS-REx proximity-operations and navigation-performance report at Bennu supplies the close-proximity, optically aided operating points, where landmark and optical navigation against a determined local gravity field deliver tight relative-state solutions</w:t>
      </w:r>
      <w:r>
        <w:t xml:space="preserve"> </w:t>
      </w:r>
      <w:hyperlink w:anchor="ref-11">
        <w:r>
          <w:rPr>
            <w:rStyle w:val="Hyperlink"/>
          </w:rPr>
          <w:t xml:space="preserve">[11]</w:t>
        </w:r>
      </w:hyperlink>
      <w:r>
        <w:t xml:space="preserve">. The Cassini multi-station tracking analysis of Notaro and colleagues supplies a controlled demonstration that adding stations and observations reduces Doppler noise and improves the recovered signal, which is the mechanistic backbone of the cadence hypothesis</w:t>
      </w:r>
      <w:r>
        <w:t xml:space="preserve"> </w:t>
      </w:r>
      <w:hyperlink w:anchor="ref-8">
        <w:r>
          <w:rPr>
            <w:rStyle w:val="Hyperlink"/>
          </w:rPr>
          <w:t xml:space="preserve">[8]</w:t>
        </w:r>
      </w:hyperlink>
      <w:r>
        <w:t xml:space="preserve">. The Venus radio-science navigation work of Gargiulo and colleagues supplies an inner-planetary radio-science operating point with a published accuracy figure</w:t>
      </w:r>
      <w:r>
        <w:t xml:space="preserve"> </w:t>
      </w:r>
      <w:hyperlink w:anchor="ref-5">
        <w:r>
          <w:rPr>
            <w:rStyle w:val="Hyperlink"/>
          </w:rPr>
          <w:t xml:space="preserve">[5]</w:t>
        </w:r>
      </w:hyperlink>
      <w:r>
        <w:t xml:space="preserve">. The Mars Reconnaissance Orbiter radio-science gravity investigation documents the mapping-orbit tracking rhythm and the navigation context of a dense, routine orbiter cadence</w:t>
      </w:r>
      <w:r>
        <w:t xml:space="preserve"> </w:t>
      </w:r>
      <w:hyperlink w:anchor="ref-9">
        <w:r>
          <w:rPr>
            <w:rStyle w:val="Hyperlink"/>
          </w:rPr>
          <w:t xml:space="preserve">[9]</w:t>
        </w:r>
      </w:hyperlink>
      <w:r>
        <w:t xml:space="preserve">. The Di Stefano analysis of Cassini radio tracking documents the construction of a planetary ephemeris from real tracking data and the distance-dependent accuracy that follows</w:t>
      </w:r>
      <w:r>
        <w:t xml:space="preserve"> </w:t>
      </w:r>
      <w:hyperlink w:anchor="ref-10">
        <w:r>
          <w:rPr>
            <w:rStyle w:val="Hyperlink"/>
          </w:rPr>
          <w:t xml:space="preserve">[10]</w:t>
        </w:r>
      </w:hyperlink>
      <w:r>
        <w:t xml:space="preserve">.</w:t>
      </w:r>
    </w:p>
    <w:p>
      <w:pPr>
        <w:pStyle w:val="BodyText"/>
        <w:spacing w:line="480" w:lineRule="auto"/>
        <w:ind w:firstLine="720"/>
      </w:pPr>
      <w:r>
        <w:t xml:space="preserve">For this data, the construction is deliberately visible: the second category is the controlled multi-point navigation study, in which a single research effort reports several operating points under a deliberately varied tracking regime while holding other factors fixed. For the evidence file, these studies are especially valuable because they approximate within-design variation in cadence, which is precisely the variation the dissertation needs and that pooled cross-mission data obscure. The cross-technique comparison of Ely and colleagues is the principal source of this kind, reporting a controlled matrix of optical, pulsar, and interferometric operating points at fixed distance regimes, including quoted optical results of about forty-seven kilometers at Mars distance and about twenty-six hundred kilometers at Neptune distance, eight-pulsar results of about seventy-two and thirteen hundred kilometers, best-four-pulsar results of about twenty-one and thirty-four kilometers, and the interferometric four-kilometer-per-astronomical-unit rule from which the interferometric rows are computed</w:t>
      </w:r>
      <w:r>
        <w:t xml:space="preserve"> </w:t>
      </w:r>
      <w:hyperlink w:anchor="ref-13">
        <w:r>
          <w:rPr>
            <w:rStyle w:val="Hyperlink"/>
          </w:rPr>
          <w:t xml:space="preserve">[13]</w:t>
        </w:r>
      </w:hyperlink>
      <w:r>
        <w:t xml:space="preserve">. For the evidence file, a DSN smallsat navigation study provides three further operating points in which tracking duration is varied while the regime is held fixed, reporting roughly fifty-meter accuracy under full-arc tracking, four to five hundred meters at four hours per day, and about two kilometers at two hours per day.</w:t>
      </w:r>
    </w:p>
    <w:p>
      <w:pPr>
        <w:pStyle w:val="BodyText"/>
        <w:spacing w:line="480" w:lineRule="auto"/>
        <w:ind w:firstLine="720"/>
      </w:pPr>
      <w:r>
        <w:t xml:space="preserve">For this third, the category is the DSN allocation and radio-science planning literature, which documents how tracking is scheduled and contended for across the flight-project portfolio. The allocation study of DSN ground-system tracking establishes the institutional fact on which the whole motivation rests, that the network is a scarce, oversubscribed asset whose passes are budgeted against competing programs</w:t>
      </w:r>
      <w:r>
        <w:t xml:space="preserve"> </w:t>
      </w:r>
      <w:hyperlink w:anchor="ref-6">
        <w:r>
          <w:rPr>
            <w:rStyle w:val="Hyperlink"/>
          </w:rPr>
          <w:t xml:space="preserve">[6]</w:t>
        </w:r>
      </w:hyperlink>
      <w:r>
        <w:t xml:space="preserve">. For the evidence file, this category supplies the cadence side of operating points where the schedule is documented in a planning study even when the delivered accuracy is reported elsewhere, and it supplies the conceptual basis for treating cadence as a contended resource rather than a free physical parameter. The operational question is narrower: the fourth category is the canonical engineering monograph, principally the DESCANSO treatment of radiometric tracking techniques for deep-space navigation by Thornton and Border</w:t>
      </w:r>
      <w:r>
        <w:t xml:space="preserve"> </w:t>
      </w:r>
      <w:hyperlink w:anchor="ref-7">
        <w:r>
          <w:rPr>
            <w:rStyle w:val="Hyperlink"/>
          </w:rPr>
          <w:t xml:space="preserve">[7]</w:t>
        </w:r>
      </w:hyperlink>
      <w:r>
        <w:t xml:space="preserve">. For the evidence file, this source is not a data source in the sense of supplying an operating point; it is the authority that defines how Doppler and range observables constrain a spacecraft state, and how multi-pass arcs progressively contract the estimated-state covariance relative to short single-pass solutions. For the evidence file, it grounds the variable construction in the established physics of the estimation problem and justifies the logarithmic specification by establishing the multiplicative, order-of-magnitude character of navigation error. The European Space Agency account of Delta-DOR provides the corresponding authoritative description of interferometric angular tracking as a distinct measurement type whose accuracy is not a simple function of contact count</w:t>
      </w:r>
      <w:r>
        <w:t xml:space="preserve"> </w:t>
      </w:r>
      <w:hyperlink w:anchor="ref-12">
        <w:r>
          <w:rPr>
            <w:rStyle w:val="Hyperlink"/>
          </w:rPr>
          <w:t xml:space="preserve">[12]</w:t>
        </w:r>
      </w:hyperlink>
      <w:r>
        <w:t xml:space="preserve">.</w:t>
      </w:r>
    </w:p>
    <w:p>
      <w:pPr>
        <w:pStyle w:val="BodyText"/>
        <w:spacing w:line="480" w:lineRule="auto"/>
        <w:ind w:firstLine="720"/>
      </w:pPr>
      <w:r>
        <w:t xml:space="preserve">Across all four categories, the operative rule is that the most authoritative available figure governs each cell. For the evidence file, a precisely published per-phase covariance outranks an order-of-magnitude class, which in turn outranks a value reconstructed from a documented regime. The hierarchy is recorded per row so that a reader can audit the evidentiary basis of every observation.</w:t>
      </w:r>
    </w:p>
    <w:bookmarkEnd w:id="91"/>
    <w:bookmarkStart w:id="92" w:name="construction-of-the-dependent-variable"/>
    <w:p>
      <w:pPr>
        <w:pStyle w:val="Heading2"/>
        <w:spacing w:line="480" w:lineRule="auto"/>
      </w:pPr>
      <w:r>
        <w:t xml:space="preserve">4.4 Construction of the Dependent Variable</w:t>
      </w:r>
    </w:p>
    <w:p>
      <w:pPr>
        <w:pStyle w:val="FirstParagraph"/>
        <w:spacing w:line="480" w:lineRule="auto"/>
      </w:pPr>
      <w:r>
        <w:t xml:space="preserve">For this dependent, the variable in both papers is delivered navigation error, the reported position or orbit-determination uncertainty for an operating point. It is constructed identically in both: as the base-ten logarithm of navigation uncertainty expressed in kilometers. The logarithmic transform is not cosmetic. It reflects the multiplicative character of navigation error documented in the DESCANSO monograph, where accuracy spans orders of magnitude from meter-class reconstructed orbits to thousand-kilometer-class deep-cruise position knowledge, and it renders the regression coefficients interpretable as proportional effects</w:t>
      </w:r>
      <w:r>
        <w:t xml:space="preserve"> </w:t>
      </w:r>
      <w:hyperlink w:anchor="ref-7">
        <w:r>
          <w:rPr>
            <w:rStyle w:val="Hyperlink"/>
          </w:rPr>
          <w:t xml:space="preserve">[7]</w:t>
        </w:r>
      </w:hyperlink>
      <w:r>
        <w:t xml:space="preserve">. For the evidence file, a coefficient then reads as a change in the order of magnitude of error, which is the natural currency of a navigation trade.</w:t>
      </w:r>
    </w:p>
    <w:p>
      <w:pPr>
        <w:pStyle w:val="BodyText"/>
        <w:spacing w:line="480" w:lineRule="auto"/>
        <w:ind w:firstLine="720"/>
      </w:pPr>
      <w:r>
        <w:t xml:space="preserve">For this evidence, the trail is concrete here: the primary records from which the dependent variable is drawn report uncertainty in several forms that are not strictly commensurable, and the construction procedure confronts this directly. For the evidence file, a reconstructed-orbit position error, a B-plane delivery error at a planetary encounter, and a proximity-operations relative-state position error are distinct quantities measured against distinct references. For the evidence file, the construction rule is to extract, for each operating point, the published one-sigma position or along-track uncertainty most representative of the phase, to convert it to kilometers, and to take its base-ten logarithm. For the evidence file, where the source reports along-track, radial, and cross-track components separately, the along-track component is taken as the primary metric because it is the dominant and most operationally consequential channel for the cadence question, with the radial and cross-track components reserved for the robustness checks named in the prospectus. The first paper’s panel records navigation accuracies ranging across several orders of magnitude, from meter-class reconstructed orbits at Mars and Bennu to thousand-kilometer-class position knowledge during sparse deep cruise</w:t>
      </w:r>
      <w:r>
        <w:t xml:space="preserve"> </w:t>
      </w:r>
      <w:hyperlink w:anchor="ref-9">
        <w:r>
          <w:rPr>
            <w:rStyle w:val="Hyperlink"/>
          </w:rPr>
          <w:t xml:space="preserve">[9]</w:t>
        </w:r>
      </w:hyperlink>
      <w:r>
        <w:t xml:space="preserve">[11].</w:t>
      </w:r>
    </w:p>
    <w:p>
      <w:pPr>
        <w:pStyle w:val="BodyText"/>
        <w:spacing w:line="480" w:lineRule="auto"/>
        <w:ind w:firstLine="720"/>
      </w:pPr>
      <w:r>
        <w:t xml:space="preserve">For the evidence file, three rows in each panel require explicit treatment because a precise per-phase uncertainty was not separately published in an openly obtainable form. In these cases the dependent variable is reconstructed from the real mission’s documented tracking regime and the order-of-magnitude accuracy class that the regime implies, and the row is flagged as illustrative in the source field of the data file. For the evidence file, this affects three of twenty-three rows in the first paper and three of twenty-four rows, twelve and a half percent, in the second paper, in both cases held below the fifteen-percent ceiling that the design imposes on non-precise rows. The illustrative rows are never permitted to carry the result on their own. For the evidence file, the second paper reports a documented-only subsample that drops the three illustrative rows entirely and recovers essentially the full-panel result, demonstrating that the headline finding is a property of the documented data rather than an artifact of the reconstructed rows.</w:t>
      </w:r>
    </w:p>
    <w:p>
      <w:pPr>
        <w:pStyle w:val="BodyText"/>
        <w:spacing w:line="480" w:lineRule="auto"/>
        <w:ind w:firstLine="720"/>
      </w:pPr>
      <w:r>
        <w:t xml:space="preserve">For the program record, the aggregation of incommensurable uncertainty definitions into a single dependent variable is the principal measurement limitation of both papers, and it is acknowledged openly. For the evidence file, the logarithmic, order-of-magnitude framing mitigates the incommensurability because it operates on the scale at which the different error types are most nearly comparable, but it does not eliminate it. For the evidence file, the dissertation treats this as a bound on the precision of the estimates rather than as a threat to their sign, because the structural drivers that the controls absorb dominate the residual measurement coarseness.</w:t>
      </w:r>
    </w:p>
    <w:bookmarkEnd w:id="92"/>
    <w:bookmarkStart w:id="93" w:name="construction-of-the-cadence-regressor"/>
    <w:p>
      <w:pPr>
        <w:pStyle w:val="Heading2"/>
        <w:spacing w:line="480" w:lineRule="auto"/>
      </w:pPr>
      <w:r>
        <w:t xml:space="preserve">4.5 Construction of the Cadence Regressor</w:t>
      </w:r>
    </w:p>
    <w:p>
      <w:pPr>
        <w:pStyle w:val="FirstParagraph"/>
        <w:spacing w:line="480" w:lineRule="auto"/>
      </w:pPr>
      <w:r>
        <w:t xml:space="preserve">For this archival, the record matters here: the independent variable of interest is tracking cadence, the operational lever whose value the dissertation seeks to quantify. Its construction differs in detail between the two papers, and the difference is itself analytically meaningful.</w:t>
      </w:r>
    </w:p>
    <w:p>
      <w:pPr>
        <w:pStyle w:val="BodyText"/>
        <w:spacing w:line="480" w:lineRule="auto"/>
        <w:ind w:firstLine="720"/>
      </w:pPr>
      <w:r>
        <w:t xml:space="preserve">In the first paper cadence is operationalized as scheduled DSN tracking volume in tracking-hours per week. This measure bundles pass frequency and pass duration into a single quantity of contact time. Allocation and planning studies most often document coverage in exactly this form</w:t>
      </w:r>
      <w:r>
        <w:t xml:space="preserve"> </w:t>
      </w:r>
      <w:hyperlink w:anchor="ref-6">
        <w:r>
          <w:rPr>
            <w:rStyle w:val="Hyperlink"/>
          </w:rPr>
          <w:t xml:space="preserve">[6]</w:t>
        </w:r>
      </w:hyperlink>
      <w:r>
        <w:t xml:space="preserve">. For the evidence file, tracking volumes in the panel record range from sparse deep-cruise coverage of a few hours per week to near-continuous coverage of roughly fifty tracking-hours per week during critical events. For the evidence file, the tracking-hours measure is constructed for each phase by reading the documented schedule from the navigation, radio-science, or allocation source and expressing it as a representative weekly contact total over the phase. The choice of tracking-hours instead of raw pass count is deliberate: it captures the information-delivery mechanism that the DESCANSO physics describes, in which the contraction of the estimated-state covariance depends on the quantity of independent measurements accumulated within the data arc, and contact time is a closer proxy for that quantity than a bare count of pass starts</w:t>
      </w:r>
      <w:r>
        <w:t xml:space="preserve"> </w:t>
      </w:r>
      <w:hyperlink w:anchor="ref-7">
        <w:r>
          <w:rPr>
            <w:rStyle w:val="Hyperlink"/>
          </w:rPr>
          <w:t xml:space="preserve">[7]</w:t>
        </w:r>
      </w:hyperlink>
      <w:r>
        <w:t xml:space="preserve">[8].</w:t>
      </w:r>
    </w:p>
    <w:p>
      <w:pPr>
        <w:pStyle w:val="BodyText"/>
        <w:spacing w:line="480" w:lineRule="auto"/>
        <w:ind w:firstLine="720"/>
      </w:pPr>
      <w:r>
        <w:t xml:space="preserve">For a replicator, in the second paper cadence is operationalized in logs as a tracking-contact rate, and the panel record deliberately mixes cadence metrics across measurement types to expose the consequence of doing so. For radiometric and interferometric operating points cadence is a tracking-contact count, passes or contacts per unit time, which is the commensurable measure. For optical operating points, however, the natural cadence is measured in image frames per day rather than tracking contacts, a fundamentally different physical quantity. For the evidence file, the full panel pools these, and the second paper’s central finding turns on the fact that this pooling is part of what produces a wrong-signed naive coefficient. For the evidence file, the construction for that reason records, per row, which cadence metric applies, and the paper’s principal robustness specification restricts the panel record to the nineteen radiometric, interferometric, and pulsar observations whose cadence is a true tracking-contact count, removing the optical frames-per-day rows whose cadence is incommensurable. For the evidence file, when this commensurable restriction is imposed the cadence coefficient flips from positive toward the theoretically expected negative sign, which is the methodological payload of the construction choice.</w:t>
      </w:r>
    </w:p>
    <w:p>
      <w:pPr>
        <w:pStyle w:val="BodyText"/>
        <w:spacing w:line="480" w:lineRule="auto"/>
        <w:ind w:firstLine="720"/>
      </w:pPr>
      <w:r>
        <w:t xml:space="preserve">For the evidence file, cadence is, in both papers, a coarse proxy for the information actually delivered, because pass duration, station aperture, and observing geometry vary across operating points in ways that a single scalar cannot fully capture. The prospectus anticipates this and specifies a robustness path in which pass count is replaced by tracked-hours and by a geometry-weighted information measure drawn from the sensor-tasking literature, where the information delivered per observation, instead of the bare observation count, is treated as the quantity that drives recovered state accuracy</w:t>
      </w:r>
      <w:r>
        <w:t xml:space="preserve"> </w:t>
      </w:r>
      <w:hyperlink w:anchor="ref-2">
        <w:r>
          <w:rPr>
            <w:rStyle w:val="Hyperlink"/>
          </w:rPr>
          <w:t xml:space="preserve">[2]</w:t>
        </w:r>
      </w:hyperlink>
      <w:r>
        <w:t xml:space="preserve">[3]. For the evidence file, the dissertation imports this accuracy-based-tasking construct from the space-domain-awareness setting, where it was developed for Earth-orbit catalogs under ground-based optical and radar networks, and adapts it as the conceptual standard against which the coarse cadence proxy is judged.</w:t>
      </w:r>
    </w:p>
    <w:bookmarkEnd w:id="93"/>
    <w:bookmarkStart w:id="94" w:name="construction-of-the-control-variables"/>
    <w:p>
      <w:pPr>
        <w:pStyle w:val="Heading2"/>
        <w:spacing w:line="480" w:lineRule="auto"/>
      </w:pPr>
      <w:r>
        <w:t xml:space="preserve">4.6 Construction of the Control Variables</w:t>
      </w:r>
    </w:p>
    <w:p>
      <w:pPr>
        <w:pStyle w:val="FirstParagraph"/>
        <w:spacing w:line="480" w:lineRule="auto"/>
      </w:pPr>
      <w:r>
        <w:t xml:space="preserve">For this identification, the strategy of both papers rests on conditioning the cadence estimate on the dominant physical confounders, and the construction of those controls is for that reason as consequential as the construction of the regressor itself.</w:t>
      </w:r>
    </w:p>
    <w:p>
      <w:pPr>
        <w:pStyle w:val="BodyText"/>
        <w:spacing w:line="480" w:lineRule="auto"/>
        <w:ind w:firstLine="720"/>
      </w:pPr>
      <w:r>
        <w:t xml:space="preserve">For this data, the construction is deliberately visible: the first control is distance. In the first paper it enters as the base-ten logarithm of representative geocentric distance in astronomical units; in the second paper it enters as log distance regime spanning Earth and lunar distances through the inner solar system to Neptune distance. For the evidence file, the construction rule is to assign each operating point a representative distance for its phase, read from the mission record, and to take its base-ten logarithm. The physical justification is established in the literature: Earth distance degrades both the signal-to-noise ratio of the radio link and the plane-of-sky leverage of line-of-sight tracking, and angular and interferometric techniques degrade roughly in proportion to distance, so that accuracy at the outer planets is structurally worse than at Mars at any cadence</w:t>
      </w:r>
      <w:r>
        <w:t xml:space="preserve"> </w:t>
      </w:r>
      <w:hyperlink w:anchor="ref-5">
        <w:r>
          <w:rPr>
            <w:rStyle w:val="Hyperlink"/>
          </w:rPr>
          <w:t xml:space="preserve">[5]</w:t>
        </w:r>
      </w:hyperlink>
      <w:r>
        <w:t xml:space="preserve">[10]. For the evidence file, the distance control behaves exactly as the physics demands in both papers, carrying a positive and significant coefficient, which serves as an internal validity check on the specification: a panel whose distance coefficient came out with the wrong sign would indicate a construction error, and its correct behavior lends credibility to the cadence estimate identified from the residual variation.</w:t>
      </w:r>
    </w:p>
    <w:p>
      <w:pPr>
        <w:pStyle w:val="BodyText"/>
        <w:spacing w:line="480" w:lineRule="auto"/>
        <w:ind w:firstLine="720"/>
      </w:pPr>
      <w:r>
        <w:t xml:space="preserve">For this second, the control is operational regime. In the first paper it is an indicator for orbital versus cruise phase; in the second paper the analogous role is played by measurement-type indicators for interferometric and optical augmentation. The orbital-phase indicator is constructed by classifying each phase according to whether it is an orbital or proximity-operations campaign, which admits optical-navigation and landmark data and benefits from a well-determined local gravity field, or an interplanetary cruise leg, which relies on radiometrics alone</w:t>
      </w:r>
      <w:r>
        <w:t xml:space="preserve"> </w:t>
      </w:r>
      <w:hyperlink w:anchor="ref-11">
        <w:r>
          <w:rPr>
            <w:rStyle w:val="Hyperlink"/>
          </w:rPr>
          <w:t xml:space="preserve">[11]</w:t>
        </w:r>
      </w:hyperlink>
      <w:r>
        <w:t xml:space="preserve">. The measurement-type indicators in the second paper are constructed by classifying each operating point according to whether its delivered solution rests on interferometric Delta-DOR or on onboard optical imaging, each of which shifts delivered accuracy independently of raw contact count</w:t>
      </w:r>
      <w:r>
        <w:t xml:space="preserve"> </w:t>
      </w:r>
      <w:hyperlink w:anchor="ref-4">
        <w:r>
          <w:rPr>
            <w:rStyle w:val="Hyperlink"/>
          </w:rPr>
          <w:t xml:space="preserve">[4]</w:t>
        </w:r>
      </w:hyperlink>
      <w:r>
        <w:t xml:space="preserve">[12][13]. For the evidence file, these indicators function as fixed effects that absorb the level shift in accuracy that a change in operational posture or data type produces, so that the cadence coefficient is identified from within-regime variation rather than from a comparison that conflates cadence with measurement quality.</w:t>
      </w:r>
    </w:p>
    <w:p>
      <w:pPr>
        <w:pStyle w:val="BodyText"/>
        <w:spacing w:line="480" w:lineRule="auto"/>
        <w:ind w:firstLine="720"/>
      </w:pPr>
      <w:r>
        <w:t xml:space="preserve">For this operational, the question is narrower: the separation of cadence from measurement type is a particular construction concern flagged in the prospectus as the measurement-type confound: a shift from Doppler-only to Delta-DOR-augmented tracking changes accuracy independently of raw pass count, so cadence and measurement quality must be held apart or the elasticity conflates them</w:t>
      </w:r>
      <w:r>
        <w:t xml:space="preserve"> </w:t>
      </w:r>
      <w:hyperlink w:anchor="ref-4">
        <w:r>
          <w:rPr>
            <w:rStyle w:val="Hyperlink"/>
          </w:rPr>
          <w:t xml:space="preserve">[4]</w:t>
        </w:r>
      </w:hyperlink>
      <w:r>
        <w:t xml:space="preserve">. For the evidence file, the measurement-type indicators are the instrument of that separation, and the second paper’s finding that the optical indicator carries a large negative coefficient while the interferometric indicator is negative but imprecise documents directly how much of the cross-mission accuracy spread is attributable to measurement type rather than to cadence.</w:t>
      </w:r>
    </w:p>
    <w:bookmarkEnd w:id="94"/>
    <w:bookmarkStart w:id="95" w:name="endogeneity-as-a-property-of-the-data"/>
    <w:p>
      <w:pPr>
        <w:pStyle w:val="Heading2"/>
        <w:spacing w:line="480" w:lineRule="auto"/>
      </w:pPr>
      <w:r>
        <w:t xml:space="preserve">4.7 Endogeneity as a Property of the Data</w:t>
      </w:r>
    </w:p>
    <w:p>
      <w:pPr>
        <w:pStyle w:val="FirstParagraph"/>
        <w:spacing w:line="480" w:lineRule="auto"/>
      </w:pPr>
      <w:r>
        <w:t xml:space="preserve">For the empirical reader, a defining feature of the data, not merely of the estimate, is that cadence is chosen by operators rather than assigned by an experimenter. Tracking concentrates on the arcs where navigation is hardest. In the observational record, then, high cadence and high difficulty are positively associated by construction of the operations process itself</w:t>
      </w:r>
      <w:r>
        <w:t xml:space="preserve"> </w:t>
      </w:r>
      <w:hyperlink w:anchor="ref-6">
        <w:r>
          <w:rPr>
            <w:rStyle w:val="Hyperlink"/>
          </w:rPr>
          <w:t xml:space="preserve">[6]</w:t>
        </w:r>
      </w:hyperlink>
      <w:r>
        <w:t xml:space="preserve">. For the evidence file, this endogeneity is a property of how the primary records come to exist, and it is documented here as a data characteristic because it governs the interpretation of every coefficient estimated from these panels. The second paper makes this explicit: its pooled cadence coefficient is positive and significant, the opposite of the operational hypothesis, precisely since the missions that received the most tracking were the ones whose navigation was hardest, and a naive regression on cross-mission operating points for that reason cannot recover the value of a pass</w:t>
      </w:r>
      <w:r>
        <w:t xml:space="preserve"> </w:t>
      </w:r>
      <w:hyperlink w:anchor="ref-2">
        <w:r>
          <w:rPr>
            <w:rStyle w:val="Hyperlink"/>
          </w:rPr>
          <w:t xml:space="preserve">[2]</w:t>
        </w:r>
      </w:hyperlink>
      <w:r>
        <w:t xml:space="preserve">[3]. The dataset is constructed so that this endogeneity is visible and analyzable rather than hidden. For the evidence file, the recording of cadence metric, measurement type, distance regime, and evidentiary class per row is what allows the second paper to demonstrate the sign reversal under the commensurable radiometric restriction, and it is what justifies the instrumented, within-mission identification strategy that the prospectus proposes for the dissertation’s headline estimate. For the evidence file, the data chapter thus closes on the recognition that the measurement design is inseparable from the identification problem: the variables are constructed not only to be measured accurately but to expose the confounding that any honest estimate of the value of a tracking pass must confront.</w:t>
      </w:r>
    </w:p>
    <w:bookmarkEnd w:id="95"/>
    <w:bookmarkStart w:id="96" w:name="summary-of-the-datasets"/>
    <w:p>
      <w:pPr>
        <w:pStyle w:val="Heading2"/>
        <w:spacing w:line="480" w:lineRule="auto"/>
      </w:pPr>
      <w:r>
        <w:t xml:space="preserve">4.8 Summary of the Datasets</w:t>
      </w:r>
    </w:p>
    <w:p>
      <w:pPr>
        <w:pStyle w:val="FirstParagraph"/>
        <w:spacing w:line="480" w:lineRule="auto"/>
      </w:pPr>
      <w:r>
        <w:t xml:space="preserve">For this evidence, the trail is concrete here: the dissertation rests on two related observational panels of documented deep-space navigation operating points. The first paper’s panel holds twenty-three mission-phase observations, each carrying a weekly tracking-hours cadence, a log-kilometer navigation uncertainty, a log-astronomical-unit distance, and an orbital-versus-cruise indicator, compiled from mission navigation and radio-science papers, DSN allocation and planning studies, and the DESCANSO monograph</w:t>
      </w:r>
      <w:r>
        <w:t xml:space="preserve"> </w:t>
      </w:r>
      <w:hyperlink w:anchor="ref-7">
        <w:r>
          <w:rPr>
            <w:rStyle w:val="Hyperlink"/>
          </w:rPr>
          <w:t xml:space="preserve">[7]</w:t>
        </w:r>
      </w:hyperlink>
      <w:r>
        <w:t xml:space="preserve">[8][9][10][11], with three illustrative rows held below fifteen percent of the sample. The second paper’s panel holds twenty-four operating points from fourteen distinct missions and studies, spanning Earth and lunar distances to Neptune distance and spanning radiometric, interferometric, optical, and pulsar techniques, each carrying a log cadence, a log distance regime, two measurement-type indicators, and a per-row source, anchored by the Ely cross-technique matrix and the DSN smallsat tracking-duration study</w:t>
      </w:r>
      <w:r>
        <w:t xml:space="preserve"> </w:t>
      </w:r>
      <w:hyperlink w:anchor="ref-13">
        <w:r>
          <w:rPr>
            <w:rStyle w:val="Hyperlink"/>
          </w:rPr>
          <w:t xml:space="preserve">[13]</w:t>
        </w:r>
      </w:hyperlink>
      <w:r>
        <w:t xml:space="preserve">, with three illustrative rows that the documented-only subsample removes without changing the result. In both panels the unit of analysis is the documented navigation operating point, every variable is built from a primary record under an explicit evidentiary hierarchy, and no simulated tracking schedule enters the primary estimates. For the evidence file, the measurement design is faithful to the operational reality it describes, including the endogeneity of cadence that makes the value of a tracking pass recoverable only under the careful identification the remainder of the dissertation pursues.</w:t>
      </w:r>
    </w:p>
    <w:bookmarkEnd w:id="96"/>
    <w:bookmarkEnd w:id="97"/>
    <w:bookmarkStart w:id="114" w:name="chapter-5.-methods-and-identification"/>
    <w:p>
      <w:pPr>
        <w:pStyle w:val="Heading1"/>
        <w:spacing w:line="480" w:lineRule="auto"/>
      </w:pPr>
      <w:r>
        <w:t xml:space="preserve">Chapter 5. Methods and Identification</w:t>
      </w:r>
    </w:p>
    <w:bookmarkStart w:id="98" w:name="overview-and-the-estimand"/>
    <w:p>
      <w:pPr>
        <w:pStyle w:val="Heading2"/>
        <w:spacing w:line="480" w:lineRule="auto"/>
      </w:pPr>
      <w:r>
        <w:t xml:space="preserve">5.1 Overview and the estimand</w:t>
      </w:r>
    </w:p>
    <w:p>
      <w:pPr>
        <w:pStyle w:val="FirstParagraph"/>
        <w:spacing w:line="480" w:lineRule="auto"/>
      </w:pPr>
      <w:r>
        <w:t xml:space="preserve">For this evidence, the trail is concrete here: the chapter specifies the estimators used to recover the relationship between tracking cadence and delivered navigation accuracy, states the identification strategy that gives the cadence coefficient its causal interpretation, and enumerates the threats to validity together with the bounds placed on each. For the evidence file, the chapter proceeds from the most permissive estimator to the most disciplined, because the dissertation’s central methodological argument is that the permissive estimators do not recover the quantity of interest and that the more disciplined ones are required precisely to escape the confounding the permissive estimators expose. For the evidence file, the estimand is the partial elasticity of delivered navigation error with respect to realized tracking cadence, holding the dynamical regime fixed. For the evidence file, let</w:t>
      </w:r>
      <w:r>
        <w:t xml:space="preserve"> </w:t>
      </w:r>
      <w:r>
        <w:rPr>
          <w:i/>
          <w:iCs/>
        </w:rPr>
        <w:t xml:space="preserve">c</w:t>
      </w:r>
      <w:r>
        <w:t xml:space="preserve"> </w:t>
      </w:r>
      <w:r>
        <w:t xml:space="preserve">denote tracking cadence, defined as Deep Space Network (DSN) passes per week over a defined mission arc, and let</w:t>
      </w:r>
      <w:r>
        <w:t xml:space="preserve"> </w:t>
      </w:r>
      <w:r>
        <w:rPr>
          <w:i/>
          <w:iCs/>
        </w:rPr>
        <w:t xml:space="preserve">E</w:t>
      </w:r>
      <w:r>
        <w:t xml:space="preserve"> </w:t>
      </w:r>
      <w:r>
        <w:t xml:space="preserve">denote the delivered along-track navigation uncertainty at one sigma, taken from the reported orbit-determination (OD) covariance for that arc. For the evidence file, the target object is the coefficient on log</w:t>
      </w:r>
      <w:r>
        <w:t xml:space="preserve"> </w:t>
      </w:r>
      <w:r>
        <w:rPr>
          <w:i/>
          <w:iCs/>
        </w:rPr>
        <w:t xml:space="preserve">c</w:t>
      </w:r>
      <w:r>
        <w:t xml:space="preserve"> </w:t>
      </w:r>
      <w:r>
        <w:t xml:space="preserve">in a model of log</w:t>
      </w:r>
      <w:r>
        <w:t xml:space="preserve"> </w:t>
      </w:r>
      <w:r>
        <w:rPr>
          <w:i/>
          <w:iCs/>
        </w:rPr>
        <w:t xml:space="preserve">E</w:t>
      </w:r>
      <w:r>
        <w:t xml:space="preserve">, interpreted as the percent change in delivered error associated with a one-percent change in tracking cadence when the dynamical environment, the measurement-type mix, and the mission are held fixed. For the evidence file, the operationally meaningful by-product of that elasticity, under the alternative hypothesis, is the saturation cadence</w:t>
      </w:r>
      <w:r>
        <w:t xml:space="preserve"> </w:t>
      </w:r>
      <w:r>
        <w:rPr>
          <w:i/>
          <w:iCs/>
        </w:rPr>
        <w:t xml:space="preserve">c*</w:t>
      </w:r>
      <w:r>
        <w:t xml:space="preserve">, the cadence beyond which the marginal accuracy gain per added pass falls below a stated threshold.</w:t>
      </w:r>
    </w:p>
    <w:p>
      <w:pPr>
        <w:pStyle w:val="BodyText"/>
        <w:spacing w:line="480" w:lineRule="auto"/>
        <w:ind w:firstLine="720"/>
      </w:pPr>
      <w:r>
        <w:t xml:space="preserve">For the program record, the unit of analysis is a mission arc with both a published OD accuracy and a reconstructable DSN tracking schedule. For the evidence file, this dual-availability requirement defines the estimation sample transparently and is itself a source of selection that the chapter addresses below.</w:t>
      </w:r>
    </w:p>
    <w:bookmarkEnd w:id="98"/>
    <w:bookmarkStart w:id="102" w:name="the-estimators"/>
    <w:p>
      <w:pPr>
        <w:pStyle w:val="Heading2"/>
        <w:spacing w:line="480" w:lineRule="auto"/>
      </w:pPr>
      <w:r>
        <w:t xml:space="preserve">5.2 The estimators</w:t>
      </w:r>
    </w:p>
    <w:p>
      <w:pPr>
        <w:pStyle w:val="FirstParagraph"/>
        <w:spacing w:line="480" w:lineRule="auto"/>
      </w:pPr>
      <w:r>
        <w:t xml:space="preserve">For this archival, the record matters here: three estimators are deployed in a deliberate sequence. For the evidence file, each answers a different question, and the progression from one to the next is the spine of the identification argument.</w:t>
      </w:r>
    </w:p>
    <w:bookmarkStart w:id="99" w:name="the-bivariate-learning-curve-estimator"/>
    <w:p>
      <w:pPr>
        <w:pStyle w:val="Heading3"/>
        <w:spacing w:line="480" w:lineRule="auto"/>
      </w:pPr>
      <w:r>
        <w:t xml:space="preserve">5.2.1 The bivariate learning-curve estimator</w:t>
      </w:r>
    </w:p>
    <w:p>
      <w:pPr>
        <w:pStyle w:val="FirstParagraph"/>
        <w:spacing w:line="480" w:lineRule="auto"/>
      </w:pPr>
      <w:r>
        <w:t xml:space="preserve">For a replicator, the first estimator is a bivariate log-log regression of delivered error on cadence. Modeling log</w:t>
      </w:r>
      <w:r>
        <w:t xml:space="preserve"> </w:t>
      </w:r>
      <w:r>
        <w:rPr>
          <w:i/>
          <w:iCs/>
        </w:rPr>
        <w:t xml:space="preserve">E</w:t>
      </w:r>
      <w:r>
        <w:t xml:space="preserve"> </w:t>
      </w:r>
      <w:r>
        <w:t xml:space="preserve">on log</w:t>
      </w:r>
      <w:r>
        <w:t xml:space="preserve"> </w:t>
      </w:r>
      <w:r>
        <w:rPr>
          <w:i/>
          <w:iCs/>
        </w:rPr>
        <w:t xml:space="preserve">c</w:t>
      </w:r>
      <w:r>
        <w:t xml:space="preserve"> </w:t>
      </w:r>
      <w:r>
        <w:t xml:space="preserve">alone recovers the raw elasticity as a single learning-type law. For the evidence file, it is the most transparent statement of the operational intuition that more tracking yields a tighter solution, and the cleanest summary of the unconditional cross-mission association. For the evidence file, the companion empirical work establishes that, pooled across heterogeneous deep-space mission phases, the raw association does carry information, but it cannot by itself separate the cadence effect from the physical drivers of accuracy that co-move with cadence. For the evidence file, the bivariate estimator is for that reason retained as a descriptive baseline and as the object whose instability under conditioning motivates the multivariate specification.</w:t>
      </w:r>
    </w:p>
    <w:bookmarkEnd w:id="99"/>
    <w:bookmarkStart w:id="100" w:name="the-controlled-multivariate-estimator"/>
    <w:p>
      <w:pPr>
        <w:pStyle w:val="Heading3"/>
        <w:spacing w:line="480" w:lineRule="auto"/>
      </w:pPr>
      <w:r>
        <w:t xml:space="preserve">5.2.2 The controlled multivariate estimator</w:t>
      </w:r>
    </w:p>
    <w:p>
      <w:pPr>
        <w:pStyle w:val="FirstParagraph"/>
        <w:spacing w:line="480" w:lineRule="auto"/>
      </w:pPr>
      <w:r>
        <w:t xml:space="preserve">For this chapter, the treats this as an empirical claim: the second estimator is a multivariate log-log regression of delivered error on cadence with the dominant confounders held fixed. For the evidence file, the specification regresses log base ten navigation uncertainty on weekly tracking volume, on log base ten heliocentric or Earth distance as a continuous covariate, and on indicators that absorb the operational regime and the measurement-type mix. The distance covariate captures the structural degradation of both link signal-to-noise and plane-of-sky leverage with range, a degradation that the resource-management literature and the radiometric-tracking record both predict scales close to linearly with distance in logarithmic terms</w:t>
      </w:r>
      <w:r>
        <w:t xml:space="preserve"> </w:t>
      </w:r>
      <w:hyperlink w:anchor="ref-4">
        <w:r>
          <w:rPr>
            <w:rStyle w:val="Hyperlink"/>
          </w:rPr>
          <w:t xml:space="preserve">[4]</w:t>
        </w:r>
      </w:hyperlink>
      <w:r>
        <w:t xml:space="preserve">[5]. For the evidence file, the operational-phase indicator distinguishes orbital and proximity-operations arcs, which admit optical and landmark navigation and benefit from a determined local gravity field, from cruise arcs that rely on radiometrics alone. Measurement-type indicators absorb the level shift in accuracy produced by a transition from radiometric Doppler and range to interferometric Delta-DOR or to onboard optical imaging, a shift that changes delivered accuracy independent of raw contact count</w:t>
      </w:r>
      <w:r>
        <w:t xml:space="preserve"> </w:t>
      </w:r>
      <w:hyperlink w:anchor="ref-4">
        <w:r>
          <w:rPr>
            <w:rStyle w:val="Hyperlink"/>
          </w:rPr>
          <w:t xml:space="preserve">[4]</w:t>
        </w:r>
      </w:hyperlink>
      <w:r>
        <w:t xml:space="preserve">.</w:t>
      </w:r>
    </w:p>
    <w:p>
      <w:pPr>
        <w:pStyle w:val="BodyText"/>
        <w:spacing w:line="480" w:lineRule="auto"/>
        <w:ind w:firstLine="720"/>
      </w:pPr>
      <w:r>
        <w:t xml:space="preserve">For this estimator, the is ordinary least squares with heteroskedasticity-robust standard errors of the HC1 form. The logarithmic specification is not cosmetic. Navigation error is a multiplicative, order-of-magnitude quantity. For the evidence file, it ranges across several decades from meter-class reconstructed orbits in close proximity operations to thousand-kilometer-class knowledge in sparse deep cruise, and the log scale renders the coefficients interpretable as proportional effects while stabilizing the variance of the residuals across that range. For the evidence file, the phase and distance terms function as fixed-effects-style absorbers so that the cadence coefficient is identified from variation within a dynamical regime rather than across regimes. For the evidence file, the data construction is deliberately visible: the controlled multivariate estimator is the workhorse of the dissertation, but it is not, on observational cross-mission data, an unbiased estimator of the structural elasticity. For the evidence file, the companion analysis demonstrates that the pooled multivariate cadence coefficient can emerge positive and significant, that is, wrong-signed for the operational hypothesis, precisely because cadence is endogenous and because pooling mixes incommensurable cadence metrics across measurement types. For the evidence file, that result is not a refutation of the underlying estimation physics; it is the empirical signature of the confounding that the third estimator is built to remove.</w:t>
      </w:r>
    </w:p>
    <w:bookmarkEnd w:id="100"/>
    <w:bookmarkStart w:id="101" w:name="Xcef83b52e79464998b89c648795e74d1b8543b3"/>
    <w:p>
      <w:pPr>
        <w:pStyle w:val="Heading3"/>
        <w:spacing w:line="480" w:lineRule="auto"/>
      </w:pPr>
      <w:r>
        <w:t xml:space="preserve">5.2.3 The instrumented within-mission estimator with diminishing returns</w:t>
      </w:r>
    </w:p>
    <w:p>
      <w:pPr>
        <w:pStyle w:val="FirstParagraph"/>
        <w:spacing w:line="480" w:lineRule="auto"/>
      </w:pPr>
      <w:r>
        <w:t xml:space="preserve">For this operational, the question is narrower: the third and primary estimator addresses both the endogeneity of cadence and the diminishing-returns structure of the hypothesized law. It does two things at once. For the evidence file, it augments the multivariate log-log specification with a quadratic term in log cadence to capture diminishing returns, and it instruments realized cadence with a component of cadence variation that is plausibly exogenous to the instantaneous navigation difficulty of the individual mission. The quadratic term operationalizes the falsifiable content of the alternative hypothesis. Under H1 the elasticity is negative and the second-order term is positive, which together imply a finite saturation cadence</w:t>
      </w:r>
      <w:r>
        <w:t xml:space="preserve"> </w:t>
      </w:r>
      <w:r>
        <w:rPr>
          <w:i/>
          <w:iCs/>
        </w:rPr>
        <w:t xml:space="preserve">c*</w:t>
      </w:r>
      <w:r>
        <w:t xml:space="preserve"> </w:t>
      </w:r>
      <w:r>
        <w:t xml:space="preserve">at which the marginal accuracy gain per added pass crosses a stated threshold. The location of that knee is recovered analytically from the first-order and second-order coefficients. For the evidence file, the hypothesis is falsified if the diminishing-returns term is unsupported, which would imply unbounded linear benefit, and it is falsified if the cadence coefficient is null or wrong-signed once the instrument is applied.</w:t>
      </w:r>
    </w:p>
    <w:p>
      <w:pPr>
        <w:pStyle w:val="BodyText"/>
        <w:spacing w:line="480" w:lineRule="auto"/>
        <w:ind w:firstLine="720"/>
      </w:pPr>
      <w:r>
        <w:t xml:space="preserve">For the empirical reader, the within-mission discipline restricts the primary identifying variation to differences across arcs of the same spacecraft, where the dynamical model, the measurement-type infrastructure, and the navigation team are held constant by construction. For the evidence file, this is the level at which the diminishing-returns claim is most credible, because cross-mission heterogeneity that the regime controls only partly absorb is removed by holding the mission fixed.</w:t>
      </w:r>
    </w:p>
    <w:bookmarkEnd w:id="101"/>
    <w:bookmarkEnd w:id="102"/>
    <w:bookmarkStart w:id="106" w:name="the-identification-strategy"/>
    <w:p>
      <w:pPr>
        <w:pStyle w:val="Heading2"/>
        <w:spacing w:line="480" w:lineRule="auto"/>
      </w:pPr>
      <w:r>
        <w:t xml:space="preserve">5.3 The identification strategy</w:t>
      </w:r>
    </w:p>
    <w:bookmarkStart w:id="103" w:name="the-endogeneity-problem-stated-precisely"/>
    <w:p>
      <w:pPr>
        <w:pStyle w:val="Heading3"/>
        <w:spacing w:line="480" w:lineRule="auto"/>
      </w:pPr>
      <w:r>
        <w:t xml:space="preserve">5.3.1 The endogeneity problem stated precisely</w:t>
      </w:r>
    </w:p>
    <w:p>
      <w:pPr>
        <w:pStyle w:val="FirstParagraph"/>
        <w:spacing w:line="480" w:lineRule="auto"/>
      </w:pPr>
      <w:r>
        <w:t xml:space="preserve">Cadence is not assigned to mission arcs at random. For the evidence file, operators concentrate tracking precisely when navigation is hard: near close approaches, during maneuvers, across critical-event windows, and whenever the dynamical environment threatens the delivery requirement. That behavior has a statistical cost. For the evidence file, it induces a positive correlation between cadence and the very difficulty that drives delivered error, so the naive cadence coefficient is biased toward zero or, in pooled cross-mission data, toward the wrong sign. For the evidence file, a tasking analyst who regressed historical delivered accuracy on historical pass counts across missions would conclude, wrongly, that more tracking buys worse navigation, because the missions and arcs that received the most tracking were the ones whose navigation was hardest. For the evidence file, recovering the structural value of a pass for that reason requires variation in cadence that is uncorrelated with instantaneous navigation difficulty.</w:t>
      </w:r>
    </w:p>
    <w:bookmarkEnd w:id="103"/>
    <w:bookmarkStart w:id="104" w:name="the-instrument"/>
    <w:p>
      <w:pPr>
        <w:pStyle w:val="Heading3"/>
        <w:spacing w:line="480" w:lineRule="auto"/>
      </w:pPr>
      <w:r>
        <w:t xml:space="preserve">5.3.2 The instrument</w:t>
      </w:r>
    </w:p>
    <w:p>
      <w:pPr>
        <w:pStyle w:val="FirstParagraph"/>
        <w:spacing w:line="480" w:lineRule="auto"/>
      </w:pPr>
      <w:r>
        <w:t xml:space="preserve">For the evidence file, identification exploits cadence variation driven by DSN contention and antenna availability that is plausibly exogenous to the individual mission’s instantaneous navigation difficulty. The DSN is scarce and heavily oversubscribed. Its allocation is arbitrated across planetary missions, crewed programs, and other heliophysics spacecraft</w:t>
      </w:r>
      <w:r>
        <w:t xml:space="preserve"> </w:t>
      </w:r>
      <w:hyperlink w:anchor="ref-4">
        <w:r>
          <w:rPr>
            <w:rStyle w:val="Hyperlink"/>
          </w:rPr>
          <w:t xml:space="preserve">[4]</w:t>
        </w:r>
      </w:hyperlink>
      <w:r>
        <w:t xml:space="preserve">. For the evidence file, a given mission’s realized cadence in a given week is determined in part by its own navigation needs, which is the endogenous channel, and in part by whether competing demand and station maintenance freed or constrained antenna time during that week, which is the exogenous channel. For the evidence file, the instrument is the component of realized cadence attributable to network contention and aperture availability rather than to the mission’s own difficulty. For the evidence file, conditional on the distance and phase controls, shifts in the supply of tracking driven by other programs’ schedules and by station downtime move a mission’s realized cadence for reasons unrelated to its own instantaneous OD difficulty, which is the exclusion logic the instrument relies upon.</w:t>
      </w:r>
    </w:p>
    <w:p>
      <w:pPr>
        <w:pStyle w:val="BodyText"/>
        <w:spacing w:line="480" w:lineRule="auto"/>
        <w:ind w:firstLine="720"/>
      </w:pPr>
      <w:r>
        <w:t xml:space="preserve">For this archival, the record matters here: the theoretical link that the instrumented regression operationalizes comes from the accuracy-based sensor-tasking literature. That literature establishes, for Earth-orbit catalogs under ground-based optical and radar networks, that orbit-determination quality is a direct function of how observations are scheduled, and that the information delivered per observation is the quantity that drives recovered state accuracy</w:t>
      </w:r>
      <w:r>
        <w:t xml:space="preserve"> </w:t>
      </w:r>
      <w:hyperlink w:anchor="ref-2">
        <w:r>
          <w:rPr>
            <w:rStyle w:val="Hyperlink"/>
          </w:rPr>
          <w:t xml:space="preserve">[2]</w:t>
        </w:r>
      </w:hyperlink>
      <w:r>
        <w:t xml:space="preserve">[3]. For the evidence file, the deep-space case shares the underlying estimation physics: a navigation solution is a weighted least-squares or filtered fit whose covariance contracts as informative measurements accumulate. For the evidence file, the dissertation’s contribution is to import that observation-density-to-accuracy mechanism into the deep-space DSN-tracked heliophysics setting, where it has not previously been estimated, and to do so under an identification strategy that respects the endogeneity of tracking allocation.</w:t>
      </w:r>
    </w:p>
    <w:bookmarkEnd w:id="104"/>
    <w:bookmarkStart w:id="105" w:name="X009a056d2ebb17df1584c4054e11b7e03aa62bd"/>
    <w:p>
      <w:pPr>
        <w:pStyle w:val="Heading3"/>
        <w:spacing w:line="480" w:lineRule="auto"/>
      </w:pPr>
      <w:r>
        <w:t xml:space="preserve">5.3.3 Why the within-mission panel is necessary</w:t>
      </w:r>
    </w:p>
    <w:p>
      <w:pPr>
        <w:pStyle w:val="FirstParagraph"/>
        <w:spacing w:line="480" w:lineRule="auto"/>
      </w:pPr>
      <w:r>
        <w:t xml:space="preserve">For a replicator, the reversal of the cadence sign between the pooled panel and the commensurable radiometric subsample, documented in the companion analysis, is the empirical bridge that justifies the within-mission design. For the evidence file, the pooled multivariate coefficient is wrong-signed because of endogeneity and incommensurable cadence metrics; the moment the metric is made commensurable by restricting to true tracking-contact counts, the coefficient flips toward the theoretically expected negative sign, even where the reduced sample renders that sign imprecise. This pattern is exactly what one expects if the structural relationship is negative, as the resource-management literature predicts</w:t>
      </w:r>
      <w:r>
        <w:t xml:space="preserve"> </w:t>
      </w:r>
      <w:hyperlink w:anchor="ref-2">
        <w:r>
          <w:rPr>
            <w:rStyle w:val="Hyperlink"/>
          </w:rPr>
          <w:t xml:space="preserve">[2]</w:t>
        </w:r>
      </w:hyperlink>
      <w:r>
        <w:t xml:space="preserve">[3], but recoverable only by holding the mission and the measurement type fixed and by exploiting cadence variation that is exogenous to instantaneous difficulty. For the evidence file, the within-mission, instrumented specification is for that reason not a refinement of convenience; it is the minimal design under which the estimand is identified.</w:t>
      </w:r>
    </w:p>
    <w:bookmarkEnd w:id="105"/>
    <w:bookmarkEnd w:id="106"/>
    <w:bookmarkStart w:id="112" w:name="X1d189e0776bd0a9225211f020d00b109bd29bed"/>
    <w:p>
      <w:pPr>
        <w:pStyle w:val="Heading2"/>
        <w:spacing w:line="480" w:lineRule="auto"/>
      </w:pPr>
      <w:r>
        <w:t xml:space="preserve">5.4 Threats to validity and how each is bounded</w:t>
      </w:r>
    </w:p>
    <w:p>
      <w:pPr>
        <w:pStyle w:val="FirstParagraph"/>
        <w:spacing w:line="480" w:lineRule="auto"/>
      </w:pPr>
      <w:r>
        <w:t xml:space="preserve">For this chapter, the treats this as an empirical claim: five threats are treated. For each, the chapter states the threat, its direction of bias where signable, and the specific design feature or robustness check that bounds it.</w:t>
      </w:r>
    </w:p>
    <w:bookmarkStart w:id="107" w:name="endogeneity-of-cadence"/>
    <w:p>
      <w:pPr>
        <w:pStyle w:val="Heading3"/>
        <w:spacing w:line="480" w:lineRule="auto"/>
      </w:pPr>
      <w:r>
        <w:t xml:space="preserve">5.4.1 Endogeneity of cadence</w:t>
      </w:r>
    </w:p>
    <w:p>
      <w:pPr>
        <w:pStyle w:val="FirstParagraph"/>
        <w:spacing w:line="480" w:lineRule="auto"/>
      </w:pPr>
      <w:r>
        <w:t xml:space="preserve">For this data, the construction is deliberately visible: the first and most consequential threat is that operators concentrate tracking when navigation is hard, biasing the cadence elasticity toward zero or the wrong sign. The contention-and-availability instrument is the primary defense. Its exogeneity, though, is an assumption to be defended rather than asserted. For the evidence file, the exclusion restriction requires that network contention and station downtime affect delivered navigation error only through realized cadence and not through any direct channel correlated with the mission’s difficulty. The bound on this threat is threefold. For the evidence file, first, the instrument is built from supply-side variation, competing-program demand and maintenance windows, that is generated outside the focal mission’s operations. Second, the within-mission panel removes any time-invariant mission-level confounding that could otherwise contaminate the instrument. For the evidence file, third, a placebo specification on cruise arcs, where cadence should exert weaker leverage on delivered accuracy because the dynamical environment is benign and radiometrics carry a lighter load, provides a falsification test: a strong instrumented cadence effect appearing where physics predicts a weak one would indicate that the instrument is capturing something other than the intended supply-side variation.</w:t>
      </w:r>
    </w:p>
    <w:bookmarkEnd w:id="107"/>
    <w:bookmarkStart w:id="108" w:name="small-n-and-cross-mission-heterogeneity"/>
    <w:p>
      <w:pPr>
        <w:pStyle w:val="Heading3"/>
        <w:spacing w:line="480" w:lineRule="auto"/>
      </w:pPr>
      <w:r>
        <w:t xml:space="preserve">5.4.2 Small N and cross-mission heterogeneity</w:t>
      </w:r>
    </w:p>
    <w:p>
      <w:pPr>
        <w:pStyle w:val="FirstParagraph"/>
        <w:spacing w:line="480" w:lineRule="auto"/>
      </w:pPr>
      <w:r>
        <w:t xml:space="preserve">For this operational, the question is narrower: heliophysics inner-heliosphere missions with fully published navigation are few</w:t>
      </w:r>
      <w:r>
        <w:t xml:space="preserve"> </w:t>
      </w:r>
      <w:hyperlink w:anchor="ref-4">
        <w:r>
          <w:rPr>
            <w:rStyle w:val="Hyperlink"/>
          </w:rPr>
          <w:t xml:space="preserve">[4]</w:t>
        </w:r>
      </w:hyperlink>
      <w:r>
        <w:t xml:space="preserve">, so pooling with inner-planetary radio-science missions</w:t>
      </w:r>
      <w:r>
        <w:t xml:space="preserve"> </w:t>
      </w:r>
      <w:hyperlink w:anchor="ref-5">
        <w:r>
          <w:rPr>
            <w:rStyle w:val="Hyperlink"/>
          </w:rPr>
          <w:t xml:space="preserve">[5]</w:t>
        </w:r>
      </w:hyperlink>
      <w:r>
        <w:t xml:space="preserve"> </w:t>
      </w:r>
      <w:r>
        <w:t xml:space="preserve">imports cross-mission heterogeneity that the regime controls may not fully absorb. For the evidence file, this threat operates on both precision and bias: small samples widen confidence intervals, and unmodeled heterogeneity across missions, eras, and definitions of uncertainty can shift the pooled coefficient. For the evidence file, the bound is to make the within-mission, across-arc comparison the credible locus of the diminishing-returns claim, where heterogeneity across spacecraft is differenced out by construction, and to treat the pooled cross-mission estimate as descriptive context rather than as the structural result. For the evidence file, sample composition is reported transparently, because mission-arc inclusion requires both a recoverable schedule and a published accuracy, and the sensitivity of the estimate to the inclusion rule is examined directly.</w:t>
      </w:r>
    </w:p>
    <w:bookmarkEnd w:id="108"/>
    <w:bookmarkStart w:id="109" w:name="measurement-type-confound"/>
    <w:p>
      <w:pPr>
        <w:pStyle w:val="Heading3"/>
        <w:spacing w:line="480" w:lineRule="auto"/>
      </w:pPr>
      <w:r>
        <w:t xml:space="preserve">5.4.3 Measurement-type confound</w:t>
      </w:r>
    </w:p>
    <w:p>
      <w:pPr>
        <w:pStyle w:val="FirstParagraph"/>
        <w:spacing w:line="480" w:lineRule="auto"/>
      </w:pPr>
      <w:r>
        <w:t xml:space="preserve">For the empirical reader, a shift from Doppler-only to Delta-DOR-augmented tracking changes delivered accuracy independently of raw pass count</w:t>
      </w:r>
      <w:r>
        <w:t xml:space="preserve"> </w:t>
      </w:r>
      <w:hyperlink w:anchor="ref-4">
        <w:r>
          <w:rPr>
            <w:rStyle w:val="Hyperlink"/>
          </w:rPr>
          <w:t xml:space="preserve">[4]</w:t>
        </w:r>
      </w:hyperlink>
      <w:r>
        <w:t xml:space="preserve">, so cadence and measurement quality can be conflated if they are not separated. Interferometric Delta-DOR adds angular plane-of-sky information that radiometric Doppler and range cannot supply</w:t>
      </w:r>
      <w:r>
        <w:t xml:space="preserve"> </w:t>
      </w:r>
      <w:hyperlink w:anchor="ref-4">
        <w:r>
          <w:rPr>
            <w:rStyle w:val="Hyperlink"/>
          </w:rPr>
          <w:t xml:space="preserve">[4]</w:t>
        </w:r>
      </w:hyperlink>
      <w:r>
        <w:t xml:space="preserve">, and onboard optical imaging changes the accuracy level again in close-proximity regimes. For the evidence file, the bound is to include measurement-type indicators as fixed effects that absorb the level shift each data type produces, and to report a robustness specification restricted to a commensurable cadence metric, namely true tracking-contact counts, that excludes operating points whose cadence is measured in image frames rather than tracking passes. For the evidence file, the companion analysis shows that this commensurability restriction is precisely what flips the cadence coefficient toward its theoretically expected sign, confirming that the measurement-type confound is a first-order concern and that the indicator-plus-restriction strategy addresses it.</w:t>
      </w:r>
    </w:p>
    <w:bookmarkEnd w:id="109"/>
    <w:bookmarkStart w:id="110" w:name="construct-validity-of-cadence"/>
    <w:p>
      <w:pPr>
        <w:pStyle w:val="Heading3"/>
        <w:spacing w:line="480" w:lineRule="auto"/>
      </w:pPr>
      <w:r>
        <w:t xml:space="preserve">5.4.4 Construct validity of cadence</w:t>
      </w:r>
    </w:p>
    <w:p>
      <w:pPr>
        <w:pStyle w:val="FirstParagraph"/>
        <w:spacing w:line="480" w:lineRule="auto"/>
      </w:pPr>
      <w:r>
        <w:t xml:space="preserve">For this evidence, the trail is concrete here: passes per week is a coarse proxy for information delivered. Pass duration, station aperture, and observation geometry all vary across passes. For the evidence file, two passes of equal count can deliver materially different information if one is short and low-elevation and the other is long and geometrically favorable. The bound is a robustness specification that replaces pass count first with tracked-hours, which captures pass duration directly, and then with a geometry-weighted information measure drawn from the tasking literature</w:t>
      </w:r>
      <w:r>
        <w:t xml:space="preserve"> </w:t>
      </w:r>
      <w:hyperlink w:anchor="ref-3">
        <w:r>
          <w:rPr>
            <w:rStyle w:val="Hyperlink"/>
          </w:rPr>
          <w:t xml:space="preserve">[3]</w:t>
        </w:r>
      </w:hyperlink>
      <w:r>
        <w:t xml:space="preserve">, which weights each contact by its expected contribution to the recovered covariance instead of treating contacts as interchangeable. For the evidence file, convergence of the estimated elasticity across the count-based, duration-based, and information-weighted constructions would indicate that the headline result is not an artifact of a coarse cadence proxy; divergence would localize the construct sensitivity and bound the interpretation accordingly. The multi-station and multi-pass mechanisms by which added observations beat down Doppler noise and sharpen the recovered signal supply the physical rationale for expecting the information-weighted measure to behave consistently with the count-based one</w:t>
      </w:r>
      <w:r>
        <w:t xml:space="preserve"> </w:t>
      </w:r>
      <w:hyperlink w:anchor="ref-3">
        <w:r>
          <w:rPr>
            <w:rStyle w:val="Hyperlink"/>
          </w:rPr>
          <w:t xml:space="preserve">[3]</w:t>
        </w:r>
      </w:hyperlink>
      <w:r>
        <w:t xml:space="preserve">.</w:t>
      </w:r>
    </w:p>
    <w:bookmarkEnd w:id="110"/>
    <w:bookmarkStart w:id="111" w:name="X96b7feb8281ba60464dc769fb08d39d49788bc9"/>
    <w:p>
      <w:pPr>
        <w:pStyle w:val="Heading3"/>
        <w:spacing w:line="480" w:lineRule="auto"/>
      </w:pPr>
      <w:r>
        <w:t xml:space="preserve">5.4.5 Construct validity of the error metric and external validity</w:t>
      </w:r>
    </w:p>
    <w:p>
      <w:pPr>
        <w:pStyle w:val="FirstParagraph"/>
        <w:spacing w:line="480" w:lineRule="auto"/>
      </w:pPr>
      <w:r>
        <w:t xml:space="preserve">For the program record, the dependent variable aggregates along-track delivery error, reconstructed-orbit error, and proximity-operations position error, which are not strictly commensurable across mission phases. The logarithmic, order-of-magnitude framing mitigates but does not eliminate this incommensurability. For the evidence file, the bound is a set of alternative error-metric specifications that report radial and cross-track uncertainty in addition to along-track, so that the elasticity is shown to be a property of the navigation solution rather than of one projected component, together with an arc-length sensitivity analysis that confirms the estimate is not driven by an idiosyncratic choice of arc boundary. External validity to autonomous-navigation regimes is explicitly out of scope, since the estimand is the value of a ground pass under current ground-tracked operations</w:t>
      </w:r>
      <w:r>
        <w:t xml:space="preserve"> </w:t>
      </w:r>
      <w:hyperlink w:anchor="ref-1">
        <w:r>
          <w:rPr>
            <w:rStyle w:val="Hyperlink"/>
          </w:rPr>
          <w:t xml:space="preserve">[1]</w:t>
        </w:r>
      </w:hyperlink>
      <w:r>
        <w:t xml:space="preserve">. The autonomous-navigation literature argues for reducing reliance on ground tracking, an argument that is coherent only if a ground pass carries a quantifiable accuracy benefit worth displacing</w:t>
      </w:r>
      <w:r>
        <w:t xml:space="preserve"> </w:t>
      </w:r>
      <w:hyperlink w:anchor="ref-1">
        <w:r>
          <w:rPr>
            <w:rStyle w:val="Hyperlink"/>
          </w:rPr>
          <w:t xml:space="preserve">[1]</w:t>
        </w:r>
      </w:hyperlink>
      <w:r>
        <w:t xml:space="preserve">, and the dissertation’s contribution is to estimate that benefit as the correct baseline against which substitution should later be judged, not to characterize the autonomous regime itself.</w:t>
      </w:r>
    </w:p>
    <w:bookmarkEnd w:id="111"/>
    <w:bookmarkEnd w:id="112"/>
    <w:bookmarkStart w:id="113" w:name="X06e08ecfb1028d3fc4f73cab4c2c2b7db2d70a8"/>
    <w:p>
      <w:pPr>
        <w:pStyle w:val="Heading2"/>
        <w:spacing w:line="480" w:lineRule="auto"/>
      </w:pPr>
      <w:r>
        <w:t xml:space="preserve">5.5 Provenance and reproducibility discipline</w:t>
      </w:r>
    </w:p>
    <w:p>
      <w:pPr>
        <w:pStyle w:val="FirstParagraph"/>
        <w:spacing w:line="480" w:lineRule="auto"/>
      </w:pPr>
      <w:r>
        <w:t xml:space="preserve">For this archival, the record matters here: the credibility of every coefficient rests on the provenance of its inputs. For the evidence file, every arc’s cadence is computed from archived DSN tracking-data records, and every error figure is traced to a published OD covariance or to a reconstruction archived in the Planetary Data System and the NAIF ephemeris archive. For the evidence file, no simulated tracking schedules enter the primary estimate; simulation is reserved for the placebo and the sensitivity checks, where its role is to test the specification rather than to generate the headline number. For the evidence file, where a precise per-arc figure is not openly obtainable, the corresponding observation is marked as illustrative, such observations are held to a small minority of the sample, and the estimate is shown to be robust to their removal. For the evidence file, this provenance discipline makes the estimation sample auditable arc by arc, and it ensures that the falsifiable claim of the dissertation, the estimated elasticity and the located saturation cadence</w:t>
      </w:r>
      <w:r>
        <w:t xml:space="preserve"> </w:t>
      </w:r>
      <w:r>
        <w:rPr>
          <w:i/>
          <w:iCs/>
        </w:rPr>
        <w:t xml:space="preserve">c*</w:t>
      </w:r>
      <w:r>
        <w:t xml:space="preserve">, rests on real mission tracking schedules and reported OD covariances rather than on simulation alone.</w:t>
      </w:r>
    </w:p>
    <w:bookmarkEnd w:id="113"/>
    <w:bookmarkEnd w:id="114"/>
    <w:bookmarkStart w:id="127" w:name="chapter-6.-results"/>
    <w:p>
      <w:pPr>
        <w:pStyle w:val="Heading1"/>
        <w:spacing w:line="480" w:lineRule="auto"/>
      </w:pPr>
      <w:r>
        <w:t xml:space="preserve">Chapter 6. Results</w:t>
      </w:r>
    </w:p>
    <w:p>
      <w:pPr>
        <w:pStyle w:val="FirstParagraph"/>
        <w:spacing w:line="480" w:lineRule="auto"/>
      </w:pPr>
      <w:r>
        <w:t xml:space="preserve">For this chapter, the presents and interprets the empirical findings of the two regression studies that constitute the quantitative core of the dissertation.</w:t>
      </w:r>
    </w:p>
    <w:p>
      <w:pPr>
        <w:pStyle w:val="BodyText"/>
        <w:spacing w:line="480" w:lineRule="auto"/>
        <w:ind w:firstLine="720"/>
      </w:pPr>
      <w:r>
        <w:t xml:space="preserve">For the evidence file, both studies estimate, from real documented deep-space navigation operating points, the relationship between Deep Space Network (DSN) tracking cadence and delivered navigation-solution accuracy. The first study, reported in Paper 1, fits a fixed-effects-style cross-mission regression of navigation uncertainty on weekly tracking volume with heliocentric distance and operational phase held fixed. The second study, reported in Paper 2, fits a multivariate log-log regression of delivered navigation error on tracking cadence with distance regime and measurement type held fixed, and then probes the stability of the cadence coefficient under two robustness restrictions. For the evidence file, the two studies are designed to be read together: the first delivers the theoretically expected negative cadence effect under a clean, commensurable specification, while the second exposes what happens to that effect when the panel record is pooled across incommensurable measurement types and across the full sweep of cross-mission heterogeneity. The juxtaposition is the substantive contribution. For the evidence file, it demonstrates both that a value of a tracking pass exists and that recovering it is a problem of identification, not merely of estimation.</w:t>
      </w:r>
    </w:p>
    <w:p>
      <w:pPr>
        <w:pStyle w:val="BodyText"/>
        <w:spacing w:line="480" w:lineRule="auto"/>
        <w:ind w:firstLine="720"/>
      </w:pPr>
      <w:r>
        <w:t xml:space="preserve">For this evidence, the trail is concrete here: throughout, every reported coefficient, standard error, p-value, and fit statistic is taken directly from the estimator output of the embedded analysis files. For the evidence file, the supporting tables, the full variable construction, the data file with its per-row provenance, and the diagnostic plots are presented in Appendix A and are not reproduced here. The text below confines itself to the numbers the estimator returned and to their interpretation.</w:t>
      </w:r>
    </w:p>
    <w:bookmarkStart w:id="119" w:name="paper-1-the-within-regime-cadence-effect"/>
    <w:p>
      <w:pPr>
        <w:pStyle w:val="Heading2"/>
        <w:spacing w:line="480" w:lineRule="auto"/>
      </w:pPr>
      <w:r>
        <w:t xml:space="preserve">6.1 Paper 1: The Within-Regime Cadence Effect</w:t>
      </w:r>
    </w:p>
    <w:bookmarkStart w:id="115" w:name="overall-fit"/>
    <w:p>
      <w:pPr>
        <w:pStyle w:val="Heading3"/>
        <w:spacing w:line="480" w:lineRule="auto"/>
      </w:pPr>
      <w:r>
        <w:t xml:space="preserve">6.1.1 Overall Fit</w:t>
      </w:r>
    </w:p>
    <w:p>
      <w:pPr>
        <w:pStyle w:val="FirstParagraph"/>
        <w:spacing w:line="480" w:lineRule="auto"/>
      </w:pPr>
      <w:r>
        <w:t xml:space="preserve">For this first, the regression was estimated by ordinary least squares with heteroskedasticity-robust HC1 standard errors over twenty-three deep-space mission-phase observations. The dependent variable is the base-ten logarithm of navigation or orbit-determination position uncertainty in kilometers. For the evidence file, the regressors are weekly DSN tracking volume in tracking-hours per week, the base-ten logarithm of geocentric distance in astronomical units, and a binary indicator for orbital or proximity-operations phase as distinct from interplanetary cruise.</w:t>
      </w:r>
    </w:p>
    <w:p>
      <w:pPr>
        <w:pStyle w:val="BodyText"/>
        <w:spacing w:line="480" w:lineRule="auto"/>
        <w:ind w:firstLine="720"/>
      </w:pPr>
      <w:r>
        <w:t xml:space="preserve">For this archival, the record matters here: the model fits the data strongly. The coefficient of determination is 0.8779, and the degrees-of-freedom-adjusted coefficient is 0.8586 on this sample. For the evidence file, the three-regressor specification thus accounts for roughly eighty-eight percent of the cross-mission variance in logged navigation accuracy, and roughly eighty-six percent after penalizing for the parameter count. The joint hypothesis that all slope coefficients are zero is decisively rejected: the overall F-statistic is 85.12, with an associated p-value of 3.37 times ten to the minus eleven. For the evidence file, a model fit of this strength across a sample that spans low planetary orbit to the outer solar system, and navigation accuracies ranging across several orders of magnitude from meter-class reconstructed orbits to thousand-kilometer-class deep-cruise position knowledge, is a substantive result in its own right. For the evidence file, it establishes that the three structural drivers identified in the theory, namely tracking cadence, heliocentric distance, and operational phase, jointly capture the dominant variation in delivered deep-space navigation accuracy, leaving little systematic variance unexplained at the order-of-magnitude resolution of the dependent variable. The adjusted figure of 0.8586, sitting only about two hundredths below the unadjusted 0.8779, indicates that the explanatory power is not an artifact of overfitting a small sample with surplus regressors; each of the three terms is earning its place.</w:t>
      </w:r>
    </w:p>
    <w:bookmarkEnd w:id="115"/>
    <w:bookmarkStart w:id="116" w:name="the-cadence-coefficient"/>
    <w:p>
      <w:pPr>
        <w:pStyle w:val="Heading3"/>
        <w:spacing w:line="480" w:lineRule="auto"/>
      </w:pPr>
      <w:r>
        <w:t xml:space="preserve">6.1.2 The Cadence Coefficient</w:t>
      </w:r>
    </w:p>
    <w:p>
      <w:pPr>
        <w:pStyle w:val="FirstParagraph"/>
        <w:spacing w:line="480" w:lineRule="auto"/>
      </w:pPr>
      <w:r>
        <w:t xml:space="preserve">For a replicator, the coefficient of central interest is the partial effect of weekly tracking volume on logged navigation uncertainty. The estimate is negative and statistically significant: minus 0.0213 in base-ten log kilometers per additional tracking-hour per week, with a robust standard error of 0.0057 and a p-value of 0.0002. The sign matches the directional hypothesis exactly. Denser DSN tracking, at fixed heliocentric distance and operational phase, buys tighter navigation solutions. The precision is high relative to the magnitude of the estimate: the coefficient is roughly 3.7 times its own standard error, which places it well inside conventional significance and yields a p-value approximately two parts in ten thousand. The null of a zero cadence effect, which is the H0 of this study, is rejected with confidence.</w:t>
      </w:r>
    </w:p>
    <w:p>
      <w:pPr>
        <w:pStyle w:val="BodyText"/>
        <w:spacing w:line="480" w:lineRule="auto"/>
        <w:ind w:firstLine="720"/>
      </w:pPr>
      <w:r>
        <w:t xml:space="preserve">For this magnitude, the deserves careful interpretation, because the dependent variable is logged and the regressor is not. Read the coefficient directly. Minus 0.0213 means that each additional single tracking-hour per week is associated with a reduction of 0.0213 in the base-ten logarithm of position uncertainty in kilometers. For the evidence file, because the effect is expressed in log space but the regressor is linear, the proportional consequence of a marginal pass depends on its accumulation. For the evidence file, a useful operational unit is a block of ten tracking-hours per week, roughly the difference between sparse and moderately dense coverage. Ten additional tracking-hours per week correspond to a change of ten times minus 0.0213, or minus 0.213, in log-ten kilometers. A reduction of 0.213 in a base-ten logarithm is a multiplicative factor of ten raised to the minus 0.213 power, which is approximately 0.61. For the evidence file, the remaining fraction of the original uncertainty is for that reason about sixty-one percent, which is to say the position uncertainty falls by roughly thirty-eight to thirty-nine percent for each additional ten tracking-hours per week, conditional on distance and phase. For the evidence file, this proportional reading is the property that makes the coefficient operationally actionable: it converts the folk heuristic that more tracking helps into a defensible marginal rate that a DSN scheduler can carry into an allocation trade.</w:t>
      </w:r>
    </w:p>
    <w:p>
      <w:pPr>
        <w:pStyle w:val="BodyText"/>
        <w:spacing w:line="480" w:lineRule="auto"/>
        <w:ind w:firstLine="720"/>
      </w:pPr>
      <w:r>
        <w:t xml:space="preserve">For this chapter, the treats this as an empirical claim: it is worth stressing what the logarithmic specification implies for the shape of the benefit curve. For the evidence file, because tracking-hours enter linearly while the outcome is logged, the estimating design imposes a constant proportional return per added hour rather than a constant absolute return. For the evidence file, each marginal hour buys the same percentage reduction in error, so the absolute accuracy gained per hour shrinks as the solution tightens. For the evidence file, this is the empirical signature of diminishing returns in absolute terms, and it is consistent with the prospectus expectation that marginal accuracy gain per added pass falls as cadence rises, even though this particular specification does not estimate a separate quadratic saturation term. The estimated constant proportional rate is the within-regime law that the first study set out to recover.</w:t>
      </w:r>
    </w:p>
    <w:bookmarkEnd w:id="116"/>
    <w:bookmarkStart w:id="117" w:name="the-control-coefficients"/>
    <w:p>
      <w:pPr>
        <w:pStyle w:val="Heading3"/>
        <w:spacing w:line="480" w:lineRule="auto"/>
      </w:pPr>
      <w:r>
        <w:t xml:space="preserve">6.1.3 The Control Coefficients</w:t>
      </w:r>
    </w:p>
    <w:p>
      <w:pPr>
        <w:pStyle w:val="FirstParagraph"/>
        <w:spacing w:line="480" w:lineRule="auto"/>
      </w:pPr>
      <w:r>
        <w:t xml:space="preserve">For this data, the construction is deliberately visible: the two control coefficients behave precisely as the navigation physics requires. For the evidence file, their conformity lends substantial credibility to the cadence estimate, because it shows the specification is correctly partitioning the variance rather than absorbing the cadence effect into a mis-specified confounder.</w:t>
      </w:r>
    </w:p>
    <w:p>
      <w:pPr>
        <w:pStyle w:val="BodyText"/>
        <w:spacing w:line="480" w:lineRule="auto"/>
        <w:ind w:firstLine="720"/>
      </w:pPr>
      <w:r>
        <w:t xml:space="preserve">For this coefficient, the on the base-ten logarithm of geocentric distance is positive at 1.5636, with a robust standard error of 0.2197 and a p-value below the estimator’s reporting floor, returned as 0.0 to four decimal places. The positive sign is mandatory: navigation accuracy degrades with distance since the signal-to-noise ratio of the radio link falls and the plane-of-sky leverage of line-of-sight tracking weakens at greater range</w:t>
      </w:r>
      <w:r>
        <w:t xml:space="preserve"> </w:t>
      </w:r>
      <w:hyperlink w:anchor="ref-2">
        <w:r>
          <w:rPr>
            <w:rStyle w:val="Hyperlink"/>
          </w:rPr>
          <w:t xml:space="preserve">[2]</w:t>
        </w:r>
      </w:hyperlink>
      <w:r>
        <w:t xml:space="preserve">. The magnitude states that a tenfold increase in geocentric distance, one unit on the log-ten scale, is associated with an increase of roughly 1.56 in log-ten kilometers of uncertainty, slightly more than a factor of thirty-six in linear position error. The coefficient is roughly seven times its standard error, so the distance penalty is estimated with high confidence. That the distance effect dominates the regression in magnitude is exactly what the deep-space navigation literature predicts: accuracy at the outer planets is structurally worse than at Mars at any cadence</w:t>
      </w:r>
      <w:r>
        <w:t xml:space="preserve"> </w:t>
      </w:r>
      <w:hyperlink w:anchor="ref-5">
        <w:r>
          <w:rPr>
            <w:rStyle w:val="Hyperlink"/>
          </w:rPr>
          <w:t xml:space="preserve">[5]</w:t>
        </w:r>
      </w:hyperlink>
      <w:r>
        <w:t xml:space="preserve">.</w:t>
      </w:r>
    </w:p>
    <w:p>
      <w:pPr>
        <w:pStyle w:val="BodyText"/>
        <w:spacing w:line="480" w:lineRule="auto"/>
        <w:ind w:firstLine="720"/>
      </w:pPr>
      <w:r>
        <w:t xml:space="preserve">For this operational, the question is narrower: the coefficient on the orbital-phase indicator is negative at minus 1.9885, with a robust standard error of 0.2612 and a p-value below the reporting floor, again returned as 0.0. For the evidence file, the negative sign means that orbital and proximity-operations phases deliver navigation uncertainty almost two full orders of magnitude smaller than interplanetary cruise at comparable distance and cadence. Ten raised to the minus 1.9885 power is approximately 0.0103, so the orbital-phase position uncertainty is on the order of one percent of the cruise-phase value, holding the other regressors fixed. This large phase premium is physically expected since orbital and proximity phases admit optical-navigation and landmark observables and benefit from a well-determined local gravity field, whereas interplanetary cruise relies on radiometrics alone</w:t>
      </w:r>
      <w:r>
        <w:t xml:space="preserve"> </w:t>
      </w:r>
      <w:hyperlink w:anchor="ref-6">
        <w:r>
          <w:rPr>
            <w:rStyle w:val="Hyperlink"/>
          </w:rPr>
          <w:t xml:space="preserve">[6]</w:t>
        </w:r>
      </w:hyperlink>
      <w:r>
        <w:t xml:space="preserve">. The coefficient is roughly 7.6 times its standard error, so the phase effect is likewise estimated with high precision.</w:t>
      </w:r>
    </w:p>
    <w:p>
      <w:pPr>
        <w:pStyle w:val="BodyText"/>
        <w:spacing w:line="480" w:lineRule="auto"/>
        <w:ind w:firstLine="720"/>
      </w:pPr>
      <w:r>
        <w:t xml:space="preserve">For this intercept, the is 1.1092 with a standard error of 0.2575. For the evidence file, it represents the expected log-ten kilometer uncertainty for a hypothetical cruise-phase arc at one astronomical unit of geocentric distance and zero weekly tracking-hours, which is a baseline extrapolation rather than an observed operating point, and it is reported for completeness rather than for substantive interpretation.</w:t>
      </w:r>
    </w:p>
    <w:bookmarkEnd w:id="117"/>
    <w:bookmarkStart w:id="118" w:name="what-paper-1-establishes"/>
    <w:p>
      <w:pPr>
        <w:pStyle w:val="Heading3"/>
        <w:spacing w:line="480" w:lineRule="auto"/>
      </w:pPr>
      <w:r>
        <w:t xml:space="preserve">6.1.4 What Paper 1 Establishes</w:t>
      </w:r>
    </w:p>
    <w:p>
      <w:pPr>
        <w:pStyle w:val="FirstParagraph"/>
        <w:spacing w:line="480" w:lineRule="auto"/>
      </w:pPr>
      <w:r>
        <w:t xml:space="preserve">For the evidence file, taken together, the three terms partition the cross-mission spread in navigation accuracy cleanly into a distance penalty, a phase premium, and an independently significant cadence effect that survives the removal of the first two. The distance and phase controls dominate the explained variance, which is why the fitted specification achieves an R-squared near 0.88, but the cadence coefficient remains significant at a p-value of 0.0002 once they are absorbed. This is the central positive finding of the dissertation. For the evidence file, within a fixed distance and phase regime, additional DSN tracking buys navigation accuracy at a measurable and constant proportional rate of roughly a thirty-eight percent reduction in position uncertainty per added ten tracking-hours per week. The result confirms H1 for the within-regime specification and rejects the H0 of a null cadence effect. For the evidence file, it also locates where cadence matters most: in interplanetary cruise at large heliocentric distance, where radiometrics carry the full navigation load and no optical aids are available, the marginal pass has its clearest leverage, because the orbital-phase premium that would otherwise dominate is absent.</w:t>
      </w:r>
    </w:p>
    <w:bookmarkEnd w:id="118"/>
    <w:bookmarkEnd w:id="119"/>
    <w:bookmarkStart w:id="125" w:name="Xb9f2f190a587908bdbcd063d020bbff6b347d55"/>
    <w:p>
      <w:pPr>
        <w:pStyle w:val="Heading2"/>
        <w:spacing w:line="480" w:lineRule="auto"/>
      </w:pPr>
      <w:r>
        <w:t xml:space="preserve">6.2 Paper 2: The Pooled Panel and the Sign Reversal</w:t>
      </w:r>
    </w:p>
    <w:bookmarkStart w:id="120" w:name="overall-fit-1"/>
    <w:p>
      <w:pPr>
        <w:pStyle w:val="Heading3"/>
        <w:spacing w:line="480" w:lineRule="auto"/>
      </w:pPr>
      <w:r>
        <w:t xml:space="preserve">6.2.1 Overall Fit</w:t>
      </w:r>
    </w:p>
    <w:p>
      <w:pPr>
        <w:pStyle w:val="FirstParagraph"/>
        <w:spacing w:line="480" w:lineRule="auto"/>
      </w:pPr>
      <w:r>
        <w:t xml:space="preserve">For the program record, the second regression was estimated by ordinary least squares with heteroskedasticity-robust standard errors over twenty-four documented navigation operating points drawn from fourteen distinct missions and studies, spanning Earth-distance and lunar regimes through the inner solar system to Neptune distance, and spanning radiometric Doppler and range, interferometric Delta-DOR, onboard optical, and pulsar time-of-arrival navigation. The dependent variable is logged delivered navigation error. For the evidence file, the regressors are the natural logarithm of tracking cadence, the natural logarithm of distance, and two binary measurement-type indicators for interferometric and optical augmentation respectively.</w:t>
      </w:r>
    </w:p>
    <w:p>
      <w:pPr>
        <w:pStyle w:val="BodyText"/>
        <w:spacing w:line="480" w:lineRule="auto"/>
        <w:ind w:firstLine="720"/>
      </w:pPr>
      <w:r>
        <w:t xml:space="preserve">For this full-panel, the model explains about sixty-nine percent of the variance in logged navigation error: the R-squared is 0.6940 and the adjusted R-squared is 0.6296. The joint F-test is 26.42 with a p-value of 1.57 times ten to the minus seven, so the overall specification is significant well below one part in a million. The fit is good but visibly weaker than the fit of Paper 1, with an R-squared about nineteen percentage points lower and an adjusted R-squared about twenty-three points lower. The gap is informative. Paper 2 deliberately pools a more heterogeneous panel that mixes measurement types whose cadence is not measured on a common scale, optical cadence being counted in image frames per day while radiometric cadence is counted in tracking contacts per week, and the lower explanatory power reflects exactly this added incommensurability. The drop in adjusted relative to unadjusted R-squared, about six and a half percentage points here against roughly two points in Paper 1, also signals that the larger regressor set is buying less clean explanatory power per parameter in the pooled design.</w:t>
      </w:r>
    </w:p>
    <w:bookmarkEnd w:id="120"/>
    <w:bookmarkStart w:id="121" w:name="Xa3ffd11930f49c73356881d00261af8390b9d5b"/>
    <w:p>
      <w:pPr>
        <w:pStyle w:val="Heading3"/>
        <w:spacing w:line="480" w:lineRule="auto"/>
      </w:pPr>
      <w:r>
        <w:t xml:space="preserve">6.2.2 The Distance and Measurement-Type Controls</w:t>
      </w:r>
    </w:p>
    <w:p>
      <w:pPr>
        <w:pStyle w:val="FirstParagraph"/>
        <w:spacing w:line="480" w:lineRule="auto"/>
      </w:pPr>
      <w:r>
        <w:t xml:space="preserve">For the evidence file, before turning to the cadence coefficient, the control terms warrant attention because their behavior validates the specification and frames the interpretation of the headline result. For a replicator, the coefficient on log distance is positive at 1.1817, with a standard error of 0.1384 and a p-value below the reporting floor, returned as 0.0. The positive sign and the near-unit magnitude state that delivered error scales close to linearly with distance regime, which is consistent with the angular and interferometric error budgets that grow with range</w:t>
      </w:r>
      <w:r>
        <w:t xml:space="preserve"> </w:t>
      </w:r>
      <w:hyperlink w:anchor="ref-4">
        <w:r>
          <w:rPr>
            <w:rStyle w:val="Hyperlink"/>
          </w:rPr>
          <w:t xml:space="preserve">[4]</w:t>
        </w:r>
      </w:hyperlink>
      <w:r>
        <w:t xml:space="preserve">. The estimate is roughly 8.5 times its standard error, the most precisely determined coefficient in the fitted specification. That the distance control behaves exactly as the physics demands, in both Paper 1 and Paper 2, is the strongest single piece of evidence that the specifications are sound and that any anomaly in the cadence term is a substantive feature of the data instead of a coding or construction error.</w:t>
      </w:r>
    </w:p>
    <w:p>
      <w:pPr>
        <w:pStyle w:val="BodyText"/>
        <w:spacing w:line="480" w:lineRule="auto"/>
        <w:ind w:firstLine="720"/>
      </w:pPr>
      <w:r>
        <w:t xml:space="preserve">For this optical, the indicator carries a large negative coefficient of minus 6.8564, with a standard error of 2.1762 and a p-value of 0.0016. The magnitude is striking: ten raised, in the natural-log convention of this regression, gives an exponential factor of e to the minus 6.86, which is on the order of one part in a thousand. For the evidence file, the optical operating points in the panel record deliver extremely tight relative-state solutions in close-proximity asteroid operations, where image-based navigation against a resolved target body achieves accuracy far beyond what radiometric ranging at the same distance would yield. The coefficient is roughly 3.2 times its standard error and significant at better than two parts in a thousand, so the optical level shift is firmly estimated. The interferometric indicator, by contrast, is negative at minus 1.1121 but imprecise, with a standard error of 1.0429 and a p-value of 0.2863. For the evidence file, its absolute value is close to its standard error, so the panel record cannot statistically separate an interferometric level effect from the effects of cadence and distance. For the evidence file, the point estimate is in the expected direction, interferometric Delta-DOR tracking improving accuracy, but the data do not support a confident claim about its size.</w:t>
      </w:r>
    </w:p>
    <w:bookmarkEnd w:id="121"/>
    <w:bookmarkStart w:id="122" w:name="the-wrong-signed-cadence-coefficient"/>
    <w:p>
      <w:pPr>
        <w:pStyle w:val="Heading3"/>
        <w:spacing w:line="480" w:lineRule="auto"/>
      </w:pPr>
      <w:r>
        <w:t xml:space="preserve">6.2.3 The Wrong-Signed Cadence Coefficient</w:t>
      </w:r>
    </w:p>
    <w:p>
      <w:pPr>
        <w:pStyle w:val="FirstParagraph"/>
        <w:spacing w:line="480" w:lineRule="auto"/>
      </w:pPr>
      <w:r>
        <w:t xml:space="preserve">For this coefficient, the of central interest in Paper 2 is the partial elasticity on log cadence. The estimate is positive at 1.4067, with a robust standard error of 0.4682 and a p-value of 0.0027. The coefficient is roughly three times its standard error, so the null of a zero coefficient is rejected. But the rejection runs the wrong way for the operational hypothesis. H1 for this study predicted a negative partial elasticity, higher cadence lowering delivered error. For the evidence file, the estimate is positive, which says that in the pooled cross-mission panel, higher tracking cadence is associated with higher, not lower, delivered error once distance and measurement type are controlled. The ninety-five percent confidence interval implied by the estimate and its standard error runs from roughly 0.49 to roughly 2.32, comfortably excluding zero and lying entirely in positive territory, so the wrong sign is not a fragile near-zero artifact. The reading literally states that buying tracking buys worse navigation, which is physically implausible.</w:t>
      </w:r>
    </w:p>
    <w:p>
      <w:pPr>
        <w:pStyle w:val="BodyText"/>
        <w:spacing w:line="480" w:lineRule="auto"/>
        <w:ind w:firstLine="720"/>
      </w:pPr>
      <w:r>
        <w:t xml:space="preserve">For this data, the construction is deliberately visible: this result is not a refutation of the navigation physics, and the dissertation does not interpret it as one. It is the empirical signature of endogeneity. For the evidence file, operators concentrate tracking on the hardest arcs, scheduling dense coverage precisely when navigation is difficult, so the missions and phases that received the most tracking are disproportionately the ones whose navigation was structurally hardest for reasons the regressors do not fully capture. For the evidence file, the positive pooled elasticity is for that reason a reverse-causation artifact: difficulty drives both high cadence and high error, manufacturing a positive association between them. For the evidence file, compounding the endogeneity, the pooled panel mixes incommensurable cadence metrics, the optical operating points being scheduled in image frames per day rather than tracking passes per week, so the cadence regressor does not measure a single physical quantity across all twenty-four rows. The wrong sign is the joint product of these two contaminations.</w:t>
      </w:r>
    </w:p>
    <w:bookmarkEnd w:id="122"/>
    <w:bookmarkStart w:id="123" w:name="Xa7d38c8ea11001f4fb730ceced0adb5cd0948a8"/>
    <w:p>
      <w:pPr>
        <w:pStyle w:val="Heading3"/>
        <w:spacing w:line="480" w:lineRule="auto"/>
      </w:pPr>
      <w:r>
        <w:t xml:space="preserve">6.2.4 The Robustness Cuts and the Sign Recovery</w:t>
      </w:r>
    </w:p>
    <w:p>
      <w:pPr>
        <w:pStyle w:val="FirstParagraph"/>
        <w:spacing w:line="480" w:lineRule="auto"/>
      </w:pPr>
      <w:r>
        <w:t xml:space="preserve">For this operational, the question is narrower: the two robustness specifications are decisive for the interpretation, because they isolate which of the two contaminations is doing the damage and show that the underlying relationship is recoverable once the cadence metric is made commensurable.</w:t>
      </w:r>
    </w:p>
    <w:p>
      <w:pPr>
        <w:pStyle w:val="BodyText"/>
        <w:spacing w:line="480" w:lineRule="auto"/>
        <w:ind w:firstLine="720"/>
      </w:pPr>
      <w:r>
        <w:t xml:space="preserve">For this first, the cut removes the optical operating points, leaving the nineteen radiometric, interferometric, and pulsar observations whose cadence is a true tracking-contact count rather than an image-frame rate. In that commensurable subsample the cadence coefficient reverses sign to about minus 0.68, in the direction H1 predicts. That reversal is the central diagnostic finding of Paper 2. For the evidence file, it shows that once cadence is measured on a single physical scale, the partial association between cadence and error flips toward the theoretically expected negative sign. The reversed coefficient is, however, no longer statistically significant at the reduced sample size, carrying a p-value of about 0.37, so the radiometric subsample is too small to certify the negative sign as more than suggestive. The distance control in that subsample remains positive and significant at about 0.83 with a p-value of about 0.0003, confirming that the specification continues to behave correctly on the confounder even after the optical rows are dropped. For the evidence file, the contrast is the bridge of the whole study: the same panel yields a positive, significant cadence coefficient when optical and radiometric cadence are pooled, and a negative, insignificant one when only commensurable radiometric cadence is retained, with the distance physics holding steady across both.</w:t>
      </w:r>
    </w:p>
    <w:p>
      <w:pPr>
        <w:pStyle w:val="BodyText"/>
        <w:spacing w:line="480" w:lineRule="auto"/>
        <w:ind w:firstLine="720"/>
      </w:pPr>
      <w:r>
        <w:t xml:space="preserve">For the empirical reader, the second cut drops the three illustrative rows, the twelve and a half percent of the panel record whose accuracy values were reconstructed from a documented tracking regime rather than read from an openly published figure, leaving a documented-only subsample. That cut returns essentially the full-panel result, with a cadence coefficient of about 1.68 and a p-value below 0.001. For the evidence file, this is the reassuring null among the robustness checks: it confirms that the wrong-signed headline coefficient is not an artifact of the illustrative observations but a genuine property of the pooled cross-mission data. The two cuts together localize the source of the wrong sign precisely. For the evidence file, it is not the illustrative rows, whose removal leaves the result intact, but the pooling of incommensurable optical cadence, whose removal reverses the sign.</w:t>
      </w:r>
    </w:p>
    <w:bookmarkEnd w:id="123"/>
    <w:bookmarkStart w:id="124" w:name="what-paper-2-establishes"/>
    <w:p>
      <w:pPr>
        <w:pStyle w:val="Heading3"/>
        <w:spacing w:line="480" w:lineRule="auto"/>
      </w:pPr>
      <w:r>
        <w:t xml:space="preserve">6.2.5 What Paper 2 Establishes</w:t>
      </w:r>
    </w:p>
    <w:p>
      <w:pPr>
        <w:pStyle w:val="FirstParagraph"/>
        <w:spacing w:line="480" w:lineRule="auto"/>
      </w:pPr>
      <w:r>
        <w:t xml:space="preserve">For this evidence, the trail is concrete here: the substantive finding of Paper 2 is twofold and deliberately honest. First, a naive multivariate regression on observational cross-mission data cannot recover the value of a tracking pass. The pooled cadence elasticity is positive at 1.4067 and significant at a p-value of 0.0027, precisely since cadence is endogenous and since the panel record mixes incommensurable cadence metrics across measurement types. For the evidence file, a tasking analyst who regressed historical delivered accuracy on historical pass counts across missions would conclude, wrongly, that more tracking buys worse navigation. Second, the moment the cadence metric is made commensurable by restricting to true tracking-contact counts, the coefficient flips to a negative minus 0.68 in the theoretically expected direction, even though the nineteen-observation radiometric subsample is too small to make that sign significant. Both results converge on the same methodological conclusion: the underlying cadence relationship is plausibly negative as the resource-management literature predicts</w:t>
      </w:r>
      <w:r>
        <w:t xml:space="preserve"> </w:t>
      </w:r>
      <w:hyperlink w:anchor="ref-2">
        <w:r>
          <w:rPr>
            <w:rStyle w:val="Hyperlink"/>
          </w:rPr>
          <w:t xml:space="preserve">[2]</w:t>
        </w:r>
      </w:hyperlink>
      <w:r>
        <w:t xml:space="preserve">[3], but recovering it requires holding the mission and the measurement type fixed and exploiting cadence variation that is exogenous to instantaneous navigation difficulty, instead of pooling raw cross-mission operating points. Paper 2 thereby does the essential negative work that justifies the instrumented, within-mission identification strategy proposed in the prospectus.</w:t>
      </w:r>
    </w:p>
    <w:bookmarkEnd w:id="124"/>
    <w:bookmarkEnd w:id="125"/>
    <w:bookmarkStart w:id="126" w:name="synthesis-of-the-two-studies"/>
    <w:p>
      <w:pPr>
        <w:pStyle w:val="Heading2"/>
        <w:spacing w:line="480" w:lineRule="auto"/>
      </w:pPr>
      <w:r>
        <w:t xml:space="preserve">6.3 Synthesis of the Two Studies</w:t>
      </w:r>
    </w:p>
    <w:p>
      <w:pPr>
        <w:pStyle w:val="FirstParagraph"/>
        <w:spacing w:line="480" w:lineRule="auto"/>
      </w:pPr>
      <w:r>
        <w:t xml:space="preserve">For the program record, read in sequence, the two regressions tell a single coherent story about the value of a tracking pass and the conditions under which that value can be measured. Paper 1, working with a cleaner and more commensurable specification in which the dependent variable and the cadence regressor are well matched and the distance and phase controls dominate the structural variance, recovers the theoretically expected negative cadence effect at minus 0.0213 with a p-value of 0.0002 and an overall fit of 0.88. Paper 2, working with a more heterogeneous panel that pools incommensurable measurement types and the full sweep of cross-mission difficulty, recovers a wrong-signed positive elasticity of 1.4067 at a p-value of 0.0027 in the full panel, which reverses to minus 0.68 the instant the cadence metric is made commensurable. The contrast is not a contradiction. For the evidence file, it is the central methodological lesson of the dissertation rendered in two regressions: the sign and significance of the cadence coefficient depend entirely on whether the specification controls the endogeneity of tracking allocation and whether the cadence metric is physically commensurable across the panel record.</w:t>
      </w:r>
    </w:p>
    <w:p>
      <w:pPr>
        <w:pStyle w:val="BodyText"/>
        <w:spacing w:line="480" w:lineRule="auto"/>
        <w:ind w:firstLine="720"/>
      </w:pPr>
      <w:r>
        <w:t xml:space="preserve">For this distance, the control is the constant across all four estimations, the full Paper 1 model, the full Paper 2 panel, and the Paper 2 radiometric subsample, and it is positive and significant in every one, at 1.5636 in Paper 1, at 1.1817 in the full Paper 2 panel, and at about 0.83 in the radiometric subsample. Its stability is the anchor that certifies the specifications are sound. For the evidence file, against that stable physical backdrop, the cadence coefficient moves with the cleanliness of the design, which is exactly what one expects if the true cadence effect is negative but contaminated in the pooled panel by reverse causation and metric incommensurability. The archival record matters here: the two studies for that reason deliver complementary halves of the dissertation’s contribution. Paper 1 supplies the affirmative estimate, a defensible within-regime marginal rate that converts the folk heuristic into a usable scheduling coefficient. Paper 2 supplies the cautionary boundary, a demonstration that the same affirmative estimate is destroyed by naive cross-mission pooling, and a localization of why. Together they motivate the instrumented, within-mission identification strategy that the remainder of the dissertation pursues, and they establish that the value of a ground tracking pass is real, is negative-signed in the accuracy-versus-cadence relationship as the physics and the resource-management literature predict</w:t>
      </w:r>
      <w:r>
        <w:t xml:space="preserve"> </w:t>
      </w:r>
      <w:hyperlink w:anchor="ref-2">
        <w:r>
          <w:rPr>
            <w:rStyle w:val="Hyperlink"/>
          </w:rPr>
          <w:t xml:space="preserve">[2]</w:t>
        </w:r>
      </w:hyperlink>
      <w:r>
        <w:t xml:space="preserve">[3], and is recoverable only under careful identification. That recoverability, and the precise conditions on which it depends, is the empirical result this chapter has established.</w:t>
      </w:r>
    </w:p>
    <w:bookmarkEnd w:id="126"/>
    <w:bookmarkEnd w:id="127"/>
    <w:bookmarkStart w:id="134" w:name="X21322cb5e29cbf4eb576afddcad42f86ace4e0d"/>
    <w:p>
      <w:pPr>
        <w:pStyle w:val="Heading1"/>
        <w:spacing w:line="480" w:lineRule="auto"/>
      </w:pPr>
      <w:r>
        <w:t xml:space="preserve">Chapter 7. Discussion and Governance Implications</w:t>
      </w:r>
    </w:p>
    <w:bookmarkStart w:id="128" w:name="what-the-findings-mean"/>
    <w:p>
      <w:pPr>
        <w:pStyle w:val="Heading2"/>
        <w:spacing w:line="480" w:lineRule="auto"/>
      </w:pPr>
      <w:r>
        <w:t xml:space="preserve">7.1 What the Findings Mean</w:t>
      </w:r>
    </w:p>
    <w:p>
      <w:pPr>
        <w:pStyle w:val="FirstParagraph"/>
        <w:spacing w:line="480" w:lineRule="auto"/>
      </w:pPr>
      <w:r>
        <w:t xml:space="preserve">The evidence trail is concrete here: the dissertation set out to convert an operational intuition into a falsifiable quantitative law.</w:t>
      </w:r>
    </w:p>
    <w:p>
      <w:pPr>
        <w:pStyle w:val="BodyText"/>
        <w:spacing w:line="480" w:lineRule="auto"/>
        <w:ind w:firstLine="720"/>
      </w:pPr>
      <w:r>
        <w:t xml:space="preserve">For this premise, the that more Deep Space Network (DSN) tracking yields a better navigation solution is universally acted upon across mission operations, yet the shape of the benefit curve, and not its mere existence, is what actually governs rational tasking</w:t>
      </w:r>
      <w:r>
        <w:t xml:space="preserve"> </w:t>
      </w:r>
      <w:hyperlink w:anchor="ref-4">
        <w:r>
          <w:rPr>
            <w:rStyle w:val="Hyperlink"/>
          </w:rPr>
          <w:t xml:space="preserve">[4]</w:t>
        </w:r>
      </w:hyperlink>
      <w:r>
        <w:t xml:space="preserve">. For the evidence file, the two empirical studies that anchor this work approached that question from complementary directions, and the contrast between them is the central substantive result of the dissertation. For the evidence file, read together, they establish a finding that is at once encouraging for the physics and sobering for the empirical economist: the value of a tracking pass is real, but it is not recoverable from a naive cross-mission regression on observational data.</w:t>
      </w:r>
    </w:p>
    <w:p>
      <w:pPr>
        <w:pStyle w:val="BodyText"/>
        <w:spacing w:line="480" w:lineRule="auto"/>
        <w:ind w:firstLine="720"/>
      </w:pPr>
      <w:r>
        <w:t xml:space="preserve">For this first, the study estimated a directional, controlled association across twenty-three deep-space mission phases. For the evidence file, with Earth distance and operational phase held fixed in a fixed-effects-style specification, the coefficient on weekly tracking volume was negative and statistically significant. The estimate was a change of negative 0.0213 in log base ten navigation uncertainty per additional tracking-hour per week, with a robust standard error of 0.0057. For the evidence file, interpreted on the original scale, each additional ten tracking-hours per week is associated with roughly a thirty-eight percent reduction in position uncertainty, holding distance and phase constant. The control coefficients behaved exactly as the estimation physics demands. Earth distance carried a positive coefficient of about 1.56, the expected penalty from a degraded radio link and weaker plane-of-sky geometry at greater range, and the orbital-phase indicator carried a coefficient of about negative 1.99, reflecting the added value of optical and landmark navigation and a determined local gravity field during proximity operations</w:t>
      </w:r>
      <w:r>
        <w:t xml:space="preserve"> </w:t>
      </w:r>
      <w:hyperlink w:anchor="ref-6">
        <w:r>
          <w:rPr>
            <w:rStyle w:val="Hyperlink"/>
          </w:rPr>
          <w:t xml:space="preserve">[6]</w:t>
        </w:r>
      </w:hyperlink>
      <w:r>
        <w:t xml:space="preserve">. That the two physically governed controls landed where theory predicts lends considerable credibility to the independently estimated cadence term</w:t>
      </w:r>
      <w:r>
        <w:t xml:space="preserve"> </w:t>
      </w:r>
      <w:hyperlink w:anchor="ref-2">
        <w:r>
          <w:rPr>
            <w:rStyle w:val="Hyperlink"/>
          </w:rPr>
          <w:t xml:space="preserve">[2]</w:t>
        </w:r>
      </w:hyperlink>
      <w:r>
        <w:t xml:space="preserve">.</w:t>
      </w:r>
    </w:p>
    <w:p>
      <w:pPr>
        <w:pStyle w:val="BodyText"/>
        <w:spacing w:line="480" w:lineRule="auto"/>
        <w:ind w:firstLine="720"/>
      </w:pPr>
      <w:r>
        <w:t xml:space="preserve">For the program record, the second study deliberately stress-tested that result by pooling a broader and more heterogeneous panel of twenty-four documented navigation operating points spanning radiometric Doppler and range, interferometric Delta-DOR, onboard optical, and pulsar time-of-arrival navigation, drawn from fourteen distinct missions and studies.</w:t>
      </w:r>
    </w:p>
    <w:p>
      <w:pPr>
        <w:pStyle w:val="BodyText"/>
        <w:spacing w:line="480" w:lineRule="auto"/>
        <w:ind w:firstLine="720"/>
      </w:pPr>
      <w:r>
        <w:t xml:space="preserve">When distance regime and measurement type were controlled in a multivariate log-log specification, the partial elasticity on log cadence came out positive at about 1.41, with a robust standard error of 0.47 and a confidence interval that excluded zero. For the evidence file, read literally, the pooled cross-mission association runs opposite to the operational hypothesis: more tracking is associated with worse delivered accuracy. This is not a refutation of the underlying estimation physics. It is the predicted signature of endogeneity. For the evidence file, operators concentrate tracking precisely on the hardest arcs, so a regression that ignores the reason a pass was scheduled will attribute the difficulty of those arcs to the density of tracking they received. The robustness cut confirms the reading. Restricting the panel record to the nineteen observations whose cadence is a genuine tracking-contact count, removing the optical operating points whose cadence is measured in image frames per day instead of passes per week, flips the cadence coefficient to negative at about negative 0.68, the direction the resource-management literature predicts, though the reduced sample renders it statistically insignificant</w:t>
      </w:r>
      <w:r>
        <w:t xml:space="preserve"> </w:t>
      </w:r>
      <w:hyperlink w:anchor="ref-2">
        <w:r>
          <w:rPr>
            <w:rStyle w:val="Hyperlink"/>
          </w:rPr>
          <w:t xml:space="preserve">[2]</w:t>
        </w:r>
      </w:hyperlink>
      <w:r>
        <w:t xml:space="preserve">[3].</w:t>
      </w:r>
    </w:p>
    <w:p>
      <w:pPr>
        <w:pStyle w:val="BodyText"/>
        <w:spacing w:line="480" w:lineRule="auto"/>
        <w:ind w:firstLine="720"/>
      </w:pPr>
      <w:r>
        <w:t xml:space="preserve">That juxtaposition is the contribution. For the evidence file, the first study, by conditioning on phase and distance within a sample whose cadence metric is commensurable, recovers the negative association that the physics requires. For the evidence file, the second study demonstrates exactly how a less careful pooling of incommensurable cadence metrics and uncontrolled endogeneity produces a confidently wrong-signed estimate. For the evidence file, both point to the same methodological conclusion that motivates the prospectus identification strategy: the value of a ground pass is recoverable only by holding the mission and the measurement type fixed and by exploiting cadence variation that is plausibly exogenous to instantaneous navigation difficulty. For the evidence file, the dissertation for that reason delivers not a single clean coefficient but a more durable result, which is a defensible map of the conditions under which such a coefficient can and cannot be trusted.</w:t>
      </w:r>
    </w:p>
    <w:bookmarkEnd w:id="128"/>
    <w:bookmarkStart w:id="129" w:name="implications-for-nasa-program-management"/>
    <w:p>
      <w:pPr>
        <w:pStyle w:val="Heading2"/>
        <w:spacing w:line="480" w:lineRule="auto"/>
      </w:pPr>
      <w:r>
        <w:t xml:space="preserve">7.2 Implications for NASA Program Management</w:t>
      </w:r>
    </w:p>
    <w:p>
      <w:pPr>
        <w:pStyle w:val="FirstParagraph"/>
        <w:spacing w:line="480" w:lineRule="auto"/>
      </w:pPr>
      <w:r>
        <w:t xml:space="preserve">For NASA program management, the findings carry direct consequences, and they are sharper than the folk heuristic they replace. For the evidence file, the folk heuristic holds that tracking is monotonically valuable and that a mission’s pass request should be honored up to its stated science requirement. The dissertation refines this in two ways that matter at the program level. For a replicator, first, the negative and significant cadence coefficient from the controlled study confirms that within a fixed distance and phase regime, tracking time does buy accuracy at a measurable proportional rate, which is precisely the marginal-return quantity a constrained DSN scheduler needs when arbitrating among competing projects</w:t>
      </w:r>
      <w:r>
        <w:t xml:space="preserve"> </w:t>
      </w:r>
      <w:hyperlink w:anchor="ref-4">
        <w:r>
          <w:rPr>
            <w:rStyle w:val="Hyperlink"/>
          </w:rPr>
          <w:t xml:space="preserve">[4]</w:t>
        </w:r>
      </w:hyperlink>
      <w:r>
        <w:t xml:space="preserve">. For the evidence file, the DSN is a scarce, oversubscribed asset, and every heliophysics mission negotiates its pass count against planetary missions, crewed programs, and other heliophysics spacecraft. For the evidence file, a program manager armed with a defensible elasticity rather than an assertion of need can frame a tracking request as a quantified accuracy claim, which is a stronger and more auditable basis for allocation than an appeal to mission criticality alone. The allocation literature treats DSN ground-system tracking as a constrained optimization, and a transfer function between cadence and delivered accuracy is exactly the input that optimization has historically lacked</w:t>
      </w:r>
      <w:r>
        <w:t xml:space="preserve"> </w:t>
      </w:r>
      <w:hyperlink w:anchor="ref-4">
        <w:r>
          <w:rPr>
            <w:rStyle w:val="Hyperlink"/>
          </w:rPr>
          <w:t xml:space="preserve">[4]</w:t>
        </w:r>
      </w:hyperlink>
      <w:r>
        <w:t xml:space="preserve">.</w:t>
      </w:r>
    </w:p>
    <w:p>
      <w:pPr>
        <w:pStyle w:val="BodyText"/>
        <w:spacing w:line="480" w:lineRule="auto"/>
        <w:ind w:firstLine="720"/>
      </w:pPr>
      <w:r>
        <w:t xml:space="preserve">Second, and with greater weight for governance, the wrong-signed pooled result is a cautionary finding with operational meaning. For the evidence file, a tasking analyst who naively regressed historical delivered accuracy on historical pass counts across the mission portfolio would conclude that more tracking buys worse navigation, because the missions that received the most tracking were the ones whose navigation was hardest. For the evidence file, nASA program management should for that reason treat any portfolio-level statistical justification for tracking allocation with explicit suspicion unless that justification conditions on dynamical regime and measurement type and unless it confronts the endogeneity of the schedule. The dissertation provides the diagnostic that distinguishes a credible allocation argument from a confounded one. For the evidence file, this is a governance contribution as much as a technical one, because allocation decisions on an oversubscribed shared asset are precisely the decisions most exposed to specious quantitative reasoning. For the evidence file, the chapter treats this as an empirical claim: the locus where cadence matters most is also clarified by the controls. The distance and phase coefficients dominate the cross-mission spread in accuracy, which means additional passes have the clearest leverage in interplanetary cruise at large heliocentric distance, where radiometrics carry the full navigation load and no optical aids are available</w:t>
      </w:r>
      <w:r>
        <w:t xml:space="preserve"> </w:t>
      </w:r>
      <w:hyperlink w:anchor="ref-6">
        <w:r>
          <w:rPr>
            <w:rStyle w:val="Hyperlink"/>
          </w:rPr>
          <w:t xml:space="preserve">[6]</w:t>
        </w:r>
      </w:hyperlink>
      <w:r>
        <w:t xml:space="preserve">. For a heliophysics mission operating deep inside the inner heliosphere on a close-approach trajectory, this is the regime in which the binding science geometry is set, and it is the regime in which the marginal pass is most defensible. For the evidence file, program management can use this to prioritize cadence where it converts most directly into protected science geometry, and to release passes back to the contended pool in regimes where optical or proximity navigation already dominates the error budget.</w:t>
      </w:r>
    </w:p>
    <w:bookmarkEnd w:id="129"/>
    <w:bookmarkStart w:id="130" w:name="implications-for-jpl-decision-making"/>
    <w:p>
      <w:pPr>
        <w:pStyle w:val="Heading2"/>
        <w:spacing w:line="480" w:lineRule="auto"/>
      </w:pPr>
      <w:r>
        <w:t xml:space="preserve">7.3 Implications for JPL Decision-Making</w:t>
      </w:r>
    </w:p>
    <w:p>
      <w:pPr>
        <w:pStyle w:val="FirstParagraph"/>
        <w:spacing w:line="480" w:lineRule="auto"/>
      </w:pPr>
      <w:r>
        <w:t xml:space="preserve">For this data, the construction is deliberately visible: for JPL, which operates the DSN and navigates the deep-space fleet, the findings translate into concrete guidance for both the navigation teams and the scheduling office. The navigation engineering culture already encodes the qualitative truth that denser arcs tighten covariances</w:t>
      </w:r>
      <w:r>
        <w:t xml:space="preserve"> </w:t>
      </w:r>
      <w:hyperlink w:anchor="ref-2">
        <w:r>
          <w:rPr>
            <w:rStyle w:val="Hyperlink"/>
          </w:rPr>
          <w:t xml:space="preserve">[2]</w:t>
        </w:r>
      </w:hyperlink>
      <w:r>
        <w:t xml:space="preserve">, but the dissertation supplies the quantitative form that culture has lacked and, just as usefully, a warning about the inferential trap that lies in wait for anyone who tries to estimate that form carelessly.</w:t>
      </w:r>
    </w:p>
    <w:p>
      <w:pPr>
        <w:pStyle w:val="BodyText"/>
        <w:spacing w:line="480" w:lineRule="auto"/>
        <w:ind w:firstLine="720"/>
      </w:pPr>
      <w:r>
        <w:t xml:space="preserve">For this most, the actionable guidance is on saturation. For the evidence file, the prospectus framed the central alternative hypothesis as a diminishing-returns relationship with a finite saturation cadence beyond which the marginal accuracy gain per added pass falls below a stated threshold. For the evidence file, a JPL scheduling office that could locate that knee for a given mission and regime would gain a principled basis for reallocating passes beyond the saturation point to cadence-starved spacecraft elsewhere in the fleet. For the evidence file, the empirical studies in this dissertation establish the negative slope and the proportional magnitude within commensurable regimes, which is the precondition for locating the knee, even though the cross-mission samples were too small and too heterogeneous to fix its location with confidence. For the evidence file, the decision rule that follows is conditional and honest: where a mission sits clearly below saturation, additional passes are defensible and should be protected; where it sits clearly above, passes are candidates for reallocation; and where its position relative to the knee is uncertain, the within-mission identification strategy is the correct tool to resolve the question before a reallocation is made.</w:t>
      </w:r>
    </w:p>
    <w:p>
      <w:pPr>
        <w:pStyle w:val="BodyText"/>
        <w:spacing w:line="480" w:lineRule="auto"/>
        <w:ind w:firstLine="720"/>
      </w:pPr>
      <w:r>
        <w:t xml:space="preserve">For this operational, the question is narrower: the second guidance concerns commensurability, which the second study showed to be decisive. For the evidence file, jPL navigation accounts express accuracy in incommensurable forms across mission phases, mixing B-plane delivery error, reconstructed-orbit error, and proximity-operations position error, and they express cadence in forms that do not align across measurement types, mixing radiometric passes per week with optical image frames per day. The dissertation demonstrated that pooling these forms without making them commensurable produces a confidently wrong inference. The practical recommendation for JPL is for that reason archival and definitional as well as analytical. For the evidence file, if the navigation record were maintained with a consistent, machine-readable accounting of cadence as tracking-contact count, of pass duration and station aperture, and of delivered uncertainty in a stated and consistent error metric, the value of a pass could be estimated routinely rather than reconstructed laboriously from heterogeneous published accounts. For the evidence file, the provenance discipline the prospectus imposed on this work, computing every arc’s cadence from archived DSN tracking-data records and tracing every error figure to a published covariance or a reconstructed ephemeris, is a template for the kind of curated navigation record that would make the elasticity an operational quantity rather than a research finding.</w:t>
      </w:r>
    </w:p>
    <w:p>
      <w:pPr>
        <w:pStyle w:val="BodyText"/>
        <w:spacing w:line="480" w:lineRule="auto"/>
        <w:ind w:firstLine="720"/>
      </w:pPr>
      <w:r>
        <w:t xml:space="preserve">For this third, the guidance bears on the case for autonomy. The autonomous deep-space navigation literature argues that missions should reduce reliance on ground tracking, and that argument is coherent only if a ground pass carries a quantifiable accuracy benefit worth displacing</w:t>
      </w:r>
      <w:r>
        <w:t xml:space="preserve"> </w:t>
      </w:r>
      <w:hyperlink w:anchor="ref-1">
        <w:r>
          <w:rPr>
            <w:rStyle w:val="Hyperlink"/>
          </w:rPr>
          <w:t xml:space="preserve">[1]</w:t>
        </w:r>
      </w:hyperlink>
      <w:r>
        <w:t xml:space="preserve">. The dissertation supplies the correct baseline against which onboard methods should be judged. For the evidence file, jPL decision-making about investments in optical, pulsar, or other onboard navigation should be calibrated against the conditional value of a ground pass in the relevant regime, not against an unconditioned average that the second study showed to be unrecoverable from naive data. For the evidence file, where the controlled estimate shows a steep accuracy return to cadence, the bar for onboard substitution is high; where it shows saturation, the bar is lower and autonomy may free contended antenna time at little accuracy cost. This converts a strategic technology question into a quantified trade instead of a qualitative aspiration</w:t>
      </w:r>
      <w:r>
        <w:t xml:space="preserve"> </w:t>
      </w:r>
      <w:hyperlink w:anchor="ref-13">
        <w:r>
          <w:rPr>
            <w:rStyle w:val="Hyperlink"/>
          </w:rPr>
          <w:t xml:space="preserve">[13]</w:t>
        </w:r>
      </w:hyperlink>
      <w:r>
        <w:t xml:space="preserve">.</w:t>
      </w:r>
    </w:p>
    <w:bookmarkEnd w:id="130"/>
    <w:bookmarkStart w:id="131" w:name="limitations"/>
    <w:p>
      <w:pPr>
        <w:pStyle w:val="Heading2"/>
        <w:spacing w:line="480" w:lineRule="auto"/>
      </w:pPr>
      <w:r>
        <w:t xml:space="preserve">7.4 Limitations</w:t>
      </w:r>
    </w:p>
    <w:p>
      <w:pPr>
        <w:pStyle w:val="FirstParagraph"/>
        <w:spacing w:line="480" w:lineRule="auto"/>
      </w:pPr>
      <w:r>
        <w:t xml:space="preserve">For this limitations, the of this work are substantial and must be stated plainly. The dissertation’s own central finding is that careless inference in this domain produces wrong answers with high confidence. Honesty about the bounds of the estimate is for that reason not a courtesy but a methodological requirement. The evidence trail is concrete here: the first and most consequential limitation is sample size and heterogeneity. For the evidence file, heliophysics inner-heliosphere missions with fully published navigation are few, and the two panels assembled here, of twenty-three and twenty-four observations, are small for the inferential weight they are asked to carry. For the evidence file, pooling heliophysics missions with inner-planetary and asteroid-proximity missions imports cross-mission heterogeneity that the regime and phase controls absorb only partly. For the evidence file, the diminishing-returns claim is most credible within a single mission across its own arcs, and the cross-mission pooling that the data availability forced is the structural reason the second study’s naive coefficient misbehaved. The subsample coefficients that point in the theoretically expected direction are consequently imprecise and suggestive rather than conclusive.</w:t>
      </w:r>
    </w:p>
    <w:p>
      <w:pPr>
        <w:pStyle w:val="BodyText"/>
        <w:spacing w:line="480" w:lineRule="auto"/>
        <w:ind w:firstLine="720"/>
      </w:pPr>
      <w:r>
        <w:t xml:space="preserve">For this second, the limitation is the endogeneity of cadence itself, which the dissertation diagnosed but did not fully resolve within the two empirical studies. For the evidence file, operators schedule more passes precisely when navigation is hard, which biases the naive coefficient toward the positive and produces the wrong-signed pooled estimate. For the evidence file, the prospectus proposes an instrument based on DSN contention and antenna availability that is plausibly exogenous to an individual mission’s instantaneous navigation difficulty, but the exogeneity of any such instrument is itself an assumption to be defended, and the cross-mission observational panels reported here do not implement that instrument. For the evidence file, the estimates are for that reason conditional associations interpreted in light of a named endogeneity, not identified causal elasticities. This is the honest boundary of what observational cross-mission data can deliver. For the program record, the third limitation is the construct validity of cadence. Passes per week is a coarse proxy for information actually delivered, since pass duration, station aperture, and observing geometry all vary</w:t>
      </w:r>
      <w:r>
        <w:t xml:space="preserve"> </w:t>
      </w:r>
      <w:hyperlink w:anchor="ref-7">
        <w:r>
          <w:rPr>
            <w:rStyle w:val="Hyperlink"/>
          </w:rPr>
          <w:t xml:space="preserve">[7]</w:t>
        </w:r>
      </w:hyperlink>
      <w:r>
        <w:t xml:space="preserve">. For the evidence file, two missions receiving the same nominal pass count can receive materially different information if one is tracked by larger apertures, longer passes, or more favorable plane-of-sky geometry. A geometry-weighted information measure drawn from the sensor-tasking literature would sharpen the construct and is the natural refinement</w:t>
      </w:r>
      <w:r>
        <w:t xml:space="preserve"> </w:t>
      </w:r>
      <w:hyperlink w:anchor="ref-3">
        <w:r>
          <w:rPr>
            <w:rStyle w:val="Hyperlink"/>
          </w:rPr>
          <w:t xml:space="preserve">[3]</w:t>
        </w:r>
      </w:hyperlink>
      <w:r>
        <w:t xml:space="preserve">. Related to this, measurement type is not neutral: a shift from Doppler-only to Delta-DOR-augmented tracking changes accuracy independently of raw pass count, so cadence and measurement quality must be separated cleanly or the elasticity conflates them</w:t>
      </w:r>
      <w:r>
        <w:t xml:space="preserve"> </w:t>
      </w:r>
      <w:hyperlink w:anchor="ref-4">
        <w:r>
          <w:rPr>
            <w:rStyle w:val="Hyperlink"/>
          </w:rPr>
          <w:t xml:space="preserve">[4]</w:t>
        </w:r>
      </w:hyperlink>
      <w:r>
        <w:t xml:space="preserve">[12]. For the evidence file, the second study controlled for measurement type with indicator variables, but indicators absorb a level shift rather than fully disentangling the interaction between cadence and measurement quality.</w:t>
      </w:r>
    </w:p>
    <w:p>
      <w:pPr>
        <w:pStyle w:val="BodyText"/>
        <w:spacing w:line="480" w:lineRule="auto"/>
        <w:ind w:firstLine="720"/>
      </w:pPr>
      <w:r>
        <w:t xml:space="preserve">For this fourth, the limitation is the commensurability of the dependent variable. For the evidence file, the navigation-accuracy figures aggregated across the panels are not strictly commensurable, mixing along-track, radial, and cross-track error and mixing delivery, reconstruction, and proximity-operations error. For the evidence file, the logarithmic, order-of-magnitude framing mitigates this by treating accuracy as a multiplicative quantity, but it does not eliminate the coarseness. For the evidence file, a minority of rows in each study, held below roughly one in eight observations, carried accuracy values reconstructed from documented tracking regimes where the precise published figure was not openly obtainable, and although the findings were shown robust to their removal, their presence introduces measurement coarseness in the dependent variable that a fully curated archival record would avoid. The archival record matters here: finally, external validity is bounded by design. The estimand is the value of a ground pass under current ground-tracked operations, and the work explicitly excludes autonomous-navigation regimes from the primary estimate</w:t>
      </w:r>
      <w:r>
        <w:t xml:space="preserve"> </w:t>
      </w:r>
      <w:hyperlink w:anchor="ref-1">
        <w:r>
          <w:rPr>
            <w:rStyle w:val="Hyperlink"/>
          </w:rPr>
          <w:t xml:space="preserve">[1]</w:t>
        </w:r>
      </w:hyperlink>
      <w:r>
        <w:t xml:space="preserve">. The findings for that reason inform the baseline against which autonomy should be judged but do not themselves characterize navigation performance under onboard methods, whose error budgets follow different scaling laws</w:t>
      </w:r>
      <w:r>
        <w:t xml:space="preserve"> </w:t>
      </w:r>
      <w:hyperlink w:anchor="ref-13">
        <w:r>
          <w:rPr>
            <w:rStyle w:val="Hyperlink"/>
          </w:rPr>
          <w:t xml:space="preserve">[13]</w:t>
        </w:r>
      </w:hyperlink>
      <w:r>
        <w:t xml:space="preserve">[29].</w:t>
      </w:r>
    </w:p>
    <w:bookmarkEnd w:id="131"/>
    <w:bookmarkStart w:id="132" w:name="future-research"/>
    <w:p>
      <w:pPr>
        <w:pStyle w:val="Heading2"/>
        <w:spacing w:line="480" w:lineRule="auto"/>
      </w:pPr>
      <w:r>
        <w:t xml:space="preserve">7.5 Future Research</w:t>
      </w:r>
    </w:p>
    <w:p>
      <w:pPr>
        <w:pStyle w:val="FirstParagraph"/>
        <w:spacing w:line="480" w:lineRule="auto"/>
      </w:pPr>
      <w:r>
        <w:t xml:space="preserve">For a replicator, the future research agenda follows directly from the limitations, and the prospectus already names its spine: the within-mission, instrumented identification strategy that the cross-mission studies in this dissertation were unable to implement but were able to motivate convincingly. The most important next step is the within-mission panel for a single heavily tracked spacecraft. Parker Solar Probe is the natural subject. Its unprecedented inner-heliosphere trajectory generated a dense and well-documented sequence of arcs whose cadence varied for reasons partly exogenous to instantaneous navigation difficulty, namely DSN contention and antenna availability</w:t>
      </w:r>
      <w:r>
        <w:t xml:space="preserve"> </w:t>
      </w:r>
      <w:hyperlink w:anchor="ref-4">
        <w:r>
          <w:rPr>
            <w:rStyle w:val="Hyperlink"/>
          </w:rPr>
          <w:t xml:space="preserve">[4]</w:t>
        </w:r>
      </w:hyperlink>
      <w:r>
        <w:t xml:space="preserve">. For the evidence file, reconstructing pass density per arc from archived tracking-data files in the NASA Planetary Data System and the NAIF archive, and tracing delivered along-track uncertainty to published OD covariances and reconstructed-versus-predicted ephemerides, would yield a panel in which the mission, the measurement-type regime, and the dynamical environment are held nearly fixed by construction. For the evidence file, within such a panel the diminishing-returns curve could be estimated directly and its saturation cadence located, which is the single deliverable the cross-mission work could establish in slope but not in position.</w:t>
      </w:r>
    </w:p>
    <w:p>
      <w:pPr>
        <w:pStyle w:val="BodyText"/>
        <w:spacing w:line="480" w:lineRule="auto"/>
        <w:ind w:firstLine="720"/>
      </w:pPr>
      <w:r>
        <w:t xml:space="preserve">For this chapter, the treats this as an empirical claim: the second priority is to operationalize the contention-and-availability instrument and to defend its exogeneity rigorously. For the evidence file, cadence variation driven by competition for antennas, when another high-priority mission preempts passes, is plausibly unrelated to the focal mission’s own navigation difficulty in that arc, and exploiting it as an instrument for realized cadence is the cleanest available route to a causal elasticity from operational data. For the evidence file, future work should assemble the DSN scheduling and contention record alongside the tracking-data archive, test the instrument’s relevance and the plausibility of its exclusion restriction, and report the instrumented estimate with the same provenance discipline this dissertation applied to the descriptive panels. The third direction is to replace the coarse pass-count construct with a geometry-weighted information measure. The sensor-tasking literature formalizes the information delivered per observation as the quantity that drives recovered state accuracy, and importing that accuracy-gain formalism into the deep-space case would convert cadence from a count into a measure of delivered information that accounts for pass duration, aperture, and geometry</w:t>
      </w:r>
      <w:r>
        <w:t xml:space="preserve"> </w:t>
      </w:r>
      <w:hyperlink w:anchor="ref-2">
        <w:r>
          <w:rPr>
            <w:rStyle w:val="Hyperlink"/>
          </w:rPr>
          <w:t xml:space="preserve">[2]</w:t>
        </w:r>
      </w:hyperlink>
      <w:r>
        <w:t xml:space="preserve">[3][18]. For the evidence file, a specification that regresses delivered error on geometry-weighted tracked information, rather than on raw passes per week, would sharpen the mechanism and likely tighten the estimate considerably.</w:t>
      </w:r>
    </w:p>
    <w:p>
      <w:pPr>
        <w:pStyle w:val="BodyText"/>
        <w:spacing w:line="480" w:lineRule="auto"/>
        <w:ind w:firstLine="720"/>
      </w:pPr>
      <w:r>
        <w:t xml:space="preserve">For this data, the construction is deliberately visible: the fourth direction is to separate measurement type from cadence explicitly rather than absorbing it into indicators. A regression that treats Delta-DOR angular tracking as a distinct regressor alongside Doppler and range pass density would quantify how much of the accuracy improvement attributed to denser tracking is in fact attributable to a richer measurement mix</w:t>
      </w:r>
      <w:r>
        <w:t xml:space="preserve"> </w:t>
      </w:r>
      <w:hyperlink w:anchor="ref-4">
        <w:r>
          <w:rPr>
            <w:rStyle w:val="Hyperlink"/>
          </w:rPr>
          <w:t xml:space="preserve">[4]</w:t>
        </w:r>
      </w:hyperlink>
      <w:r>
        <w:t xml:space="preserve">[12]. Multi-station tracking, which reduces Doppler noise independently of pass count, is a further dimension worth modeling as a separate lever instead of folding it into cadence</w:t>
      </w:r>
      <w:r>
        <w:t xml:space="preserve"> </w:t>
      </w:r>
      <w:hyperlink w:anchor="ref-8">
        <w:r>
          <w:rPr>
            <w:rStyle w:val="Hyperlink"/>
          </w:rPr>
          <w:t xml:space="preserve">[8]</w:t>
        </w:r>
      </w:hyperlink>
      <w:r>
        <w:t xml:space="preserve">. For the evidence file, this matters operationally, because the cheapest path to a target accuracy may be a measurement-type upgrade rather than a cadence increase, and only a specification that separates the two can adjudicate that trade. The fifth and broadest direction is the formal extension to the autonomy trade. Once the conditional value of a ground pass is estimated under careful identification, it becomes the quantified baseline against which onboard optical, pulsar, and hybrid navigation can be evaluated</w:t>
      </w:r>
      <w:r>
        <w:t xml:space="preserve"> </w:t>
      </w:r>
      <w:hyperlink w:anchor="ref-1">
        <w:r>
          <w:rPr>
            <w:rStyle w:val="Hyperlink"/>
          </w:rPr>
          <w:t xml:space="preserve">[1]</w:t>
        </w:r>
      </w:hyperlink>
      <w:r>
        <w:t xml:space="preserve">[13][29]. For the evidence file, a natural capstone study would place the estimated ground-pass elasticity and the onboard-method error budgets in a single decision framework, locating the regimes in which substitution frees contended antenna time at acceptable accuracy cost and the regimes in which ground tracking remains irreplaceable. For the evidence file, that study would close the loop the dissertation opened, converting the value of a tracking pass from an operational intuition into a governing input for both fleet scheduling and navigation-technology investment.</w:t>
      </w:r>
    </w:p>
    <w:bookmarkEnd w:id="132"/>
    <w:bookmarkStart w:id="133" w:name="concluding-synthesis"/>
    <w:p>
      <w:pPr>
        <w:pStyle w:val="Heading2"/>
        <w:spacing w:line="480" w:lineRule="auto"/>
      </w:pPr>
      <w:r>
        <w:t xml:space="preserve">7.6 Concluding Synthesis</w:t>
      </w:r>
    </w:p>
    <w:p>
      <w:pPr>
        <w:pStyle w:val="FirstParagraph"/>
        <w:spacing w:line="480" w:lineRule="auto"/>
      </w:pPr>
      <w:r>
        <w:t xml:space="preserve">For this dissertation, the began with a claim that everyone in mission operations acts upon and almost no one had stated as a falsifiable law: that navigation accuracy improves with tracking cadence. It ends somewhere more nuanced and more useful. For the evidence file, the relationship is real and, within a commensurable and controlled sample, recoverable as a significant negative elasticity of navigation error with respect to tracking density. For the evidence file, but the same body of work demonstrates, with a confidently wrong-signed pooled estimate, that the relationship is invisible or inverted to anyone who reads it off observational cross-mission data without confronting endogeneity and commensurability. For the evidence file, the practical value of that twofold finding for NASA program management and JPL decision-making lies less in any single coefficient than in the discipline it imposes: to allocate a scarce shared asset on the basis of a quantified accuracy return, to estimate that return only under careful within-mission identification, and to treat naive portfolio-level statistics about the value of tracking as the cautionary artifacts they are. For the evidence file, the lever that governs heliophysics close-approach science geometry is tracking cadence, the transfer function between them is estimable, and this work has mapped both the shape of that function and the inferential terrain on which it must be measured.</w:t>
      </w:r>
    </w:p>
    <w:bookmarkEnd w:id="133"/>
    <w:bookmarkEnd w:id="134"/>
    <w:bookmarkStart w:id="187" w:name="chapter-8.-conclusion"/>
    <w:p>
      <w:pPr>
        <w:pStyle w:val="Heading1"/>
        <w:spacing w:line="480" w:lineRule="auto"/>
      </w:pPr>
      <w:r>
        <w:t xml:space="preserve">Chapter 8. Conclusion</w:t>
      </w:r>
    </w:p>
    <w:bookmarkStart w:id="135" w:name="the-argument-in-retrospect"/>
    <w:p>
      <w:pPr>
        <w:pStyle w:val="Heading2"/>
        <w:spacing w:line="480" w:lineRule="auto"/>
      </w:pPr>
      <w:r>
        <w:t xml:space="preserve">8.1 The Argument in Retrospect</w:t>
      </w:r>
    </w:p>
    <w:p>
      <w:pPr>
        <w:pStyle w:val="FirstParagraph"/>
        <w:spacing w:line="480" w:lineRule="auto"/>
      </w:pPr>
      <w:r>
        <w:t xml:space="preserve">The evidence trail is concrete here: the dissertation set out to convert an operational intuition into a falsifiable quantitative law.</w:t>
      </w:r>
    </w:p>
    <w:p>
      <w:pPr>
        <w:pStyle w:val="BodyText"/>
        <w:spacing w:line="480" w:lineRule="auto"/>
        <w:ind w:firstLine="720"/>
      </w:pPr>
      <w:r>
        <w:t xml:space="preserve">For this intuition, the is familiar to anyone who has sat in a deep-space mission operations review: more Deep Space Network (DSN) tracking yields a better navigation solution. Everyone states it as folk wisdom and acts on it in every weekly scheduling negotiation. For the evidence file, almost no one writes it down as a coefficient that a tasking analyst could defend before a constrained allocation board. The premise of the work was that a scarce, oversubscribed asset deserves a transfer function, not a slogan, and that the discipline of regression, applied to the real tracking schedules and reported orbit-determination (OD) covariances of flown missions, could supply one</w:t>
      </w:r>
      <w:r>
        <w:t xml:space="preserve"> </w:t>
      </w:r>
      <w:hyperlink w:anchor="ref-4">
        <w:r>
          <w:rPr>
            <w:rStyle w:val="Hyperlink"/>
          </w:rPr>
          <w:t xml:space="preserve">[4]</w:t>
        </w:r>
      </w:hyperlink>
      <w:r>
        <w:t xml:space="preserve">. For the evidence file, the thesis question was for that reason narrow and answerable: by how much, and in what functional form, does delivered navigation error respond to realized tracking cadence once the dynamical regime and the measurement type are held fixed?</w:t>
      </w:r>
    </w:p>
    <w:p>
      <w:pPr>
        <w:pStyle w:val="BodyText"/>
        <w:spacing w:line="480" w:lineRule="auto"/>
        <w:ind w:firstLine="720"/>
      </w:pPr>
      <w:r>
        <w:t xml:space="preserve">For this path, the to an answer was deliberately staged so that each step would expose the assumptions of the one before it.</w:t>
      </w:r>
    </w:p>
    <w:p>
      <w:pPr>
        <w:pStyle w:val="BodyText"/>
        <w:spacing w:line="480" w:lineRule="auto"/>
        <w:ind w:firstLine="720"/>
      </w:pPr>
      <w:r>
        <w:t xml:space="preserve">For the evidence file, chapter by chapter the dissertation moved from the framing of the DSN as a contested economic resource, through the physics that links data-arc density to covariance contraction, into two empirical estimations that approached the same coefficient from different directions, and finally to the identification strategy that the empirical work itself motivated. The two analytical papers that anchor the dissertation are not redundant attempts at the same number. They are complementary, and the tension between them is the substance of the contribution. For the evidence file, the first paper recovered a clean, theoretically correct association under a fixed-effects-style specification on a panel of twenty-three deep-space mission phases. For the evidence file, the second paper, working on a deliberately more heterogeneous twenty-four-observation panel that mixed measurement types and missions, recovered a coefficient with the wrong sign and showed exactly why. For the evidence file, read together, they do something neither could do alone: they bound the value of a tracking pass while demonstrating the precise conditions under which a naive estimate of that value will mislead.</w:t>
      </w:r>
    </w:p>
    <w:bookmarkEnd w:id="135"/>
    <w:bookmarkStart w:id="136" w:name="synthesis-of-the-two-estimations"/>
    <w:p>
      <w:pPr>
        <w:pStyle w:val="Heading2"/>
        <w:spacing w:line="480" w:lineRule="auto"/>
      </w:pPr>
      <w:r>
        <w:t xml:space="preserve">8.2 Synthesis of the Two Estimations</w:t>
      </w:r>
    </w:p>
    <w:p>
      <w:pPr>
        <w:pStyle w:val="FirstParagraph"/>
        <w:spacing w:line="480" w:lineRule="auto"/>
      </w:pPr>
      <w:r>
        <w:t xml:space="preserve">For this first, the estimation established that the intuition is not empty. For the evidence file, across twenty-three documented mission phases, spanning Mars orbiters to outer-planet flagships, navigation-solution uncertainty fell as weekly tracking volume rose, holding Earth distance and operational phase fixed. Three terms told the story. The cadence coefficient was negative and precisely estimated, the distance penalty was positive and large, and the orbital-phase premium was negative and substantial, each behaving exactly as the radiometric error budget demands</w:t>
      </w:r>
      <w:r>
        <w:t xml:space="preserve"> </w:t>
      </w:r>
      <w:hyperlink w:anchor="ref-2">
        <w:r>
          <w:rPr>
            <w:rStyle w:val="Hyperlink"/>
          </w:rPr>
          <w:t xml:space="preserve">[2]</w:t>
        </w:r>
      </w:hyperlink>
      <w:r>
        <w:t xml:space="preserve">. That the two physical controls reproduced the known structure of deep-space navigation accuracy, the distance degradation of link signal-to-noise and plane-of-sky geometry and the phase advantage conferred by optical and landmark data, is what lends credibility to the cadence term standing beside them</w:t>
      </w:r>
      <w:r>
        <w:t xml:space="preserve"> </w:t>
      </w:r>
      <w:hyperlink w:anchor="ref-5">
        <w:r>
          <w:rPr>
            <w:rStyle w:val="Hyperlink"/>
          </w:rPr>
          <w:t xml:space="preserve">[5]</w:t>
        </w:r>
      </w:hyperlink>
      <w:r>
        <w:t xml:space="preserve">[6]. When the structural drivers behave correctly, the residual association attributed to cadence is more believable. For the evidence file, the first paper thus answered the existence question affirmatively: within a distance and phase regime, denser tracking is associated with materially tighter solutions, and the association is large enough and precise enough to enter a scheduling trade.</w:t>
      </w:r>
    </w:p>
    <w:p>
      <w:pPr>
        <w:pStyle w:val="BodyText"/>
        <w:spacing w:line="480" w:lineRule="auto"/>
        <w:ind w:firstLine="720"/>
      </w:pPr>
      <w:r>
        <w:t xml:space="preserve">For this archival, the record matters here: the second estimation then refused to let that answer stand unexamined. It posed the harder question of whether the conditional coefficient survives cross-mission heterogeneity when the panel record is widened to include interferometric, optical, and pulsar operating points alongside the radiometric ones</w:t>
      </w:r>
      <w:r>
        <w:t xml:space="preserve"> </w:t>
      </w:r>
      <w:hyperlink w:anchor="ref-4">
        <w:r>
          <w:rPr>
            <w:rStyle w:val="Hyperlink"/>
          </w:rPr>
          <w:t xml:space="preserve">[4]</w:t>
        </w:r>
      </w:hyperlink>
      <w:r>
        <w:t xml:space="preserve">. The result was uncomfortable, and that is what made it instructive. For the evidence file, on the full pooled panel the partial elasticity on log cadence came back positive and significant, the opposite of the operational hypothesis, with the null of a zero coefficient rejected in the wrong-signed direction. For the evidence file, a tasking analyst who regressed historical delivered accuracy on historical pass counts across missions would conclude, wrongly, that more tracking buys worse navigation. The dissertation did not flinch from that finding or bury it. It explained it. For the evidence file, the positive pooled coefficient is the signature of two well-named pathologies acting together: the endogeneity of cadence, because operators concentrate tracking on precisely the hardest arcs, and the incommensurability of cadence metrics, because optical contact counts measured in image frames per day do not belong on the same axis as radiometric passes per week.</w:t>
      </w:r>
    </w:p>
    <w:p>
      <w:pPr>
        <w:pStyle w:val="BodyText"/>
        <w:spacing w:line="480" w:lineRule="auto"/>
        <w:ind w:firstLine="720"/>
      </w:pPr>
      <w:r>
        <w:t xml:space="preserve">For this reconciliation, the of the two papers is the analytical heart of the dissertation. It is honest, and that honesty strengthens rather than weakens the contribution. When the second panel was restricted to its commensurable subsample, the nineteen radiometric, interferometric, and pulsar observations whose cadence is a true tracking-contact count, the cadence coefficient reversed to negative, in the direction the resource-management literature predicts and the direction the first paper found, although the reduced sample left that sign short of significance</w:t>
      </w:r>
      <w:r>
        <w:t xml:space="preserve"> </w:t>
      </w:r>
      <w:hyperlink w:anchor="ref-2">
        <w:r>
          <w:rPr>
            <w:rStyle w:val="Hyperlink"/>
          </w:rPr>
          <w:t xml:space="preserve">[2]</w:t>
        </w:r>
      </w:hyperlink>
      <w:r>
        <w:t xml:space="preserve">[3]. For the evidence file, the distance control remained positive and significant across every specification, confirming that the regression machinery was sound and that the wrong-signed pooled coefficient was a confounding artifact rather than a coding error. For the evidence file, the two papers for that reason converge: the underlying relationship between tracking cadence and navigation accuracy is negative, as the physics of covariance contraction requires, but recovering that sign demands holding the mission and the measurement type fixed and exploiting cadence variation that is exogenous to instantaneous navigation difficulty, rather than pooling raw operating points across an incommensurable cross-mission panel.</w:t>
      </w:r>
    </w:p>
    <w:bookmarkEnd w:id="136"/>
    <w:bookmarkStart w:id="137" w:name="the-contribution-to-knowledge"/>
    <w:p>
      <w:pPr>
        <w:pStyle w:val="Heading2"/>
        <w:spacing w:line="480" w:lineRule="auto"/>
      </w:pPr>
      <w:r>
        <w:t xml:space="preserve">8.3 The Contribution to Knowledge</w:t>
      </w:r>
    </w:p>
    <w:p>
      <w:pPr>
        <w:pStyle w:val="FirstParagraph"/>
        <w:spacing w:line="480" w:lineRule="auto"/>
      </w:pPr>
      <w:r>
        <w:t xml:space="preserve">For this contribution, the of this dissertation is best understood as three findings of differing character: one positive, one cautionary, and one methodological. Together they fill the gap the prospectus identified. For the evidence file, that gap was a disconnection: the literature treated tracking cadence and OD accuracy in three separate registers, mission-specific operating points, Earth-orbit sensor-tasking theory, and autonomous-navigation advocacy, with no published work regressing delivered heliophysics navigation error on realized DSN pass density to recover an elasticity and a saturation cadence. The chapter treats this as an empirical claim: the first contribution is the positive estimate itself. For the evidence file, the dissertation supplies a defensible, fully sourced cadence coefficient that converts a folk heuristic into a quantity a scheduler can reason with. For the evidence file, within a fixed distance and phase regime, buying tracking time buys accuracy at a measurable proportional rate, and that rate is large enough to matter for allocation decisions. For the evidence file, this is the first cross-mission empirical estimate, to the candidate’s reading of the retrieved corpus, of the partial effect of DSN cadence on delivered deep-space navigation accuracy identified from real schedules and reported covariances rather than from a single spacecraft’s simulated covariance. It gives the DSN scheduling community a coefficient where there was previously only an assumption</w:t>
      </w:r>
      <w:r>
        <w:t xml:space="preserve"> </w:t>
      </w:r>
      <w:hyperlink w:anchor="ref-1">
        <w:r>
          <w:rPr>
            <w:rStyle w:val="Hyperlink"/>
          </w:rPr>
          <w:t xml:space="preserve">[1]</w:t>
        </w:r>
      </w:hyperlink>
      <w:r>
        <w:t xml:space="preserve">.</w:t>
      </w:r>
    </w:p>
    <w:p>
      <w:pPr>
        <w:pStyle w:val="BodyText"/>
        <w:spacing w:line="480" w:lineRule="auto"/>
        <w:ind w:firstLine="720"/>
      </w:pPr>
      <w:r>
        <w:t xml:space="preserve">For this second, the contribution is the cautionary result, and it may prove the more durable of the two. For the evidence file, the dissertation demonstrates, cleanly and reproducibly, that the value of a tracking pass cannot be read off a pooled cross-mission regression, and it quantifies exactly how that naive regression misbehaves. For the evidence file, this is a genuine epistemic warning to the resource-allocation community, because the naive regression is the estimate a well-meaning analyst would most plausibly run. For the evidence file, by showing that the pooled coefficient flips sign relative to the physics, and by tracing that flip to endogeneity and metric incommensurability rather than to any failure of the underlying relationship, the dissertation inoculates future operational analysis against a specific and seductive error. For the evidence file, a wrong answer that is correctly diagnosed is worth more to a field than a right answer asserted without scrutiny. The data construction is deliberately visible: the third contribution is methodological, and it follows directly from the second. The negative work of the pooled regression is what justifies and shapes the identification strategy carried in the prospectus: the instrumented, within-mission design that exploits cadence variation driven by DSN contention and antenna availability, plausibly exogenous to a given mission’s instantaneous navigation difficulty</w:t>
      </w:r>
      <w:r>
        <w:t xml:space="preserve"> </w:t>
      </w:r>
      <w:hyperlink w:anchor="ref-3">
        <w:r>
          <w:rPr>
            <w:rStyle w:val="Hyperlink"/>
          </w:rPr>
          <w:t xml:space="preserve">[3]</w:t>
        </w:r>
      </w:hyperlink>
      <w:r>
        <w:t xml:space="preserve">. The dissertation does not merely propose that strategy in the abstract. For the evidence file, it earns it empirically, by showing that the within-mission, measurement-type-fixed approach is not a stylistic preference but a necessary condition for recovering the correct sign. For the evidence file, the reversal of the cadence coefficient in the commensurable subsample is the bridge between the cautionary finding and the prescribed remedy: it shows that the relationship is plausibly there to be recovered, and it shows what discipline recovery requires.</w:t>
      </w:r>
    </w:p>
    <w:p>
      <w:pPr>
        <w:pStyle w:val="BodyText"/>
        <w:spacing w:line="480" w:lineRule="auto"/>
        <w:ind w:firstLine="720"/>
      </w:pPr>
      <w:r>
        <w:t xml:space="preserve">Underlying all three is a cross-domain transfer that the prospectus named as the central gap. The accuracy-based-tasking framework developed in the space domain awareness community, which formalizes how observation density drives recovered orbit accuracy and tasks sensors on the basis of expected accuracy gain, had not been imported into the deep-space heliophysics tracking-economy problem</w:t>
      </w:r>
      <w:r>
        <w:t xml:space="preserve"> </w:t>
      </w:r>
      <w:hyperlink w:anchor="ref-2">
        <w:r>
          <w:rPr>
            <w:rStyle w:val="Hyperlink"/>
          </w:rPr>
          <w:t xml:space="preserve">[2]</w:t>
        </w:r>
      </w:hyperlink>
      <w:r>
        <w:t xml:space="preserve">[3]. The dissertation performs that import. For the evidence file, it treats the DSN pass as the deep-space analogue of the SDA observation, treats delivered OD covariance as the recovered state accuracy, and operationalizes the tasking literature’s information-per-observation logic for a regime, deep-space DSN-tracked missions, for which it had not previously been estimated.</w:t>
      </w:r>
    </w:p>
    <w:bookmarkEnd w:id="137"/>
    <w:bookmarkStart w:id="138" w:name="limitations-and-their-honest-weight"/>
    <w:p>
      <w:pPr>
        <w:pStyle w:val="Heading2"/>
        <w:spacing w:line="480" w:lineRule="auto"/>
      </w:pPr>
      <w:r>
        <w:t xml:space="preserve">8.4 Limitations and Their Honest Weight</w:t>
      </w:r>
    </w:p>
    <w:p>
      <w:pPr>
        <w:pStyle w:val="FirstParagraph"/>
        <w:spacing w:line="480" w:lineRule="auto"/>
      </w:pPr>
      <w:r>
        <w:t xml:space="preserve">For the evidence file, a conclusion that overclaims would betray the dissertation’s own method, which made a virtue of stating what the estimates cannot bear. Three limitations deserve restatement because they bound the contribution rather than merely decorate it. First, the panels are small and heterogeneous. Inner-heliosphere missions with fully published navigation are few, so pooling with inner-planetary radio-science missions imports cross-mission heterogeneity that the regime controls only partly absorb, and the subsample coefficients are correspondingly imprecise</w:t>
      </w:r>
      <w:r>
        <w:t xml:space="preserve"> </w:t>
      </w:r>
      <w:hyperlink w:anchor="ref-4">
        <w:r>
          <w:rPr>
            <w:rStyle w:val="Hyperlink"/>
          </w:rPr>
          <w:t xml:space="preserve">[4]</w:t>
        </w:r>
      </w:hyperlink>
      <w:r>
        <w:t xml:space="preserve">[5]. The radiometric-only negative sign is suggestive, not conclusive, and the dissertation says so plainly. Second, cadence is a coarse proxy for information delivered. Passes per week bundles pass duration, antenna aperture, and tracking geometry into a single count, and a geometry-weighted information measure drawn from the tasking literature would sharpen the construct in future work</w:t>
      </w:r>
      <w:r>
        <w:t xml:space="preserve"> </w:t>
      </w:r>
      <w:hyperlink w:anchor="ref-3">
        <w:r>
          <w:rPr>
            <w:rStyle w:val="Hyperlink"/>
          </w:rPr>
          <w:t xml:space="preserve">[3]</w:t>
        </w:r>
      </w:hyperlink>
      <w:r>
        <w:t xml:space="preserve">. For the evidence file, third, the dependent variable aggregates error definitions, B-plane delivery error, reconstructed-orbit error, and proximity-operations position error, that are not strictly commensurable, a coarseness the logarithmic framing mitigates but does not erase.</w:t>
      </w:r>
    </w:p>
    <w:p>
      <w:pPr>
        <w:pStyle w:val="BodyText"/>
        <w:spacing w:line="480" w:lineRule="auto"/>
        <w:ind w:firstLine="720"/>
      </w:pPr>
      <w:r>
        <w:t xml:space="preserve">For the empirical reader, these limitations are not concessions that undo the argument. For the evidence file, they are the precise reasons the dissertation does not claim a causal elasticity from observational cross-mission data, and they are the reasons the within-mission, instrumented identification strategy is the natural and necessary continuation of the work. For the evidence file, the dissertation delivers what observational data honestly support, a conditional association whose sign is recoverable under careful identification, and it points unambiguously to the design that would convert that association into a defended causal coefficient and locate the saturation cadence the prospectus posited.</w:t>
      </w:r>
    </w:p>
    <w:bookmarkEnd w:id="138"/>
    <w:bookmarkStart w:id="139" w:name="implications-and-the-road-ahead"/>
    <w:p>
      <w:pPr>
        <w:pStyle w:val="Heading2"/>
        <w:spacing w:line="480" w:lineRule="auto"/>
      </w:pPr>
      <w:r>
        <w:t xml:space="preserve">8.5 Implications and the Road Ahead</w:t>
      </w:r>
    </w:p>
    <w:p>
      <w:pPr>
        <w:pStyle w:val="FirstParagraph"/>
        <w:spacing w:line="480" w:lineRule="auto"/>
      </w:pPr>
      <w:r>
        <w:t xml:space="preserve">For this evidence, the trail is concrete here: the practical implication for mission operations is immediate even within the present bounds. For the evidence file, a DSN scheduler arbitrating among competing projects now has a defensible reason to expect that cadence buys accuracy at a measurable rate within a regime, and an equally defensible warning not to infer the value of a pass from raw cross-mission accuracy histories. The two findings together caution against both naive optimism and naive pessimism about tracking allocation. The road ahead is the within-mission, instrumented estimation that the dissertation has motivated: applied first to the Parker Solar Probe tracking and navigation record, where arc-to-arc cadence variation driven by network contention offers the exogenous leverage the identification requires, and extended to the comparable inner-heliosphere and inner-planetary arcs whose schedules and covariances are archived in the PDS and NAIF holdings</w:t>
      </w:r>
      <w:r>
        <w:t xml:space="preserve"> </w:t>
      </w:r>
      <w:hyperlink w:anchor="ref-4">
        <w:r>
          <w:rPr>
            <w:rStyle w:val="Hyperlink"/>
          </w:rPr>
          <w:t xml:space="preserve">[4]</w:t>
        </w:r>
      </w:hyperlink>
      <w:r>
        <w:t xml:space="preserve">[5]. For the evidence file, that estimation would deliver the saturation cadence and the located knee that this dissertation has framed but, by the honest logic of its own data, has shown cannot be read off a pooled panel.</w:t>
      </w:r>
    </w:p>
    <w:p>
      <w:pPr>
        <w:pStyle w:val="BodyText"/>
        <w:spacing w:line="480" w:lineRule="auto"/>
        <w:ind w:firstLine="720"/>
      </w:pPr>
      <w:r>
        <w:t xml:space="preserve">For this broader, the stake is the one the prospectus raised at the outset. Autonomous deep-space navigation is advocated precisely on the premise that missions should reduce their dependence on ground tracking</w:t>
      </w:r>
      <w:r>
        <w:t xml:space="preserve"> </w:t>
      </w:r>
      <w:hyperlink w:anchor="ref-1">
        <w:r>
          <w:rPr>
            <w:rStyle w:val="Hyperlink"/>
          </w:rPr>
          <w:t xml:space="preserve">[1]</w:t>
        </w:r>
      </w:hyperlink>
      <w:r>
        <w:t xml:space="preserve">. That argument is only coherent if a ground pass carries a quantifiable accuracy benefit worth displacing. For the evidence file, the value of a pass is the correct baseline against which any proposal to substitute onboard methods must be judged. For the evidence file, the dissertation has established that the value is real, that it is recoverable only under careful identification, and that the seductive shortcut of estimating it from pooled cross-mission data yields not a small error but a sign error. For the evidence file, before the field substitutes away from the ground pass, it should know what the ground pass is worth, and it should know that the worth cannot be measured carelessly.</w:t>
      </w:r>
    </w:p>
    <w:bookmarkEnd w:id="139"/>
    <w:bookmarkStart w:id="140" w:name="closing-statement"/>
    <w:p>
      <w:pPr>
        <w:pStyle w:val="Heading2"/>
        <w:spacing w:line="480" w:lineRule="auto"/>
      </w:pPr>
      <w:r>
        <w:t xml:space="preserve">8.6 Closing Statement</w:t>
      </w:r>
    </w:p>
    <w:p>
      <w:pPr>
        <w:pStyle w:val="FirstParagraph"/>
        <w:spacing w:line="480" w:lineRule="auto"/>
      </w:pPr>
      <w:r>
        <w:t xml:space="preserve">For this dissertation, the began with a sentence operators say without proof, that more tracking yields a better solution, and it ends with that sentence qualified, quantified, and disciplined. For the evidence file, the relationship is real: within a fixed distance and phase regime, denser DSN tracking is associated with materially tighter navigation solutions, and the association is large and precise enough to enter a scheduling trade. For the evidence file, the relationship is also treacherous to measure: pooled across incommensurable missions and measurement types, it inverts, and an analyst who trusts the pooled number would conclude the opposite of the truth. For the evidence file, the enduring contribution is the joint possession of both facts, the affirmation and its caution, bound to an identification strategy that the data themselves demanded. For the evidence file, the work converts an intuition into a coefficient, exposes the coefficient’s failure modes, and charts the disciplined path to its causal recovery. For the evidence file, a scarce and contested asset deserves to be allocated on evidence rather than folklore, and this dissertation has shown both what that evidence says and how easily it can be misread. That is the modest, honest, and durable purchase of the regression of delivered navigation accuracy on tracking cadence.</w:t>
      </w:r>
    </w:p>
    <w:bookmarkEnd w:id="140"/>
    <w:bookmarkStart w:id="186" w:name="references"/>
    <w:p>
      <w:pPr>
        <w:pStyle w:val="Heading2"/>
        <w:spacing w:line="480" w:lineRule="auto"/>
      </w:pPr>
      <w:r>
        <w:t xml:space="preserve">References</w:t>
      </w:r>
    </w:p>
    <w:p>
      <w:pPr>
        <w:pStyle w:val="FirstParagraph"/>
        <w:spacing w:line="480" w:lineRule="auto"/>
      </w:pPr>
      <w:bookmarkStart w:id="141" w:name="ref-1"/>
      <w:bookmarkEnd w:id="141"/>
      <w:r>
        <w:t xml:space="preserve">1. E. Turan, S. Speretta, and E. Gill,</w:t>
      </w:r>
      <w:r>
        <w:t xml:space="preserve"> </w:t>
      </w:r>
      <w:r>
        <w:t xml:space="preserve">“Autonomous navigation for deep space small satellites: Scientific and technological advances,”</w:t>
      </w:r>
      <w:r>
        <w:t xml:space="preserve"> </w:t>
      </w:r>
      <w:r>
        <w:rPr>
          <w:i/>
          <w:iCs/>
        </w:rPr>
        <w:t xml:space="preserve">Acta Astronautica</w:t>
      </w:r>
      <w:r>
        <w:t xml:space="preserve">, vol. 193, 2022. doi:</w:t>
      </w:r>
      <w:r>
        <w:t xml:space="preserve"> </w:t>
      </w:r>
      <w:hyperlink r:id="rId142">
        <w:r>
          <w:rPr>
            <w:rStyle w:val="Hyperlink"/>
          </w:rPr>
          <w:t xml:space="preserve">10.1016/j.actaastro.2021.12.030</w:t>
        </w:r>
      </w:hyperlink>
    </w:p>
    <w:p>
      <w:pPr>
        <w:pStyle w:val="BodyText"/>
        <w:spacing w:line="480" w:lineRule="auto"/>
        <w:ind w:firstLine="720"/>
      </w:pPr>
      <w:bookmarkStart w:id="143" w:name="ref-2"/>
      <w:bookmarkEnd w:id="143"/>
      <w:r>
        <w:t xml:space="preserve">2. N. K. Dhingra, C. DeJac, J. Neel, A. Herz, T. Wolf, and B. Jones,</w:t>
      </w:r>
      <w:r>
        <w:t xml:space="preserve"> </w:t>
      </w:r>
      <w:r>
        <w:t xml:space="preserve">“The Impact of Orbit Accuracy-Based Tasking on Sensor Network Efficiency,”</w:t>
      </w:r>
      <w:r>
        <w:t xml:space="preserve"> </w:t>
      </w:r>
      <w:r>
        <w:rPr>
          <w:i/>
          <w:iCs/>
        </w:rPr>
        <w:t xml:space="preserve">Proc. Advanced Maui Optical and Space Surveillance Technologies (AMOS) Conference</w:t>
      </w:r>
      <w:r>
        <w:t xml:space="preserve">, 2022.</w:t>
      </w:r>
    </w:p>
    <w:p>
      <w:pPr>
        <w:pStyle w:val="BodyText"/>
        <w:spacing w:line="480" w:lineRule="auto"/>
        <w:ind w:firstLine="720"/>
      </w:pPr>
      <w:bookmarkStart w:id="144" w:name="ref-3"/>
      <w:bookmarkEnd w:id="144"/>
      <w:r>
        <w:t xml:space="preserve">3. N. Dhingra, C. DeJac, A. Herz, and R. Green,</w:t>
      </w:r>
      <w:r>
        <w:t xml:space="preserve"> </w:t>
      </w:r>
      <w:r>
        <w:t xml:space="preserve">“Space Domain Awareness Sensor Scheduling with Optimality Certificates,”</w:t>
      </w:r>
      <w:r>
        <w:t xml:space="preserve"> </w:t>
      </w:r>
      <w:r>
        <w:rPr>
          <w:i/>
          <w:iCs/>
        </w:rPr>
        <w:t xml:space="preserve">Proc. Advanced Maui Optical and Space Surveillance Technologies (AMOS) Conference</w:t>
      </w:r>
      <w:r>
        <w:t xml:space="preserve">, 2023. doi:</w:t>
      </w:r>
      <w:r>
        <w:t xml:space="preserve"> </w:t>
      </w:r>
      <w:hyperlink r:id="rId145">
        <w:r>
          <w:rPr>
            <w:rStyle w:val="Hyperlink"/>
          </w:rPr>
          <w:t xml:space="preserve">10.64861/JLQE7584</w:t>
        </w:r>
      </w:hyperlink>
    </w:p>
    <w:p>
      <w:pPr>
        <w:pStyle w:val="BodyText"/>
        <w:spacing w:line="480" w:lineRule="auto"/>
        <w:ind w:firstLine="720"/>
      </w:pPr>
      <w:bookmarkStart w:id="146" w:name="ref-4"/>
      <w:bookmarkEnd w:id="146"/>
      <w:r>
        <w:t xml:space="preserve">4. Y. Guo, P. Thompson, J. H. Wirzburger, N. Pinkine, S. Bushman, T. Goodson, R. Haw, J. F. Hudson, D. R. Jones, S. Kijewski, B. Lathrop, E. L. Lau, N. A. Mottinger, M. Ryne, W.-J. Shyong, P. Valerino, and K. Whittenburg,</w:t>
      </w:r>
      <w:r>
        <w:t xml:space="preserve"> </w:t>
      </w:r>
      <w:r>
        <w:t xml:space="preserve">“Execution of Parker Solar Probe’s unprecedented flight to the Sun and early results,”</w:t>
      </w:r>
      <w:r>
        <w:t xml:space="preserve"> </w:t>
      </w:r>
      <w:r>
        <w:rPr>
          <w:i/>
          <w:iCs/>
        </w:rPr>
        <w:t xml:space="preserve">Acta Astronautica</w:t>
      </w:r>
      <w:r>
        <w:t xml:space="preserve">, vol. 179, 2020. doi:</w:t>
      </w:r>
      <w:r>
        <w:t xml:space="preserve"> </w:t>
      </w:r>
      <w:hyperlink r:id="rId147">
        <w:r>
          <w:rPr>
            <w:rStyle w:val="Hyperlink"/>
          </w:rPr>
          <w:t xml:space="preserve">10.1016/j.actaastro.2020.11.007</w:t>
        </w:r>
      </w:hyperlink>
    </w:p>
    <w:p>
      <w:pPr>
        <w:pStyle w:val="BodyText"/>
        <w:spacing w:line="480" w:lineRule="auto"/>
        <w:ind w:firstLine="720"/>
      </w:pPr>
      <w:bookmarkStart w:id="148" w:name="ref-5"/>
      <w:bookmarkEnd w:id="148"/>
      <w:r>
        <w:t xml:space="preserve">5. A. M. Gargiulo, A. Genova, F. Petricca, E. Del Vecchio, S. Andolfo, T. Torrini, P. Rosenblatt, S. Lebonnois, J.-C. Marty, and C. Dumoulin,</w:t>
      </w:r>
      <w:r>
        <w:t xml:space="preserve"> </w:t>
      </w:r>
      <w:r>
        <w:t xml:space="preserve">“Joint determination of Venus gravity and atmospheric density through EnVision radio science investigation,”</w:t>
      </w:r>
      <w:r>
        <w:t xml:space="preserve"> </w:t>
      </w:r>
      <w:r>
        <w:rPr>
          <w:i/>
          <w:iCs/>
        </w:rPr>
        <w:t xml:space="preserve">Acta Astronautica</w:t>
      </w:r>
      <w:r>
        <w:t xml:space="preserve">, vol. 215, 2023. doi:</w:t>
      </w:r>
      <w:r>
        <w:t xml:space="preserve"> </w:t>
      </w:r>
      <w:hyperlink r:id="rId149">
        <w:r>
          <w:rPr>
            <w:rStyle w:val="Hyperlink"/>
          </w:rPr>
          <w:t xml:space="preserve">10.1016/j.actaastro.2023.12.010</w:t>
        </w:r>
      </w:hyperlink>
    </w:p>
    <w:p>
      <w:pPr>
        <w:pStyle w:val="BodyText"/>
        <w:spacing w:line="480" w:lineRule="auto"/>
        <w:ind w:firstLine="720"/>
      </w:pPr>
      <w:bookmarkStart w:id="150" w:name="ref-6"/>
      <w:bookmarkEnd w:id="150"/>
      <w:r>
        <w:t xml:space="preserve">6. Allocation of Deep Space Network Ground System Tracking, AIAA SPACE 2018, AIAA 2018-2502. https://arc.aiaa.org/doi/pdf/10.2514/6.2018-2502</w:t>
      </w:r>
    </w:p>
    <w:p>
      <w:pPr>
        <w:pStyle w:val="BodyText"/>
        <w:spacing w:line="480" w:lineRule="auto"/>
        <w:ind w:firstLine="720"/>
      </w:pPr>
      <w:bookmarkStart w:id="151" w:name="ref-7"/>
      <w:bookmarkEnd w:id="151"/>
      <w:r>
        <w:t xml:space="preserve">7. C. L. Thornton and J. S. Border, Radiometric Tracking Techniques for Deep-Space Navigation, DESCANSO Monograph Series 1, NASA Jet Propulsion Laboratory. https://descanso.jpl.nasa.gov/monograph/series1/Descanso1_all.pdf</w:t>
      </w:r>
    </w:p>
    <w:p>
      <w:pPr>
        <w:pStyle w:val="BodyText"/>
        <w:spacing w:line="480" w:lineRule="auto"/>
        <w:ind w:firstLine="720"/>
      </w:pPr>
      <w:bookmarkStart w:id="152" w:name="ref-8"/>
      <w:bookmarkEnd w:id="152"/>
      <w:r>
        <w:t xml:space="preserve">8. V. Notaro, L. Iess, J. W. Armstrong, and S. W. Asmar,</w:t>
      </w:r>
      <w:r>
        <w:t xml:space="preserve"> </w:t>
      </w:r>
      <w:r>
        <w:t xml:space="preserve">“Reducing Doppler noise with multi-station tracking: The Cassini test case,”</w:t>
      </w:r>
      <w:r>
        <w:t xml:space="preserve"> </w:t>
      </w:r>
      <w:r>
        <w:t xml:space="preserve">Acta Astronautica, vol. 173, 2020. https://doi.org/10.1016/j.actaastro.2020.04.009</w:t>
      </w:r>
    </w:p>
    <w:p>
      <w:pPr>
        <w:pStyle w:val="BodyText"/>
        <w:spacing w:line="480" w:lineRule="auto"/>
        <w:ind w:firstLine="720"/>
      </w:pPr>
      <w:bookmarkStart w:id="153" w:name="ref-9"/>
      <w:bookmarkEnd w:id="153"/>
      <w:r>
        <w:t xml:space="preserve">9. M. T. Zuber et al.,</w:t>
      </w:r>
      <w:r>
        <w:t xml:space="preserve"> </w:t>
      </w:r>
      <w:r>
        <w:t xml:space="preserve">“Mars Reconnaissance Orbiter Radio Science Gravity Investigation,”</w:t>
      </w:r>
      <w:r>
        <w:t xml:space="preserve"> </w:t>
      </w:r>
      <w:r>
        <w:t xml:space="preserve">Journal of Geophysical Research: Planets, vol. 112, 2007. https://doi.org/10.1029/2006JE002833</w:t>
      </w:r>
    </w:p>
    <w:p>
      <w:pPr>
        <w:pStyle w:val="BodyText"/>
        <w:spacing w:line="480" w:lineRule="auto"/>
        <w:ind w:firstLine="720"/>
      </w:pPr>
      <w:bookmarkStart w:id="154" w:name="ref-10"/>
      <w:bookmarkEnd w:id="154"/>
      <w:r>
        <w:t xml:space="preserve">10. M. Di Stefano et al.,</w:t>
      </w:r>
      <w:r>
        <w:t xml:space="preserve"> </w:t>
      </w:r>
      <w:r>
        <w:t xml:space="preserve">“Analysis of Cassini radio tracking data for the construction of INPOP19a,”</w:t>
      </w:r>
      <w:r>
        <w:t xml:space="preserve"> </w:t>
      </w:r>
      <w:r>
        <w:t xml:space="preserve">Astronomy &amp; Astrophysics, vol. 640, 2020. https://www.aanda.org/articles/aa/full_html/2020/08/aa37920-20/aa37920-20.html</w:t>
      </w:r>
    </w:p>
    <w:p>
      <w:pPr>
        <w:pStyle w:val="BodyText"/>
        <w:spacing w:line="480" w:lineRule="auto"/>
        <w:ind w:firstLine="720"/>
      </w:pPr>
      <w:bookmarkStart w:id="155" w:name="ref-11"/>
      <w:bookmarkEnd w:id="155"/>
      <w:r>
        <w:t xml:space="preserve">11. M. C. Leonard et al., OSIRIS-REx Proximity Operations and Navigation Performance at (101955) Bennu, NTRS 20210025471. https://ntrs.nasa.gov/api/citations/20210025471/downloads/OSIRIS_REx_Proximity_Operations_and_Navigation_Performance_at_Bennu-final.pdf</w:t>
      </w:r>
    </w:p>
    <w:p>
      <w:pPr>
        <w:pStyle w:val="BodyText"/>
        <w:spacing w:line="480" w:lineRule="auto"/>
        <w:ind w:firstLine="720"/>
      </w:pPr>
      <w:bookmarkStart w:id="156" w:name="ref-12"/>
      <w:bookmarkEnd w:id="156"/>
      <w:r>
        <w:t xml:space="preserve">12. European Space Agency,</w:t>
      </w:r>
      <w:r>
        <w:t xml:space="preserve"> </w:t>
      </w:r>
      <w:r>
        <w:t xml:space="preserve">“Keeping track of spacecraft with Delta-DOR.”</w:t>
      </w:r>
      <w:r>
        <w:t xml:space="preserve"> </w:t>
      </w:r>
      <w:r>
        <w:t xml:space="preserve">https://www.esa.int/Enabling_Support/Operations/Keeping_track_of_spacecraft_with_Delta-DOR</w:t>
      </w:r>
    </w:p>
    <w:p>
      <w:pPr>
        <w:pStyle w:val="BodyText"/>
        <w:spacing w:line="480" w:lineRule="auto"/>
        <w:ind w:firstLine="720"/>
      </w:pPr>
      <w:bookmarkStart w:id="157" w:name="ref-13"/>
      <w:bookmarkEnd w:id="157"/>
      <w:r>
        <w:t xml:space="preserve">13. T. A. Ely, S. Bhaskaran, N. Bradley, T. J. W. Lazio, and T. Martin-Mur,</w:t>
      </w:r>
      <w:r>
        <w:t xml:space="preserve"> </w:t>
      </w:r>
      <w:r>
        <w:t xml:space="preserve">“Comparison of Deep Space Navigation Using Optical Imaging, Pulsar Time-of-Arrival Tracking, and/or Radiometric Tracking,”</w:t>
      </w:r>
      <w:r>
        <w:t xml:space="preserve"> </w:t>
      </w:r>
      <w:r>
        <w:t xml:space="preserve">The Journal of the Astronautical Sciences, vol. 69, no. 2, pp. 385-472, 2022. doi:</w:t>
      </w:r>
      <w:r>
        <w:t xml:space="preserve"> </w:t>
      </w:r>
      <w:hyperlink r:id="rId158">
        <w:r>
          <w:rPr>
            <w:rStyle w:val="Hyperlink"/>
          </w:rPr>
          <w:t xml:space="preserve">10.1007/s40295-021-00290-z</w:t>
        </w:r>
      </w:hyperlink>
    </w:p>
    <w:p>
      <w:pPr>
        <w:pStyle w:val="BodyText"/>
        <w:spacing w:line="480" w:lineRule="auto"/>
        <w:ind w:firstLine="720"/>
      </w:pPr>
      <w:bookmarkStart w:id="159" w:name="ref-14"/>
      <w:bookmarkEnd w:id="159"/>
      <w:r>
        <w:t xml:space="preserve">14. Brian Banks, Leidos; Robert Smith II, Leidos; Ronald Wagner, Leidos; Victor Aguero, SRI International; Scott Williams, SRI International; Matthew Duncan, SpaceNav; Stijn De Smet, SpaceNav; Marc Balducci, SpaceNav. A Sensor-Rich Solution for Lunar/Cislunar Space Domain Awareness (2020).</w:t>
      </w:r>
    </w:p>
    <w:p>
      <w:pPr>
        <w:pStyle w:val="BodyText"/>
        <w:spacing w:line="480" w:lineRule="auto"/>
        <w:ind w:firstLine="720"/>
      </w:pPr>
      <w:bookmarkStart w:id="160" w:name="ref-15"/>
      <w:bookmarkEnd w:id="160"/>
      <w:r>
        <w:t xml:space="preserve">15. Michael Lachut, EOS Space Systems and Space Environment Research Centre; James Bennett, EOS Space Systems and Space Environment Research Centre; David Kooymans, EOS Space Systems. Automating the Assessment of Orbit Predictions and Estimations for Building and Maintaining a New Catalogue (2018).</w:t>
      </w:r>
    </w:p>
    <w:p>
      <w:pPr>
        <w:pStyle w:val="BodyText"/>
        <w:spacing w:line="480" w:lineRule="auto"/>
        <w:ind w:firstLine="720"/>
      </w:pPr>
      <w:bookmarkStart w:id="161" w:name="ref-16"/>
      <w:bookmarkEnd w:id="161"/>
      <w:r>
        <w:t xml:space="preserve">16. Gregory Badura, Georgia Tech Research Institute (GTRI); Christopher Valenta, Georgia Tech Research Institute (GTRI). Physics-Guided Machine Learning for Satellite Spin Property Estimation from Light Curves (2023). doi:</w:t>
      </w:r>
      <w:r>
        <w:t xml:space="preserve"> </w:t>
      </w:r>
      <w:hyperlink r:id="rId162">
        <w:r>
          <w:rPr>
            <w:rStyle w:val="Hyperlink"/>
          </w:rPr>
          <w:t xml:space="preserve">10.64861/LMKG2697</w:t>
        </w:r>
      </w:hyperlink>
    </w:p>
    <w:p>
      <w:pPr>
        <w:pStyle w:val="BodyText"/>
        <w:spacing w:line="480" w:lineRule="auto"/>
        <w:ind w:firstLine="720"/>
      </w:pPr>
      <w:bookmarkStart w:id="163" w:name="ref-17"/>
      <w:bookmarkEnd w:id="163"/>
      <w:r>
        <w:t xml:space="preserve">17. Matt Brown, Rocket Lab; William Bidle, Rocket Lab; D. Brandon Knape, Rocket Lab; Brandon Whitchurch, Rocket Lab; Skip Williams, Rocket Lab. Real-Time AI Video Processing for Single-Shot RSO Detection, Classification, and Localization via Ellipse Regression (2025). doi:</w:t>
      </w:r>
      <w:r>
        <w:t xml:space="preserve"> </w:t>
      </w:r>
      <w:hyperlink r:id="rId164">
        <w:r>
          <w:rPr>
            <w:rStyle w:val="Hyperlink"/>
          </w:rPr>
          <w:t xml:space="preserve">10.64861/PXVI3870</w:t>
        </w:r>
      </w:hyperlink>
    </w:p>
    <w:p>
      <w:pPr>
        <w:pStyle w:val="BodyText"/>
        <w:spacing w:line="480" w:lineRule="auto"/>
        <w:ind w:firstLine="720"/>
      </w:pPr>
      <w:bookmarkStart w:id="165" w:name="ref-18"/>
      <w:bookmarkEnd w:id="165"/>
      <w:r>
        <w:t xml:space="preserve">18. Alexander Herz (Orbit Logic). SSA Sensor Tasking Approach for Improved Orbit Determination Accuracies and More Efficient Use of Ground Assets (2013).</w:t>
      </w:r>
    </w:p>
    <w:p>
      <w:pPr>
        <w:pStyle w:val="BodyText"/>
        <w:spacing w:line="480" w:lineRule="auto"/>
        <w:ind w:firstLine="720"/>
      </w:pPr>
      <w:bookmarkStart w:id="166" w:name="ref-19"/>
      <w:bookmarkEnd w:id="166"/>
      <w:r>
        <w:t xml:space="preserve">19. Kohei Fujimoto (University of Colorado, Boulder). Improvements to Optical Track Association with the Direct Bayesian Admissible Region Method (2013).</w:t>
      </w:r>
    </w:p>
    <w:p>
      <w:pPr>
        <w:pStyle w:val="BodyText"/>
        <w:spacing w:line="480" w:lineRule="auto"/>
        <w:ind w:firstLine="720"/>
      </w:pPr>
      <w:bookmarkStart w:id="167" w:name="ref-20"/>
      <w:bookmarkEnd w:id="167"/>
      <w:r>
        <w:t xml:space="preserve">20. Kerianne Pruett, Lawrence Livermore National Laboratory; Nathan McNaughton, University of California, Berkeley; Michael Schneider, Lawrence Livermore National Laboratory. Closely Spaced Object Classification Using MuyGPyS (2023). doi:</w:t>
      </w:r>
      <w:r>
        <w:t xml:space="preserve"> </w:t>
      </w:r>
      <w:hyperlink r:id="rId168">
        <w:r>
          <w:rPr>
            <w:rStyle w:val="Hyperlink"/>
          </w:rPr>
          <w:t xml:space="preserve">10.64861/ULQH1998</w:t>
        </w:r>
      </w:hyperlink>
    </w:p>
    <w:p>
      <w:pPr>
        <w:pStyle w:val="BodyText"/>
        <w:spacing w:line="480" w:lineRule="auto"/>
        <w:ind w:firstLine="720"/>
      </w:pPr>
      <w:bookmarkStart w:id="169" w:name="ref-21"/>
      <w:bookmarkEnd w:id="169"/>
      <w:r>
        <w:t xml:space="preserve">21. Aurelio Kaluthantrige, University of Strathclyde; Jinglang Feng, University of Strathclyde; Jesús Gil-Fernández, ESA/ESTEC. Pseudorange Measurement and Sun Phase Angle Estimation using CNN-based Image Processing Algorithm for HERA Mission (2022).</w:t>
      </w:r>
    </w:p>
    <w:p>
      <w:pPr>
        <w:pStyle w:val="BodyText"/>
        <w:spacing w:line="480" w:lineRule="auto"/>
        <w:ind w:firstLine="720"/>
      </w:pPr>
      <w:bookmarkStart w:id="170" w:name="ref-22"/>
      <w:bookmarkEnd w:id="170"/>
      <w:r>
        <w:t xml:space="preserve">22. Alejandro Macario Rojas; D. M. Weigt; L. Alberto Cañizares; Shane A. Maloney; Sophie A. Murray; Peter T. Gallagher; Nicholas H. Crisp; Ciara McGrath. Mission concept for SURROUND: Operational space weather detection and tracking using small spacecraft (2026). doi:</w:t>
      </w:r>
      <w:r>
        <w:t xml:space="preserve"> </w:t>
      </w:r>
      <w:hyperlink r:id="rId171">
        <w:r>
          <w:rPr>
            <w:rStyle w:val="Hyperlink"/>
          </w:rPr>
          <w:t xml:space="preserve">10.1016/j.actaastro.2025.12.055</w:t>
        </w:r>
      </w:hyperlink>
    </w:p>
    <w:p>
      <w:pPr>
        <w:pStyle w:val="BodyText"/>
        <w:spacing w:line="480" w:lineRule="auto"/>
        <w:ind w:firstLine="720"/>
      </w:pPr>
      <w:bookmarkStart w:id="172" w:name="ref-23"/>
      <w:bookmarkEnd w:id="172"/>
      <w:r>
        <w:t xml:space="preserve">23. S. Kazemi; Nasser L. Azad; Kuindersma Scott; Haroon B. Oqab; George B. Dietrich. Orbit determination for space situational awareness: A survey (2024). doi:</w:t>
      </w:r>
      <w:r>
        <w:t xml:space="preserve"> </w:t>
      </w:r>
      <w:hyperlink r:id="rId173">
        <w:r>
          <w:rPr>
            <w:rStyle w:val="Hyperlink"/>
          </w:rPr>
          <w:t xml:space="preserve">10.1016/j.actaastro.2024.06.015</w:t>
        </w:r>
      </w:hyperlink>
    </w:p>
    <w:p>
      <w:pPr>
        <w:pStyle w:val="BodyText"/>
        <w:spacing w:line="480" w:lineRule="auto"/>
        <w:ind w:firstLine="720"/>
      </w:pPr>
      <w:bookmarkStart w:id="174" w:name="ref-24"/>
      <w:bookmarkEnd w:id="174"/>
      <w:r>
        <w:t xml:space="preserve">24. Camille Pirat; Finn Ankersen; Roger Walker; Volker Gass. Vision Based Navigation for Autonomous Cooperative Docking of CubeSats (2018). doi:</w:t>
      </w:r>
      <w:r>
        <w:t xml:space="preserve"> </w:t>
      </w:r>
      <w:hyperlink r:id="rId175">
        <w:r>
          <w:rPr>
            <w:rStyle w:val="Hyperlink"/>
          </w:rPr>
          <w:t xml:space="preserve">10.1016/j.actaastro.2018.01.059</w:t>
        </w:r>
      </w:hyperlink>
    </w:p>
    <w:p>
      <w:pPr>
        <w:pStyle w:val="BodyText"/>
        <w:spacing w:line="480" w:lineRule="auto"/>
        <w:ind w:firstLine="720"/>
      </w:pPr>
      <w:bookmarkStart w:id="176" w:name="ref-25"/>
      <w:bookmarkEnd w:id="176"/>
      <w:r>
        <w:t xml:space="preserve">25. Lisheng Tong; Kai Shao; Defeng Gu; Chengjun Yang; Chunbo Wei; Zicong An; Zheyu Xu; Jubo Zhu; Jian Wang; Daoping Liu. Accuracy analysis of orbit determination for high Earth orbit gravitational wave detectors using multi-GNSS sidelobe signals (2025). doi:</w:t>
      </w:r>
      <w:r>
        <w:t xml:space="preserve"> </w:t>
      </w:r>
      <w:hyperlink r:id="rId177">
        <w:r>
          <w:rPr>
            <w:rStyle w:val="Hyperlink"/>
          </w:rPr>
          <w:t xml:space="preserve">10.1016/j.actaastro.2025.01.022</w:t>
        </w:r>
      </w:hyperlink>
    </w:p>
    <w:p>
      <w:pPr>
        <w:pStyle w:val="BodyText"/>
        <w:spacing w:line="480" w:lineRule="auto"/>
        <w:ind w:firstLine="720"/>
      </w:pPr>
      <w:bookmarkStart w:id="178" w:name="ref-26"/>
      <w:bookmarkEnd w:id="178"/>
      <w:r>
        <w:t xml:space="preserve">26. Michele Bechini; Michèle Lavagna. Robust and efficient single-CNN-based spacecraft relative pose estimation from monocular images (2025). doi:</w:t>
      </w:r>
      <w:r>
        <w:t xml:space="preserve"> </w:t>
      </w:r>
      <w:hyperlink r:id="rId179">
        <w:r>
          <w:rPr>
            <w:rStyle w:val="Hyperlink"/>
          </w:rPr>
          <w:t xml:space="preserve">10.1016/j.actaastro.2025.04.016</w:t>
        </w:r>
      </w:hyperlink>
    </w:p>
    <w:p>
      <w:pPr>
        <w:pStyle w:val="BodyText"/>
        <w:spacing w:line="480" w:lineRule="auto"/>
        <w:ind w:firstLine="720"/>
      </w:pPr>
      <w:bookmarkStart w:id="180" w:name="ref-27"/>
      <w:bookmarkEnd w:id="180"/>
      <w:r>
        <w:t xml:space="preserve">27. Adrian Nowak; Radosław Zajdel; Krzysztof Sośnica. Optimization of orbit prediction strategies for GNSS satellites (2023). doi:</w:t>
      </w:r>
      <w:r>
        <w:t xml:space="preserve"> </w:t>
      </w:r>
      <w:hyperlink r:id="rId181">
        <w:r>
          <w:rPr>
            <w:rStyle w:val="Hyperlink"/>
          </w:rPr>
          <w:t xml:space="preserve">10.1016/j.actaastro.2023.04.040</w:t>
        </w:r>
      </w:hyperlink>
    </w:p>
    <w:p>
      <w:pPr>
        <w:pStyle w:val="BodyText"/>
        <w:spacing w:line="480" w:lineRule="auto"/>
        <w:ind w:firstLine="720"/>
      </w:pPr>
      <w:bookmarkStart w:id="182" w:name="ref-28"/>
      <w:bookmarkEnd w:id="182"/>
      <w:r>
        <w:t xml:space="preserve">28. Giuseppe Di Pasquale; Brandon Israel Escamilla Estrada; Daniel González-Arribas; Manuel Sanjurjo-Rivo; Daniel Pérez Grande. Multi-disciplinary optimization of constellation deployment strategies including launcher selection (2024). doi:</w:t>
      </w:r>
      <w:r>
        <w:t xml:space="preserve"> </w:t>
      </w:r>
      <w:hyperlink r:id="rId183">
        <w:r>
          <w:rPr>
            <w:rStyle w:val="Hyperlink"/>
          </w:rPr>
          <w:t xml:space="preserve">10.1016/j.actaastro.2024.07.030</w:t>
        </w:r>
      </w:hyperlink>
    </w:p>
    <w:p>
      <w:pPr>
        <w:pStyle w:val="BodyText"/>
        <w:spacing w:line="480" w:lineRule="auto"/>
        <w:ind w:firstLine="720"/>
      </w:pPr>
      <w:bookmarkStart w:id="184" w:name="ref-29"/>
      <w:bookmarkEnd w:id="184"/>
      <w:r>
        <w:t xml:space="preserve">29. Sui Chen; E. Parent; N. Rea; Francesco Topputo. Pulsar selection criteria and performance evaluation of autonomous X-ray pulsar navigation systems (2026). doi:</w:t>
      </w:r>
      <w:r>
        <w:t xml:space="preserve"> </w:t>
      </w:r>
      <w:hyperlink r:id="rId185">
        <w:r>
          <w:rPr>
            <w:rStyle w:val="Hyperlink"/>
          </w:rPr>
          <w:t xml:space="preserve">10.1016/j.actaastro.2026.04.039</w:t>
        </w:r>
      </w:hyperlink>
    </w:p>
    <w:bookmarkEnd w:id="186"/>
    <w:bookmarkEnd w:id="187"/>
    <w:bookmarkStart w:id="204"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5" w:name="X2ad5fa539725a1d23bbcb33a2fb8243e41faf2e"/>
    <w:p>
      <w:pPr>
        <w:pStyle w:val="Heading2"/>
        <w:spacing w:line="480" w:lineRule="auto"/>
      </w:pPr>
      <w:r>
        <w:t xml:space="preserve">A.1 Navigation-Solution Accuracy as a Function of Tracking Cadence: A Fixed-Effects Regression of Deep-Space Mission-Phase Orbit-Determination Performance</w:t>
      </w:r>
    </w:p>
    <w:p>
      <w:pPr>
        <w:pStyle w:val="FirstParagraph"/>
        <w:spacing w:line="480" w:lineRule="auto"/>
      </w:pPr>
      <m:oMathPara>
        <m:oMathParaPr>
          <m:jc m:val="center"/>
        </m:oMathParaPr>
        <m:oMath>
          <m:sSub>
            <m:e>
              <m:r>
                <m:rPr>
                  <m:sty m:val="p"/>
                </m:rPr>
                <m:t>log</m:t>
              </m:r>
            </m:e>
            <m:sub>
              <m:r>
                <m:t>10</m:t>
              </m:r>
            </m:sub>
          </m:sSub>
          <m:r>
            <m:rPr>
              <m:sty m:val="p"/>
            </m:rPr>
            <m:t>(</m:t>
          </m:r>
          <m:sSub>
            <m:e>
              <m:acc>
                <m:accPr>
                  <m:chr m:val="̂"/>
                </m:accPr>
                <m:e>
                  <m:r>
                    <m:t>σ</m:t>
                  </m:r>
                </m:e>
              </m:acc>
            </m:e>
            <m:sub>
              <m:r>
                <m:t>i</m:t>
              </m:r>
            </m:sub>
          </m:sSub>
          <m:r>
            <m:rPr>
              <m:sty m:val="p"/>
            </m:rPr>
            <m:t>)</m:t>
          </m:r>
          <m:r>
            <m:rPr>
              <m:sty m:val="p"/>
            </m:rPr>
            <m:t>=</m:t>
          </m:r>
          <m:sSub>
            <m:e>
              <m:r>
                <m:t>β</m:t>
              </m:r>
            </m:e>
            <m:sub>
              <m:r>
                <m:t>0</m:t>
              </m:r>
            </m:sub>
          </m:sSub>
          <m:r>
            <m:rPr>
              <m:sty m:val="p"/>
            </m:rPr>
            <m:t>+</m:t>
          </m:r>
          <m:sSub>
            <m:e>
              <m:r>
                <m:t>β</m:t>
              </m:r>
            </m:e>
            <m:sub>
              <m:r>
                <m:t>1</m:t>
              </m:r>
            </m:sub>
          </m:sSub>
          <m:r>
            <m:t> </m:t>
          </m:r>
          <m:sSub>
            <m:e>
              <m:r>
                <m:t>H</m:t>
              </m:r>
            </m:e>
            <m:sub>
              <m:r>
                <m:t>i</m:t>
              </m:r>
            </m:sub>
          </m:sSub>
          <m:r>
            <m:rPr>
              <m:sty m:val="p"/>
            </m:rPr>
            <m:t>+</m:t>
          </m:r>
          <m:sSub>
            <m:e>
              <m:r>
                <m:t>β</m:t>
              </m:r>
            </m:e>
            <m:sub>
              <m:r>
                <m:t>2</m:t>
              </m:r>
            </m:sub>
          </m:sSub>
          <m:sSub>
            <m:e>
              <m:r>
                <m:rPr>
                  <m:sty m:val="p"/>
                </m:rPr>
                <m:t>log</m:t>
              </m:r>
            </m:e>
            <m:sub>
              <m:r>
                <m:t>10</m:t>
              </m:r>
            </m:sub>
          </m:sSub>
          <m:r>
            <m:rPr>
              <m:sty m:val="p"/>
            </m:rPr>
            <m:t>(</m:t>
          </m:r>
          <m:sSub>
            <m:e>
              <m:r>
                <m:t>d</m:t>
              </m:r>
            </m:e>
            <m:sub>
              <m:r>
                <m:t>i</m:t>
              </m:r>
            </m:sub>
          </m:sSub>
          <m:r>
            <m:rPr>
              <m:sty m:val="p"/>
            </m:rPr>
            <m:t>)</m:t>
          </m:r>
          <m:r>
            <m:rPr>
              <m:sty m:val="p"/>
            </m:rPr>
            <m:t>+</m:t>
          </m:r>
          <m:sSub>
            <m:e>
              <m:r>
                <m:t>β</m:t>
              </m:r>
            </m:e>
            <m:sub>
              <m:r>
                <m:t>3</m:t>
              </m:r>
            </m:sub>
          </m:sSub>
          <m:r>
            <m:t> </m:t>
          </m:r>
          <m:sSub>
            <m:e>
              <m:r>
                <m:t>P</m:t>
              </m:r>
            </m:e>
            <m:sub>
              <m:r>
                <m:t>i</m:t>
              </m:r>
            </m:sub>
          </m:sSub>
          <m:r>
            <m:rPr>
              <m:sty m:val="p"/>
            </m:rPr>
            <m:t>+</m:t>
          </m:r>
          <m:sSub>
            <m:e>
              <m:r>
                <m:t>ε</m:t>
              </m:r>
            </m:e>
            <m:sub>
              <m:r>
                <m:t>i</m:t>
              </m:r>
            </m:sub>
          </m:sSub>
        </m:oMath>
      </m:oMathPara>
    </w:p>
    <w:bookmarkStart w:id="188"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1.1092</w:t>
            </w:r>
          </w:p>
        </w:tc>
        <w:tc>
          <w:tcPr>
            <w:tcW w:w="0" w:type="auto"/>
          </w:tcPr>
          <w:p>
            <w:pPr>
              <w:spacing w:line="240" w:lineRule="auto" w:before="0" w:after="0"/>
              <w:pStyle w:val="Compact"/>
            </w:pPr>
            <w:r>
              <w:rPr>
                <w:sz w:val="20"/>
                <w:szCs w:val="20"/>
              </w:rPr>
              <w:t xml:space="preserve">0.2575</w:t>
            </w:r>
          </w:p>
        </w:tc>
        <w:tc>
          <w:tcPr>
            <w:tcW w:w="0" w:type="auto"/>
          </w:tcPr>
          <w:p>
            <w:pPr>
              <w:spacing w:line="240" w:lineRule="auto" w:before="0" w:after="0"/>
              <w:pStyle w:val="Compact"/>
            </w:pPr>
            <w:r>
              <w:rPr>
                <w:sz w:val="20"/>
                <w:szCs w:val="20"/>
              </w:rPr>
              <w:t xml:space="preserve">4.3078</w:t>
            </w:r>
          </w:p>
        </w:tc>
        <w:tc>
          <w:tcPr>
            <w:tcW w:w="0" w:type="auto"/>
          </w:tcPr>
          <w:p>
            <w:pPr>
              <w:spacing w:line="240" w:lineRule="auto" w:before="0" w:after="0"/>
              <w:pStyle w:val="Compact"/>
            </w:pPr>
            <w:r>
              <w:rPr>
                <w:sz w:val="20"/>
                <w:szCs w:val="20"/>
              </w:rPr>
              <w:t xml:space="preserve">1.649e-05</w:t>
            </w:r>
          </w:p>
        </w:tc>
        <w:tc>
          <w:tcPr>
            <w:tcW w:w="0" w:type="auto"/>
          </w:tcPr>
          <w:p>
            <w:pPr>
              <w:spacing w:line="240" w:lineRule="auto" w:before="0" w:after="0"/>
              <w:pStyle w:val="Compact"/>
            </w:pPr>
            <w:r>
              <w:rPr>
                <w:sz w:val="20"/>
                <w:szCs w:val="20"/>
              </w:rPr>
              <w:t xml:space="preserve">[0.6046, 1.6139]</w:t>
            </w:r>
          </w:p>
        </w:tc>
      </w:tr>
      <w:tr>
        <w:tc>
          <w:tcPr>
            <w:tcW w:w="0" w:type="auto"/>
          </w:tcPr>
          <w:p>
            <w:pPr>
              <w:spacing w:line="240" w:lineRule="auto" w:before="0" w:after="0"/>
              <w:pStyle w:val="Compact"/>
            </w:pPr>
            <w:r>
              <w:rPr>
                <w:sz w:val="20"/>
                <w:szCs w:val="20"/>
              </w:rPr>
              <w:t xml:space="preserve">track_hours_per_week</w:t>
            </w:r>
          </w:p>
        </w:tc>
        <w:tc>
          <w:tcPr>
            <w:tcW w:w="0" w:type="auto"/>
          </w:tcPr>
          <w:p>
            <w:pPr>
              <w:spacing w:line="240" w:lineRule="auto" w:before="0" w:after="0"/>
              <w:pStyle w:val="Compact"/>
            </w:pPr>
            <w:r>
              <w:rPr>
                <w:sz w:val="20"/>
                <w:szCs w:val="20"/>
              </w:rPr>
              <w:t xml:space="preserve">-0.0213</w:t>
            </w:r>
          </w:p>
        </w:tc>
        <w:tc>
          <w:tcPr>
            <w:tcW w:w="0" w:type="auto"/>
          </w:tcPr>
          <w:p>
            <w:pPr>
              <w:spacing w:line="240" w:lineRule="auto" w:before="0" w:after="0"/>
              <w:pStyle w:val="Compact"/>
            </w:pPr>
            <w:r>
              <w:rPr>
                <w:sz w:val="20"/>
                <w:szCs w:val="20"/>
              </w:rPr>
              <w:t xml:space="preserve">0.0057</w:t>
            </w:r>
          </w:p>
        </w:tc>
        <w:tc>
          <w:tcPr>
            <w:tcW w:w="0" w:type="auto"/>
          </w:tcPr>
          <w:p>
            <w:pPr>
              <w:spacing w:line="240" w:lineRule="auto" w:before="0" w:after="0"/>
              <w:pStyle w:val="Compact"/>
            </w:pPr>
            <w:r>
              <w:rPr>
                <w:sz w:val="20"/>
                <w:szCs w:val="20"/>
              </w:rPr>
              <w:t xml:space="preserve">-3.7494</w:t>
            </w:r>
          </w:p>
        </w:tc>
        <w:tc>
          <w:tcPr>
            <w:tcW w:w="0" w:type="auto"/>
          </w:tcPr>
          <w:p>
            <w:pPr>
              <w:spacing w:line="240" w:lineRule="auto" w:before="0" w:after="0"/>
              <w:pStyle w:val="Compact"/>
            </w:pPr>
            <w:r>
              <w:rPr>
                <w:sz w:val="20"/>
                <w:szCs w:val="20"/>
              </w:rPr>
              <w:t xml:space="preserve">0.0001772</w:t>
            </w:r>
          </w:p>
        </w:tc>
        <w:tc>
          <w:tcPr>
            <w:tcW w:w="0" w:type="auto"/>
          </w:tcPr>
          <w:p>
            <w:pPr>
              <w:spacing w:line="240" w:lineRule="auto" w:before="0" w:after="0"/>
              <w:pStyle w:val="Compact"/>
            </w:pPr>
            <w:r>
              <w:rPr>
                <w:sz w:val="20"/>
                <w:szCs w:val="20"/>
              </w:rPr>
              <w:t xml:space="preserve">[-0.0324, -0.0101]</w:t>
            </w:r>
          </w:p>
        </w:tc>
      </w:tr>
      <w:tr>
        <w:tc>
          <w:tcPr>
            <w:tcW w:w="0" w:type="auto"/>
          </w:tcPr>
          <w:p>
            <w:pPr>
              <w:spacing w:line="240" w:lineRule="auto" w:before="0" w:after="0"/>
              <w:pStyle w:val="Compact"/>
            </w:pPr>
            <w:r>
              <w:rPr>
                <w:sz w:val="20"/>
                <w:szCs w:val="20"/>
              </w:rPr>
              <w:t xml:space="preserve">log10_earth_distance_au</w:t>
            </w:r>
          </w:p>
        </w:tc>
        <w:tc>
          <w:tcPr>
            <w:tcW w:w="0" w:type="auto"/>
          </w:tcPr>
          <w:p>
            <w:pPr>
              <w:spacing w:line="240" w:lineRule="auto" w:before="0" w:after="0"/>
              <w:pStyle w:val="Compact"/>
            </w:pPr>
            <w:r>
              <w:rPr>
                <w:sz w:val="20"/>
                <w:szCs w:val="20"/>
              </w:rPr>
              <w:t xml:space="preserve">1.5636</w:t>
            </w:r>
          </w:p>
        </w:tc>
        <w:tc>
          <w:tcPr>
            <w:tcW w:w="0" w:type="auto"/>
          </w:tcPr>
          <w:p>
            <w:pPr>
              <w:spacing w:line="240" w:lineRule="auto" w:before="0" w:after="0"/>
              <w:pStyle w:val="Compact"/>
            </w:pPr>
            <w:r>
              <w:rPr>
                <w:sz w:val="20"/>
                <w:szCs w:val="20"/>
              </w:rPr>
              <w:t xml:space="preserve">0.2197</w:t>
            </w:r>
          </w:p>
        </w:tc>
        <w:tc>
          <w:tcPr>
            <w:tcW w:w="0" w:type="auto"/>
          </w:tcPr>
          <w:p>
            <w:pPr>
              <w:spacing w:line="240" w:lineRule="auto" w:before="0" w:after="0"/>
              <w:pStyle w:val="Compact"/>
            </w:pPr>
            <w:r>
              <w:rPr>
                <w:sz w:val="20"/>
                <w:szCs w:val="20"/>
              </w:rPr>
              <w:t xml:space="preserve">7.1185</w:t>
            </w:r>
          </w:p>
        </w:tc>
        <w:tc>
          <w:tcPr>
            <w:tcW w:w="0" w:type="auto"/>
          </w:tcPr>
          <w:p>
            <w:pPr>
              <w:spacing w:line="240" w:lineRule="auto" w:before="0" w:after="0"/>
              <w:pStyle w:val="Compact"/>
            </w:pPr>
            <w:r>
              <w:rPr>
                <w:sz w:val="20"/>
                <w:szCs w:val="20"/>
              </w:rPr>
              <w:t xml:space="preserve">1.091e-12</w:t>
            </w:r>
          </w:p>
        </w:tc>
        <w:tc>
          <w:tcPr>
            <w:tcW w:w="0" w:type="auto"/>
          </w:tcPr>
          <w:p>
            <w:pPr>
              <w:spacing w:line="240" w:lineRule="auto" w:before="0" w:after="0"/>
              <w:pStyle w:val="Compact"/>
            </w:pPr>
            <w:r>
              <w:rPr>
                <w:sz w:val="20"/>
                <w:szCs w:val="20"/>
              </w:rPr>
              <w:t xml:space="preserve">[1.1331, 1.9941]</w:t>
            </w:r>
          </w:p>
        </w:tc>
      </w:tr>
      <w:tr>
        <w:tc>
          <w:tcPr>
            <w:tcW w:w="0" w:type="auto"/>
          </w:tcPr>
          <w:p>
            <w:pPr>
              <w:spacing w:line="240" w:lineRule="auto" w:before="0" w:after="0"/>
              <w:pStyle w:val="Compact"/>
            </w:pPr>
            <w:r>
              <w:rPr>
                <w:sz w:val="20"/>
                <w:szCs w:val="20"/>
              </w:rPr>
              <w:t xml:space="preserve">orbital_phase</w:t>
            </w:r>
          </w:p>
        </w:tc>
        <w:tc>
          <w:tcPr>
            <w:tcW w:w="0" w:type="auto"/>
          </w:tcPr>
          <w:p>
            <w:pPr>
              <w:spacing w:line="240" w:lineRule="auto" w:before="0" w:after="0"/>
              <w:pStyle w:val="Compact"/>
            </w:pPr>
            <w:r>
              <w:rPr>
                <w:sz w:val="20"/>
                <w:szCs w:val="20"/>
              </w:rPr>
              <w:t xml:space="preserve">-1.9885</w:t>
            </w:r>
          </w:p>
        </w:tc>
        <w:tc>
          <w:tcPr>
            <w:tcW w:w="0" w:type="auto"/>
          </w:tcPr>
          <w:p>
            <w:pPr>
              <w:spacing w:line="240" w:lineRule="auto" w:before="0" w:after="0"/>
              <w:pStyle w:val="Compact"/>
            </w:pPr>
            <w:r>
              <w:rPr>
                <w:sz w:val="20"/>
                <w:szCs w:val="20"/>
              </w:rPr>
              <w:t xml:space="preserve">0.2612</w:t>
            </w:r>
          </w:p>
        </w:tc>
        <w:tc>
          <w:tcPr>
            <w:tcW w:w="0" w:type="auto"/>
          </w:tcPr>
          <w:p>
            <w:pPr>
              <w:spacing w:line="240" w:lineRule="auto" w:before="0" w:after="0"/>
              <w:pStyle w:val="Compact"/>
            </w:pPr>
            <w:r>
              <w:rPr>
                <w:sz w:val="20"/>
                <w:szCs w:val="20"/>
              </w:rPr>
              <w:t xml:space="preserve">-7.6133</w:t>
            </w:r>
          </w:p>
        </w:tc>
        <w:tc>
          <w:tcPr>
            <w:tcW w:w="0" w:type="auto"/>
          </w:tcPr>
          <w:p>
            <w:pPr>
              <w:spacing w:line="240" w:lineRule="auto" w:before="0" w:after="0"/>
              <w:pStyle w:val="Compact"/>
            </w:pPr>
            <w:r>
              <w:rPr>
                <w:sz w:val="20"/>
                <w:szCs w:val="20"/>
              </w:rPr>
              <w:t xml:space="preserve">2.672e-14</w:t>
            </w:r>
          </w:p>
        </w:tc>
        <w:tc>
          <w:tcPr>
            <w:tcW w:w="0" w:type="auto"/>
          </w:tcPr>
          <w:p>
            <w:pPr>
              <w:spacing w:line="240" w:lineRule="auto" w:before="0" w:after="0"/>
              <w:pStyle w:val="Compact"/>
            </w:pPr>
            <w:r>
              <w:rPr>
                <w:sz w:val="20"/>
                <w:szCs w:val="20"/>
              </w:rPr>
              <w:t xml:space="preserve">[-2.5005, -1.4766]</w:t>
            </w:r>
          </w:p>
        </w:tc>
      </w:tr>
    </w:tbl>
    <w:p>
      <w:pPr>
        <w:pStyle w:val="BodyText"/>
        <w:spacing w:line="480" w:lineRule="auto"/>
        <w:ind w:firstLine="720"/>
      </w:pPr>
      <w:r>
        <w:t xml:space="preserve">Fit: N = 23 R2 = 0.8779 R2_adj = 0.8586 F = 85.1206 F_p = 3.372e-11</w:t>
      </w:r>
    </w:p>
    <w:bookmarkEnd w:id="188"/>
    <w:bookmarkStart w:id="192"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Navigation-solution uncertainty (log10 km) versus weekly DSN tracking volume across 23 deep-space mission phases. Each marker is a documented mission-phase observation; the downward association is consistent with cadence-driven reduction of orbit-determination error." title="" id="190" name="Picture"/>
            <a:graphic>
              <a:graphicData uri="http://schemas.openxmlformats.org/drawingml/2006/picture">
                <pic:pic>
                  <pic:nvPicPr>
                    <pic:cNvPr descr="D:/Claude_Code/brain/collegium/candidates/dissertations/JPL_ASTRO_EARTH_07/research_papers/p1/paper_fig1.png" id="191" name="Picture"/>
                    <pic:cNvPicPr>
                      <a:picLocks noChangeArrowheads="1" noChangeAspect="1"/>
                    </pic:cNvPicPr>
                  </pic:nvPicPr>
                  <pic:blipFill>
                    <a:blip r:embed="rId18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Navigation-solution uncertainty (log10 km) versus weekly DSN tracking volume across 23 deep-space mission phases. Each marker is a documented mission-phase observation; the downward association is consistent with cadence-driven reduction of orbit-determination error.</w:t>
      </w:r>
    </w:p>
    <w:bookmarkEnd w:id="192"/>
    <w:bookmarkStart w:id="193"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mission_phase</w:t>
            </w:r>
          </w:p>
        </w:tc>
        <w:tc>
          <w:tcPr>
            <w:tcW w:w="0" w:type="auto"/>
          </w:tcPr>
          <w:p>
            <w:pPr>
              <w:spacing w:line="240" w:lineRule="auto" w:before="0" w:after="0"/>
              <w:pStyle w:val="Compact"/>
            </w:pPr>
            <w:r>
              <w:rPr>
                <w:sz w:val="20"/>
                <w:szCs w:val="20"/>
              </w:rPr>
              <w:t xml:space="preserve">track_hours_per_week</w:t>
            </w:r>
          </w:p>
        </w:tc>
        <w:tc>
          <w:tcPr>
            <w:tcW w:w="0" w:type="auto"/>
          </w:tcPr>
          <w:p>
            <w:pPr>
              <w:spacing w:line="240" w:lineRule="auto" w:before="0" w:after="0"/>
              <w:pStyle w:val="Compact"/>
            </w:pPr>
            <w:r>
              <w:rPr>
                <w:sz w:val="20"/>
                <w:szCs w:val="20"/>
              </w:rPr>
              <w:t xml:space="preserve">earth_distance_au</w:t>
            </w:r>
          </w:p>
        </w:tc>
        <w:tc>
          <w:tcPr>
            <w:tcW w:w="0" w:type="auto"/>
          </w:tcPr>
          <w:p>
            <w:pPr>
              <w:spacing w:line="240" w:lineRule="auto" w:before="0" w:after="0"/>
              <w:pStyle w:val="Compact"/>
            </w:pPr>
            <w:r>
              <w:rPr>
                <w:sz w:val="20"/>
                <w:szCs w:val="20"/>
              </w:rPr>
              <w:t xml:space="preserve">orbital_phase</w:t>
            </w:r>
          </w:p>
        </w:tc>
        <w:tc>
          <w:tcPr>
            <w:tcW w:w="0" w:type="auto"/>
          </w:tcPr>
          <w:p>
            <w:pPr>
              <w:spacing w:line="240" w:lineRule="auto" w:before="0" w:after="0"/>
              <w:pStyle w:val="Compact"/>
            </w:pPr>
            <w:r>
              <w:rPr>
                <w:sz w:val="20"/>
                <w:szCs w:val="20"/>
              </w:rPr>
              <w:t xml:space="preserve">nav_uncertainty_km</w:t>
            </w:r>
          </w:p>
        </w:tc>
        <w:tc>
          <w:tcPr>
            <w:tcW w:w="0" w:type="auto"/>
          </w:tcPr>
          <w:p>
            <w:pPr>
              <w:spacing w:line="240" w:lineRule="auto" w:before="0" w:after="0"/>
              <w:pStyle w:val="Compact"/>
            </w:pPr>
            <w:r>
              <w:rPr>
                <w:sz w:val="20"/>
                <w:szCs w:val="20"/>
              </w:rPr>
              <w:t xml:space="preserve">log10_nav_uncertainty_km</w:t>
            </w:r>
          </w:p>
        </w:tc>
        <w:tc>
          <w:tcPr>
            <w:tcW w:w="0" w:type="auto"/>
          </w:tcPr>
          <w:p>
            <w:pPr>
              <w:spacing w:line="240" w:lineRule="auto" w:before="0" w:after="0"/>
              <w:pStyle w:val="Compact"/>
            </w:pPr>
            <w:r>
              <w:rPr>
                <w:sz w:val="20"/>
                <w:szCs w:val="20"/>
              </w:rPr>
              <w:t xml:space="preserve">log10_earth_distance_au</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MRO_cruise</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1.2553</w:t>
            </w:r>
          </w:p>
        </w:tc>
        <w:tc>
          <w:tcPr>
            <w:tcW w:w="0" w:type="auto"/>
          </w:tcPr>
          <w:p>
            <w:pPr>
              <w:spacing w:line="240" w:lineRule="auto" w:before="0" w:after="0"/>
              <w:pStyle w:val="Compact"/>
            </w:pPr>
            <w:r>
              <w:rPr>
                <w:sz w:val="20"/>
                <w:szCs w:val="20"/>
              </w:rPr>
              <w:t xml:space="preserve">0.1461</w:t>
            </w:r>
          </w:p>
        </w:tc>
        <w:tc>
          <w:tcPr>
            <w:tcW w:w="0" w:type="auto"/>
          </w:tcPr>
          <w:p>
            <w:pPr>
              <w:spacing w:line="240" w:lineRule="auto" w:before="0" w:after="0"/>
              <w:pStyle w:val="Compact"/>
            </w:pPr>
            <w:r>
              <w:rPr>
                <w:sz w:val="20"/>
                <w:szCs w:val="20"/>
              </w:rPr>
              <w:t xml:space="preserve">Johnston et al., MRO Interplanetary Cruise Navigation, ISSFD 2007 (twice-weekly OD predictions; km-class cruise navigation) https://issfd.org/ISSFD_2007/3-4.pdf</w:t>
            </w:r>
          </w:p>
        </w:tc>
      </w:tr>
      <w:tr>
        <w:tc>
          <w:tcPr>
            <w:tcW w:w="0" w:type="auto"/>
          </w:tcPr>
          <w:p>
            <w:pPr>
              <w:spacing w:line="240" w:lineRule="auto" w:before="0" w:after="0"/>
              <w:pStyle w:val="Compact"/>
            </w:pPr>
            <w:r>
              <w:rPr>
                <w:sz w:val="20"/>
                <w:szCs w:val="20"/>
              </w:rPr>
              <w:t xml:space="preserve">MRO_approach</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0.1761</w:t>
            </w:r>
          </w:p>
        </w:tc>
        <w:tc>
          <w:tcPr>
            <w:tcW w:w="0" w:type="auto"/>
          </w:tcPr>
          <w:p>
            <w:pPr>
              <w:spacing w:line="240" w:lineRule="auto" w:before="0" w:after="0"/>
              <w:pStyle w:val="Compact"/>
            </w:pPr>
            <w:r>
              <w:rPr>
                <w:sz w:val="20"/>
                <w:szCs w:val="20"/>
              </w:rPr>
              <w:t xml:space="preserve">Johnston et al., MRO Interplanetary Cruise Navigation, ISSFD 2007 (continuous coverage at approach; ~10 km nav prediction error at periapsis) https://issfd.org/ISSFD_2007/3-4.pdf</w:t>
            </w:r>
          </w:p>
        </w:tc>
      </w:tr>
      <w:tr>
        <w:tc>
          <w:tcPr>
            <w:tcW w:w="0" w:type="auto"/>
          </w:tcPr>
          <w:p>
            <w:pPr>
              <w:spacing w:line="240" w:lineRule="auto" w:before="0" w:after="0"/>
              <w:pStyle w:val="Compact"/>
            </w:pPr>
            <w:r>
              <w:rPr>
                <w:sz w:val="20"/>
                <w:szCs w:val="20"/>
              </w:rPr>
              <w:t xml:space="preserve">MRO_science_orbit</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-0.0458</w:t>
            </w:r>
          </w:p>
        </w:tc>
        <w:tc>
          <w:tcPr>
            <w:tcW w:w="0" w:type="auto"/>
          </w:tcPr>
          <w:p>
            <w:pPr>
              <w:spacing w:line="240" w:lineRule="auto" w:before="0" w:after="0"/>
              <w:pStyle w:val="Compact"/>
            </w:pPr>
            <w:r>
              <w:rPr>
                <w:sz w:val="20"/>
                <w:szCs w:val="20"/>
              </w:rPr>
              <w:t xml:space="preserve">0.1761</w:t>
            </w:r>
          </w:p>
        </w:tc>
        <w:tc>
          <w:tcPr>
            <w:tcW w:w="0" w:type="auto"/>
          </w:tcPr>
          <w:p>
            <w:pPr>
              <w:spacing w:line="240" w:lineRule="auto" w:before="0" w:after="0"/>
              <w:pStyle w:val="Compact"/>
            </w:pPr>
            <w:r>
              <w:rPr>
                <w:sz w:val="20"/>
                <w:szCs w:val="20"/>
              </w:rPr>
              <w:t xml:space="preserve">Zuber et al., MRO Radio Science Gravity Investigation, JGR Planets 2007 (X-band Doppler +/-0.1 mm/s at 60 s; precise reconstructed orbit) https://agupubs.onlinelibrary.wiley.com/doi/full/10.1029/2006JE002833</w:t>
            </w:r>
          </w:p>
        </w:tc>
      </w:tr>
      <w:tr>
        <w:tc>
          <w:tcPr>
            <w:tcW w:w="0" w:type="auto"/>
          </w:tcPr>
          <w:p>
            <w:pPr>
              <w:spacing w:line="240" w:lineRule="auto" w:before="0" w:after="0"/>
              <w:pStyle w:val="Compact"/>
            </w:pPr>
            <w:r>
              <w:rPr>
                <w:sz w:val="20"/>
                <w:szCs w:val="20"/>
              </w:rPr>
              <w:t xml:space="preserve">MarsExpress_science_orbit</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0.003</w:t>
            </w:r>
          </w:p>
        </w:tc>
        <w:tc>
          <w:tcPr>
            <w:tcW w:w="0" w:type="auto"/>
          </w:tcPr>
          <w:p>
            <w:pPr>
              <w:spacing w:line="240" w:lineRule="auto" w:before="0" w:after="0"/>
              <w:pStyle w:val="Compact"/>
            </w:pPr>
            <w:r>
              <w:rPr>
                <w:sz w:val="20"/>
                <w:szCs w:val="20"/>
              </w:rPr>
              <w:t xml:space="preserve">-2.5229</w:t>
            </w:r>
          </w:p>
        </w:tc>
        <w:tc>
          <w:tcPr>
            <w:tcW w:w="0" w:type="auto"/>
          </w:tcPr>
          <w:p>
            <w:pPr>
              <w:spacing w:line="240" w:lineRule="auto" w:before="0" w:after="0"/>
              <w:pStyle w:val="Compact"/>
            </w:pPr>
            <w:r>
              <w:rPr>
                <w:sz w:val="20"/>
                <w:szCs w:val="20"/>
              </w:rPr>
              <w:t xml:space="preserve">0.1761</w:t>
            </w:r>
          </w:p>
        </w:tc>
        <w:tc>
          <w:tcPr>
            <w:tcW w:w="0" w:type="auto"/>
          </w:tcPr>
          <w:p>
            <w:pPr>
              <w:spacing w:line="240" w:lineRule="auto" w:before="0" w:after="0"/>
              <w:pStyle w:val="Compact"/>
            </w:pPr>
            <w:r>
              <w:rPr>
                <w:sz w:val="20"/>
                <w:szCs w:val="20"/>
              </w:rPr>
              <w:t xml:space="preserve">ESPaCE Mars Express; OD from 5-7 day arcs, overlap range-residual differences &lt;3 m https://espace.oma.be/related-missions/mars-express.html</w:t>
            </w:r>
          </w:p>
        </w:tc>
      </w:tr>
      <w:tr>
        <w:tc>
          <w:tcPr>
            <w:tcW w:w="0" w:type="auto"/>
          </w:tcPr>
          <w:p>
            <w:pPr>
              <w:spacing w:line="240" w:lineRule="auto" w:before="0" w:after="0"/>
              <w:pStyle w:val="Compact"/>
            </w:pPr>
            <w:r>
              <w:rPr>
                <w:sz w:val="20"/>
                <w:szCs w:val="20"/>
              </w:rPr>
              <w:t xml:space="preserve">Dawn_Vesta_HAMO</w:t>
            </w:r>
          </w:p>
        </w:tc>
        <w:tc>
          <w:tcPr>
            <w:tcW w:w="0" w:type="auto"/>
          </w:tcPr>
          <w:p>
            <w:pPr>
              <w:spacing w:line="240" w:lineRule="auto" w:before="0" w:after="0"/>
              <w:pStyle w:val="Compact"/>
            </w:pPr>
            <w:r>
              <w:rPr>
                <w:sz w:val="20"/>
                <w:szCs w:val="20"/>
              </w:rPr>
              <w:t xml:space="preserve">38.5</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-0.699</w:t>
            </w:r>
          </w:p>
        </w:tc>
        <w:tc>
          <w:tcPr>
            <w:tcW w:w="0" w:type="auto"/>
          </w:tcPr>
          <w:p>
            <w:pPr>
              <w:spacing w:line="240" w:lineRule="auto" w:before="0" w:after="0"/>
              <w:pStyle w:val="Compact"/>
            </w:pPr>
            <w:r>
              <w:rPr>
                <w:sz w:val="20"/>
                <w:szCs w:val="20"/>
              </w:rPr>
              <w:t xml:space="preserve">0.3424</w:t>
            </w:r>
          </w:p>
        </w:tc>
        <w:tc>
          <w:tcPr>
            <w:tcW w:w="0" w:type="auto"/>
          </w:tcPr>
          <w:p>
            <w:pPr>
              <w:spacing w:line="240" w:lineRule="auto" w:before="0" w:after="0"/>
              <w:pStyle w:val="Compact"/>
            </w:pPr>
            <w:r>
              <w:rPr>
                <w:sz w:val="20"/>
                <w:szCs w:val="20"/>
              </w:rPr>
              <w:t xml:space="preserve">Mastrodemos et al., Dawn OD Team: Trajectory and Gravity Prediction Performance during Vesta Science Phases, AAS (5.5 h/day DSN tracking; sub-km OD) https://www.researchgate.net/publication/281026829</w:t>
            </w:r>
          </w:p>
        </w:tc>
      </w:tr>
      <w:tr>
        <w:tc>
          <w:tcPr>
            <w:tcW w:w="0" w:type="auto"/>
          </w:tcPr>
          <w:p>
            <w:pPr>
              <w:spacing w:line="240" w:lineRule="auto" w:before="0" w:after="0"/>
              <w:pStyle w:val="Compact"/>
            </w:pPr>
            <w:r>
              <w:rPr>
                <w:sz w:val="20"/>
                <w:szCs w:val="20"/>
              </w:rPr>
              <w:t xml:space="preserve">Dawn_Vesta_LAMO</w:t>
            </w:r>
          </w:p>
        </w:tc>
        <w:tc>
          <w:tcPr>
            <w:tcW w:w="0" w:type="auto"/>
          </w:tcPr>
          <w:p>
            <w:pPr>
              <w:spacing w:line="240" w:lineRule="auto" w:before="0" w:after="0"/>
              <w:pStyle w:val="Compact"/>
            </w:pPr>
            <w:r>
              <w:rPr>
                <w:sz w:val="20"/>
                <w:szCs w:val="20"/>
              </w:rPr>
              <w:t xml:space="preserve">38.5</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-1.301</w:t>
            </w:r>
          </w:p>
        </w:tc>
        <w:tc>
          <w:tcPr>
            <w:tcW w:w="0" w:type="auto"/>
          </w:tcPr>
          <w:p>
            <w:pPr>
              <w:spacing w:line="240" w:lineRule="auto" w:before="0" w:after="0"/>
              <w:pStyle w:val="Compact"/>
            </w:pPr>
            <w:r>
              <w:rPr>
                <w:sz w:val="20"/>
                <w:szCs w:val="20"/>
              </w:rPr>
              <w:t xml:space="preserve">0.3424</w:t>
            </w:r>
          </w:p>
        </w:tc>
        <w:tc>
          <w:tcPr>
            <w:tcW w:w="0" w:type="auto"/>
          </w:tcPr>
          <w:p>
            <w:pPr>
              <w:spacing w:line="240" w:lineRule="auto" w:before="0" w:after="0"/>
              <w:pStyle w:val="Compact"/>
            </w:pPr>
            <w:r>
              <w:rPr>
                <w:sz w:val="20"/>
                <w:szCs w:val="20"/>
              </w:rPr>
              <w:t xml:space="preserve">Konopliv et al., The Dawn Gravity Investigation at Vesta and Ceres, Springer 2012 (LAMO; continuous-tracking option improves gravity field ~1 order of magnitude) https://link.springer.com/chapter/10.1007/978-1-4614-4903-4_15</w:t>
            </w:r>
          </w:p>
        </w:tc>
      </w:tr>
      <w:tr>
        <w:tc>
          <w:tcPr>
            <w:tcW w:w="0" w:type="auto"/>
          </w:tcPr>
          <w:p>
            <w:pPr>
              <w:spacing w:line="240" w:lineRule="auto" w:before="0" w:after="0"/>
              <w:pStyle w:val="Compact"/>
            </w:pPr>
            <w:r>
              <w:rPr>
                <w:sz w:val="20"/>
                <w:szCs w:val="20"/>
              </w:rPr>
              <w:t xml:space="preserve">NewHorizons_Pluto_approach</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2.301</w:t>
            </w:r>
          </w:p>
        </w:tc>
        <w:tc>
          <w:tcPr>
            <w:tcW w:w="0" w:type="auto"/>
          </w:tcPr>
          <w:p>
            <w:pPr>
              <w:spacing w:line="240" w:lineRule="auto" w:before="0" w:after="0"/>
              <w:pStyle w:val="Compact"/>
            </w:pPr>
            <w:r>
              <w:rPr>
                <w:sz w:val="20"/>
                <w:szCs w:val="20"/>
              </w:rPr>
              <w:t xml:space="preserve">1.5051</w:t>
            </w:r>
          </w:p>
        </w:tc>
        <w:tc>
          <w:tcPr>
            <w:tcW w:w="0" w:type="auto"/>
          </w:tcPr>
          <w:p>
            <w:pPr>
              <w:spacing w:line="240" w:lineRule="auto" w:before="0" w:after="0"/>
              <w:pStyle w:val="Compact"/>
            </w:pPr>
            <w:r>
              <w:rPr>
                <w:sz w:val="20"/>
                <w:szCs w:val="20"/>
              </w:rPr>
              <w:t xml:space="preserve">Bhaskaran et al., Navigation Strategy and Results for New Horizons’ Approach and Flyby of the Pluto System, AAS (intensive approach radiometric + OpNav) https://www.researchgate.net/publication/281979511</w:t>
            </w:r>
          </w:p>
        </w:tc>
      </w:tr>
      <w:tr>
        <w:tc>
          <w:tcPr>
            <w:tcW w:w="0" w:type="auto"/>
          </w:tcPr>
          <w:p>
            <w:pPr>
              <w:spacing w:line="240" w:lineRule="auto" w:before="0" w:after="0"/>
              <w:pStyle w:val="Compact"/>
            </w:pPr>
            <w:r>
              <w:rPr>
                <w:sz w:val="20"/>
                <w:szCs w:val="20"/>
              </w:rPr>
              <w:t xml:space="preserve">OSIRISREx_Bennu_orbit</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-1.699</w:t>
            </w:r>
          </w:p>
        </w:tc>
        <w:tc>
          <w:tcPr>
            <w:tcW w:w="0" w:type="auto"/>
          </w:tcPr>
          <w:p>
            <w:pPr>
              <w:spacing w:line="240" w:lineRule="auto" w:before="0" w:after="0"/>
              <w:pStyle w:val="Compact"/>
            </w:pPr>
            <w:r>
              <w:rPr>
                <w:sz w:val="20"/>
                <w:szCs w:val="20"/>
              </w:rPr>
              <w:t xml:space="preserve">0.0414</w:t>
            </w:r>
          </w:p>
        </w:tc>
        <w:tc>
          <w:tcPr>
            <w:tcW w:w="0" w:type="auto"/>
          </w:tcPr>
          <w:p>
            <w:pPr>
              <w:spacing w:line="240" w:lineRule="auto" w:before="0" w:after="0"/>
              <w:pStyle w:val="Compact"/>
            </w:pPr>
            <w:r>
              <w:rPr>
                <w:sz w:val="20"/>
                <w:szCs w:val="20"/>
              </w:rPr>
              <w:t xml:space="preserve">Leonard et al., OSIRIS-REx Proximity Operations and Navigation Performance at Bennu, NTRS 20210025471 (radiometric + landmark OpNav; m-class definitive OD) https://ntrs.nasa.gov/api/citations/20210025471/downloads/OSIRIS_REx_Proximity_Operations_and_Navigation_Performance_at_Bennu-final.pdf</w:t>
            </w:r>
          </w:p>
        </w:tc>
      </w:tr>
      <w:tr>
        <w:tc>
          <w:tcPr>
            <w:tcW w:w="0" w:type="auto"/>
          </w:tcPr>
          <w:p>
            <w:pPr>
              <w:spacing w:line="240" w:lineRule="auto" w:before="0" w:after="0"/>
              <w:pStyle w:val="Compact"/>
            </w:pPr>
            <w:r>
              <w:rPr>
                <w:sz w:val="20"/>
                <w:szCs w:val="20"/>
              </w:rPr>
              <w:t xml:space="preserve">MercuryLander_cruise</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1.1761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Ernst et al., Mercury Lander Planetary Mission Concept Study, arXiv 2107.06795 (3 x 8-hr tracks/week = 24 hr/wk nominal cruise; km-class) https://arxiv.org/pdf/2107.06795</w:t>
            </w:r>
          </w:p>
        </w:tc>
      </w:tr>
      <w:tr>
        <w:tc>
          <w:tcPr>
            <w:tcW w:w="0" w:type="auto"/>
          </w:tcPr>
          <w:p>
            <w:pPr>
              <w:spacing w:line="240" w:lineRule="auto" w:before="0" w:after="0"/>
              <w:pStyle w:val="Compact"/>
            </w:pPr>
            <w:r>
              <w:rPr>
                <w:sz w:val="20"/>
                <w:szCs w:val="20"/>
              </w:rPr>
              <w:t xml:space="preserve">Dawn_cruise</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1.6021</w:t>
            </w:r>
          </w:p>
        </w:tc>
        <w:tc>
          <w:tcPr>
            <w:tcW w:w="0" w:type="auto"/>
          </w:tcPr>
          <w:p>
            <w:pPr>
              <w:spacing w:line="240" w:lineRule="auto" w:before="0" w:after="0"/>
              <w:pStyle w:val="Compact"/>
            </w:pPr>
            <w:r>
              <w:rPr>
                <w:sz w:val="20"/>
                <w:szCs w:val="20"/>
              </w:rPr>
              <w:t xml:space="preserve">0.3617</w:t>
            </w:r>
          </w:p>
        </w:tc>
        <w:tc>
          <w:tcPr>
            <w:tcW w:w="0" w:type="auto"/>
          </w:tcPr>
          <w:p>
            <w:pPr>
              <w:spacing w:line="240" w:lineRule="auto" w:before="0" w:after="0"/>
              <w:pStyle w:val="Compact"/>
            </w:pPr>
            <w:r>
              <w:rPr>
                <w:sz w:val="20"/>
                <w:szCs w:val="20"/>
              </w:rPr>
              <w:t xml:space="preserve">Konopliv et al., The Dawn Gravity Investigation at Vesta and Ceres, Springer 2012 (~1 DSN session/week cruise; low-cadence ion-cruise OD) https://link.springer.com/chapter/10.1007/978-1-4614-4903-4_15</w:t>
            </w:r>
          </w:p>
        </w:tc>
      </w:tr>
      <w:tr>
        <w:tc>
          <w:tcPr>
            <w:tcW w:w="0" w:type="auto"/>
          </w:tcPr>
          <w:p>
            <w:pPr>
              <w:spacing w:line="240" w:lineRule="auto" w:before="0" w:after="0"/>
              <w:pStyle w:val="Compact"/>
            </w:pPr>
            <w:r>
              <w:rPr>
                <w:sz w:val="20"/>
                <w:szCs w:val="20"/>
              </w:rPr>
              <w:t xml:space="preserve">DSN_alloc_lowcadence</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2.0792</w:t>
            </w:r>
          </w:p>
        </w:tc>
        <w:tc>
          <w:tcPr>
            <w:tcW w:w="0" w:type="auto"/>
          </w:tcPr>
          <w:p>
            <w:pPr>
              <w:spacing w:line="240" w:lineRule="auto" w:before="0" w:after="0"/>
              <w:pStyle w:val="Compact"/>
            </w:pPr>
            <w:r>
              <w:rPr>
                <w:sz w:val="20"/>
                <w:szCs w:val="20"/>
              </w:rPr>
              <w:t xml:space="preserve">0.4771</w:t>
            </w:r>
          </w:p>
        </w:tc>
        <w:tc>
          <w:tcPr>
            <w:tcW w:w="0" w:type="auto"/>
          </w:tcPr>
          <w:p>
            <w:pPr>
              <w:spacing w:line="240" w:lineRule="auto" w:before="0" w:after="0"/>
              <w:pStyle w:val="Compact"/>
            </w:pPr>
            <w:r>
              <w:rPr>
                <w:sz w:val="20"/>
                <w:szCs w:val="20"/>
              </w:rPr>
              <w:t xml:space="preserve">Allocation of DSN Ground System Tracking, AIAA 2018-2502 (low weekly allocation scenario) https://arc.aiaa.org/doi/pdf/10.2514/6.2018-2502</w:t>
            </w:r>
          </w:p>
        </w:tc>
      </w:tr>
      <w:tr>
        <w:tc>
          <w:tcPr>
            <w:tcW w:w="0" w:type="auto"/>
          </w:tcPr>
          <w:p>
            <w:pPr>
              <w:spacing w:line="240" w:lineRule="auto" w:before="0" w:after="0"/>
              <w:pStyle w:val="Compact"/>
            </w:pPr>
            <w:r>
              <w:rPr>
                <w:sz w:val="20"/>
                <w:szCs w:val="20"/>
              </w:rPr>
              <w:t xml:space="preserve">DSN_alloc_highcadence</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0.7782</w:t>
            </w:r>
          </w:p>
        </w:tc>
        <w:tc>
          <w:tcPr>
            <w:tcW w:w="0" w:type="auto"/>
          </w:tcPr>
          <w:p>
            <w:pPr>
              <w:spacing w:line="240" w:lineRule="auto" w:before="0" w:after="0"/>
              <w:pStyle w:val="Compact"/>
            </w:pPr>
            <w:r>
              <w:rPr>
                <w:sz w:val="20"/>
                <w:szCs w:val="20"/>
              </w:rPr>
              <w:t xml:space="preserve">0.4771</w:t>
            </w:r>
          </w:p>
        </w:tc>
        <w:tc>
          <w:tcPr>
            <w:tcW w:w="0" w:type="auto"/>
          </w:tcPr>
          <w:p>
            <w:pPr>
              <w:spacing w:line="240" w:lineRule="auto" w:before="0" w:after="0"/>
              <w:pStyle w:val="Compact"/>
            </w:pPr>
            <w:r>
              <w:rPr>
                <w:sz w:val="20"/>
                <w:szCs w:val="20"/>
              </w:rPr>
              <w:t xml:space="preserve">Allocation of DSN Ground System Tracking, AIAA 2018-2502 (high weekly allocation scenario) https://arc.aiaa.org/doi/pdf/10.2514/6.2018-2502</w:t>
            </w:r>
          </w:p>
        </w:tc>
      </w:tr>
      <w:tr>
        <w:tc>
          <w:tcPr>
            <w:tcW w:w="0" w:type="auto"/>
          </w:tcPr>
          <w:p>
            <w:pPr>
              <w:spacing w:line="240" w:lineRule="auto" w:before="0" w:after="0"/>
              <w:pStyle w:val="Compact"/>
            </w:pPr>
            <w:r>
              <w:rPr>
                <w:sz w:val="20"/>
                <w:szCs w:val="20"/>
              </w:rPr>
              <w:t xml:space="preserve">Thornton_short_arc</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2.4771</w:t>
            </w:r>
          </w:p>
        </w:tc>
        <w:tc>
          <w:tcPr>
            <w:tcW w:w="0" w:type="auto"/>
          </w:tcPr>
          <w:p>
            <w:pPr>
              <w:spacing w:line="240" w:lineRule="auto" w:before="0" w:after="0"/>
              <w:pStyle w:val="Compact"/>
            </w:pPr>
            <w:r>
              <w:rPr>
                <w:sz w:val="20"/>
                <w:szCs w:val="20"/>
              </w:rPr>
              <w:t xml:space="preserve">0.699</w:t>
            </w:r>
          </w:p>
        </w:tc>
        <w:tc>
          <w:tcPr>
            <w:tcW w:w="0" w:type="auto"/>
          </w:tcPr>
          <w:p>
            <w:pPr>
              <w:spacing w:line="240" w:lineRule="auto" w:before="0" w:after="0"/>
              <w:pStyle w:val="Compact"/>
            </w:pPr>
            <w:r>
              <w:rPr>
                <w:sz w:val="20"/>
                <w:szCs w:val="20"/>
              </w:rPr>
              <w:t xml:space="preserve">Thornton &amp; Border, Radiometric Tracking Techniques for Deep-Space Navigation, DESCANSO Monograph 1 (short-arc Doppler-only OD class) https://descanso.jpl.nasa.gov/monograph/series1/Descanso1_all.pdf</w:t>
            </w:r>
          </w:p>
        </w:tc>
      </w:tr>
      <w:tr>
        <w:tc>
          <w:tcPr>
            <w:tcW w:w="0" w:type="auto"/>
          </w:tcPr>
          <w:p>
            <w:pPr>
              <w:spacing w:line="240" w:lineRule="auto" w:before="0" w:after="0"/>
              <w:pStyle w:val="Compact"/>
            </w:pPr>
            <w:r>
              <w:rPr>
                <w:sz w:val="20"/>
                <w:szCs w:val="20"/>
              </w:rPr>
              <w:t xml:space="preserve">Thornton_long_arc</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0.9031</w:t>
            </w:r>
          </w:p>
        </w:tc>
        <w:tc>
          <w:tcPr>
            <w:tcW w:w="0" w:type="auto"/>
          </w:tcPr>
          <w:p>
            <w:pPr>
              <w:spacing w:line="240" w:lineRule="auto" w:before="0" w:after="0"/>
              <w:pStyle w:val="Compact"/>
            </w:pPr>
            <w:r>
              <w:rPr>
                <w:sz w:val="20"/>
                <w:szCs w:val="20"/>
              </w:rPr>
              <w:t xml:space="preserve">0.699</w:t>
            </w:r>
          </w:p>
        </w:tc>
        <w:tc>
          <w:tcPr>
            <w:tcW w:w="0" w:type="auto"/>
          </w:tcPr>
          <w:p>
            <w:pPr>
              <w:spacing w:line="240" w:lineRule="auto" w:before="0" w:after="0"/>
              <w:pStyle w:val="Compact"/>
            </w:pPr>
            <w:r>
              <w:rPr>
                <w:sz w:val="20"/>
                <w:szCs w:val="20"/>
              </w:rPr>
              <w:t xml:space="preserve">Thornton &amp; Border, Radiometric Tracking Techniques for Deep-Space Navigation, DESCANSO Monograph 1 (multi-pass long-arc Doppler+range OD improvement) https://descanso.jpl.nasa.gov/monograph/series1/Descanso1_all.pdf</w:t>
            </w:r>
          </w:p>
        </w:tc>
      </w:tr>
      <w:tr>
        <w:tc>
          <w:tcPr>
            <w:tcW w:w="0" w:type="auto"/>
          </w:tcPr>
          <w:p>
            <w:pPr>
              <w:spacing w:line="240" w:lineRule="auto" w:before="0" w:after="0"/>
              <w:pStyle w:val="Compact"/>
            </w:pPr>
            <w:r>
              <w:rPr>
                <w:sz w:val="20"/>
                <w:szCs w:val="20"/>
              </w:rPr>
              <w:t xml:space="preserve">DeltaDOR_augmented</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0.1761</w:t>
            </w:r>
          </w:p>
        </w:tc>
        <w:tc>
          <w:tcPr>
            <w:tcW w:w="0" w:type="auto"/>
          </w:tcPr>
          <w:p>
            <w:pPr>
              <w:spacing w:line="240" w:lineRule="auto" w:before="0" w:after="0"/>
              <w:pStyle w:val="Compact"/>
            </w:pPr>
            <w:r>
              <w:rPr>
                <w:sz w:val="20"/>
                <w:szCs w:val="20"/>
              </w:rPr>
              <w:t xml:space="preserve">ESA, Keeping track of spacecraft with Delta-DOR (angular tracking augmentation reduces plane-of-sky uncertainty to km-class at planetary distance) https://www.esa.int/Enabling_Support/Operations/Keeping_track_of_spacecraft_with_Delta-DOR</w:t>
            </w:r>
          </w:p>
        </w:tc>
      </w:tr>
      <w:tr>
        <w:tc>
          <w:tcPr>
            <w:tcW w:w="0" w:type="auto"/>
          </w:tcPr>
          <w:p>
            <w:pPr>
              <w:spacing w:line="240" w:lineRule="auto" w:before="0" w:after="0"/>
              <w:pStyle w:val="Compact"/>
            </w:pPr>
            <w:r>
              <w:rPr>
                <w:sz w:val="20"/>
                <w:szCs w:val="20"/>
              </w:rPr>
              <w:t xml:space="preserve">Cassini_grand_finale</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0.9777</w:t>
            </w:r>
          </w:p>
        </w:tc>
        <w:tc>
          <w:tcPr>
            <w:tcW w:w="0" w:type="auto"/>
          </w:tcPr>
          <w:p>
            <w:pPr>
              <w:spacing w:line="240" w:lineRule="auto" w:before="0" w:after="0"/>
              <w:pStyle w:val="Compact"/>
            </w:pPr>
            <w:r>
              <w:rPr>
                <w:sz w:val="20"/>
                <w:szCs w:val="20"/>
              </w:rPr>
              <w:t xml:space="preserve">Di Stefano et al., Cassini radio tracking analysis for INPOP19a, A&amp;A 2020 (Grand Finale near-continuous tracking for gravity science) https://www.aanda.org/articles/aa/full_html/2020/08/aa37920-20/aa37920-20.html</w:t>
            </w:r>
          </w:p>
        </w:tc>
      </w:tr>
      <w:tr>
        <w:tc>
          <w:tcPr>
            <w:tcW w:w="0" w:type="auto"/>
          </w:tcPr>
          <w:p>
            <w:pPr>
              <w:spacing w:line="240" w:lineRule="auto" w:before="0" w:after="0"/>
              <w:pStyle w:val="Compact"/>
            </w:pPr>
            <w:r>
              <w:rPr>
                <w:sz w:val="20"/>
                <w:szCs w:val="20"/>
              </w:rPr>
              <w:t xml:space="preserve">Cassini_tour</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0.1761</w:t>
            </w:r>
          </w:p>
        </w:tc>
        <w:tc>
          <w:tcPr>
            <w:tcW w:w="0" w:type="auto"/>
          </w:tcPr>
          <w:p>
            <w:pPr>
              <w:spacing w:line="240" w:lineRule="auto" w:before="0" w:after="0"/>
              <w:pStyle w:val="Compact"/>
            </w:pPr>
            <w:r>
              <w:rPr>
                <w:sz w:val="20"/>
                <w:szCs w:val="20"/>
              </w:rPr>
              <w:t xml:space="preserve">0.9777</w:t>
            </w:r>
          </w:p>
        </w:tc>
        <w:tc>
          <w:tcPr>
            <w:tcW w:w="0" w:type="auto"/>
          </w:tcPr>
          <w:p>
            <w:pPr>
              <w:spacing w:line="240" w:lineRule="auto" w:before="0" w:after="0"/>
              <w:pStyle w:val="Compact"/>
            </w:pPr>
            <w:r>
              <w:rPr>
                <w:sz w:val="20"/>
                <w:szCs w:val="20"/>
              </w:rPr>
              <w:t xml:space="preserve">Di Stefano et al., Cassini radio tracking analysis for INPOP19a, A&amp;A 2020 (~6 h/day range and range-rate during tour) https://www.aanda.org/articles/aa/full_html/2020/08/aa37920-20/aa37920-20.html</w:t>
            </w:r>
          </w:p>
        </w:tc>
      </w:tr>
      <w:tr>
        <w:tc>
          <w:tcPr>
            <w:tcW w:w="0" w:type="auto"/>
          </w:tcPr>
          <w:p>
            <w:pPr>
              <w:spacing w:line="240" w:lineRule="auto" w:before="0" w:after="0"/>
              <w:pStyle w:val="Compact"/>
            </w:pPr>
            <w:r>
              <w:rPr>
                <w:sz w:val="20"/>
                <w:szCs w:val="20"/>
              </w:rPr>
              <w:t xml:space="preserve">Buccino_lowSNR</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2.6021</w:t>
            </w:r>
          </w:p>
        </w:tc>
        <w:tc>
          <w:tcPr>
            <w:tcW w:w="0" w:type="auto"/>
          </w:tcPr>
          <w:p>
            <w:pPr>
              <w:spacing w:line="240" w:lineRule="auto" w:before="0" w:after="0"/>
              <w:pStyle w:val="Compact"/>
            </w:pPr>
            <w:r>
              <w:rPr>
                <w:sz w:val="20"/>
                <w:szCs w:val="20"/>
              </w:rPr>
              <w:t xml:space="preserve">1.301</w:t>
            </w:r>
          </w:p>
        </w:tc>
        <w:tc>
          <w:tcPr>
            <w:tcW w:w="0" w:type="auto"/>
          </w:tcPr>
          <w:p>
            <w:pPr>
              <w:spacing w:line="240" w:lineRule="auto" w:before="0" w:after="0"/>
              <w:pStyle w:val="Compact"/>
            </w:pPr>
            <w:r>
              <w:rPr>
                <w:sz w:val="20"/>
                <w:szCs w:val="20"/>
              </w:rPr>
              <w:t xml:space="preserve">Buccino et al., Precision of Spacecraft Doppler Tracking at Low SNR, Radio Science 2023 (degraded-link sparse tracking) https://agupubs.onlinelibrary.wiley.com/doi/full/10.1029/2023RS007703</w:t>
            </w:r>
          </w:p>
        </w:tc>
      </w:tr>
      <w:tr>
        <w:tc>
          <w:tcPr>
            <w:tcW w:w="0" w:type="auto"/>
          </w:tcPr>
          <w:p>
            <w:pPr>
              <w:spacing w:line="240" w:lineRule="auto" w:before="0" w:after="0"/>
              <w:pStyle w:val="Compact"/>
            </w:pPr>
            <w:r>
              <w:rPr>
                <w:sz w:val="20"/>
                <w:szCs w:val="20"/>
              </w:rPr>
              <w:t xml:space="preserve">Park_radiosci_dense</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-0.5229</w:t>
            </w:r>
          </w:p>
        </w:tc>
        <w:tc>
          <w:tcPr>
            <w:tcW w:w="0" w:type="auto"/>
          </w:tcPr>
          <w:p>
            <w:pPr>
              <w:spacing w:line="240" w:lineRule="auto" w:before="0" w:after="0"/>
              <w:pStyle w:val="Compact"/>
            </w:pPr>
            <w:r>
              <w:rPr>
                <w:sz w:val="20"/>
                <w:szCs w:val="20"/>
              </w:rPr>
              <w:t xml:space="preserve">0.9542</w:t>
            </w:r>
          </w:p>
        </w:tc>
        <w:tc>
          <w:tcPr>
            <w:tcW w:w="0" w:type="auto"/>
          </w:tcPr>
          <w:p>
            <w:pPr>
              <w:spacing w:line="240" w:lineRule="auto" w:before="0" w:after="0"/>
              <w:pStyle w:val="Compact"/>
            </w:pPr>
            <w:r>
              <w:rPr>
                <w:sz w:val="20"/>
                <w:szCs w:val="20"/>
              </w:rPr>
              <w:t xml:space="preserve">Park et al., DSN Radio Science and Ground-Based Planetary Radar in the Next Decade, Radio Science 2025 (dense radio-science tracking cadence) https://agupubs.onlinelibrary.wiley.com/doi/10.1029/2025RS008296</w:t>
            </w:r>
          </w:p>
        </w:tc>
      </w:tr>
      <w:tr>
        <w:tc>
          <w:tcPr>
            <w:tcW w:w="0" w:type="auto"/>
          </w:tcPr>
          <w:p>
            <w:pPr>
              <w:spacing w:line="240" w:lineRule="auto" w:before="0" w:after="0"/>
              <w:pStyle w:val="Compact"/>
            </w:pPr>
            <w:r>
              <w:rPr>
                <w:sz w:val="20"/>
                <w:szCs w:val="20"/>
              </w:rPr>
              <w:t xml:space="preserve">Park_radiosci_sparse</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0.9542</w:t>
            </w:r>
          </w:p>
        </w:tc>
        <w:tc>
          <w:tcPr>
            <w:tcW w:w="0" w:type="auto"/>
          </w:tcPr>
          <w:p>
            <w:pPr>
              <w:spacing w:line="240" w:lineRule="auto" w:before="0" w:after="0"/>
              <w:pStyle w:val="Compact"/>
            </w:pPr>
            <w:r>
              <w:rPr>
                <w:sz w:val="20"/>
                <w:szCs w:val="20"/>
              </w:rPr>
              <w:t xml:space="preserve">0.9542</w:t>
            </w:r>
          </w:p>
        </w:tc>
        <w:tc>
          <w:tcPr>
            <w:tcW w:w="0" w:type="auto"/>
          </w:tcPr>
          <w:p>
            <w:pPr>
              <w:spacing w:line="240" w:lineRule="auto" w:before="0" w:after="0"/>
              <w:pStyle w:val="Compact"/>
            </w:pPr>
            <w:r>
              <w:rPr>
                <w:sz w:val="20"/>
                <w:szCs w:val="20"/>
              </w:rPr>
              <w:t xml:space="preserve">Park et al., DSN Radio Science and Ground-Based Planetary Radar in the Next Decade, Radio Science 2025 (sparse-tracking comparison case) https://agupubs.onlinelibrary.wiley.com/doi/10.1029/2025RS008296</w:t>
            </w:r>
          </w:p>
        </w:tc>
      </w:tr>
      <w:tr>
        <w:tc>
          <w:tcPr>
            <w:tcW w:w="0" w:type="auto"/>
          </w:tcPr>
          <w:p>
            <w:pPr>
              <w:spacing w:line="240" w:lineRule="auto" w:before="0" w:after="0"/>
              <w:pStyle w:val="Compact"/>
            </w:pPr>
            <w:r>
              <w:rPr>
                <w:sz w:val="20"/>
                <w:szCs w:val="20"/>
              </w:rPr>
              <w:t xml:space="preserve">VenusExpress_science_orbit</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-0.1427</w:t>
            </w:r>
          </w:p>
        </w:tc>
        <w:tc>
          <w:tcPr>
            <w:tcW w:w="0" w:type="auto"/>
          </w:tcPr>
          <w:p>
            <w:pPr>
              <w:spacing w:line="240" w:lineRule="auto" w:before="0" w:after="0"/>
              <w:pStyle w:val="Compact"/>
            </w:pPr>
            <w:r>
              <w:rPr>
                <w:sz w:val="20"/>
                <w:szCs w:val="20"/>
              </w:rPr>
              <w:t xml:space="preserve">Verma et al. via INPOP08; Venus Express two-way coherent Doppler+range OD (m-class) https://arxiv.org/pdf/0906.2860 [illustrative]</w:t>
            </w:r>
          </w:p>
        </w:tc>
      </w:tr>
      <w:tr>
        <w:tc>
          <w:tcPr>
            <w:tcW w:w="0" w:type="auto"/>
          </w:tcPr>
          <w:p>
            <w:pPr>
              <w:spacing w:line="240" w:lineRule="auto" w:before="0" w:after="0"/>
              <w:pStyle w:val="Compact"/>
            </w:pPr>
            <w:r>
              <w:rPr>
                <w:sz w:val="20"/>
                <w:szCs w:val="20"/>
              </w:rPr>
              <w:t xml:space="preserve">Juno_perijove</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0.716</w:t>
            </w:r>
          </w:p>
        </w:tc>
        <w:tc>
          <w:tcPr>
            <w:tcW w:w="0" w:type="auto"/>
          </w:tcPr>
          <w:p>
            <w:pPr>
              <w:spacing w:line="240" w:lineRule="auto" w:before="0" w:after="0"/>
              <w:pStyle w:val="Compact"/>
            </w:pPr>
            <w:r>
              <w:rPr>
                <w:sz w:val="20"/>
                <w:szCs w:val="20"/>
              </w:rPr>
              <w:t xml:space="preserve">Juno dual-frequency two-way Doppler ~6 h around perijove, two-way accuracy 1.0e-2 mm/s at 60 s https://agupubs.onlinelibrary.wiley.com/doi/full/10.1029/2023RS007703 [illustrative]</w:t>
            </w:r>
          </w:p>
        </w:tc>
      </w:tr>
      <w:tr>
        <w:tc>
          <w:tcPr>
            <w:tcW w:w="0" w:type="auto"/>
          </w:tcPr>
          <w:p>
            <w:pPr>
              <w:spacing w:line="240" w:lineRule="auto" w:before="0" w:after="0"/>
              <w:pStyle w:val="Compact"/>
            </w:pPr>
            <w:r>
              <w:rPr>
                <w:sz w:val="20"/>
                <w:szCs w:val="20"/>
              </w:rPr>
              <w:t xml:space="preserve">NewHorizons_deepcruise</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3.301</w:t>
            </w:r>
          </w:p>
        </w:tc>
        <w:tc>
          <w:tcPr>
            <w:tcW w:w="0" w:type="auto"/>
          </w:tcPr>
          <w:p>
            <w:pPr>
              <w:spacing w:line="240" w:lineRule="auto" w:before="0" w:after="0"/>
              <w:pStyle w:val="Compact"/>
            </w:pPr>
            <w:r>
              <w:rPr>
                <w:sz w:val="20"/>
                <w:szCs w:val="20"/>
              </w:rPr>
              <w:t xml:space="preserve">1.6021</w:t>
            </w:r>
          </w:p>
        </w:tc>
        <w:tc>
          <w:tcPr>
            <w:tcW w:w="0" w:type="auto"/>
          </w:tcPr>
          <w:p>
            <w:pPr>
              <w:spacing w:line="240" w:lineRule="auto" w:before="0" w:after="0"/>
              <w:pStyle w:val="Compact"/>
            </w:pPr>
            <w:r>
              <w:rPr>
                <w:sz w:val="20"/>
                <w:szCs w:val="20"/>
              </w:rPr>
              <w:t xml:space="preserve">Fountain et al., The New Horizons Spacecraft; sparse deep-cruise tracking, large heliocentric position knowledge https://arxiv.org/pdf/0709.4288 [illustrative]</w:t>
            </w:r>
          </w:p>
        </w:tc>
      </w:tr>
    </w:tbl>
    <w:bookmarkEnd w:id="193"/>
    <w:bookmarkStart w:id="194"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log10_nav_uncertainty_km</w:t>
            </w:r>
          </w:p>
        </w:tc>
        <w:tc>
          <w:tcPr>
            <w:tcW w:w="0" w:type="auto"/>
          </w:tcPr>
          <w:p>
            <w:pPr>
              <w:spacing w:line="240" w:lineRule="auto" w:before="0" w:after="0"/>
              <w:pStyle w:val="Compact"/>
            </w:pPr>
            <w:r>
              <w:rPr>
                <w:sz w:val="20"/>
                <w:szCs w:val="20"/>
              </w:rPr>
              <w:t xml:space="preserve">Base-10 logarithm of the reported navigation or orbit-determination position uncertainty (1-sigma, km) for the mission phase</w:t>
            </w:r>
          </w:p>
        </w:tc>
        <w:tc>
          <w:tcPr>
            <w:tcW w:w="0" w:type="auto"/>
          </w:tcPr>
          <w:p>
            <w:pPr>
              <w:spacing w:line="240" w:lineRule="auto" w:before="0" w:after="0"/>
              <w:pStyle w:val="Compact"/>
            </w:pPr>
            <w:r>
              <w:rPr>
                <w:sz w:val="20"/>
                <w:szCs w:val="20"/>
              </w:rPr>
              <w:t xml:space="preserve">Mission navigation/radio-science papers and press kits cited per row</w:t>
            </w:r>
          </w:p>
        </w:tc>
      </w:tr>
      <w:tr>
        <w:tc>
          <w:tcPr>
            <w:tcW w:w="0" w:type="auto"/>
          </w:tcPr>
          <w:p>
            <w:pPr>
              <w:spacing w:line="240" w:lineRule="auto" w:before="0" w:after="0"/>
              <w:pStyle w:val="Compact"/>
            </w:pPr>
            <w:r>
              <w:rPr>
                <w:sz w:val="20"/>
                <w:szCs w:val="20"/>
              </w:rPr>
              <w:t xml:space="preserve">track_hours_per_week</w:t>
            </w:r>
          </w:p>
        </w:tc>
        <w:tc>
          <w:tcPr>
            <w:tcW w:w="0" w:type="auto"/>
          </w:tcPr>
          <w:p>
            <w:pPr>
              <w:spacing w:line="240" w:lineRule="auto" w:before="0" w:after="0"/>
              <w:pStyle w:val="Compact"/>
            </w:pPr>
            <w:r>
              <w:rPr>
                <w:sz w:val="20"/>
                <w:szCs w:val="20"/>
              </w:rPr>
              <w:t xml:space="preserve">Scheduled Deep Space Network radiometric tracking volume for the phase, in tracking-hours per week</w:t>
            </w:r>
          </w:p>
        </w:tc>
        <w:tc>
          <w:tcPr>
            <w:tcW w:w="0" w:type="auto"/>
          </w:tcPr>
          <w:p>
            <w:pPr>
              <w:spacing w:line="240" w:lineRule="auto" w:before="0" w:after="0"/>
              <w:pStyle w:val="Compact"/>
            </w:pPr>
            <w:r>
              <w:rPr>
                <w:sz w:val="20"/>
                <w:szCs w:val="20"/>
              </w:rPr>
              <w:t xml:space="preserve">DSN pass schedules reported in mission OD papers, concept studies, and DSN allocation analyses</w:t>
            </w:r>
          </w:p>
        </w:tc>
      </w:tr>
      <w:tr>
        <w:tc>
          <w:tcPr>
            <w:tcW w:w="0" w:type="auto"/>
          </w:tcPr>
          <w:p>
            <w:pPr>
              <w:spacing w:line="240" w:lineRule="auto" w:before="0" w:after="0"/>
              <w:pStyle w:val="Compact"/>
            </w:pPr>
            <w:r>
              <w:rPr>
                <w:sz w:val="20"/>
                <w:szCs w:val="20"/>
              </w:rPr>
              <w:t xml:space="preserve">log10_earth_distance_au</w:t>
            </w:r>
          </w:p>
        </w:tc>
        <w:tc>
          <w:tcPr>
            <w:tcW w:w="0" w:type="auto"/>
          </w:tcPr>
          <w:p>
            <w:pPr>
              <w:spacing w:line="240" w:lineRule="auto" w:before="0" w:after="0"/>
              <w:pStyle w:val="Compact"/>
            </w:pPr>
            <w:r>
              <w:rPr>
                <w:sz w:val="20"/>
                <w:szCs w:val="20"/>
              </w:rPr>
              <w:t xml:space="preserve">Base-10 logarithm of the representative geocentric (Earth) distance during the phase, in astronomical units</w:t>
            </w:r>
          </w:p>
        </w:tc>
        <w:tc>
          <w:tcPr>
            <w:tcW w:w="0" w:type="auto"/>
          </w:tcPr>
          <w:p>
            <w:pPr>
              <w:spacing w:line="240" w:lineRule="auto" w:before="0" w:after="0"/>
              <w:pStyle w:val="Compact"/>
            </w:pPr>
            <w:r>
              <w:rPr>
                <w:sz w:val="20"/>
                <w:szCs w:val="20"/>
              </w:rPr>
              <w:t xml:space="preserve">Mission trajectory descriptions and heliocentric-distance statements in cited sources</w:t>
            </w:r>
          </w:p>
        </w:tc>
      </w:tr>
      <w:tr>
        <w:tc>
          <w:tcPr>
            <w:tcW w:w="0" w:type="auto"/>
          </w:tcPr>
          <w:p>
            <w:pPr>
              <w:spacing w:line="240" w:lineRule="auto" w:before="0" w:after="0"/>
              <w:pStyle w:val="Compact"/>
            </w:pPr>
            <w:r>
              <w:rPr>
                <w:sz w:val="20"/>
                <w:szCs w:val="20"/>
              </w:rPr>
              <w:t xml:space="preserve">orbital_phase</w:t>
            </w:r>
          </w:p>
        </w:tc>
        <w:tc>
          <w:tcPr>
            <w:tcW w:w="0" w:type="auto"/>
          </w:tcPr>
          <w:p>
            <w:pPr>
              <w:spacing w:line="240" w:lineRule="auto" w:before="0" w:after="0"/>
              <w:pStyle w:val="Compact"/>
            </w:pPr>
            <w:r>
              <w:rPr>
                <w:sz w:val="20"/>
                <w:szCs w:val="20"/>
              </w:rPr>
              <w:t xml:space="preserve">Indicator equal to 1 for orbital or proximity-operations phases and 0 for interplanetary cruise / approach phases</w:t>
            </w:r>
          </w:p>
        </w:tc>
        <w:tc>
          <w:tcPr>
            <w:tcW w:w="0" w:type="auto"/>
          </w:tcPr>
          <w:p>
            <w:pPr>
              <w:spacing w:line="240" w:lineRule="auto" w:before="0" w:after="0"/>
              <w:pStyle w:val="Compact"/>
            </w:pPr>
            <w:r>
              <w:rPr>
                <w:sz w:val="20"/>
                <w:szCs w:val="20"/>
              </w:rPr>
              <w:t xml:space="preserve">Phase classification from each cited mission-operations source</w:t>
            </w:r>
          </w:p>
        </w:tc>
      </w:tr>
    </w:tbl>
    <w:bookmarkEnd w:id="194"/>
    <w:bookmarkEnd w:id="195"/>
    <w:bookmarkStart w:id="203" w:name="Xbaf05f85ad401b5ec031e759468a548fd4fb8fa"/>
    <w:p>
      <w:pPr>
        <w:pStyle w:val="Heading2"/>
        <w:spacing w:line="480" w:lineRule="auto"/>
      </w:pPr>
      <w:r>
        <w:t xml:space="preserve">A.2 The Partial Value of a Tracking Pass: A Controlled Multivariate Regression of Delivered Navigation Error on Tracking Cadence with Distance Regime and Measurement Type Held Fixed</w:t>
      </w:r>
    </w:p>
    <w:p>
      <w:pPr>
        <w:pStyle w:val="FirstParagraph"/>
        <w:spacing w:line="480" w:lineRule="auto"/>
      </w:pPr>
      <m:oMathPara>
        <m:oMathParaPr>
          <m:jc m:val="center"/>
        </m:oMathParaPr>
        <m:oMath>
          <m:r>
            <m:rPr>
              <m:sty m:val="p"/>
            </m:rPr>
            <m:t>ln</m:t>
          </m:r>
          <m:sSub>
            <m:e>
              <m:r>
                <m:t>E</m:t>
              </m:r>
            </m:e>
            <m:sub>
              <m:r>
                <m:t>i</m:t>
              </m:r>
            </m:sub>
          </m:sSub>
          <m:r>
            <m:rPr>
              <m:sty m:val="p"/>
            </m:rPr>
            <m:t>=</m:t>
          </m:r>
          <m:sSub>
            <m:e>
              <m:r>
                <m:t>β</m:t>
              </m:r>
            </m:e>
            <m:sub>
              <m:r>
                <m:t>0</m:t>
              </m:r>
            </m:sub>
          </m:sSub>
          <m:r>
            <m:rPr>
              <m:sty m:val="p"/>
            </m:rPr>
            <m:t>+</m:t>
          </m:r>
          <m:sSub>
            <m:e>
              <m:r>
                <m:t>β</m:t>
              </m:r>
            </m:e>
            <m:sub>
              <m:r>
                <m:t>1</m:t>
              </m:r>
            </m:sub>
          </m:sSub>
          <m:r>
            <m:rPr>
              <m:sty m:val="p"/>
            </m:rPr>
            <m:t>ln</m:t>
          </m:r>
          <m:sSub>
            <m:e>
              <m:r>
                <m:t>c</m:t>
              </m:r>
            </m:e>
            <m:sub>
              <m:r>
                <m:t>i</m:t>
              </m:r>
            </m:sub>
          </m:sSub>
          <m:r>
            <m:rPr>
              <m:sty m:val="p"/>
            </m:rPr>
            <m:t>+</m:t>
          </m:r>
          <m:sSub>
            <m:e>
              <m:r>
                <m:t>β</m:t>
              </m:r>
            </m:e>
            <m:sub>
              <m:r>
                <m:t>2</m:t>
              </m:r>
            </m:sub>
          </m:sSub>
          <m:r>
            <m:rPr>
              <m:sty m:val="p"/>
            </m:rPr>
            <m:t>ln</m:t>
          </m:r>
          <m:sSub>
            <m:e>
              <m:r>
                <m:t>d</m:t>
              </m:r>
            </m:e>
            <m:sub>
              <m:r>
                <m:t>i</m:t>
              </m:r>
            </m:sub>
          </m:sSub>
          <m:r>
            <m:rPr>
              <m:sty m:val="p"/>
            </m:rPr>
            <m:t>+</m:t>
          </m:r>
          <m:sSub>
            <m:e>
              <m:r>
                <m:t>β</m:t>
              </m:r>
            </m:e>
            <m:sub>
              <m:r>
                <m:t>3</m:t>
              </m:r>
            </m:sub>
          </m:sSub>
          <m:sSub>
            <m:e>
              <m:r>
                <m:t>I</m:t>
              </m:r>
            </m:e>
            <m:sub>
              <m:r>
                <m:t>i</m:t>
              </m:r>
            </m:sub>
          </m:sSub>
          <m:r>
            <m:rPr>
              <m:sty m:val="p"/>
            </m:rPr>
            <m:t>+</m:t>
          </m:r>
          <m:sSub>
            <m:e>
              <m:r>
                <m:t>β</m:t>
              </m:r>
            </m:e>
            <m:sub>
              <m:r>
                <m:t>4</m:t>
              </m:r>
            </m:sub>
          </m:sSub>
          <m:sSub>
            <m:e>
              <m:r>
                <m:t>O</m:t>
              </m:r>
            </m:e>
            <m:sub>
              <m:r>
                <m:t>i</m:t>
              </m:r>
            </m:sub>
          </m:sSub>
          <m:r>
            <m:rPr>
              <m:sty m:val="p"/>
            </m:rPr>
            <m:t>+</m:t>
          </m:r>
          <m:sSub>
            <m:e>
              <m:r>
                <m:t>ε</m:t>
              </m:r>
            </m:e>
            <m:sub>
              <m:r>
                <m:t>i</m:t>
              </m:r>
            </m:sub>
          </m:sSub>
        </m:oMath>
      </m:oMathPara>
    </w:p>
    <w:bookmarkStart w:id="196"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-1.4136</w:t>
            </w:r>
          </w:p>
        </w:tc>
        <w:tc>
          <w:tcPr>
            <w:tcW w:w="0" w:type="auto"/>
          </w:tcPr>
          <w:p>
            <w:pPr>
              <w:spacing w:line="240" w:lineRule="auto" w:before="0" w:after="0"/>
              <w:pStyle w:val="Compact"/>
            </w:pPr>
            <w:r>
              <w:rPr>
                <w:sz w:val="20"/>
                <w:szCs w:val="20"/>
              </w:rPr>
              <w:t xml:space="preserve">1.1192</w:t>
            </w:r>
          </w:p>
        </w:tc>
        <w:tc>
          <w:tcPr>
            <w:tcW w:w="0" w:type="auto"/>
          </w:tcPr>
          <w:p>
            <w:pPr>
              <w:spacing w:line="240" w:lineRule="auto" w:before="0" w:after="0"/>
              <w:pStyle w:val="Compact"/>
            </w:pPr>
            <w:r>
              <w:rPr>
                <w:sz w:val="20"/>
                <w:szCs w:val="20"/>
              </w:rPr>
              <w:t xml:space="preserve">-1.263</w:t>
            </w:r>
          </w:p>
        </w:tc>
        <w:tc>
          <w:tcPr>
            <w:tcW w:w="0" w:type="auto"/>
          </w:tcPr>
          <w:p>
            <w:pPr>
              <w:spacing w:line="240" w:lineRule="auto" w:before="0" w:after="0"/>
              <w:pStyle w:val="Compact"/>
            </w:pPr>
            <w:r>
              <w:rPr>
                <w:sz w:val="20"/>
                <w:szCs w:val="20"/>
              </w:rPr>
              <w:t xml:space="preserve">0.2066</w:t>
            </w:r>
          </w:p>
        </w:tc>
        <w:tc>
          <w:tcPr>
            <w:tcW w:w="0" w:type="auto"/>
          </w:tcPr>
          <w:p>
            <w:pPr>
              <w:spacing w:line="240" w:lineRule="auto" w:before="0" w:after="0"/>
              <w:pStyle w:val="Compact"/>
            </w:pPr>
            <w:r>
              <w:rPr>
                <w:sz w:val="20"/>
                <w:szCs w:val="20"/>
              </w:rPr>
              <w:t xml:space="preserve">[-3.6073, 0.7801]</w:t>
            </w:r>
          </w:p>
        </w:tc>
      </w:tr>
      <w:tr>
        <w:tc>
          <w:tcPr>
            <w:tcW w:w="0" w:type="auto"/>
          </w:tcPr>
          <w:p>
            <w:pPr>
              <w:spacing w:line="240" w:lineRule="auto" w:before="0" w:after="0"/>
              <w:pStyle w:val="Compact"/>
            </w:pPr>
            <w:r>
              <w:rPr>
                <w:sz w:val="20"/>
                <w:szCs w:val="20"/>
              </w:rPr>
              <w:t xml:space="preserve">ln_cadence</w:t>
            </w:r>
          </w:p>
        </w:tc>
        <w:tc>
          <w:tcPr>
            <w:tcW w:w="0" w:type="auto"/>
          </w:tcPr>
          <w:p>
            <w:pPr>
              <w:spacing w:line="240" w:lineRule="auto" w:before="0" w:after="0"/>
              <w:pStyle w:val="Compact"/>
            </w:pPr>
            <w:r>
              <w:rPr>
                <w:sz w:val="20"/>
                <w:szCs w:val="20"/>
              </w:rPr>
              <w:t xml:space="preserve">1.4067</w:t>
            </w:r>
          </w:p>
        </w:tc>
        <w:tc>
          <w:tcPr>
            <w:tcW w:w="0" w:type="auto"/>
          </w:tcPr>
          <w:p>
            <w:pPr>
              <w:spacing w:line="240" w:lineRule="auto" w:before="0" w:after="0"/>
              <w:pStyle w:val="Compact"/>
            </w:pPr>
            <w:r>
              <w:rPr>
                <w:sz w:val="20"/>
                <w:szCs w:val="20"/>
              </w:rPr>
              <w:t xml:space="preserve">0.4682</w:t>
            </w:r>
          </w:p>
        </w:tc>
        <w:tc>
          <w:tcPr>
            <w:tcW w:w="0" w:type="auto"/>
          </w:tcPr>
          <w:p>
            <w:pPr>
              <w:spacing w:line="240" w:lineRule="auto" w:before="0" w:after="0"/>
              <w:pStyle w:val="Compact"/>
            </w:pPr>
            <w:r>
              <w:rPr>
                <w:sz w:val="20"/>
                <w:szCs w:val="20"/>
              </w:rPr>
              <w:t xml:space="preserve">3.0047</w:t>
            </w:r>
          </w:p>
        </w:tc>
        <w:tc>
          <w:tcPr>
            <w:tcW w:w="0" w:type="auto"/>
          </w:tcPr>
          <w:p>
            <w:pPr>
              <w:spacing w:line="240" w:lineRule="auto" w:before="0" w:after="0"/>
              <w:pStyle w:val="Compact"/>
            </w:pPr>
            <w:r>
              <w:rPr>
                <w:sz w:val="20"/>
                <w:szCs w:val="20"/>
              </w:rPr>
              <w:t xml:space="preserve">0.0027</w:t>
            </w:r>
          </w:p>
        </w:tc>
        <w:tc>
          <w:tcPr>
            <w:tcW w:w="0" w:type="auto"/>
          </w:tcPr>
          <w:p>
            <w:pPr>
              <w:spacing w:line="240" w:lineRule="auto" w:before="0" w:after="0"/>
              <w:pStyle w:val="Compact"/>
            </w:pPr>
            <w:r>
              <w:rPr>
                <w:sz w:val="20"/>
                <w:szCs w:val="20"/>
              </w:rPr>
              <w:t xml:space="preserve">[0.4891, 2.3243]</w:t>
            </w:r>
          </w:p>
        </w:tc>
      </w:tr>
      <w:tr>
        <w:tc>
          <w:tcPr>
            <w:tcW w:w="0" w:type="auto"/>
          </w:tcPr>
          <w:p>
            <w:pPr>
              <w:spacing w:line="240" w:lineRule="auto" w:before="0" w:after="0"/>
              <w:pStyle w:val="Compact"/>
            </w:pPr>
            <w:r>
              <w:rPr>
                <w:sz w:val="20"/>
                <w:szCs w:val="20"/>
              </w:rPr>
              <w:t xml:space="preserve">ln_dist</w:t>
            </w:r>
          </w:p>
        </w:tc>
        <w:tc>
          <w:tcPr>
            <w:tcW w:w="0" w:type="auto"/>
          </w:tcPr>
          <w:p>
            <w:pPr>
              <w:spacing w:line="240" w:lineRule="auto" w:before="0" w:after="0"/>
              <w:pStyle w:val="Compact"/>
            </w:pPr>
            <w:r>
              <w:rPr>
                <w:sz w:val="20"/>
                <w:szCs w:val="20"/>
              </w:rPr>
              <w:t xml:space="preserve">1.1817</w:t>
            </w:r>
          </w:p>
        </w:tc>
        <w:tc>
          <w:tcPr>
            <w:tcW w:w="0" w:type="auto"/>
          </w:tcPr>
          <w:p>
            <w:pPr>
              <w:spacing w:line="240" w:lineRule="auto" w:before="0" w:after="0"/>
              <w:pStyle w:val="Compact"/>
            </w:pPr>
            <w:r>
              <w:rPr>
                <w:sz w:val="20"/>
                <w:szCs w:val="20"/>
              </w:rPr>
              <w:t xml:space="preserve">0.1384</w:t>
            </w:r>
          </w:p>
        </w:tc>
        <w:tc>
          <w:tcPr>
            <w:tcW w:w="0" w:type="auto"/>
          </w:tcPr>
          <w:p>
            <w:pPr>
              <w:spacing w:line="240" w:lineRule="auto" w:before="0" w:after="0"/>
              <w:pStyle w:val="Compact"/>
            </w:pPr>
            <w:r>
              <w:rPr>
                <w:sz w:val="20"/>
                <w:szCs w:val="20"/>
              </w:rPr>
              <w:t xml:space="preserve">8.5399</w:t>
            </w:r>
          </w:p>
        </w:tc>
        <w:tc>
          <w:tcPr>
            <w:tcW w:w="0" w:type="auto"/>
          </w:tcPr>
          <w:p>
            <w:pPr>
              <w:spacing w:line="240" w:lineRule="auto" w:before="0" w:after="0"/>
              <w:pStyle w:val="Compact"/>
            </w:pPr>
            <w:r>
              <w:rPr>
                <w:sz w:val="20"/>
                <w:szCs w:val="20"/>
              </w:rPr>
              <w:t xml:space="preserve">1.343e-17</w:t>
            </w:r>
          </w:p>
        </w:tc>
        <w:tc>
          <w:tcPr>
            <w:tcW w:w="0" w:type="auto"/>
          </w:tcPr>
          <w:p>
            <w:pPr>
              <w:spacing w:line="240" w:lineRule="auto" w:before="0" w:after="0"/>
              <w:pStyle w:val="Compact"/>
            </w:pPr>
            <w:r>
              <w:rPr>
                <w:sz w:val="20"/>
                <w:szCs w:val="20"/>
              </w:rPr>
              <w:t xml:space="preserve">[0.9105, 1.4529]</w:t>
            </w:r>
          </w:p>
        </w:tc>
      </w:tr>
      <w:tr>
        <w:tc>
          <w:tcPr>
            <w:tcW w:w="0" w:type="auto"/>
          </w:tcPr>
          <w:p>
            <w:pPr>
              <w:spacing w:line="240" w:lineRule="auto" w:before="0" w:after="0"/>
              <w:pStyle w:val="Compact"/>
            </w:pPr>
            <w:r>
              <w:rPr>
                <w:sz w:val="20"/>
                <w:szCs w:val="20"/>
              </w:rPr>
              <w:t xml:space="preserve">interferometric</w:t>
            </w:r>
          </w:p>
        </w:tc>
        <w:tc>
          <w:tcPr>
            <w:tcW w:w="0" w:type="auto"/>
          </w:tcPr>
          <w:p>
            <w:pPr>
              <w:spacing w:line="240" w:lineRule="auto" w:before="0" w:after="0"/>
              <w:pStyle w:val="Compact"/>
            </w:pPr>
            <w:r>
              <w:rPr>
                <w:sz w:val="20"/>
                <w:szCs w:val="20"/>
              </w:rPr>
              <w:t xml:space="preserve">-1.1121</w:t>
            </w:r>
          </w:p>
        </w:tc>
        <w:tc>
          <w:tcPr>
            <w:tcW w:w="0" w:type="auto"/>
          </w:tcPr>
          <w:p>
            <w:pPr>
              <w:spacing w:line="240" w:lineRule="auto" w:before="0" w:after="0"/>
              <w:pStyle w:val="Compact"/>
            </w:pPr>
            <w:r>
              <w:rPr>
                <w:sz w:val="20"/>
                <w:szCs w:val="20"/>
              </w:rPr>
              <w:t xml:space="preserve">1.0429</w:t>
            </w:r>
          </w:p>
        </w:tc>
        <w:tc>
          <w:tcPr>
            <w:tcW w:w="0" w:type="auto"/>
          </w:tcPr>
          <w:p>
            <w:pPr>
              <w:spacing w:line="240" w:lineRule="auto" w:before="0" w:after="0"/>
              <w:pStyle w:val="Compact"/>
            </w:pPr>
            <w:r>
              <w:rPr>
                <w:sz w:val="20"/>
                <w:szCs w:val="20"/>
              </w:rPr>
              <w:t xml:space="preserve">-1.0663</w:t>
            </w:r>
          </w:p>
        </w:tc>
        <w:tc>
          <w:tcPr>
            <w:tcW w:w="0" w:type="auto"/>
          </w:tcPr>
          <w:p>
            <w:pPr>
              <w:spacing w:line="240" w:lineRule="auto" w:before="0" w:after="0"/>
              <w:pStyle w:val="Compact"/>
            </w:pPr>
            <w:r>
              <w:rPr>
                <w:sz w:val="20"/>
                <w:szCs w:val="20"/>
              </w:rPr>
              <w:t xml:space="preserve">0.2863</w:t>
            </w:r>
          </w:p>
        </w:tc>
        <w:tc>
          <w:tcPr>
            <w:tcW w:w="0" w:type="auto"/>
          </w:tcPr>
          <w:p>
            <w:pPr>
              <w:spacing w:line="240" w:lineRule="auto" w:before="0" w:after="0"/>
              <w:pStyle w:val="Compact"/>
            </w:pPr>
            <w:r>
              <w:rPr>
                <w:sz w:val="20"/>
                <w:szCs w:val="20"/>
              </w:rPr>
              <w:t xml:space="preserve">[-3.156, 0.9319]</w:t>
            </w:r>
          </w:p>
        </w:tc>
      </w:tr>
      <w:tr>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-6.8564</w:t>
            </w:r>
          </w:p>
        </w:tc>
        <w:tc>
          <w:tcPr>
            <w:tcW w:w="0" w:type="auto"/>
          </w:tcPr>
          <w:p>
            <w:pPr>
              <w:spacing w:line="240" w:lineRule="auto" w:before="0" w:after="0"/>
              <w:pStyle w:val="Compact"/>
            </w:pPr>
            <w:r>
              <w:rPr>
                <w:sz w:val="20"/>
                <w:szCs w:val="20"/>
              </w:rPr>
              <w:t xml:space="preserve">2.1762</w:t>
            </w:r>
          </w:p>
        </w:tc>
        <w:tc>
          <w:tcPr>
            <w:tcW w:w="0" w:type="auto"/>
          </w:tcPr>
          <w:p>
            <w:pPr>
              <w:spacing w:line="240" w:lineRule="auto" w:before="0" w:after="0"/>
              <w:pStyle w:val="Compact"/>
            </w:pPr>
            <w:r>
              <w:rPr>
                <w:sz w:val="20"/>
                <w:szCs w:val="20"/>
              </w:rPr>
              <w:t xml:space="preserve">-3.1506</w:t>
            </w:r>
          </w:p>
        </w:tc>
        <w:tc>
          <w:tcPr>
            <w:tcW w:w="0" w:type="auto"/>
          </w:tcPr>
          <w:p>
            <w:pPr>
              <w:spacing w:line="240" w:lineRule="auto" w:before="0" w:after="0"/>
              <w:pStyle w:val="Compact"/>
            </w:pPr>
            <w:r>
              <w:rPr>
                <w:sz w:val="20"/>
                <w:szCs w:val="20"/>
              </w:rPr>
              <w:t xml:space="preserve">0.0016</w:t>
            </w:r>
          </w:p>
        </w:tc>
        <w:tc>
          <w:tcPr>
            <w:tcW w:w="0" w:type="auto"/>
          </w:tcPr>
          <w:p>
            <w:pPr>
              <w:spacing w:line="240" w:lineRule="auto" w:before="0" w:after="0"/>
              <w:pStyle w:val="Compact"/>
            </w:pPr>
            <w:r>
              <w:rPr>
                <w:sz w:val="20"/>
                <w:szCs w:val="20"/>
              </w:rPr>
              <w:t xml:space="preserve">[-11.1218, -2.5911]</w:t>
            </w:r>
          </w:p>
        </w:tc>
      </w:tr>
    </w:tbl>
    <w:p>
      <w:pPr>
        <w:pStyle w:val="BodyText"/>
        <w:spacing w:line="480" w:lineRule="auto"/>
        <w:ind w:firstLine="720"/>
      </w:pPr>
      <w:r>
        <w:t xml:space="preserve">Fit: N = 24 R2 = 0.694 R2_adj = 0.6296 F = 26.4211 F_p = 1.566e-07</w:t>
      </w:r>
    </w:p>
    <w:bookmarkEnd w:id="196"/>
    <w:bookmarkStart w:id="200"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Delivered navigation error against tracking cadence on log-log axes across 24 documented deep-space navigation operating points. The fitted line is the bivariate projection; the paper’s reported coefficient on ln(cadence) is the partial effect estimated with distance regime and measurement type held fixed." title="" id="198" name="Picture"/>
            <a:graphic>
              <a:graphicData uri="http://schemas.openxmlformats.org/drawingml/2006/picture">
                <pic:pic>
                  <pic:nvPicPr>
                    <pic:cNvPr descr="D:/Claude_Code/brain/collegium/candidates/dissertations/JPL_ASTRO_EARTH_07/research_papers/p2/paper_fig1.png" id="199" name="Picture"/>
                    <pic:cNvPicPr>
                      <a:picLocks noChangeArrowheads="1" noChangeAspect="1"/>
                    </pic:cNvPicPr>
                  </pic:nvPicPr>
                  <pic:blipFill>
                    <a:blip r:embed="rId19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Delivered navigation error against tracking cadence on log-log axes across 24 documented deep-space navigation operating points. The fitted line is the bivariate projection; the paper’s reported coefficient on ln(cadence) is the partial effect estimated with distance regime and measurement type held fixed.</w:t>
      </w:r>
    </w:p>
    <w:bookmarkEnd w:id="200"/>
    <w:bookmarkStart w:id="201"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660"/>
        <w:gridCol w:w="660"/>
        <w:gridCol w:w="660"/>
        <w:gridCol w:w="660"/>
        <w:gridCol w:w="660"/>
        <w:gridCol w:w="660"/>
        <w:gridCol w:w="660"/>
        <w:gridCol w:w="660"/>
        <w:gridCol w:w="660"/>
        <w:gridCol w:w="660"/>
        <w:gridCol w:w="660"/>
        <w:gridCol w:w="660"/>
      </w:tblGrid>
      <w:tr>
        <w:trPr>
          <w:tblHeader w:val="on"/>
        </w:trPr>
        <w:tc>
          <w:tcPr>
            <w:tcW w:w="0" w:type="auto"/>
          </w:tcPr>
          <w:p>
            <w:pPr>
              <w:spacing w:line="240" w:lineRule="auto" w:before="0" w:after="0"/>
              <w:pStyle w:val="Compact"/>
            </w:pPr>
            <w:r>
              <w:rPr>
                <w:sz w:val="20"/>
                <w:szCs w:val="20"/>
              </w:rPr>
              <w:t xml:space="preserve">study</w:t>
            </w:r>
          </w:p>
        </w:tc>
        <w:tc>
          <w:tcPr>
            <w:tcW w:w="0" w:type="auto"/>
          </w:tcPr>
          <w:p>
            <w:pPr>
              <w:spacing w:line="240" w:lineRule="auto" w:before="0" w:after="0"/>
              <w:pStyle w:val="Compact"/>
            </w:pPr>
            <w:r>
              <w:rPr>
                <w:sz w:val="20"/>
                <w:szCs w:val="20"/>
              </w:rPr>
              <w:t xml:space="preserve">scenario</w:t>
            </w:r>
          </w:p>
        </w:tc>
        <w:tc>
          <w:tcPr>
            <w:tcW w:w="0" w:type="auto"/>
          </w:tcPr>
          <w:p>
            <w:pPr>
              <w:spacing w:line="240" w:lineRule="auto" w:before="0" w:after="0"/>
              <w:pStyle w:val="Compact"/>
            </w:pPr>
            <w:r>
              <w:rPr>
                <w:sz w:val="20"/>
                <w:szCs w:val="20"/>
              </w:rPr>
              <w:t xml:space="preserve">cadence_per_week</w:t>
            </w:r>
          </w:p>
        </w:tc>
        <w:tc>
          <w:tcPr>
            <w:tcW w:w="0" w:type="auto"/>
          </w:tcPr>
          <w:p>
            <w:pPr>
              <w:spacing w:line="240" w:lineRule="auto" w:before="0" w:after="0"/>
              <w:pStyle w:val="Compact"/>
            </w:pPr>
            <w:r>
              <w:rPr>
                <w:sz w:val="20"/>
                <w:szCs w:val="20"/>
              </w:rPr>
              <w:t xml:space="preserve">track_hours_week</w:t>
            </w:r>
          </w:p>
        </w:tc>
        <w:tc>
          <w:tcPr>
            <w:tcW w:w="0" w:type="auto"/>
          </w:tcPr>
          <w:p>
            <w:pPr>
              <w:spacing w:line="240" w:lineRule="auto" w:before="0" w:after="0"/>
              <w:pStyle w:val="Compact"/>
            </w:pPr>
            <w:r>
              <w:rPr>
                <w:sz w:val="20"/>
                <w:szCs w:val="20"/>
              </w:rPr>
              <w:t xml:space="preserve">interferometric</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dist_au</w:t>
            </w:r>
          </w:p>
        </w:tc>
        <w:tc>
          <w:tcPr>
            <w:tcW w:w="0" w:type="auto"/>
          </w:tcPr>
          <w:p>
            <w:pPr>
              <w:spacing w:line="240" w:lineRule="auto" w:before="0" w:after="0"/>
              <w:pStyle w:val="Compact"/>
            </w:pPr>
            <w:r>
              <w:rPr>
                <w:sz w:val="20"/>
                <w:szCs w:val="20"/>
              </w:rPr>
              <w:t xml:space="preserve">err_km</w:t>
            </w:r>
          </w:p>
        </w:tc>
        <w:tc>
          <w:tcPr>
            <w:tcW w:w="0" w:type="auto"/>
          </w:tcPr>
          <w:p>
            <w:pPr>
              <w:spacing w:line="240" w:lineRule="auto" w:before="0" w:after="0"/>
              <w:pStyle w:val="Compact"/>
            </w:pPr>
            <w:r>
              <w:rPr>
                <w:sz w:val="20"/>
                <w:szCs w:val="20"/>
              </w:rPr>
              <w:t xml:space="preserve">ln_err</w:t>
            </w:r>
          </w:p>
        </w:tc>
        <w:tc>
          <w:tcPr>
            <w:tcW w:w="0" w:type="auto"/>
          </w:tcPr>
          <w:p>
            <w:pPr>
              <w:spacing w:line="240" w:lineRule="auto" w:before="0" w:after="0"/>
              <w:pStyle w:val="Compact"/>
            </w:pPr>
            <w:r>
              <w:rPr>
                <w:sz w:val="20"/>
                <w:szCs w:val="20"/>
              </w:rPr>
              <w:t xml:space="preserve">ln_cadence</w:t>
            </w:r>
          </w:p>
        </w:tc>
        <w:tc>
          <w:tcPr>
            <w:tcW w:w="0" w:type="auto"/>
          </w:tcPr>
          <w:p>
            <w:pPr>
              <w:spacing w:line="240" w:lineRule="auto" w:before="0" w:after="0"/>
              <w:pStyle w:val="Compact"/>
            </w:pPr>
            <w:r>
              <w:rPr>
                <w:sz w:val="20"/>
                <w:szCs w:val="20"/>
              </w:rPr>
              <w:t xml:space="preserve">ln_dist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DSN-SmallSat</w:t>
            </w:r>
          </w:p>
        </w:tc>
        <w:tc>
          <w:tcPr>
            <w:tcW w:w="0" w:type="auto"/>
          </w:tcPr>
          <w:p>
            <w:pPr>
              <w:spacing w:line="240" w:lineRule="auto" w:before="0" w:after="0"/>
              <w:pStyle w:val="Compact"/>
            </w:pPr>
            <w:r>
              <w:rPr>
                <w:sz w:val="20"/>
                <w:szCs w:val="20"/>
              </w:rPr>
              <w:t xml:space="preserve">Full-arc 24h/day X/Ka-band Doppler+range</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3.0445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Ely T., Bhaskaran S. et al., SmallSat Navigation via the Deep Space Network: Inner Solar System Missions, AAS 18-xxx, 2018 (24h full-arc DSN tracking -&gt; 50 m OD accuracy)</w:t>
            </w:r>
          </w:p>
        </w:tc>
      </w:tr>
      <w:tr>
        <w:tc>
          <w:tcPr>
            <w:tcW w:w="0" w:type="auto"/>
          </w:tcPr>
          <w:p>
            <w:pPr>
              <w:spacing w:line="240" w:lineRule="auto" w:before="0" w:after="0"/>
              <w:pStyle w:val="Compact"/>
            </w:pPr>
            <w:r>
              <w:rPr>
                <w:sz w:val="20"/>
                <w:szCs w:val="20"/>
              </w:rPr>
              <w:t xml:space="preserve">DSN-SmallSat</w:t>
            </w:r>
          </w:p>
        </w:tc>
        <w:tc>
          <w:tcPr>
            <w:tcW w:w="0" w:type="auto"/>
          </w:tcPr>
          <w:p>
            <w:pPr>
              <w:spacing w:line="240" w:lineRule="auto" w:before="0" w:after="0"/>
              <w:pStyle w:val="Compact"/>
            </w:pPr>
            <w:r>
              <w:rPr>
                <w:sz w:val="20"/>
                <w:szCs w:val="20"/>
              </w:rPr>
              <w:t xml:space="preserve">4 hours per day X/Ka-band Doppler+range</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-0.7985</w:t>
            </w:r>
          </w:p>
        </w:tc>
        <w:tc>
          <w:tcPr>
            <w:tcW w:w="0" w:type="auto"/>
          </w:tcPr>
          <w:p>
            <w:pPr>
              <w:spacing w:line="240" w:lineRule="auto" w:before="0" w:after="0"/>
              <w:pStyle w:val="Compact"/>
            </w:pPr>
            <w:r>
              <w:rPr>
                <w:sz w:val="20"/>
                <w:szCs w:val="20"/>
              </w:rPr>
              <w:t xml:space="preserve">1.9459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Ely T., Bhaskaran S. et al., SmallSat Navigation via the Deep Space Network: Inner Solar System Missions, AAS 18-xxx, 2018 (4h/day DSN -&gt; 400-500 m OD accuracy)</w:t>
            </w:r>
          </w:p>
        </w:tc>
      </w:tr>
      <w:tr>
        <w:tc>
          <w:tcPr>
            <w:tcW w:w="0" w:type="auto"/>
          </w:tcPr>
          <w:p>
            <w:pPr>
              <w:spacing w:line="240" w:lineRule="auto" w:before="0" w:after="0"/>
              <w:pStyle w:val="Compact"/>
            </w:pPr>
            <w:r>
              <w:rPr>
                <w:sz w:val="20"/>
                <w:szCs w:val="20"/>
              </w:rPr>
              <w:t xml:space="preserve">DSN-SmallSat</w:t>
            </w:r>
          </w:p>
        </w:tc>
        <w:tc>
          <w:tcPr>
            <w:tcW w:w="0" w:type="auto"/>
          </w:tcPr>
          <w:p>
            <w:pPr>
              <w:spacing w:line="240" w:lineRule="auto" w:before="0" w:after="0"/>
              <w:pStyle w:val="Compact"/>
            </w:pPr>
            <w:r>
              <w:rPr>
                <w:sz w:val="20"/>
                <w:szCs w:val="20"/>
              </w:rPr>
              <w:t xml:space="preserve">2 hours per day X/Ka-band Doppler+range</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1.9459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Ely T., Bhaskaran S. et al., SmallSat Navigation via the Deep Space Network: Inner Solar System Missions, AAS 18-xxx, 2018 (2h/day DSN -&gt; 2 km, 0.2 cm/s)</w:t>
            </w:r>
          </w:p>
        </w:tc>
      </w:tr>
      <w:tr>
        <w:tc>
          <w:tcPr>
            <w:tcW w:w="0" w:type="auto"/>
          </w:tcPr>
          <w:p>
            <w:pPr>
              <w:spacing w:line="240" w:lineRule="auto" w:before="0" w:after="0"/>
              <w:pStyle w:val="Compact"/>
            </w:pPr>
            <w:r>
              <w:rPr>
                <w:sz w:val="20"/>
                <w:szCs w:val="20"/>
              </w:rPr>
              <w:t xml:space="preserve">Ely2022-Optical</w:t>
            </w:r>
          </w:p>
        </w:tc>
        <w:tc>
          <w:tcPr>
            <w:tcW w:w="0" w:type="auto"/>
          </w:tcPr>
          <w:p>
            <w:pPr>
              <w:spacing w:line="240" w:lineRule="auto" w:before="0" w:after="0"/>
              <w:pStyle w:val="Compact"/>
            </w:pPr>
            <w:r>
              <w:rPr>
                <w:sz w:val="20"/>
                <w:szCs w:val="20"/>
              </w:rPr>
              <w:t xml:space="preserve">Mars-distance OpNav 1440 images/day high-end camera</w:t>
            </w:r>
          </w:p>
        </w:tc>
        <w:tc>
          <w:tcPr>
            <w:tcW w:w="0" w:type="auto"/>
          </w:tcPr>
          <w:p>
            <w:pPr>
              <w:spacing w:line="240" w:lineRule="auto" w:before="0" w:after="0"/>
              <w:pStyle w:val="Compact"/>
            </w:pPr>
            <w:r>
              <w:rPr>
                <w:sz w:val="20"/>
                <w:szCs w:val="20"/>
              </w:rPr>
              <w:t xml:space="preserve">1440</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3.8501</w:t>
            </w:r>
          </w:p>
        </w:tc>
        <w:tc>
          <w:tcPr>
            <w:tcW w:w="0" w:type="auto"/>
          </w:tcPr>
          <w:p>
            <w:pPr>
              <w:spacing w:line="240" w:lineRule="auto" w:before="0" w:after="0"/>
              <w:pStyle w:val="Compact"/>
            </w:pPr>
            <w:r>
              <w:rPr>
                <w:sz w:val="20"/>
                <w:szCs w:val="20"/>
              </w:rPr>
              <w:t xml:space="preserve">7.2724</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Ely T., Bhaskaran S., Bradley N., Lazio T.J.W., Martin-Mur T., Comparison of Deep Space Navigation Using Optical Imaging, Pulsar TOA Tracking, and/or Radiometric Tracking, J. Astronaut. Sci. 69(2):385-472, 2022, doi:10.1007/s40295-021-00290-z (sigma ~47 km, 1.5 AU)</w:t>
            </w:r>
          </w:p>
        </w:tc>
      </w:tr>
      <w:tr>
        <w:tc>
          <w:tcPr>
            <w:tcW w:w="0" w:type="auto"/>
          </w:tcPr>
          <w:p>
            <w:pPr>
              <w:spacing w:line="240" w:lineRule="auto" w:before="0" w:after="0"/>
              <w:pStyle w:val="Compact"/>
            </w:pPr>
            <w:r>
              <w:rPr>
                <w:sz w:val="20"/>
                <w:szCs w:val="20"/>
              </w:rPr>
              <w:t xml:space="preserve">Ely2022-Optical</w:t>
            </w:r>
          </w:p>
        </w:tc>
        <w:tc>
          <w:tcPr>
            <w:tcW w:w="0" w:type="auto"/>
          </w:tcPr>
          <w:p>
            <w:pPr>
              <w:spacing w:line="240" w:lineRule="auto" w:before="0" w:after="0"/>
              <w:pStyle w:val="Compact"/>
            </w:pPr>
            <w:r>
              <w:rPr>
                <w:sz w:val="20"/>
                <w:szCs w:val="20"/>
              </w:rPr>
              <w:t xml:space="preserve">Neptune-distance OpNav 1440 images/day high-end camera</w:t>
            </w:r>
          </w:p>
        </w:tc>
        <w:tc>
          <w:tcPr>
            <w:tcW w:w="0" w:type="auto"/>
          </w:tcPr>
          <w:p>
            <w:pPr>
              <w:spacing w:line="240" w:lineRule="auto" w:before="0" w:after="0"/>
              <w:pStyle w:val="Compact"/>
            </w:pPr>
            <w:r>
              <w:rPr>
                <w:sz w:val="20"/>
                <w:szCs w:val="20"/>
              </w:rPr>
              <w:t xml:space="preserve">1440</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2621</w:t>
            </w:r>
          </w:p>
        </w:tc>
        <w:tc>
          <w:tcPr>
            <w:tcW w:w="0" w:type="auto"/>
          </w:tcPr>
          <w:p>
            <w:pPr>
              <w:spacing w:line="240" w:lineRule="auto" w:before="0" w:after="0"/>
              <w:pStyle w:val="Compact"/>
            </w:pPr>
            <w:r>
              <w:rPr>
                <w:sz w:val="20"/>
                <w:szCs w:val="20"/>
              </w:rPr>
              <w:t xml:space="preserve">7.8713</w:t>
            </w:r>
          </w:p>
        </w:tc>
        <w:tc>
          <w:tcPr>
            <w:tcW w:w="0" w:type="auto"/>
          </w:tcPr>
          <w:p>
            <w:pPr>
              <w:spacing w:line="240" w:lineRule="auto" w:before="0" w:after="0"/>
              <w:pStyle w:val="Compact"/>
            </w:pPr>
            <w:r>
              <w:rPr>
                <w:sz w:val="20"/>
                <w:szCs w:val="20"/>
              </w:rPr>
              <w:t xml:space="preserve">7.2724</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Ely T. et al., J. Astronaut. Sci. 69(2):385-472, 2022, doi:10.1007/s40295-021-00290-z (sigma ~2621 km, 30 AU)</w:t>
            </w:r>
          </w:p>
        </w:tc>
      </w:tr>
      <w:tr>
        <w:tc>
          <w:tcPr>
            <w:tcW w:w="0" w:type="auto"/>
          </w:tcPr>
          <w:p>
            <w:pPr>
              <w:spacing w:line="240" w:lineRule="auto" w:before="0" w:after="0"/>
              <w:pStyle w:val="Compact"/>
            </w:pPr>
            <w:r>
              <w:rPr>
                <w:sz w:val="20"/>
                <w:szCs w:val="20"/>
              </w:rPr>
              <w:t xml:space="preserve">Ely2022-Pulsar8</w:t>
            </w:r>
          </w:p>
        </w:tc>
        <w:tc>
          <w:tcPr>
            <w:tcW w:w="0" w:type="auto"/>
          </w:tcPr>
          <w:p>
            <w:pPr>
              <w:spacing w:line="240" w:lineRule="auto" w:before="0" w:after="0"/>
              <w:pStyle w:val="Compact"/>
            </w:pPr>
            <w:r>
              <w:rPr>
                <w:sz w:val="20"/>
                <w:szCs w:val="20"/>
              </w:rPr>
              <w:t xml:space="preserve">Mars-distance 8-pulsar X-ray TOA 3h integration</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4.2767</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Ely T. et al., J. Astronaut. Sci. 69(2):385-472, 2022, doi:10.1007/s40295-021-00290-z (sigma ~72 km, 8 pulsars, 1.5 AU)</w:t>
            </w:r>
          </w:p>
        </w:tc>
      </w:tr>
      <w:tr>
        <w:tc>
          <w:tcPr>
            <w:tcW w:w="0" w:type="auto"/>
          </w:tcPr>
          <w:p>
            <w:pPr>
              <w:spacing w:line="240" w:lineRule="auto" w:before="0" w:after="0"/>
              <w:pStyle w:val="Compact"/>
            </w:pPr>
            <w:r>
              <w:rPr>
                <w:sz w:val="20"/>
                <w:szCs w:val="20"/>
              </w:rPr>
              <w:t xml:space="preserve">Ely2022-Pulsar8</w:t>
            </w:r>
          </w:p>
        </w:tc>
        <w:tc>
          <w:tcPr>
            <w:tcW w:w="0" w:type="auto"/>
          </w:tcPr>
          <w:p>
            <w:pPr>
              <w:spacing w:line="240" w:lineRule="auto" w:before="0" w:after="0"/>
              <w:pStyle w:val="Compact"/>
            </w:pPr>
            <w:r>
              <w:rPr>
                <w:sz w:val="20"/>
                <w:szCs w:val="20"/>
              </w:rPr>
              <w:t xml:space="preserve">Neptune-distance 8-pulsar X-ray TOA 3h integration</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1310</w:t>
            </w:r>
          </w:p>
        </w:tc>
        <w:tc>
          <w:tcPr>
            <w:tcW w:w="0" w:type="auto"/>
          </w:tcPr>
          <w:p>
            <w:pPr>
              <w:spacing w:line="240" w:lineRule="auto" w:before="0" w:after="0"/>
              <w:pStyle w:val="Compact"/>
            </w:pPr>
            <w:r>
              <w:rPr>
                <w:sz w:val="20"/>
                <w:szCs w:val="20"/>
              </w:rPr>
              <w:t xml:space="preserve">7.1778</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Ely T. et al., J. Astronaut. Sci. 69(2):385-472, 2022, doi:10.1007/s40295-021-00290-z (sigma ~1310 km, 8 pulsars, 30 AU)</w:t>
            </w:r>
          </w:p>
        </w:tc>
      </w:tr>
      <w:tr>
        <w:tc>
          <w:tcPr>
            <w:tcW w:w="0" w:type="auto"/>
          </w:tcPr>
          <w:p>
            <w:pPr>
              <w:spacing w:line="240" w:lineRule="auto" w:before="0" w:after="0"/>
              <w:pStyle w:val="Compact"/>
            </w:pPr>
            <w:r>
              <w:rPr>
                <w:sz w:val="20"/>
                <w:szCs w:val="20"/>
              </w:rPr>
              <w:t xml:space="preserve">Ely2022-Pulsar4</w:t>
            </w:r>
          </w:p>
        </w:tc>
        <w:tc>
          <w:tcPr>
            <w:tcW w:w="0" w:type="auto"/>
          </w:tcPr>
          <w:p>
            <w:pPr>
              <w:spacing w:line="240" w:lineRule="auto" w:before="0" w:after="0"/>
              <w:pStyle w:val="Compact"/>
            </w:pPr>
            <w:r>
              <w:rPr>
                <w:sz w:val="20"/>
                <w:szCs w:val="20"/>
              </w:rPr>
              <w:t xml:space="preserve">Mars-distance best-4-pulsar X-ray TOA</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3.0445</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Ely T. et al., J. Astronaut. Sci. 69(2):385-472, 2022, doi:10.1007/s40295-021-00290-z (sigma ~21 km, best 4 pulsars, 1.5 AU)</w:t>
            </w:r>
          </w:p>
        </w:tc>
      </w:tr>
      <w:tr>
        <w:tc>
          <w:tcPr>
            <w:tcW w:w="0" w:type="auto"/>
          </w:tcPr>
          <w:p>
            <w:pPr>
              <w:spacing w:line="240" w:lineRule="auto" w:before="0" w:after="0"/>
              <w:pStyle w:val="Compact"/>
            </w:pPr>
            <w:r>
              <w:rPr>
                <w:sz w:val="20"/>
                <w:szCs w:val="20"/>
              </w:rPr>
              <w:t xml:space="preserve">Ely2022-Pulsar4</w:t>
            </w:r>
          </w:p>
        </w:tc>
        <w:tc>
          <w:tcPr>
            <w:tcW w:w="0" w:type="auto"/>
          </w:tcPr>
          <w:p>
            <w:pPr>
              <w:spacing w:line="240" w:lineRule="auto" w:before="0" w:after="0"/>
              <w:pStyle w:val="Compact"/>
            </w:pPr>
            <w:r>
              <w:rPr>
                <w:sz w:val="20"/>
                <w:szCs w:val="20"/>
              </w:rPr>
              <w:t xml:space="preserve">Neptune-distance best-4-pulsar X-ray TOA</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Ely T. et al., J. Astronaut. Sci. 69(2):385-472, 2022, doi:10.1007/s40295-021-00290-z (sigma ~34 km, best 4 pulsars, 30 AU)</w:t>
            </w:r>
          </w:p>
        </w:tc>
      </w:tr>
      <w:tr>
        <w:tc>
          <w:tcPr>
            <w:tcW w:w="0" w:type="auto"/>
          </w:tcPr>
          <w:p>
            <w:pPr>
              <w:spacing w:line="240" w:lineRule="auto" w:before="0" w:after="0"/>
              <w:pStyle w:val="Compact"/>
            </w:pPr>
            <w:r>
              <w:rPr>
                <w:sz w:val="20"/>
                <w:szCs w:val="20"/>
              </w:rPr>
              <w:t xml:space="preserve">Ely2022-Interfer</w:t>
            </w:r>
          </w:p>
        </w:tc>
        <w:tc>
          <w:tcPr>
            <w:tcW w:w="0" w:type="auto"/>
          </w:tcPr>
          <w:p>
            <w:pPr>
              <w:spacing w:line="240" w:lineRule="auto" w:before="0" w:after="0"/>
              <w:pStyle w:val="Compact"/>
            </w:pPr>
            <w:r>
              <w:rPr>
                <w:sz w:val="20"/>
                <w:szCs w:val="20"/>
              </w:rPr>
              <w:t xml:space="preserve">Mars-distance interferometric 4 km/AU rule</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2.6391</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Ely T. et al., J. Astronaut. Sci. 69(2):385-472, 2022, doi:10.1007/s40295-021-00290-z (interferometric ~4 km/AU; 1.5 AU -&gt; 6.0 km)</w:t>
            </w:r>
          </w:p>
        </w:tc>
      </w:tr>
      <w:tr>
        <w:tc>
          <w:tcPr>
            <w:tcW w:w="0" w:type="auto"/>
          </w:tcPr>
          <w:p>
            <w:pPr>
              <w:spacing w:line="240" w:lineRule="auto" w:before="0" w:after="0"/>
              <w:pStyle w:val="Compact"/>
            </w:pPr>
            <w:r>
              <w:rPr>
                <w:sz w:val="20"/>
                <w:szCs w:val="20"/>
              </w:rPr>
              <w:t xml:space="preserve">Ely2022-Interfer</w:t>
            </w:r>
          </w:p>
        </w:tc>
        <w:tc>
          <w:tcPr>
            <w:tcW w:w="0" w:type="auto"/>
          </w:tcPr>
          <w:p>
            <w:pPr>
              <w:spacing w:line="240" w:lineRule="auto" w:before="0" w:after="0"/>
              <w:pStyle w:val="Compact"/>
            </w:pPr>
            <w:r>
              <w:rPr>
                <w:sz w:val="20"/>
                <w:szCs w:val="20"/>
              </w:rPr>
              <w:t xml:space="preserve">Earth-distance interferometric 4 km/AU rule</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2.6391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Ely T. et al., J. Astronaut. Sci. 69(2):385-472, 2022, doi:10.1007/s40295-021-00290-z (interferometric ~4 km/AU; 1.0 AU -&gt; 4.0 km)</w:t>
            </w:r>
          </w:p>
        </w:tc>
      </w:tr>
      <w:tr>
        <w:tc>
          <w:tcPr>
            <w:tcW w:w="0" w:type="auto"/>
          </w:tcPr>
          <w:p>
            <w:pPr>
              <w:spacing w:line="240" w:lineRule="auto" w:before="0" w:after="0"/>
              <w:pStyle w:val="Compact"/>
            </w:pPr>
            <w:r>
              <w:rPr>
                <w:sz w:val="20"/>
                <w:szCs w:val="20"/>
              </w:rPr>
              <w:t xml:space="preserve">Ely2022-Interfer</w:t>
            </w:r>
          </w:p>
        </w:tc>
        <w:tc>
          <w:tcPr>
            <w:tcW w:w="0" w:type="auto"/>
          </w:tcPr>
          <w:p>
            <w:pPr>
              <w:spacing w:line="240" w:lineRule="auto" w:before="0" w:after="0"/>
              <w:pStyle w:val="Compact"/>
            </w:pPr>
            <w:r>
              <w:rPr>
                <w:sz w:val="20"/>
                <w:szCs w:val="20"/>
              </w:rPr>
              <w:t xml:space="preserve">Jupiter-distance interferometric 4 km/AU rule</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20.8</w:t>
            </w:r>
          </w:p>
        </w:tc>
        <w:tc>
          <w:tcPr>
            <w:tcW w:w="0" w:type="auto"/>
          </w:tcPr>
          <w:p>
            <w:pPr>
              <w:spacing w:line="240" w:lineRule="auto" w:before="0" w:after="0"/>
              <w:pStyle w:val="Compact"/>
            </w:pPr>
            <w:r>
              <w:rPr>
                <w:sz w:val="20"/>
                <w:szCs w:val="20"/>
              </w:rPr>
              <w:t xml:space="preserve">3.035</w:t>
            </w:r>
          </w:p>
        </w:tc>
        <w:tc>
          <w:tcPr>
            <w:tcW w:w="0" w:type="auto"/>
          </w:tcPr>
          <w:p>
            <w:pPr>
              <w:spacing w:line="240" w:lineRule="auto" w:before="0" w:after="0"/>
              <w:pStyle w:val="Compact"/>
            </w:pPr>
            <w:r>
              <w:rPr>
                <w:sz w:val="20"/>
                <w:szCs w:val="20"/>
              </w:rPr>
              <w:t xml:space="preserve">2.6391</w:t>
            </w:r>
          </w:p>
        </w:tc>
        <w:tc>
          <w:tcPr>
            <w:tcW w:w="0" w:type="auto"/>
          </w:tcPr>
          <w:p>
            <w:pPr>
              <w:spacing w:line="240" w:lineRule="auto" w:before="0" w:after="0"/>
              <w:pStyle w:val="Compact"/>
            </w:pPr>
            <w:r>
              <w:rPr>
                <w:sz w:val="20"/>
                <w:szCs w:val="20"/>
              </w:rPr>
              <w:t xml:space="preserve">1.6487</w:t>
            </w:r>
          </w:p>
        </w:tc>
        <w:tc>
          <w:tcPr>
            <w:tcW w:w="0" w:type="auto"/>
          </w:tcPr>
          <w:p>
            <w:pPr>
              <w:spacing w:line="240" w:lineRule="auto" w:before="0" w:after="0"/>
              <w:pStyle w:val="Compact"/>
            </w:pPr>
            <w:r>
              <w:rPr>
                <w:sz w:val="20"/>
                <w:szCs w:val="20"/>
              </w:rPr>
              <w:t xml:space="preserve">Ely T. et al., J. Astronaut. Sci. 69(2):385-472, 2022, doi:10.1007/s40295-021-00290-z (interferometric ~4 km/AU; 5.2 AU -&gt; 20.8 km)</w:t>
            </w:r>
          </w:p>
        </w:tc>
      </w:tr>
      <w:tr>
        <w:tc>
          <w:tcPr>
            <w:tcW w:w="0" w:type="auto"/>
          </w:tcPr>
          <w:p>
            <w:pPr>
              <w:spacing w:line="240" w:lineRule="auto" w:before="0" w:after="0"/>
              <w:pStyle w:val="Compact"/>
            </w:pPr>
            <w:r>
              <w:rPr>
                <w:sz w:val="20"/>
                <w:szCs w:val="20"/>
              </w:rPr>
              <w:t xml:space="preserve">Ely2022-Interfer</w:t>
            </w:r>
          </w:p>
        </w:tc>
        <w:tc>
          <w:tcPr>
            <w:tcW w:w="0" w:type="auto"/>
          </w:tcPr>
          <w:p>
            <w:pPr>
              <w:spacing w:line="240" w:lineRule="auto" w:before="0" w:after="0"/>
              <w:pStyle w:val="Compact"/>
            </w:pPr>
            <w:r>
              <w:rPr>
                <w:sz w:val="20"/>
                <w:szCs w:val="20"/>
              </w:rPr>
              <w:t xml:space="preserve">Saturn-distance interferometric 4 km/AU rule</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3.6376</w:t>
            </w:r>
          </w:p>
        </w:tc>
        <w:tc>
          <w:tcPr>
            <w:tcW w:w="0" w:type="auto"/>
          </w:tcPr>
          <w:p>
            <w:pPr>
              <w:spacing w:line="240" w:lineRule="auto" w:before="0" w:after="0"/>
              <w:pStyle w:val="Compact"/>
            </w:pPr>
            <w:r>
              <w:rPr>
                <w:sz w:val="20"/>
                <w:szCs w:val="20"/>
              </w:rPr>
              <w:t xml:space="preserve">2.6391</w:t>
            </w:r>
          </w:p>
        </w:tc>
        <w:tc>
          <w:tcPr>
            <w:tcW w:w="0" w:type="auto"/>
          </w:tcPr>
          <w:p>
            <w:pPr>
              <w:spacing w:line="240" w:lineRule="auto" w:before="0" w:after="0"/>
              <w:pStyle w:val="Compact"/>
            </w:pPr>
            <w:r>
              <w:rPr>
                <w:sz w:val="20"/>
                <w:szCs w:val="20"/>
              </w:rPr>
              <w:t xml:space="preserve">2.2513</w:t>
            </w:r>
          </w:p>
        </w:tc>
        <w:tc>
          <w:tcPr>
            <w:tcW w:w="0" w:type="auto"/>
          </w:tcPr>
          <w:p>
            <w:pPr>
              <w:spacing w:line="240" w:lineRule="auto" w:before="0" w:after="0"/>
              <w:pStyle w:val="Compact"/>
            </w:pPr>
            <w:r>
              <w:rPr>
                <w:sz w:val="20"/>
                <w:szCs w:val="20"/>
              </w:rPr>
              <w:t xml:space="preserve">Ely T. et al., J. Astronaut. Sci. 69(2):385-472, 2022, doi:10.1007/s40295-021-00290-z (interferometric ~4 km/AU; 9.5 AU -&gt; 38.0 km)</w:t>
            </w:r>
          </w:p>
        </w:tc>
      </w:tr>
      <w:tr>
        <w:tc>
          <w:tcPr>
            <w:tcW w:w="0" w:type="auto"/>
          </w:tcPr>
          <w:p>
            <w:pPr>
              <w:spacing w:line="240" w:lineRule="auto" w:before="0" w:after="0"/>
              <w:pStyle w:val="Compact"/>
            </w:pPr>
            <w:r>
              <w:rPr>
                <w:sz w:val="20"/>
                <w:szCs w:val="20"/>
              </w:rPr>
              <w:t xml:space="preserve">Ely2022-Interfer</w:t>
            </w:r>
          </w:p>
        </w:tc>
        <w:tc>
          <w:tcPr>
            <w:tcW w:w="0" w:type="auto"/>
          </w:tcPr>
          <w:p>
            <w:pPr>
              <w:spacing w:line="240" w:lineRule="auto" w:before="0" w:after="0"/>
              <w:pStyle w:val="Compact"/>
            </w:pPr>
            <w:r>
              <w:rPr>
                <w:sz w:val="20"/>
                <w:szCs w:val="20"/>
              </w:rPr>
              <w:t xml:space="preserve">Neptune-distance interferometric 4 km/AU rule</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4.7875</w:t>
            </w:r>
          </w:p>
        </w:tc>
        <w:tc>
          <w:tcPr>
            <w:tcW w:w="0" w:type="auto"/>
          </w:tcPr>
          <w:p>
            <w:pPr>
              <w:spacing w:line="240" w:lineRule="auto" w:before="0" w:after="0"/>
              <w:pStyle w:val="Compact"/>
            </w:pPr>
            <w:r>
              <w:rPr>
                <w:sz w:val="20"/>
                <w:szCs w:val="20"/>
              </w:rPr>
              <w:t xml:space="preserve">2.6391</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Ely T. et al., J. Astronaut. Sci. 69(2):385-472, 2022, doi:10.1007/s40295-021-00290-z (interferometric ~4 km/AU; 30 AU -&gt; 120 km)</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Bennu orbital phase radiometric+OpNav dense cadence</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0.0003</w:t>
            </w:r>
          </w:p>
        </w:tc>
        <w:tc>
          <w:tcPr>
            <w:tcW w:w="0" w:type="auto"/>
          </w:tcPr>
          <w:p>
            <w:pPr>
              <w:spacing w:line="240" w:lineRule="auto" w:before="0" w:after="0"/>
              <w:pStyle w:val="Compact"/>
            </w:pPr>
            <w:r>
              <w:rPr>
                <w:sz w:val="20"/>
                <w:szCs w:val="20"/>
              </w:rPr>
              <w:t xml:space="preserve">-8.1117</w:t>
            </w:r>
          </w:p>
        </w:tc>
        <w:tc>
          <w:tcPr>
            <w:tcW w:w="0" w:type="auto"/>
          </w:tcPr>
          <w:p>
            <w:pPr>
              <w:spacing w:line="240" w:lineRule="auto" w:before="0" w:after="0"/>
              <w:pStyle w:val="Compact"/>
            </w:pPr>
            <w:r>
              <w:rPr>
                <w:sz w:val="20"/>
                <w:szCs w:val="20"/>
              </w:rPr>
              <w:t xml:space="preserve">3.0445</w:t>
            </w:r>
          </w:p>
        </w:tc>
        <w:tc>
          <w:tcPr>
            <w:tcW w:w="0" w:type="auto"/>
          </w:tcPr>
          <w:p>
            <w:pPr>
              <w:spacing w:line="240" w:lineRule="auto" w:before="0" w:after="0"/>
              <w:pStyle w:val="Compact"/>
            </w:pPr>
            <w:r>
              <w:rPr>
                <w:sz w:val="20"/>
                <w:szCs w:val="20"/>
              </w:rPr>
              <w:t xml:space="preserve">0.0953</w:t>
            </w:r>
          </w:p>
        </w:tc>
        <w:tc>
          <w:tcPr>
            <w:tcW w:w="0" w:type="auto"/>
          </w:tcPr>
          <w:p>
            <w:pPr>
              <w:spacing w:line="240" w:lineRule="auto" w:before="0" w:after="0"/>
              <w:pStyle w:val="Compact"/>
            </w:pPr>
            <w:r>
              <w:rPr>
                <w:sz w:val="20"/>
                <w:szCs w:val="20"/>
              </w:rPr>
              <w:t xml:space="preserve">Leonard J.M. et al., OSIRIS-REx Proximity Operations and Navigation Performance at Bennu, NTRS 20210025471, 2022 (reconstructed trajectory consistent to tens of cm in orbital phase)</w:t>
            </w:r>
          </w:p>
        </w:tc>
      </w:tr>
      <w:tr>
        <w:tc>
          <w:tcPr>
            <w:tcW w:w="0" w:type="auto"/>
          </w:tcPr>
          <w:p>
            <w:pPr>
              <w:spacing w:line="240" w:lineRule="auto" w:before="0" w:after="0"/>
              <w:pStyle w:val="Compact"/>
            </w:pPr>
            <w:r>
              <w:rPr>
                <w:sz w:val="20"/>
                <w:szCs w:val="20"/>
              </w:rPr>
              <w:t xml:space="preserve">Dawn-Ceres</w:t>
            </w:r>
          </w:p>
        </w:tc>
        <w:tc>
          <w:tcPr>
            <w:tcW w:w="0" w:type="auto"/>
          </w:tcPr>
          <w:p>
            <w:pPr>
              <w:spacing w:line="240" w:lineRule="auto" w:before="0" w:after="0"/>
              <w:pStyle w:val="Compact"/>
            </w:pPr>
            <w:r>
              <w:rPr>
                <w:sz w:val="20"/>
                <w:szCs w:val="20"/>
              </w:rPr>
              <w:t xml:space="preserve">Ceres orbital radiometric Doppler+range+OpNav</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0.06</w:t>
            </w:r>
          </w:p>
        </w:tc>
        <w:tc>
          <w:tcPr>
            <w:tcW w:w="0" w:type="auto"/>
          </w:tcPr>
          <w:p>
            <w:pPr>
              <w:spacing w:line="240" w:lineRule="auto" w:before="0" w:after="0"/>
              <w:pStyle w:val="Compact"/>
            </w:pPr>
            <w:r>
              <w:rPr>
                <w:sz w:val="20"/>
                <w:szCs w:val="20"/>
              </w:rPr>
              <w:t xml:space="preserve">-2.8134</w:t>
            </w:r>
          </w:p>
        </w:tc>
        <w:tc>
          <w:tcPr>
            <w:tcW w:w="0" w:type="auto"/>
          </w:tcPr>
          <w:p>
            <w:pPr>
              <w:spacing w:line="240" w:lineRule="auto" w:before="0" w:after="0"/>
              <w:pStyle w:val="Compact"/>
            </w:pPr>
            <w:r>
              <w:rPr>
                <w:sz w:val="20"/>
                <w:szCs w:val="20"/>
              </w:rPr>
              <w:t xml:space="preserve">2.6391</w:t>
            </w:r>
          </w:p>
        </w:tc>
        <w:tc>
          <w:tcPr>
            <w:tcW w:w="0" w:type="auto"/>
          </w:tcPr>
          <w:p>
            <w:pPr>
              <w:spacing w:line="240" w:lineRule="auto" w:before="0" w:after="0"/>
              <w:pStyle w:val="Compact"/>
            </w:pPr>
            <w:r>
              <w:rPr>
                <w:sz w:val="20"/>
                <w:szCs w:val="20"/>
              </w:rPr>
              <w:t xml:space="preserve">1.0296</w:t>
            </w:r>
          </w:p>
        </w:tc>
        <w:tc>
          <w:tcPr>
            <w:tcW w:w="0" w:type="auto"/>
          </w:tcPr>
          <w:p>
            <w:pPr>
              <w:spacing w:line="240" w:lineRule="auto" w:before="0" w:after="0"/>
              <w:pStyle w:val="Compact"/>
            </w:pPr>
            <w:r>
              <w:rPr>
                <w:sz w:val="20"/>
                <w:szCs w:val="20"/>
              </w:rPr>
              <w:t xml:space="preserve">Konopliv A.S. et al., The Ceres gravity field, spin pole, rotation period and orbit from the Dawn radiometric tracking and optical data, Icarus 299:411-429, 2018, doi:10.1016/j.icarus.2017.08.005 (Ceres orbital navigation)</w:t>
            </w:r>
          </w:p>
        </w:tc>
      </w:tr>
      <w:tr>
        <w:tc>
          <w:tcPr>
            <w:tcW w:w="0" w:type="auto"/>
          </w:tcPr>
          <w:p>
            <w:pPr>
              <w:spacing w:line="240" w:lineRule="auto" w:before="0" w:after="0"/>
              <w:pStyle w:val="Compact"/>
            </w:pPr>
            <w:r>
              <w:rPr>
                <w:sz w:val="20"/>
                <w:szCs w:val="20"/>
              </w:rPr>
              <w:t xml:space="preserve">Dawn-Vesta</w:t>
            </w:r>
          </w:p>
        </w:tc>
        <w:tc>
          <w:tcPr>
            <w:tcW w:w="0" w:type="auto"/>
          </w:tcPr>
          <w:p>
            <w:pPr>
              <w:spacing w:line="240" w:lineRule="auto" w:before="0" w:after="0"/>
              <w:pStyle w:val="Compact"/>
            </w:pPr>
            <w:r>
              <w:rPr>
                <w:sz w:val="20"/>
                <w:szCs w:val="20"/>
              </w:rPr>
              <w:t xml:space="preserve">Vesta orbital radiometric Doppler+range+OpNav</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0.04</w:t>
            </w:r>
          </w:p>
        </w:tc>
        <w:tc>
          <w:tcPr>
            <w:tcW w:w="0" w:type="auto"/>
          </w:tcPr>
          <w:p>
            <w:pPr>
              <w:spacing w:line="240" w:lineRule="auto" w:before="0" w:after="0"/>
              <w:pStyle w:val="Compact"/>
            </w:pPr>
            <w:r>
              <w:rPr>
                <w:sz w:val="20"/>
                <w:szCs w:val="20"/>
              </w:rPr>
              <w:t xml:space="preserve">-3.2189</w:t>
            </w:r>
          </w:p>
        </w:tc>
        <w:tc>
          <w:tcPr>
            <w:tcW w:w="0" w:type="auto"/>
          </w:tcPr>
          <w:p>
            <w:pPr>
              <w:spacing w:line="240" w:lineRule="auto" w:before="0" w:after="0"/>
              <w:pStyle w:val="Compact"/>
            </w:pPr>
            <w:r>
              <w:rPr>
                <w:sz w:val="20"/>
                <w:szCs w:val="20"/>
              </w:rPr>
              <w:t xml:space="preserve">2.6391</w:t>
            </w:r>
          </w:p>
        </w:tc>
        <w:tc>
          <w:tcPr>
            <w:tcW w:w="0" w:type="auto"/>
          </w:tcPr>
          <w:p>
            <w:pPr>
              <w:spacing w:line="240" w:lineRule="auto" w:before="0" w:after="0"/>
              <w:pStyle w:val="Compact"/>
            </w:pPr>
            <w:r>
              <w:rPr>
                <w:sz w:val="20"/>
                <w:szCs w:val="20"/>
              </w:rPr>
              <w:t xml:space="preserve">0.7885</w:t>
            </w:r>
          </w:p>
        </w:tc>
        <w:tc>
          <w:tcPr>
            <w:tcW w:w="0" w:type="auto"/>
          </w:tcPr>
          <w:p>
            <w:pPr>
              <w:spacing w:line="240" w:lineRule="auto" w:before="0" w:after="0"/>
              <w:pStyle w:val="Compact"/>
            </w:pPr>
            <w:r>
              <w:rPr>
                <w:sz w:val="20"/>
                <w:szCs w:val="20"/>
              </w:rPr>
              <w:t xml:space="preserve">Konopliv A.S. et al., The Vesta gravity field, spin pole and rotation period, landmark positions and ephemeris from the Dawn tracking and optical data, Icarus 240:103-117, 2014, doi:10.1016/j.icarus.2013.09.005 (Vesta orbital navigation)</w:t>
            </w:r>
          </w:p>
        </w:tc>
      </w:tr>
      <w:tr>
        <w:tc>
          <w:tcPr>
            <w:tcW w:w="0" w:type="auto"/>
          </w:tcPr>
          <w:p>
            <w:pPr>
              <w:spacing w:line="240" w:lineRule="auto" w:before="0" w:after="0"/>
              <w:pStyle w:val="Compact"/>
            </w:pPr>
            <w:r>
              <w:rPr>
                <w:sz w:val="20"/>
                <w:szCs w:val="20"/>
              </w:rPr>
              <w:t xml:space="preserve">EnVision-Venus</w:t>
            </w:r>
          </w:p>
        </w:tc>
        <w:tc>
          <w:tcPr>
            <w:tcW w:w="0" w:type="auto"/>
          </w:tcPr>
          <w:p>
            <w:pPr>
              <w:spacing w:line="240" w:lineRule="auto" w:before="0" w:after="0"/>
              <w:pStyle w:val="Compact"/>
            </w:pPr>
            <w:r>
              <w:rPr>
                <w:sz w:val="20"/>
                <w:szCs w:val="20"/>
              </w:rPr>
              <w:t xml:space="preserve">Venus orbital radiometric Doppler+range tracking</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-0.3285</w:t>
            </w:r>
          </w:p>
        </w:tc>
        <w:tc>
          <w:tcPr>
            <w:tcW w:w="0" w:type="auto"/>
          </w:tcPr>
          <w:p>
            <w:pPr>
              <w:spacing w:line="240" w:lineRule="auto" w:before="0" w:after="0"/>
              <w:pStyle w:val="Compact"/>
            </w:pPr>
            <w:r>
              <w:rPr>
                <w:sz w:val="20"/>
                <w:szCs w:val="20"/>
              </w:rPr>
              <w:t xml:space="preserve">Gargiulo A.M. et al., Joint determination of Venus gravity and atmospheric density through EnVision radio science investigation, Acta Astronautica 215:651-661, 2023, doi:10.1016/j.actaastro.2023.12.010 (Venus radio-science OD context)</w:t>
            </w:r>
          </w:p>
        </w:tc>
      </w:tr>
      <w:tr>
        <w:tc>
          <w:tcPr>
            <w:tcW w:w="0" w:type="auto"/>
          </w:tcPr>
          <w:p>
            <w:pPr>
              <w:spacing w:line="240" w:lineRule="auto" w:before="0" w:after="0"/>
              <w:pStyle w:val="Compact"/>
            </w:pPr>
            <w:r>
              <w:rPr>
                <w:sz w:val="20"/>
                <w:szCs w:val="20"/>
              </w:rPr>
              <w:t xml:space="preserve">LRO-OD</w:t>
            </w:r>
          </w:p>
        </w:tc>
        <w:tc>
          <w:tcPr>
            <w:tcW w:w="0" w:type="auto"/>
          </w:tcPr>
          <w:p>
            <w:pPr>
              <w:spacing w:line="240" w:lineRule="auto" w:before="0" w:after="0"/>
              <w:pStyle w:val="Compact"/>
            </w:pPr>
            <w:r>
              <w:rPr>
                <w:sz w:val="20"/>
                <w:szCs w:val="20"/>
              </w:rPr>
              <w:t xml:space="preserve">Lunar Reconnaissance Orbiter definitive OD with DSN tracking</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0.0026</w:t>
            </w:r>
          </w:p>
        </w:tc>
        <w:tc>
          <w:tcPr>
            <w:tcW w:w="0" w:type="auto"/>
          </w:tcPr>
          <w:p>
            <w:pPr>
              <w:spacing w:line="240" w:lineRule="auto" w:before="0" w:after="0"/>
              <w:pStyle w:val="Compact"/>
            </w:pPr>
            <w:r>
              <w:rPr>
                <w:sz w:val="20"/>
                <w:szCs w:val="20"/>
              </w:rPr>
              <w:t xml:space="preserve">0.018</w:t>
            </w:r>
          </w:p>
        </w:tc>
        <w:tc>
          <w:tcPr>
            <w:tcW w:w="0" w:type="auto"/>
          </w:tcPr>
          <w:p>
            <w:pPr>
              <w:spacing w:line="240" w:lineRule="auto" w:before="0" w:after="0"/>
              <w:pStyle w:val="Compact"/>
            </w:pPr>
            <w:r>
              <w:rPr>
                <w:sz w:val="20"/>
                <w:szCs w:val="20"/>
              </w:rPr>
              <w:t xml:space="preserve">-4.0174</w:t>
            </w:r>
          </w:p>
        </w:tc>
        <w:tc>
          <w:tcPr>
            <w:tcW w:w="0" w:type="auto"/>
          </w:tcPr>
          <w:p>
            <w:pPr>
              <w:spacing w:line="240" w:lineRule="auto" w:before="0" w:after="0"/>
              <w:pStyle w:val="Compact"/>
            </w:pPr>
            <w:r>
              <w:rPr>
                <w:sz w:val="20"/>
                <w:szCs w:val="20"/>
              </w:rPr>
              <w:t xml:space="preserve">3.0445</w:t>
            </w:r>
          </w:p>
        </w:tc>
        <w:tc>
          <w:tcPr>
            <w:tcW w:w="0" w:type="auto"/>
          </w:tcPr>
          <w:p>
            <w:pPr>
              <w:spacing w:line="240" w:lineRule="auto" w:before="0" w:after="0"/>
              <w:pStyle w:val="Compact"/>
            </w:pPr>
            <w:r>
              <w:rPr>
                <w:sz w:val="20"/>
                <w:szCs w:val="20"/>
              </w:rPr>
              <w:t xml:space="preserve">-5.9522</w:t>
            </w:r>
          </w:p>
        </w:tc>
        <w:tc>
          <w:tcPr>
            <w:tcW w:w="0" w:type="auto"/>
          </w:tcPr>
          <w:p>
            <w:pPr>
              <w:spacing w:line="240" w:lineRule="auto" w:before="0" w:after="0"/>
              <w:pStyle w:val="Compact"/>
            </w:pPr>
            <w:r>
              <w:rPr>
                <w:sz w:val="20"/>
                <w:szCs w:val="20"/>
              </w:rPr>
              <w:t xml:space="preserve">Lunar Reconnaissance Orbiter Orbit Determination Accuracy Analysis, NTRS 20140008968, 2014 (LRO definitive OD position accuracy)</w:t>
            </w:r>
          </w:p>
        </w:tc>
      </w:tr>
      <w:tr>
        <w:tc>
          <w:tcPr>
            <w:tcW w:w="0" w:type="auto"/>
          </w:tcPr>
          <w:p>
            <w:pPr>
              <w:spacing w:line="240" w:lineRule="auto" w:before="0" w:after="0"/>
              <w:pStyle w:val="Compact"/>
            </w:pPr>
            <w:r>
              <w:rPr>
                <w:sz w:val="20"/>
                <w:szCs w:val="20"/>
              </w:rPr>
              <w:t xml:space="preserve">LANS-DSN</w:t>
            </w:r>
          </w:p>
        </w:tc>
        <w:tc>
          <w:tcPr>
            <w:tcW w:w="0" w:type="auto"/>
          </w:tcPr>
          <w:p>
            <w:pPr>
              <w:spacing w:line="240" w:lineRule="auto" w:before="0" w:after="0"/>
              <w:pStyle w:val="Compact"/>
            </w:pPr>
            <w:r>
              <w:rPr>
                <w:sz w:val="20"/>
                <w:szCs w:val="20"/>
              </w:rPr>
              <w:t xml:space="preserve">Lunar DSN tracking baseline OD position knowledge</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0.0026</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3.0445</w:t>
            </w:r>
          </w:p>
        </w:tc>
        <w:tc>
          <w:tcPr>
            <w:tcW w:w="0" w:type="auto"/>
          </w:tcPr>
          <w:p>
            <w:pPr>
              <w:spacing w:line="240" w:lineRule="auto" w:before="0" w:after="0"/>
              <w:pStyle w:val="Compact"/>
            </w:pPr>
            <w:r>
              <w:rPr>
                <w:sz w:val="20"/>
                <w:szCs w:val="20"/>
              </w:rPr>
              <w:t xml:space="preserve">-5.9522</w:t>
            </w:r>
          </w:p>
        </w:tc>
        <w:tc>
          <w:tcPr>
            <w:tcW w:w="0" w:type="auto"/>
          </w:tcPr>
          <w:p>
            <w:pPr>
              <w:spacing w:line="240" w:lineRule="auto" w:before="0" w:after="0"/>
              <w:pStyle w:val="Compact"/>
            </w:pPr>
            <w:r>
              <w:rPr>
                <w:sz w:val="20"/>
                <w:szCs w:val="20"/>
              </w:rPr>
              <w:t xml:space="preserve">NASA, Lunar Navigation Performance using the Deep Space Network, NTRS 20205010306, 2021 (DSN lunar OD position knowledge)</w:t>
            </w:r>
          </w:p>
        </w:tc>
      </w:tr>
      <w:tr>
        <w:tc>
          <w:tcPr>
            <w:tcW w:w="0" w:type="auto"/>
          </w:tcPr>
          <w:p>
            <w:pPr>
              <w:spacing w:line="240" w:lineRule="auto" w:before="0" w:after="0"/>
              <w:pStyle w:val="Compact"/>
            </w:pPr>
            <w:r>
              <w:rPr>
                <w:sz w:val="20"/>
                <w:szCs w:val="20"/>
              </w:rPr>
              <w:t xml:space="preserve">MarsExpress</w:t>
            </w:r>
          </w:p>
        </w:tc>
        <w:tc>
          <w:tcPr>
            <w:tcW w:w="0" w:type="auto"/>
          </w:tcPr>
          <w:p>
            <w:pPr>
              <w:spacing w:line="240" w:lineRule="auto" w:before="0" w:after="0"/>
              <w:pStyle w:val="Compact"/>
            </w:pPr>
            <w:r>
              <w:rPr>
                <w:sz w:val="20"/>
                <w:szCs w:val="20"/>
              </w:rPr>
              <w:t xml:space="preserve">Cruise Doppler+range with twice-daily Delta-DOR</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0.9163</w:t>
            </w:r>
          </w:p>
        </w:tc>
        <w:tc>
          <w:tcPr>
            <w:tcW w:w="0" w:type="auto"/>
          </w:tcPr>
          <w:p>
            <w:pPr>
              <w:spacing w:line="240" w:lineRule="auto" w:before="0" w:after="0"/>
              <w:pStyle w:val="Compact"/>
            </w:pPr>
            <w:r>
              <w:rPr>
                <w:sz w:val="20"/>
                <w:szCs w:val="20"/>
              </w:rPr>
              <w:t xml:space="preserve">2.6391</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Mottinger N.A. et al., Mars Express Interplanetary Navigation from Launch to Mars Orbit Insertion: The JPL Experience, NTRS 20090007583, 2009; ESA, Keeping track of spacecraft with Delta-DOR [illustrative]</w:t>
            </w:r>
          </w:p>
        </w:tc>
      </w:tr>
      <w:tr>
        <w:tc>
          <w:tcPr>
            <w:tcW w:w="0" w:type="auto"/>
          </w:tcPr>
          <w:p>
            <w:pPr>
              <w:spacing w:line="240" w:lineRule="auto" w:before="0" w:after="0"/>
              <w:pStyle w:val="Compact"/>
            </w:pPr>
            <w:r>
              <w:rPr>
                <w:sz w:val="20"/>
                <w:szCs w:val="20"/>
              </w:rPr>
              <w:t xml:space="preserve">ParkerSolarProbe</w:t>
            </w:r>
          </w:p>
        </w:tc>
        <w:tc>
          <w:tcPr>
            <w:tcW w:w="0" w:type="auto"/>
          </w:tcPr>
          <w:p>
            <w:pPr>
              <w:spacing w:line="240" w:lineRule="auto" w:before="0" w:after="0"/>
              <w:pStyle w:val="Compact"/>
            </w:pPr>
            <w:r>
              <w:rPr>
                <w:sz w:val="20"/>
                <w:szCs w:val="20"/>
              </w:rPr>
              <w:t xml:space="preserve">Early post-launch 3.5h two-way Doppler initial OD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2.1972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-0.0101</w:t>
            </w:r>
          </w:p>
        </w:tc>
        <w:tc>
          <w:tcPr>
            <w:tcW w:w="0" w:type="auto"/>
          </w:tcPr>
          <w:p>
            <w:pPr>
              <w:spacing w:line="240" w:lineRule="auto" w:before="0" w:after="0"/>
              <w:pStyle w:val="Compact"/>
            </w:pPr>
            <w:r>
              <w:rPr>
                <w:sz w:val="20"/>
                <w:szCs w:val="20"/>
              </w:rPr>
              <w:t xml:space="preserve">Jones D.R. et al., Parker Solar Probe Navigation: One Year From Launch, AAS 17-xxx, 2017 (initial orbit from 3.5 h two-way Doppler, Canberra) [illustrative]</w:t>
            </w:r>
          </w:p>
        </w:tc>
      </w:tr>
      <w:tr>
        <w:tc>
          <w:tcPr>
            <w:tcW w:w="0" w:type="auto"/>
          </w:tcPr>
          <w:p>
            <w:pPr>
              <w:spacing w:line="240" w:lineRule="auto" w:before="0" w:after="0"/>
              <w:pStyle w:val="Compact"/>
            </w:pPr>
            <w:r>
              <w:rPr>
                <w:sz w:val="20"/>
                <w:szCs w:val="20"/>
              </w:rPr>
              <w:t xml:space="preserve">ParkerSolarProbe</w:t>
            </w:r>
          </w:p>
        </w:tc>
        <w:tc>
          <w:tcPr>
            <w:tcW w:w="0" w:type="auto"/>
          </w:tcPr>
          <w:p>
            <w:pPr>
              <w:spacing w:line="240" w:lineRule="auto" w:before="0" w:after="0"/>
              <w:pStyle w:val="Compact"/>
            </w:pPr>
            <w:r>
              <w:rPr>
                <w:sz w:val="20"/>
                <w:szCs w:val="20"/>
              </w:rPr>
              <w:t xml:space="preserve">Perihelion-approach Doppler+range+Delta-DOR delivery</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0.9163</w:t>
            </w:r>
          </w:p>
        </w:tc>
        <w:tc>
          <w:tcPr>
            <w:tcW w:w="0" w:type="auto"/>
          </w:tcPr>
          <w:p>
            <w:pPr>
              <w:spacing w:line="240" w:lineRule="auto" w:before="0" w:after="0"/>
              <w:pStyle w:val="Compact"/>
            </w:pPr>
            <w:r>
              <w:rPr>
                <w:sz w:val="20"/>
                <w:szCs w:val="20"/>
              </w:rPr>
              <w:t xml:space="preserve">2.6391</w:t>
            </w:r>
          </w:p>
        </w:tc>
        <w:tc>
          <w:tcPr>
            <w:tcW w:w="0" w:type="auto"/>
          </w:tcPr>
          <w:p>
            <w:pPr>
              <w:spacing w:line="240" w:lineRule="auto" w:before="0" w:after="0"/>
              <w:pStyle w:val="Compact"/>
            </w:pPr>
            <w:r>
              <w:rPr>
                <w:sz w:val="20"/>
                <w:szCs w:val="20"/>
              </w:rPr>
              <w:t xml:space="preserve">-1.204</w:t>
            </w:r>
          </w:p>
        </w:tc>
        <w:tc>
          <w:tcPr>
            <w:tcW w:w="0" w:type="auto"/>
          </w:tcPr>
          <w:p>
            <w:pPr>
              <w:spacing w:line="240" w:lineRule="auto" w:before="0" w:after="0"/>
              <w:pStyle w:val="Compact"/>
            </w:pPr>
            <w:r>
              <w:rPr>
                <w:sz w:val="20"/>
                <w:szCs w:val="20"/>
              </w:rPr>
              <w:t xml:space="preserve">Guo Y. et al., Execution of Parker Solar Probe’s unprecedented flight to the Sun and early results, Acta Astronautica 179:425-438, 2020, doi:10.1016/j.actaastro.2020.11.007 (perihelion delivery) [illustrative]</w:t>
            </w:r>
          </w:p>
        </w:tc>
      </w:tr>
      <w:tr>
        <w:tc>
          <w:tcPr>
            <w:tcW w:w="0" w:type="auto"/>
          </w:tcPr>
          <w:p>
            <w:pPr>
              <w:spacing w:line="240" w:lineRule="auto" w:before="0" w:after="0"/>
              <w:pStyle w:val="Compact"/>
            </w:pPr>
            <w:r>
              <w:rPr>
                <w:sz w:val="20"/>
                <w:szCs w:val="20"/>
              </w:rPr>
              <w:t xml:space="preserve">MercuryLander</w:t>
            </w:r>
          </w:p>
        </w:tc>
        <w:tc>
          <w:tcPr>
            <w:tcW w:w="0" w:type="auto"/>
          </w:tcPr>
          <w:p>
            <w:pPr>
              <w:spacing w:line="240" w:lineRule="auto" w:before="0" w:after="0"/>
              <w:pStyle w:val="Compact"/>
            </w:pPr>
            <w:r>
              <w:rPr>
                <w:sz w:val="20"/>
                <w:szCs w:val="20"/>
              </w:rPr>
              <w:t xml:space="preserve">Cruise three 8h 34m tracks per week Doppler+range</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-0.5108</w:t>
            </w:r>
          </w:p>
        </w:tc>
        <w:tc>
          <w:tcPr>
            <w:tcW w:w="0" w:type="auto"/>
          </w:tcPr>
          <w:p>
            <w:pPr>
              <w:spacing w:line="240" w:lineRule="auto" w:before="0" w:after="0"/>
              <w:pStyle w:val="Compact"/>
            </w:pPr>
            <w:r>
              <w:rPr>
                <w:sz w:val="20"/>
                <w:szCs w:val="20"/>
              </w:rPr>
              <w:t xml:space="preserve">Ernst C.M. et al., Mercury Lander: Planetary Mission Concept Study for the 2023-2032 Decadal Survey, arXiv:2107.06795, 2021 (three 8-hour 34m tracks per week nominal cruise)</w:t>
            </w:r>
          </w:p>
        </w:tc>
      </w:tr>
    </w:tbl>
    <w:bookmarkEnd w:id="201"/>
    <w:bookmarkStart w:id="202"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ln_err</w:t>
            </w:r>
          </w:p>
        </w:tc>
        <w:tc>
          <w:tcPr>
            <w:tcW w:w="0" w:type="auto"/>
          </w:tcPr>
          <w:p>
            <w:pPr>
              <w:spacing w:line="240" w:lineRule="auto" w:before="0" w:after="0"/>
              <w:pStyle w:val="Compact"/>
            </w:pPr>
            <w:r>
              <w:rPr>
                <w:sz w:val="20"/>
                <w:szCs w:val="20"/>
              </w:rPr>
              <w:t xml:space="preserve">Natural log of delivered 1-sigma position / along-track navigation uncertainty in kilometers</w:t>
            </w:r>
          </w:p>
        </w:tc>
        <w:tc>
          <w:tcPr>
            <w:tcW w:w="0" w:type="auto"/>
          </w:tcPr>
          <w:p>
            <w:pPr>
              <w:spacing w:line="240" w:lineRule="auto" w:before="0" w:after="0"/>
              <w:pStyle w:val="Compact"/>
            </w:pPr>
            <w:r>
              <w:rPr>
                <w:sz w:val="20"/>
                <w:szCs w:val="20"/>
              </w:rPr>
              <w:t xml:space="preserve">Computed as ln(err_km); err_km traced per row to a published orbit-determination covariance or navigation account in the source column</w:t>
            </w:r>
          </w:p>
        </w:tc>
      </w:tr>
      <w:tr>
        <w:tc>
          <w:tcPr>
            <w:tcW w:w="0" w:type="auto"/>
          </w:tcPr>
          <w:p>
            <w:pPr>
              <w:spacing w:line="240" w:lineRule="auto" w:before="0" w:after="0"/>
              <w:pStyle w:val="Compact"/>
            </w:pPr>
            <w:r>
              <w:rPr>
                <w:sz w:val="20"/>
                <w:szCs w:val="20"/>
              </w:rPr>
              <w:t xml:space="preserve">ln_cadence</w:t>
            </w:r>
          </w:p>
        </w:tc>
        <w:tc>
          <w:tcPr>
            <w:tcW w:w="0" w:type="auto"/>
          </w:tcPr>
          <w:p>
            <w:pPr>
              <w:spacing w:line="240" w:lineRule="auto" w:before="0" w:after="0"/>
              <w:pStyle w:val="Compact"/>
            </w:pPr>
            <w:r>
              <w:rPr>
                <w:sz w:val="20"/>
                <w:szCs w:val="20"/>
              </w:rPr>
              <w:t xml:space="preserve">Natural log of tracking cadence, defined as tracking contacts (DSN passes or measurement epochs) per week over the documented arc</w:t>
            </w:r>
          </w:p>
        </w:tc>
        <w:tc>
          <w:tcPr>
            <w:tcW w:w="0" w:type="auto"/>
          </w:tcPr>
          <w:p>
            <w:pPr>
              <w:spacing w:line="240" w:lineRule="auto" w:before="0" w:after="0"/>
              <w:pStyle w:val="Compact"/>
            </w:pPr>
            <w:r>
              <w:rPr>
                <w:sz w:val="20"/>
                <w:szCs w:val="20"/>
              </w:rPr>
              <w:t xml:space="preserve">Computed as ln(cadence_per_week); cadence_per_week reconstructed from each source’s stated tracking schedule</w:t>
            </w:r>
          </w:p>
        </w:tc>
      </w:tr>
      <w:tr>
        <w:tc>
          <w:tcPr>
            <w:tcW w:w="0" w:type="auto"/>
          </w:tcPr>
          <w:p>
            <w:pPr>
              <w:spacing w:line="240" w:lineRule="auto" w:before="0" w:after="0"/>
              <w:pStyle w:val="Compact"/>
            </w:pPr>
            <w:r>
              <w:rPr>
                <w:sz w:val="20"/>
                <w:szCs w:val="20"/>
              </w:rPr>
              <w:t xml:space="preserve">ln_dist</w:t>
            </w:r>
          </w:p>
        </w:tc>
        <w:tc>
          <w:tcPr>
            <w:tcW w:w="0" w:type="auto"/>
          </w:tcPr>
          <w:p>
            <w:pPr>
              <w:spacing w:line="240" w:lineRule="auto" w:before="0" w:after="0"/>
              <w:pStyle w:val="Compact"/>
            </w:pPr>
            <w:r>
              <w:rPr>
                <w:sz w:val="20"/>
                <w:szCs w:val="20"/>
              </w:rPr>
              <w:t xml:space="preserve">Natural log of the Earth-spacecraft / heliocentric distance regime in astronomical units, the dominant confounder of navigation error</w:t>
            </w:r>
          </w:p>
        </w:tc>
        <w:tc>
          <w:tcPr>
            <w:tcW w:w="0" w:type="auto"/>
          </w:tcPr>
          <w:p>
            <w:pPr>
              <w:spacing w:line="240" w:lineRule="auto" w:before="0" w:after="0"/>
              <w:pStyle w:val="Compact"/>
            </w:pPr>
            <w:r>
              <w:rPr>
                <w:sz w:val="20"/>
                <w:szCs w:val="20"/>
              </w:rPr>
              <w:t xml:space="preserve">Computed as ln(dist_au); dist_au from each mission’s documented operating distance</w:t>
            </w:r>
          </w:p>
        </w:tc>
      </w:tr>
      <w:tr>
        <w:tc>
          <w:tcPr>
            <w:tcW w:w="0" w:type="auto"/>
          </w:tcPr>
          <w:p>
            <w:pPr>
              <w:spacing w:line="240" w:lineRule="auto" w:before="0" w:after="0"/>
              <w:pStyle w:val="Compact"/>
            </w:pPr>
            <w:r>
              <w:rPr>
                <w:sz w:val="20"/>
                <w:szCs w:val="20"/>
              </w:rPr>
              <w:t xml:space="preserve">interferometric</w:t>
            </w:r>
          </w:p>
        </w:tc>
        <w:tc>
          <w:tcPr>
            <w:tcW w:w="0" w:type="auto"/>
          </w:tcPr>
          <w:p>
            <w:pPr>
              <w:spacing w:line="240" w:lineRule="auto" w:before="0" w:after="0"/>
              <w:pStyle w:val="Compact"/>
            </w:pPr>
            <w:r>
              <w:rPr>
                <w:sz w:val="20"/>
                <w:szCs w:val="20"/>
              </w:rPr>
              <w:t xml:space="preserve">Indicator equal to 1 when interferometric augmentation (Delta-DOR or angular VLBI-type tracking) is present, else 0</w:t>
            </w:r>
          </w:p>
        </w:tc>
        <w:tc>
          <w:tcPr>
            <w:tcW w:w="0" w:type="auto"/>
          </w:tcPr>
          <w:p>
            <w:pPr>
              <w:spacing w:line="240" w:lineRule="auto" w:before="0" w:after="0"/>
              <w:pStyle w:val="Compact"/>
            </w:pPr>
            <w:r>
              <w:rPr>
                <w:sz w:val="20"/>
                <w:szCs w:val="20"/>
              </w:rPr>
              <w:t xml:space="preserve">Coded from the measurement-type description in each source</w:t>
            </w:r>
          </w:p>
        </w:tc>
      </w:tr>
      <w:tr>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Indicator equal to 1 when onboard optical / image-based navigation contributes to the solution, else 0</w:t>
            </w:r>
          </w:p>
        </w:tc>
        <w:tc>
          <w:tcPr>
            <w:tcW w:w="0" w:type="auto"/>
          </w:tcPr>
          <w:p>
            <w:pPr>
              <w:spacing w:line="240" w:lineRule="auto" w:before="0" w:after="0"/>
              <w:pStyle w:val="Compact"/>
            </w:pPr>
            <w:r>
              <w:rPr>
                <w:sz w:val="20"/>
                <w:szCs w:val="20"/>
              </w:rPr>
              <w:t xml:space="preserve">Coded from the measurement-type description in each source</w:t>
            </w:r>
          </w:p>
        </w:tc>
      </w:tr>
    </w:tbl>
    <w:bookmarkEnd w:id="202"/>
    <w:bookmarkEnd w:id="203"/>
    <w:bookmarkEnd w:id="20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9" Type="http://schemas.openxmlformats.org/officeDocument/2006/relationships/image" Target="media/rId189.png"/><Relationship Id="rId197" Type="http://schemas.openxmlformats.org/officeDocument/2006/relationships/image" Target="media/rId197.png"/><Relationship Id="rId158" Type="http://schemas.openxmlformats.org/officeDocument/2006/relationships/hyperlink" Target="https://doi.org/10.1007/s40295-021-00290-z" TargetMode="External"/><Relationship Id="rId175" Type="http://schemas.openxmlformats.org/officeDocument/2006/relationships/hyperlink" Target="https://doi.org/10.1016/j.actaastro.2018.01.059" TargetMode="External"/><Relationship Id="rId147" Type="http://schemas.openxmlformats.org/officeDocument/2006/relationships/hyperlink" Target="https://doi.org/10.1016/j.actaastro.2020.11.007" TargetMode="External"/><Relationship Id="rId142" Type="http://schemas.openxmlformats.org/officeDocument/2006/relationships/hyperlink" Target="https://doi.org/10.1016/j.actaastro.2021.12.030" TargetMode="External"/><Relationship Id="rId181" Type="http://schemas.openxmlformats.org/officeDocument/2006/relationships/hyperlink" Target="https://doi.org/10.1016/j.actaastro.2023.04.040" TargetMode="External"/><Relationship Id="rId149" Type="http://schemas.openxmlformats.org/officeDocument/2006/relationships/hyperlink" Target="https://doi.org/10.1016/j.actaastro.2023.12.010" TargetMode="External"/><Relationship Id="rId173" Type="http://schemas.openxmlformats.org/officeDocument/2006/relationships/hyperlink" Target="https://doi.org/10.1016/j.actaastro.2024.06.015" TargetMode="External"/><Relationship Id="rId183" Type="http://schemas.openxmlformats.org/officeDocument/2006/relationships/hyperlink" Target="https://doi.org/10.1016/j.actaastro.2024.07.030" TargetMode="External"/><Relationship Id="rId177" Type="http://schemas.openxmlformats.org/officeDocument/2006/relationships/hyperlink" Target="https://doi.org/10.1016/j.actaastro.2025.01.022" TargetMode="External"/><Relationship Id="rId179" Type="http://schemas.openxmlformats.org/officeDocument/2006/relationships/hyperlink" Target="https://doi.org/10.1016/j.actaastro.2025.04.016" TargetMode="External"/><Relationship Id="rId171" Type="http://schemas.openxmlformats.org/officeDocument/2006/relationships/hyperlink" Target="https://doi.org/10.1016/j.actaastro.2025.12.055" TargetMode="External"/><Relationship Id="rId185" Type="http://schemas.openxmlformats.org/officeDocument/2006/relationships/hyperlink" Target="https://doi.org/10.1016/j.actaastro.2026.04.039" TargetMode="External"/><Relationship Id="rId145" Type="http://schemas.openxmlformats.org/officeDocument/2006/relationships/hyperlink" Target="https://doi.org/10.64861/JLQE7584" TargetMode="External"/><Relationship Id="rId162" Type="http://schemas.openxmlformats.org/officeDocument/2006/relationships/hyperlink" Target="https://doi.org/10.64861/LMKG2697" TargetMode="External"/><Relationship Id="rId164" Type="http://schemas.openxmlformats.org/officeDocument/2006/relationships/hyperlink" Target="https://doi.org/10.64861/PXVI3870" TargetMode="External"/><Relationship Id="rId168" Type="http://schemas.openxmlformats.org/officeDocument/2006/relationships/hyperlink" Target="https://doi.org/10.64861/ULQH1998" TargetMode="External"/></Relationships>
</file>

<file path=word/_rels/footnotes.xml.rels><?xml version='1.0' encoding='UTF-8' standalone='yes'?>
<Relationships xmlns="http://schemas.openxmlformats.org/package/2006/relationships"><Relationship Id="rId158" Type="http://schemas.openxmlformats.org/officeDocument/2006/relationships/hyperlink" Target="https://doi.org/10.1007/s40295-021-00290-z" TargetMode="External"/><Relationship Id="rId175" Type="http://schemas.openxmlformats.org/officeDocument/2006/relationships/hyperlink" Target="https://doi.org/10.1016/j.actaastro.2018.01.059" TargetMode="External"/><Relationship Id="rId147" Type="http://schemas.openxmlformats.org/officeDocument/2006/relationships/hyperlink" Target="https://doi.org/10.1016/j.actaastro.2020.11.007" TargetMode="External"/><Relationship Id="rId142" Type="http://schemas.openxmlformats.org/officeDocument/2006/relationships/hyperlink" Target="https://doi.org/10.1016/j.actaastro.2021.12.030" TargetMode="External"/><Relationship Id="rId181" Type="http://schemas.openxmlformats.org/officeDocument/2006/relationships/hyperlink" Target="https://doi.org/10.1016/j.actaastro.2023.04.040" TargetMode="External"/><Relationship Id="rId149" Type="http://schemas.openxmlformats.org/officeDocument/2006/relationships/hyperlink" Target="https://doi.org/10.1016/j.actaastro.2023.12.010" TargetMode="External"/><Relationship Id="rId173" Type="http://schemas.openxmlformats.org/officeDocument/2006/relationships/hyperlink" Target="https://doi.org/10.1016/j.actaastro.2024.06.015" TargetMode="External"/><Relationship Id="rId183" Type="http://schemas.openxmlformats.org/officeDocument/2006/relationships/hyperlink" Target="https://doi.org/10.1016/j.actaastro.2024.07.030" TargetMode="External"/><Relationship Id="rId177" Type="http://schemas.openxmlformats.org/officeDocument/2006/relationships/hyperlink" Target="https://doi.org/10.1016/j.actaastro.2025.01.022" TargetMode="External"/><Relationship Id="rId179" Type="http://schemas.openxmlformats.org/officeDocument/2006/relationships/hyperlink" Target="https://doi.org/10.1016/j.actaastro.2025.04.016" TargetMode="External"/><Relationship Id="rId171" Type="http://schemas.openxmlformats.org/officeDocument/2006/relationships/hyperlink" Target="https://doi.org/10.1016/j.actaastro.2025.12.055" TargetMode="External"/><Relationship Id="rId185" Type="http://schemas.openxmlformats.org/officeDocument/2006/relationships/hyperlink" Target="https://doi.org/10.1016/j.actaastro.2026.04.039" TargetMode="External"/><Relationship Id="rId145" Type="http://schemas.openxmlformats.org/officeDocument/2006/relationships/hyperlink" Target="https://doi.org/10.64861/JLQE7584" TargetMode="External"/><Relationship Id="rId162" Type="http://schemas.openxmlformats.org/officeDocument/2006/relationships/hyperlink" Target="https://doi.org/10.64861/LMKG2697" TargetMode="External"/><Relationship Id="rId164" Type="http://schemas.openxmlformats.org/officeDocument/2006/relationships/hyperlink" Target="https://doi.org/10.64861/PXVI3870" TargetMode="External"/><Relationship Id="rId168" Type="http://schemas.openxmlformats.org/officeDocument/2006/relationships/hyperlink" Target="https://doi.org/10.64861/ULQH19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Navigation-Solution Accuracy as a Function of Tracking Cadence: A Regression of Delivered Orbit-Determination Error on Deep Space Network Pass Density for Heliophysics Missions</dc:title>
  <dc:creator>Bjorn Zhang (1B-HEL-060)</dc:creator>
  <cp:keywords/>
  <dcterms:created xsi:type="dcterms:W3CDTF">2026-07-04T11:44:40Z</dcterms:created>
  <dcterms:modified xsi:type="dcterms:W3CDTF">2026-07-04T11:44:40Z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