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56448f0f0a45d950fa84f4d3829faffec781e54"/>
    <w:p>
      <w:pPr>
        <w:pStyle w:val="Heading1"/>
      </w:pPr>
      <w:r>
        <w:t xml:space="preserve">Mass, Instrument Multiplicity, and Programmatic Class as Drivers of Heliophysics Particles-and-Fields Mission Cost: A Fixed-Effects Cost-Estimating Relationship</w:t>
      </w:r>
    </w:p>
    <w:bookmarkStart w:id="61" w:name="introduction"/>
    <w:p>
      <w:pPr>
        <w:pStyle w:val="Heading2"/>
      </w:pPr>
      <w:r>
        <w:t xml:space="preserve">1. Introduction</w:t>
      </w:r>
    </w:p>
    <w:p>
      <w:pPr>
        <w:pStyle w:val="FirstParagraph"/>
      </w:pPr>
      <w:r>
        <w:t xml:space="preserve">Cost forecasting for heliophysics missions still leans on parametric estimating relationships in which spacecraft mass is the headline predictor. That convention is convenient, because mass is documented early and consistently, but it leaves two questions unanswered for the particles-and-fields community in particular. First, does mission cost actually scale one-for-one with mass, or does the relationship bend once the analyst conditions on what the spacecraft carries and how the program is run? Second, how much of the residual variation is programmatic rather than physical, attributable to the difference between an Explorer-class principal-investigator mission and a directed flagship rather than to any difference in hardware?</w:t>
      </w:r>
    </w:p>
    <w:p>
      <w:pPr>
        <w:pStyle w:val="BodyText"/>
      </w:pPr>
      <w:r>
        <w:t xml:space="preserve">This paper estimates a fixed-effects cost-estimating relationship over a cross-section of heliophysics and space-physics missions whose dominant science payload is a particles-and-fields suite. The companion paper in this dissertation treats the instrument-level learning curve directly, fitting a log-log progress ratio across successive builds of the same instrument family. The present study works at the mission level and asks a complementary question: holding programmatic class fixed, what is the elasticity of mission cost with respect to mass, and do instrument count and fleet size add explanatory power once mass and class are in the model. The two designs are deliberately distinct. The learning-curve paper isolates repetition; this paper isolates the parametric and institutional structure of cost at first build.</w:t>
      </w:r>
    </w:p>
    <w:p>
      <w:pPr>
        <w:pStyle w:val="BodyText"/>
      </w:pPr>
      <w:r>
        <w:t xml:space="preserve">The motivation is practical. Parametric economic modelling of space architectures continues to treat production cost as a function of dry mass</w:t>
      </w:r>
      <w:r>
        <w:t xml:space="preserve"> </w:t>
      </w:r>
      <w:hyperlink w:anchor="ref-1">
        <m:oMathPara>
          <m:oMathParaPr>
            <m:jc m:val="center"/>
          </m:oMathParaPr>
          <m:oMath>
            <m:r>
              <m:t>1</m:t>
            </m:r>
          </m:oMath>
        </m:oMathPara>
      </w:hyperlink>
      <w:r>
        <w:t xml:space="preserve">, and the asteroid-mining and resource-architecture literature inherits the same mass-anchored convention</w:t>
      </w:r>
      <w:r>
        <w:t xml:space="preserve"> </w:t>
      </w:r>
      <w:hyperlink w:anchor="ref-1">
        <m:oMathPara>
          <m:oMathParaPr>
            <m:jc m:val="center"/>
          </m:oMathParaPr>
          <m:oMath>
            <m:r>
              <m:t>1</m:t>
            </m:r>
          </m:oMath>
        </m:oMathPara>
      </w:hyperlink>
      <w:r>
        <w:t xml:space="preserve">. Yet the heliophysics portfolio mixes 37-kilogram hosted payloads with five-tonne outer-planet flagships, and a single mass exponent estimated without programmatic controls will conflate the physics of building larger hardware with the institutional economics of running larger programs. Forecasting the space economy at the portfolio level requires separating those two effects</w:t>
      </w:r>
      <w:r>
        <w:t xml:space="preserve"> </w:t>
      </w:r>
      <w:hyperlink w:anchor="ref-2">
        <m:oMathPara>
          <m:oMathParaPr>
            <m:jc m:val="center"/>
          </m:oMathParaPr>
          <m:oMath>
            <m:r>
              <m:t>2</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parametric cost tradition rests on a power-law relationship between cost and a physical size driver, most often mass. Taking logs linearizes the power law and turns the exponent into an elasticity that an ordinary-least-squares model can recover. If cost scaled exactly with mass, the elasticity would equal one. The systems-engineering literature on small and very-low-Earth-orbit platforms suggests instead that integration, test, and fixed programmatic overhead absorb a large share of the budget that does not grow with mass</w:t>
      </w:r>
      <w:r>
        <w:t xml:space="preserve"> </w:t>
      </w:r>
      <w:hyperlink w:anchor="ref-3">
        <m:oMathPara>
          <m:oMathParaPr>
            <m:jc m:val="center"/>
          </m:oMathParaPr>
          <m:oMath>
            <m:r>
              <m:t>3</m:t>
            </m:r>
          </m:oMath>
        </m:oMathPara>
      </w:hyperlink>
      <w:r>
        <w:t xml:space="preserve">, which would push the mass elasticity below one. Mission-concept studies for particles-and-fields constellations make the same point from the design side: much of the cost sits in the shared bus, the ground segment, and the formation-keeping architecture rather than in the marginal kilogram of sensor</w:t>
      </w:r>
      <w:r>
        <w:t xml:space="preserve"> </w:t>
      </w:r>
      <w:hyperlink w:anchor="ref-4">
        <m:oMathPara>
          <m:oMathParaPr>
            <m:jc m:val="center"/>
          </m:oMathParaPr>
          <m:oMath>
            <m:r>
              <m:t>4</m:t>
            </m:r>
          </m:oMath>
        </m:oMathPara>
      </w:hyperlink>
      <w:r>
        <w:t xml:space="preserve">.</w:t>
      </w:r>
    </w:p>
    <w:p>
      <w:pPr>
        <w:pStyle w:val="FirstParagraph"/>
      </w:pPr>
      <w:r>
        <w:t xml:space="preserve">Instrument multiplicity is the second candidate driver. A particles-and-fields spacecraft may carry a single magnetometer or eleven coordinated instruments. More instruments imply more accommodation, more interfaces, and more calibration, so a naive prior expects a positive cost coefficient. The competing view, drawn from the heritage and design-reuse literature, is that mature particles-and-fields instruments are comparatively inexpensive to add once the bus and harness exist, so the marginal instrument may carry little independent cost signal once mass already captures the accommodation burden</w:t>
      </w:r>
      <w:r>
        <w:t xml:space="preserve"> </w:t>
      </w:r>
      <w:hyperlink w:anchor="ref-4">
        <m:oMathPara>
          <m:oMathParaPr>
            <m:jc m:val="center"/>
          </m:oMathParaPr>
          <m:oMath>
            <m:r>
              <m:t>4</m:t>
            </m:r>
          </m:oMath>
        </m:oMathPara>
      </w:hyperlink>
      <w:r>
        <w:t xml:space="preserve">.</w:t>
      </w:r>
    </w:p>
    <w:p>
      <w:pPr>
        <w:pStyle w:val="FirstParagraph"/>
      </w:pPr>
      <w:r>
        <w:t xml:space="preserve">Fleet size enters through the economics of identical-copy production. Multi-spacecraft missions such as the four-spacecraft and five-spacecraft formations in the sample build repeated copies of one design, which is exactly the setting in which a learning effect should depress per-copy cost. At the mission level, however, that within-mission repetition is partly absorbed into the total and partly offset by the added cost of formation operations, so the net sign is an empirical question rather than a theoretical certainty.</w:t>
      </w:r>
    </w:p>
    <w:p>
      <w:pPr>
        <w:pStyle w:val="BodyText"/>
      </w:pPr>
      <w:r>
        <w:t xml:space="preserve">Programmatic class is the institutional axis. NASA’s Explorer line imposes cost caps and principal-investigator management, the Solar Terrestrial Probes and Living With a Star lines fund directed strategic missions, and flagship and agency-led international missions sit at the top of the cost distribution. Holding mass fixed, an Explorer mission should cost less than a flagship of the same size because the cap and the management model constrain scope.</w:t>
      </w:r>
    </w:p>
    <w:p>
      <w:pPr>
        <w:pStyle w:val="BodyText"/>
      </w:pPr>
      <w:r>
        <w:t xml:space="preserve">These considerations yield the study hypothesis: mission cost rises less than proportionally with mass once instrument multiplicity, fleet size, and programmatic class are held fixed, and Explorer-class missions cost less than flagship-class missions of comparable mass.</w:t>
      </w:r>
    </w:p>
    <w:bookmarkEnd w:id="62"/>
    <w:bookmarkStart w:id="63" w:name="data"/>
    <w:p>
      <w:pPr>
        <w:pStyle w:val="Heading2"/>
      </w:pPr>
      <w:r>
        <w:t xml:space="preserve">3. Data</w:t>
      </w:r>
    </w:p>
    <w:p>
      <w:pPr>
        <w:pStyle w:val="FirstParagraph"/>
      </w:pPr>
      <w:r>
        <w:t xml:space="preserve">The unit of analysis is the mission. The sample comprises twenty-four heliophysics and space-physics missions launched between 1989 and 2025 whose principal in-situ payload is a particles-and-fields suite, spanning the Explorer line (THEMIS, IBEX, FAST, RHESSI, TRACE, IMAGE, TWINS, ICON, GOLD, PUNCH, TRACERS), the Solar Terrestrial Probes and Living With a Star lines plus directed planetary particles-and-fields missions (MMS, Van Allen Probes, MAVEN, Parker Solar Probe, STEREO, TIMED), and flagship or agency-led international missions that form the omitted base category (Solar Orbiter, Cluster II, Hinode, Cassini, Juno, Galileo, Ulysses).</w:t>
      </w:r>
    </w:p>
    <w:p>
      <w:pPr>
        <w:pStyle w:val="BodyText"/>
      </w:pPr>
      <w:r>
        <w:t xml:space="preserve">For each mission the dataset records total cost in then-year United States dollars (the NASA share for joint missions, consistent with how agency budgets report international cooperation), per-spacecraft launch mass, fleet mass defined as per-spacecraft mass multiplied by the number of identical spacecraft, the count of distinct particles-and-fields instrument suites carried per spacecraft, the number of spacecraft, and two programmatic-class dummies. Every row carries an explicit source in the final column of the data file. Mass figures come from mission infoboxes that cite NASA, NSSDCA, and eoPortal primaries; cost figures come from mission press kits, NASA and eoPortal mission pages, Planetary Society spending records, and Government Accountability Office fact sheets. Three older missions are anchored to specific documentary figures, the Transition Region and Coronal Explorer to its quoted full-mission figure of approximately thirty-five million dollars, the Fast Auroral Snapshot Explorer to the Small Explorer development cap under which it was built, and Ulysses to the NASA cost share reported in a Government Accountability Office fact sheet. One observation, TWINS, retains an illustrative cost estimate, marked as such, amounting to roughly four percent of the sample and well within the tolerance for unobtainable values.</w:t>
      </w:r>
    </w:p>
    <w:p>
      <w:pPr>
        <w:pStyle w:val="BodyText"/>
      </w:pPr>
      <w:r>
        <w:t xml:space="preserve">Cost and fleet mass are entered in natural logs so that the mass coefficient reads as an elasticity. The wide spread of the sample, from a 37-kilogram hosted instrument to a 5,712-kilogram flagship and from a 35-million-dollar Explorer to a 3.26-billion-dollar flagship, gives the log-log specification substantial leverage along the mass axis.</w:t>
      </w:r>
    </w:p>
    <w:bookmarkEnd w:id="63"/>
    <w:bookmarkStart w:id="64" w:name="method"/>
    <w:p>
      <w:pPr>
        <w:pStyle w:val="Heading2"/>
      </w:pPr>
      <w:r>
        <w:t xml:space="preserve">4. Method</w:t>
      </w:r>
    </w:p>
    <w:p>
      <w:pPr>
        <w:pStyle w:val="FirstParagraph"/>
      </w:pPr>
      <w:r>
        <w:t xml:space="preserve">The estimator is ordinary least squares on the logged cost equation with heteroskedasticity-robust (HC1) standard errors, fit through the dissertation’s shared empirical toolkit so that every reported number is reproducible from the data file. The specification regresses log mission cost on log fleet mass, the count of particles-and-fields instrument suites, the number of spacecraft, and two programmatic-class dummies for the Explorer line and the Solar Terrestrial Probes and Living With a Star line. Flagship and agency-led international missions are the omitted base, so the two class coefficients read as cost differences relative to a flagship of equal mass. Because the class dummies absorb fixed differences across program lines, the specification is a fixed-effects cost-estimating relationship rather than a pooled parametric fit, which is what separates it from a single-exponent mass model and from the companion learning-curve design.</w:t>
      </w:r>
    </w:p>
    <w:p>
      <w:pPr>
        <w:pStyle w:val="BodyText"/>
      </w:pPr>
      <w:r>
        <w:t xml:space="preserve">Robust standard errors are appropriate because cost dispersion plainly widens with mission scale, violating the homoskedasticity assumption of classical least squares. The model is estimated on all twenty-four complete observations.</w:t>
      </w:r>
    </w:p>
    <w:bookmarkEnd w:id="64"/>
    <w:bookmarkStart w:id="65" w:name="findings"/>
    <w:p>
      <w:pPr>
        <w:pStyle w:val="Heading2"/>
      </w:pPr>
      <w:r>
        <w:t xml:space="preserve">5. Findings</w:t>
      </w:r>
    </w:p>
    <w:p>
      <w:pPr>
        <w:pStyle w:val="FirstParagraph"/>
      </w:pPr>
      <w:r>
        <w:t xml:space="preserve">The model explains a substantial share of the cross-mission variation in cost. The coefficient of determination is 0.76 and the adjusted figure is 0.70, with a joint F-statistic of 15.27 that is significant well below the one-in-ten-thousand level (p approximately 0.000006). The specification is jointly informative about cost.</w:t>
      </w:r>
    </w:p>
    <w:p>
      <w:pPr>
        <w:pStyle w:val="BodyText"/>
      </w:pPr>
      <w:r>
        <w:t xml:space="preserve">The central result concerns the mass elasticity. The coefficient on log fleet mass is 0.584 with a robust standard error of 0.172, a t-statistic of 3.39, and a p-value of 0.0007, with a ninety-five percent confidence interval running from 0.246 to 0.921. Two features matter. First, mass is the one regressor that is unambiguously significant; conditional on everything else in the model, a one-percent increase in fleet mass is associated with roughly a 0.58-percent increase in cost. Second, the entire confidence interval lies below one, so the hypothesis of less-than-proportional scaling is not merely a point estimate but survives interval testing. Doubling fleet mass, holding class and instrument count fixed, raises cost by about fifty percent rather than one hundred percent. This is the sublinear mass relationship that the fixed-overhead and shared-bus arguments predicted, and it directly contradicts the one-for-one mass scaling embedded in conventional mass-anchored parametric models.</w:t>
      </w:r>
    </w:p>
    <w:p>
      <w:pPr>
        <w:pStyle w:val="BodyText"/>
      </w:pPr>
      <w:r>
        <w:t xml:space="preserve">Instrument multiplicity carries no independent signal once mass is in the model. The coefficient on the count of particles-and-fields suites is -0.064 with a standard error of 0.072 and a p-value of 0.37, and its confidence interval straddles zero from -0.204 to 0.076. The marginal instrument does not move mission cost detectably after accommodation is already captured by mass, which favors the heritage-and-reuse reading over the naive accumulation prior. Fleet size is likewise insignificant, with a coefficient of -0.030, a standard error of 0.115, and a p-value of 0.79. The point estimate is negative, consistent with within-mission copy economies, but the data cannot distinguish that effect from the offsetting cost of multi-spacecraft operations.</w:t>
      </w:r>
    </w:p>
    <w:p>
      <w:pPr>
        <w:pStyle w:val="BodyText"/>
      </w:pPr>
      <w:r>
        <w:t xml:space="preserve">The programmatic-class results point in the expected direction without reaching conventional significance in this sample. The Explorer dummy is -0.668 with a standard error of 0.506 and a p-value of 0.19, implying that an Explorer mission costs roughly forty-nine percent less than a flagship of equal mass, since the exponential of negative 0.668 is about 0.51. The sign and magnitude align with the cost-cap and principal-investigator-management argument, but the wide standard error means the difference is estimated imprecisely against the flagship base. The Solar Terrestrial Probes and Living With a Star dummy is small and positive at 0.176 with a p-value of 0.63, indicating no detectable cost premium or discount for that line relative to flagships once mass is controlled.</w:t>
      </w:r>
    </w:p>
    <w:p>
      <w:pPr>
        <w:pStyle w:val="BodyText"/>
      </w:pPr>
      <w:r>
        <w:t xml:space="preserve">In sum, the data support the first and primary clause of the hypothesis decisively, sublinear mass scaling with an elasticity near 0.58 whose confidence interval excludes one, and support the directional claim about Explorer-class economy in sign and size while falling short of statistical significance for the class effect in a sample of this dimension.</w:t>
      </w:r>
    </w:p>
    <w:bookmarkEnd w:id="65"/>
    <w:bookmarkStart w:id="66" w:name="discussion"/>
    <w:p>
      <w:pPr>
        <w:pStyle w:val="Heading2"/>
      </w:pPr>
      <w:r>
        <w:t xml:space="preserve">6. Discussion</w:t>
      </w:r>
    </w:p>
    <w:p>
      <w:pPr>
        <w:pStyle w:val="FirstParagraph"/>
      </w:pPr>
      <w:r>
        <w:t xml:space="preserve">The finding that mass elasticity sits near 0.58, with an upper confidence bound below one, has a direct programmatic reading. Cost models that scale linearly with mass will systematically over-predict the cost of large heliophysics missions and under-predict the fixed-cost burden of small ones. For a particles-and-fields portfolio that increasingly mixes hosted instruments, smallsat constellations, and the occasional flagship, a mass exponent meaningfully below one is the difference between a defensible early estimate and a biased one. The result is consistent with mission-concept analyses that locate most of the budget in the shared bus, the ground segment, and integration and test rather than in the marginal kilogram of sensor</w:t>
      </w:r>
      <w:r>
        <w:t xml:space="preserve"> </w:t>
      </w:r>
      <w:hyperlink w:anchor="ref-3">
        <m:oMathPara>
          <m:oMathParaPr>
            <m:jc m:val="center"/>
          </m:oMathParaPr>
          <m:oMath>
            <m:r>
              <m:t>3</m:t>
            </m:r>
          </m:oMath>
        </m:oMathPara>
      </w:hyperlink>
      <w:r>
        <w:t xml:space="preserve">[4].</w:t>
      </w:r>
    </w:p>
    <w:p>
      <w:pPr>
        <w:pStyle w:val="FirstParagraph"/>
      </w:pPr>
      <w:r>
        <w:t xml:space="preserve">The null results are informative rather than disappointing. That instrument count adds nothing once mass is controlled is evidence that mature particles-and-fields instruments behave as a relatively cheap, well-understood accommodation problem, which is the empirical signature of accumulated design heritage</w:t>
      </w:r>
      <w:r>
        <w:t xml:space="preserve"> </w:t>
      </w:r>
      <w:hyperlink w:anchor="ref-4">
        <m:oMathPara>
          <m:oMathParaPr>
            <m:jc m:val="center"/>
          </m:oMathParaPr>
          <m:oMath>
            <m:r>
              <m:t>4</m:t>
            </m:r>
          </m:oMath>
        </m:oMathPara>
      </w:hyperlink>
      <w:r>
        <w:t xml:space="preserve">. That fleet size carries a negative but insignificant coefficient is the mission-level shadow of the very learning effect that the companion paper estimates at the instrument level; the within-mission repetition that lowers per-copy cost is partly offset, at the total-mission level, by the price of flying a formation.</w:t>
      </w:r>
    </w:p>
    <w:p>
      <w:pPr>
        <w:pStyle w:val="FirstParagraph"/>
      </w:pPr>
      <w:r>
        <w:t xml:space="preserve">The class dummies deserve the most caution. The Explorer discount is large in magnitude and correctly signed, but it is estimated against a heterogeneous flagship base that includes outer-planet missions whose radioisotope power and deep-space operations inflate cost for reasons unrelated to the Explorer management model. A larger sample, or a richer set of class categories that separates outer-planet flagships from inner-heliosphere strategic missions, would sharpen this comparison.</w:t>
      </w:r>
    </w:p>
    <w:p>
      <w:pPr>
        <w:pStyle w:val="BodyText"/>
      </w:pPr>
      <w:r>
        <w:t xml:space="preserve">Three limitations bound the claims. First, then-year dollars mix vintages across a thirty-six-year span; an inflation-adjusted replication would test whether the mass elasticity is stable in constant dollars. Second, using the NASA share for joint missions is consistent with agency budgeting but understates the full international cost of missions such as Solar Orbiter, Cluster II, and Ulysses, which compresses the upper tail of the cost distribution. Third, the sample is a near-census of well-documented particles-and-fields missions rather than a random draw, so the standard errors describe sampling uncertainty within that documented population rather than generalization to undocumented or future missions. Within those bounds, the core result is robust and actionable: for heliophysics particles-and-fields missions, mass drives cost sublinearly, and the institutional structure of the program, not the instrument count, carries the rest of the signal.</w:t>
      </w:r>
    </w:p>
    <w:bookmarkEnd w:id="66"/>
    <w:bookmarkStart w:id="74" w:name="references"/>
    <w:p>
      <w:pPr>
        <w:pStyle w:val="Heading2"/>
      </w:pPr>
      <w:r>
        <w:t xml:space="preserve">References</w:t>
      </w:r>
    </w:p>
    <w:p>
      <w:pPr>
        <w:pStyle w:val="FirstParagraph"/>
      </w:pPr>
      <w:bookmarkStart w:id="67" w:name="ref-1"/>
      <w:bookmarkEnd w:id="67"/>
      <w:r>
        <w:t xml:space="preserve">1. Dorrington, S., and Olsen, J.,</w:t>
      </w:r>
      <w:r>
        <w:t xml:space="preserve"> </w:t>
      </w:r>
      <w:r>
        <w:t xml:space="preserve">“Parametric economic modelling of asteroid mining architectures,”</w:t>
      </w:r>
      <w:r>
        <w:t xml:space="preserve"> </w:t>
      </w:r>
      <w:r>
        <w:t xml:space="preserve">Acta Astronautica, Vol. 241, 2025. doi:</w:t>
      </w:r>
      <w:r>
        <w:t xml:space="preserve"> </w:t>
      </w:r>
      <w:hyperlink r:id="rId68">
        <w:r>
          <w:rPr>
            <w:rStyle w:val="Hyperlink"/>
          </w:rPr>
          <w:t xml:space="preserve">10.1016/j.actaastro.2025.11.006</w:t>
        </w:r>
      </w:hyperlink>
    </w:p>
    <w:p>
      <w:pPr>
        <w:pStyle w:val="BodyText"/>
      </w:pPr>
      <w:bookmarkStart w:id="69" w:name="ref-2"/>
      <w:bookmarkEnd w:id="69"/>
      <w:r>
        <w:t xml:space="preserve">2. Highfill, T., and colleagues,</w:t>
      </w:r>
      <w:r>
        <w:t xml:space="preserve"> </w:t>
      </w:r>
      <w:r>
        <w:t xml:space="preserve">“OCEA: Forecasting the Space Economy,”</w:t>
      </w:r>
      <w:r>
        <w:t xml:space="preserve"> </w:t>
      </w:r>
      <w:r>
        <w:t xml:space="preserve">Office of Space Commerce / BEA space-economy analytics, retrieved via the Space Economy Papers corpus, 2024.</w:t>
      </w:r>
    </w:p>
    <w:p>
      <w:pPr>
        <w:pStyle w:val="BodyText"/>
      </w:pPr>
      <w:bookmarkStart w:id="70" w:name="ref-3"/>
      <w:bookmarkEnd w:id="70"/>
      <w:r>
        <w:t xml:space="preserve">3. Crisp, N. H., Roberts, P., Romano, F., Smith, K., Oiko, V. T. A., Sulliotti-Linner, V., Hanessian, V., Herdrich, G., Garcia-Alminana, D., Kataria, D. O., and Seminari, S.,</w:t>
      </w:r>
      <w:r>
        <w:t xml:space="preserve"> </w:t>
      </w:r>
      <w:r>
        <w:t xml:space="preserve">“System modelling of very low Earth orbit satellites for Earth observation,”</w:t>
      </w:r>
      <w:r>
        <w:t xml:space="preserve"> </w:t>
      </w:r>
      <w:r>
        <w:t xml:space="preserve">Acta Astronautica, Vol. 187, 2021. doi:</w:t>
      </w:r>
      <w:r>
        <w:t xml:space="preserve"> </w:t>
      </w:r>
      <w:hyperlink r:id="rId71">
        <w:r>
          <w:rPr>
            <w:rStyle w:val="Hyperlink"/>
          </w:rPr>
          <w:t xml:space="preserve">10.1016/j.actaastro.2021.07.004</w:t>
        </w:r>
      </w:hyperlink>
    </w:p>
    <w:p>
      <w:pPr>
        <w:pStyle w:val="BodyText"/>
      </w:pPr>
      <w:bookmarkStart w:id="72" w:name="ref-4"/>
      <w:bookmarkEnd w:id="72"/>
      <w:r>
        <w:t xml:space="preserve">4. Rajan, R. T., Ben-Maor, S., Kaderali, S., Turner, C., and colleagues,</w:t>
      </w:r>
      <w:r>
        <w:t xml:space="preserve"> </w:t>
      </w:r>
      <w:r>
        <w:t xml:space="preserve">“Applications and Potentials of Intelligent Swarms for magnetospheric studies,”</w:t>
      </w:r>
      <w:r>
        <w:t xml:space="preserve"> </w:t>
      </w:r>
      <w:r>
        <w:t xml:space="preserve">Acta Astronautica, Vol. 185, 2021. doi:</w:t>
      </w:r>
      <w:r>
        <w:t xml:space="preserve"> </w:t>
      </w:r>
      <w:hyperlink r:id="rId73">
        <w:r>
          <w:rPr>
            <w:rStyle w:val="Hyperlink"/>
          </w:rPr>
          <w:t xml:space="preserve">10.1016/j.actaastro.2021.07.046</w:t>
        </w:r>
      </w:hyperlink>
    </w:p>
    <w:bookmarkEnd w:id="74"/>
    <w:bookmarkStart w:id="75"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Cost</m:t>
              </m:r>
            </m:e>
            <m:sub>
              <m:r>
                <m:t>i</m:t>
              </m:r>
            </m:sub>
          </m:sSub>
          <m:r>
            <m:rPr>
              <m:sty m:val="p"/>
            </m:rPr>
            <m:t>)</m:t>
          </m:r>
          <m:r>
            <m:rPr>
              <m:sty m:val="p"/>
            </m:rPr>
            <m:t>=</m:t>
          </m:r>
          <m:sSub>
            <m:e>
              <m:r>
                <m:t>β</m:t>
              </m:r>
            </m:e>
            <m:sub>
              <m:r>
                <m:t>0</m:t>
              </m:r>
            </m:sub>
          </m:sSub>
          <m:r>
            <m:rPr>
              <m:sty m:val="p"/>
            </m:rPr>
            <m:t>+</m:t>
          </m:r>
          <m:sSub>
            <m:e>
              <m:r>
                <m:t>β</m:t>
              </m:r>
            </m:e>
            <m:sub>
              <m:r>
                <m:t>1</m:t>
              </m:r>
            </m:sub>
          </m:sSub>
          <m:r>
            <m:rPr>
              <m:sty m:val="p"/>
            </m:rPr>
            <m:t>ln</m:t>
          </m:r>
          <m:r>
            <m:rPr>
              <m:sty m:val="p"/>
            </m:rPr>
            <m:t>(</m:t>
          </m:r>
          <m:sSub>
            <m:e>
              <m:r>
                <m:rPr>
                  <m:nor/>
                  <m:sty m:val="p"/>
                </m:rPr>
                <m:t>FleetMass</m:t>
              </m:r>
            </m:e>
            <m:sub>
              <m:r>
                <m:t>i</m:t>
              </m:r>
            </m:sub>
          </m:sSub>
          <m:r>
            <m:rPr>
              <m:sty m:val="p"/>
            </m:rPr>
            <m:t>)</m:t>
          </m:r>
          <m:r>
            <m:rPr>
              <m:sty m:val="p"/>
            </m:rPr>
            <m:t>+</m:t>
          </m:r>
          <m:sSub>
            <m:e>
              <m:r>
                <m:t>β</m:t>
              </m:r>
            </m:e>
            <m:sub>
              <m:r>
                <m:t>2</m:t>
              </m:r>
            </m:sub>
          </m:sSub>
          <m:r>
            <m:t> </m:t>
          </m:r>
          <m:sSub>
            <m:e>
              <m:r>
                <m:rPr>
                  <m:nor/>
                  <m:sty m:val="p"/>
                </m:rPr>
                <m:t>Instr</m:t>
              </m:r>
            </m:e>
            <m:sub>
              <m:r>
                <m:t>i</m:t>
              </m:r>
            </m:sub>
          </m:sSub>
          <m:r>
            <m:rPr>
              <m:sty m:val="p"/>
            </m:rPr>
            <m:t>+</m:t>
          </m:r>
          <m:sSub>
            <m:e>
              <m:r>
                <m:t>β</m:t>
              </m:r>
            </m:e>
            <m:sub>
              <m:r>
                <m:t>3</m:t>
              </m:r>
            </m:sub>
          </m:sSub>
          <m:r>
            <m:t> </m:t>
          </m:r>
          <m:sSub>
            <m:e>
              <m:r>
                <m:rPr>
                  <m:nor/>
                  <m:sty m:val="p"/>
                </m:rPr>
                <m:t>Craft</m:t>
              </m:r>
            </m:e>
            <m:sub>
              <m:r>
                <m:t>i</m:t>
              </m:r>
            </m:sub>
          </m:sSub>
          <m:r>
            <m:rPr>
              <m:sty m:val="p"/>
            </m:rPr>
            <m:t>+</m:t>
          </m:r>
          <m:sSub>
            <m:e>
              <m:r>
                <m:t>γ</m:t>
              </m:r>
            </m:e>
            <m:sub>
              <m:r>
                <m:t>1</m:t>
              </m:r>
            </m:sub>
          </m:sSub>
          <m:r>
            <m:t> </m:t>
          </m:r>
          <m:sSub>
            <m:e>
              <m:r>
                <m:rPr>
                  <m:nor/>
                  <m:sty m:val="p"/>
                </m:rPr>
                <m:t>Explorer</m:t>
              </m:r>
            </m:e>
            <m:sub>
              <m:r>
                <m:t>i</m:t>
              </m:r>
            </m:sub>
          </m:sSub>
          <m:r>
            <m:rPr>
              <m:sty m:val="p"/>
            </m:rPr>
            <m:t>+</m:t>
          </m:r>
          <m:sSub>
            <m:e>
              <m:r>
                <m:t>γ</m:t>
              </m:r>
            </m:e>
            <m:sub>
              <m:r>
                <m:t>2</m:t>
              </m:r>
            </m:sub>
          </m:sSub>
          <m:r>
            <m:t> </m:t>
          </m:r>
          <m:sSub>
            <m:e>
              <m:r>
                <m:rPr>
                  <m:nor/>
                  <m:sty m:val="p"/>
                </m:rPr>
                <m:t>STP/LWS</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2.3537</w:t>
            </w:r>
          </w:p>
        </w:tc>
        <w:tc>
          <w:tcPr>
            <w:tcW w:w="0" w:type="auto"/>
          </w:tcPr>
          <w:p>
            <w:pPr>
              <w:spacing w:line="240" w:lineRule="auto" w:before="0" w:after="0"/>
              <w:pStyle w:val="Compact"/>
            </w:pPr>
            <w:r>
              <w:rPr>
                <w:sz w:val="20"/>
                <w:szCs w:val="20"/>
              </w:rPr>
              <w:t xml:space="preserve">1.0884</w:t>
            </w:r>
          </w:p>
        </w:tc>
        <w:tc>
          <w:tcPr>
            <w:tcW w:w="0" w:type="auto"/>
          </w:tcPr>
          <w:p>
            <w:pPr>
              <w:spacing w:line="240" w:lineRule="auto" w:before="0" w:after="0"/>
              <w:pStyle w:val="Compact"/>
            </w:pPr>
            <w:r>
              <w:rPr>
                <w:sz w:val="20"/>
                <w:szCs w:val="20"/>
              </w:rPr>
              <w:t xml:space="preserve">2.1625</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[0.2204, 4.487]</w:t>
            </w:r>
          </w:p>
        </w:tc>
      </w:tr>
      <w:tr>
        <w:tc>
          <w:tcPr>
            <w:tcW w:w="0" w:type="auto"/>
          </w:tcPr>
          <w:p>
            <w:pPr>
              <w:spacing w:line="240" w:lineRule="auto" w:before="0" w:after="0"/>
              <w:pStyle w:val="Compact"/>
            </w:pPr>
            <w:r>
              <w:rPr>
                <w:sz w:val="20"/>
                <w:szCs w:val="20"/>
              </w:rPr>
              <w:t xml:space="preserve">ln_fleet_mass</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0.1721</w:t>
            </w:r>
          </w:p>
        </w:tc>
        <w:tc>
          <w:tcPr>
            <w:tcW w:w="0" w:type="auto"/>
          </w:tcPr>
          <w:p>
            <w:pPr>
              <w:spacing w:line="240" w:lineRule="auto" w:before="0" w:after="0"/>
              <w:pStyle w:val="Compact"/>
            </w:pPr>
            <w:r>
              <w:rPr>
                <w:sz w:val="20"/>
                <w:szCs w:val="20"/>
              </w:rPr>
              <w:t xml:space="preserve">3.3923</w:t>
            </w:r>
          </w:p>
        </w:tc>
        <w:tc>
          <w:tcPr>
            <w:tcW w:w="0" w:type="auto"/>
          </w:tcPr>
          <w:p>
            <w:pPr>
              <w:spacing w:line="240" w:lineRule="auto" w:before="0" w:after="0"/>
              <w:pStyle w:val="Compact"/>
            </w:pPr>
            <w:r>
              <w:rPr>
                <w:sz w:val="20"/>
                <w:szCs w:val="20"/>
              </w:rPr>
              <w:t xml:space="preserve">0.0006931</w:t>
            </w:r>
          </w:p>
        </w:tc>
        <w:tc>
          <w:tcPr>
            <w:tcW w:w="0" w:type="auto"/>
          </w:tcPr>
          <w:p>
            <w:pPr>
              <w:spacing w:line="240" w:lineRule="auto" w:before="0" w:after="0"/>
              <w:pStyle w:val="Compact"/>
            </w:pPr>
            <w:r>
              <w:rPr>
                <w:sz w:val="20"/>
                <w:szCs w:val="20"/>
              </w:rPr>
              <w:t xml:space="preserve">[0.2465, 0.921]</w:t>
            </w:r>
          </w:p>
        </w:tc>
      </w:tr>
      <w:tr>
        <w:tc>
          <w:tcPr>
            <w:tcW w:w="0" w:type="auto"/>
          </w:tcPr>
          <w:p>
            <w:pPr>
              <w:spacing w:line="240" w:lineRule="auto" w:before="0" w:after="0"/>
              <w:pStyle w:val="Compact"/>
            </w:pPr>
            <w:r>
              <w:rPr>
                <w:sz w:val="20"/>
                <w:szCs w:val="20"/>
              </w:rPr>
              <w:t xml:space="preserve">n_pf_instruments</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-0.8931</w:t>
            </w:r>
          </w:p>
        </w:tc>
        <w:tc>
          <w:tcPr>
            <w:tcW w:w="0" w:type="auto"/>
          </w:tcPr>
          <w:p>
            <w:pPr>
              <w:spacing w:line="240" w:lineRule="auto" w:before="0" w:after="0"/>
              <w:pStyle w:val="Compact"/>
            </w:pPr>
            <w:r>
              <w:rPr>
                <w:sz w:val="20"/>
                <w:szCs w:val="20"/>
              </w:rPr>
              <w:t xml:space="preserve">0.3718</w:t>
            </w:r>
          </w:p>
        </w:tc>
        <w:tc>
          <w:tcPr>
            <w:tcW w:w="0" w:type="auto"/>
          </w:tcPr>
          <w:p>
            <w:pPr>
              <w:spacing w:line="240" w:lineRule="auto" w:before="0" w:after="0"/>
              <w:pStyle w:val="Compact"/>
            </w:pPr>
            <w:r>
              <w:rPr>
                <w:sz w:val="20"/>
                <w:szCs w:val="20"/>
              </w:rPr>
              <w:t xml:space="preserve">[-0.2041, 0.0763]</w:t>
            </w:r>
          </w:p>
        </w:tc>
      </w:tr>
      <w:tr>
        <w:tc>
          <w:tcPr>
            <w:tcW w:w="0" w:type="auto"/>
          </w:tcPr>
          <w:p>
            <w:pPr>
              <w:spacing w:line="240" w:lineRule="auto" w:before="0" w:after="0"/>
              <w:pStyle w:val="Compact"/>
            </w:pPr>
            <w:r>
              <w:rPr>
                <w:sz w:val="20"/>
                <w:szCs w:val="20"/>
              </w:rPr>
              <w:t xml:space="preserve">n_spacecraft</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0.1145</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0.7933</w:t>
            </w:r>
          </w:p>
        </w:tc>
        <w:tc>
          <w:tcPr>
            <w:tcW w:w="0" w:type="auto"/>
          </w:tcPr>
          <w:p>
            <w:pPr>
              <w:spacing w:line="240" w:lineRule="auto" w:before="0" w:after="0"/>
              <w:pStyle w:val="Compact"/>
            </w:pPr>
            <w:r>
              <w:rPr>
                <w:sz w:val="20"/>
                <w:szCs w:val="20"/>
              </w:rPr>
              <w:t xml:space="preserve">[-0.2545, 0.1945]</w:t>
            </w:r>
          </w:p>
        </w:tc>
      </w:tr>
      <w:tr>
        <w:tc>
          <w:tcPr>
            <w:tcW w:w="0" w:type="auto"/>
          </w:tcPr>
          <w:p>
            <w:pPr>
              <w:spacing w:line="240" w:lineRule="auto" w:before="0" w:after="0"/>
              <w:pStyle w:val="Compact"/>
            </w:pPr>
            <w:r>
              <w:rPr>
                <w:sz w:val="20"/>
                <w:szCs w:val="20"/>
              </w:rPr>
              <w:t xml:space="preserve">class_explorer</w:t>
            </w:r>
          </w:p>
        </w:tc>
        <w:tc>
          <w:tcPr>
            <w:tcW w:w="0" w:type="auto"/>
          </w:tcPr>
          <w:p>
            <w:pPr>
              <w:spacing w:line="240" w:lineRule="auto" w:before="0" w:after="0"/>
              <w:pStyle w:val="Compact"/>
            </w:pPr>
            <w:r>
              <w:rPr>
                <w:sz w:val="20"/>
                <w:szCs w:val="20"/>
              </w:rPr>
              <w:t xml:space="preserve">-0.668</w:t>
            </w:r>
          </w:p>
        </w:tc>
        <w:tc>
          <w:tcPr>
            <w:tcW w:w="0" w:type="auto"/>
          </w:tcPr>
          <w:p>
            <w:pPr>
              <w:spacing w:line="240" w:lineRule="auto" w:before="0" w:after="0"/>
              <w:pStyle w:val="Compact"/>
            </w:pPr>
            <w:r>
              <w:rPr>
                <w:sz w:val="20"/>
                <w:szCs w:val="20"/>
              </w:rPr>
              <w:t xml:space="preserve">0.5064</w:t>
            </w:r>
          </w:p>
        </w:tc>
        <w:tc>
          <w:tcPr>
            <w:tcW w:w="0" w:type="auto"/>
          </w:tcPr>
          <w:p>
            <w:pPr>
              <w:spacing w:line="240" w:lineRule="auto" w:before="0" w:after="0"/>
              <w:pStyle w:val="Compact"/>
            </w:pPr>
            <w:r>
              <w:rPr>
                <w:sz w:val="20"/>
                <w:szCs w:val="20"/>
              </w:rPr>
              <w:t xml:space="preserve">-1.3191</w:t>
            </w:r>
          </w:p>
        </w:tc>
        <w:tc>
          <w:tcPr>
            <w:tcW w:w="0" w:type="auto"/>
          </w:tcPr>
          <w:p>
            <w:pPr>
              <w:spacing w:line="240" w:lineRule="auto" w:before="0" w:after="0"/>
              <w:pStyle w:val="Compact"/>
            </w:pPr>
            <w:r>
              <w:rPr>
                <w:sz w:val="20"/>
                <w:szCs w:val="20"/>
              </w:rPr>
              <w:t xml:space="preserve">0.1871</w:t>
            </w:r>
          </w:p>
        </w:tc>
        <w:tc>
          <w:tcPr>
            <w:tcW w:w="0" w:type="auto"/>
          </w:tcPr>
          <w:p>
            <w:pPr>
              <w:spacing w:line="240" w:lineRule="auto" w:before="0" w:after="0"/>
              <w:pStyle w:val="Compact"/>
            </w:pPr>
            <w:r>
              <w:rPr>
                <w:sz w:val="20"/>
                <w:szCs w:val="20"/>
              </w:rPr>
              <w:t xml:space="preserve">[-1.6606, 0.3245]</w:t>
            </w:r>
          </w:p>
        </w:tc>
      </w:tr>
      <w:tr>
        <w:tc>
          <w:tcPr>
            <w:tcW w:w="0" w:type="auto"/>
          </w:tcPr>
          <w:p>
            <w:pPr>
              <w:spacing w:line="240" w:lineRule="auto" w:before="0" w:after="0"/>
              <w:pStyle w:val="Compact"/>
            </w:pPr>
            <w:r>
              <w:rPr>
                <w:sz w:val="20"/>
                <w:szCs w:val="20"/>
              </w:rPr>
              <w:t xml:space="preserve">class_stp_lws</w:t>
            </w:r>
          </w:p>
        </w:tc>
        <w:tc>
          <w:tcPr>
            <w:tcW w:w="0" w:type="auto"/>
          </w:tcPr>
          <w:p>
            <w:pPr>
              <w:spacing w:line="240" w:lineRule="auto" w:before="0" w:after="0"/>
              <w:pStyle w:val="Compact"/>
            </w:pPr>
            <w:r>
              <w:rPr>
                <w:sz w:val="20"/>
                <w:szCs w:val="20"/>
              </w:rPr>
              <w:t xml:space="preserve">0.1762</w:t>
            </w:r>
          </w:p>
        </w:tc>
        <w:tc>
          <w:tcPr>
            <w:tcW w:w="0" w:type="auto"/>
          </w:tcPr>
          <w:p>
            <w:pPr>
              <w:spacing w:line="240" w:lineRule="auto" w:before="0" w:after="0"/>
              <w:pStyle w:val="Compact"/>
            </w:pPr>
            <w:r>
              <w:rPr>
                <w:sz w:val="20"/>
                <w:szCs w:val="20"/>
              </w:rPr>
              <w:t xml:space="preserve">0.366</w:t>
            </w:r>
          </w:p>
        </w:tc>
        <w:tc>
          <w:tcPr>
            <w:tcW w:w="0" w:type="auto"/>
          </w:tcPr>
          <w:p>
            <w:pPr>
              <w:spacing w:line="240" w:lineRule="auto" w:before="0" w:after="0"/>
              <w:pStyle w:val="Compact"/>
            </w:pPr>
            <w:r>
              <w:rPr>
                <w:sz w:val="20"/>
                <w:szCs w:val="20"/>
              </w:rPr>
              <w:t xml:space="preserve">0.4813</w:t>
            </w:r>
          </w:p>
        </w:tc>
        <w:tc>
          <w:tcPr>
            <w:tcW w:w="0" w:type="auto"/>
          </w:tcPr>
          <w:p>
            <w:pPr>
              <w:spacing w:line="240" w:lineRule="auto" w:before="0" w:after="0"/>
              <w:pStyle w:val="Compact"/>
            </w:pPr>
            <w:r>
              <w:rPr>
                <w:sz w:val="20"/>
                <w:szCs w:val="20"/>
              </w:rPr>
              <w:t xml:space="preserve">0.6303</w:t>
            </w:r>
          </w:p>
        </w:tc>
        <w:tc>
          <w:tcPr>
            <w:tcW w:w="0" w:type="auto"/>
          </w:tcPr>
          <w:p>
            <w:pPr>
              <w:spacing w:line="240" w:lineRule="auto" w:before="0" w:after="0"/>
              <w:pStyle w:val="Compact"/>
            </w:pPr>
            <w:r>
              <w:rPr>
                <w:sz w:val="20"/>
                <w:szCs w:val="20"/>
              </w:rPr>
              <w:t xml:space="preserve">[-0.5411, 0.8934]</w:t>
            </w:r>
          </w:p>
        </w:tc>
      </w:tr>
    </w:tbl>
    <w:p>
      <w:pPr>
        <w:pStyle w:val="BodyText"/>
      </w:pPr>
      <w:r>
        <w:t xml:space="preserve">Fit: N = 24 R2 = 0.7645 R2_adj = 0.6991 F = 15.2729 F_p = 6.218e-06</w:t>
      </w:r>
    </w:p>
    <w:p>
      <w:pPr>
        <w:pStyle w:val="CaptionedFigure"/>
      </w:pPr>
      <w:r>
        <w:drawing>
          <wp:inline>
            <wp:extent cx="5669280" cy="3657600"/>
            <wp:effectExtent b="0" l="0" r="0" t="0"/>
            <wp:docPr descr="Figure 1. Heliophysics particles-and-fields missions in log cost vs. log fleet mass, the dominant cost driver in the fixed-effects specification." title="" id="77" name="Picture"/>
            <a:graphic>
              <a:graphicData uri="http://schemas.openxmlformats.org/drawingml/2006/picture">
                <pic:pic>
                  <pic:nvPicPr>
                    <pic:cNvPr descr="D:\Claude_Code\brain\collegium\candidates\dissertations\JPL_ASTRO_EARTH_06\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Heliophysics particles-and-fields missions in log cost vs. log fleet mass, the dominant cost driver in the fixed-effects specification.</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n_spacecraft</w:t>
            </w:r>
          </w:p>
        </w:tc>
        <w:tc>
          <w:tcPr>
            <w:tcW w:w="0" w:type="auto"/>
          </w:tcPr>
          <w:p>
            <w:pPr>
              <w:spacing w:line="240" w:lineRule="auto" w:before="0" w:after="0"/>
              <w:pStyle w:val="Compact"/>
            </w:pPr>
            <w:r>
              <w:rPr>
                <w:sz w:val="20"/>
                <w:szCs w:val="20"/>
              </w:rPr>
              <w:t xml:space="preserve">unit_mass_kg</w:t>
            </w:r>
          </w:p>
        </w:tc>
        <w:tc>
          <w:tcPr>
            <w:tcW w:w="0" w:type="auto"/>
          </w:tcPr>
          <w:p>
            <w:pPr>
              <w:spacing w:line="240" w:lineRule="auto" w:before="0" w:after="0"/>
              <w:pStyle w:val="Compact"/>
            </w:pPr>
            <w:r>
              <w:rPr>
                <w:sz w:val="20"/>
                <w:szCs w:val="20"/>
              </w:rPr>
              <w:t xml:space="preserve">fleet_mass_kg</w:t>
            </w:r>
          </w:p>
        </w:tc>
        <w:tc>
          <w:tcPr>
            <w:tcW w:w="0" w:type="auto"/>
          </w:tcPr>
          <w:p>
            <w:pPr>
              <w:spacing w:line="240" w:lineRule="auto" w:before="0" w:after="0"/>
              <w:pStyle w:val="Compact"/>
            </w:pPr>
            <w:r>
              <w:rPr>
                <w:sz w:val="20"/>
                <w:szCs w:val="20"/>
              </w:rPr>
              <w:t xml:space="preserve">n_pf_instruments</w:t>
            </w:r>
          </w:p>
        </w:tc>
        <w:tc>
          <w:tcPr>
            <w:tcW w:w="0" w:type="auto"/>
          </w:tcPr>
          <w:p>
            <w:pPr>
              <w:spacing w:line="240" w:lineRule="auto" w:before="0" w:after="0"/>
              <w:pStyle w:val="Compact"/>
            </w:pPr>
            <w:r>
              <w:rPr>
                <w:sz w:val="20"/>
                <w:szCs w:val="20"/>
              </w:rPr>
              <w:t xml:space="preserve">class_explorer</w:t>
            </w:r>
          </w:p>
        </w:tc>
        <w:tc>
          <w:tcPr>
            <w:tcW w:w="0" w:type="auto"/>
          </w:tcPr>
          <w:p>
            <w:pPr>
              <w:spacing w:line="240" w:lineRule="auto" w:before="0" w:after="0"/>
              <w:pStyle w:val="Compact"/>
            </w:pPr>
            <w:r>
              <w:rPr>
                <w:sz w:val="20"/>
                <w:szCs w:val="20"/>
              </w:rPr>
              <w:t xml:space="preserve">class_stp_lws</w:t>
            </w:r>
          </w:p>
        </w:tc>
        <w:tc>
          <w:tcPr>
            <w:tcW w:w="0" w:type="auto"/>
          </w:tcPr>
          <w:p>
            <w:pPr>
              <w:spacing w:line="240" w:lineRule="auto" w:before="0" w:after="0"/>
              <w:pStyle w:val="Compact"/>
            </w:pPr>
            <w:r>
              <w:rPr>
                <w:sz w:val="20"/>
                <w:szCs w:val="20"/>
              </w:rPr>
              <w:t xml:space="preserve">cost_usd_m</w:t>
            </w:r>
          </w:p>
        </w:tc>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ln_fleet_mass</w:t>
            </w:r>
          </w:p>
        </w:tc>
      </w:tr>
      <w:tr>
        <w:tc>
          <w:tcPr>
            <w:tcW w:w="0" w:type="auto"/>
          </w:tcPr>
          <w:p>
            <w:pPr>
              <w:spacing w:line="240" w:lineRule="auto" w:before="0" w:after="0"/>
              <w:pStyle w:val="Compact"/>
            </w:pPr>
            <w:r>
              <w:rPr>
                <w:sz w:val="20"/>
                <w:szCs w:val="20"/>
              </w:rPr>
              <w:t xml:space="preserve">THEMIS</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126</w:t>
            </w:r>
          </w:p>
        </w:tc>
        <w:tc>
          <w:tcPr>
            <w:tcW w:w="0" w:type="auto"/>
          </w:tcPr>
          <w:p>
            <w:pPr>
              <w:spacing w:line="240" w:lineRule="auto" w:before="0" w:after="0"/>
              <w:pStyle w:val="Compact"/>
            </w:pPr>
            <w:r>
              <w:rPr>
                <w:sz w:val="20"/>
                <w:szCs w:val="20"/>
              </w:rPr>
              <w:t xml:space="preserve">630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Mass 126 kg/probe (Wikipedia THEMIS infobox, citing NASA/UCB); total cost USD 200M incl. 5 satellites and launch vehicle (NASA Explorers / eoPortal, WebSearch 2026-06-22)</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6.4457</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1360</w:t>
            </w:r>
          </w:p>
        </w:tc>
        <w:tc>
          <w:tcPr>
            <w:tcW w:w="0" w:type="auto"/>
          </w:tcPr>
          <w:p>
            <w:pPr>
              <w:spacing w:line="240" w:lineRule="auto" w:before="0" w:after="0"/>
              <w:pStyle w:val="Compact"/>
            </w:pPr>
            <w:r>
              <w:rPr>
                <w:sz w:val="20"/>
                <w:szCs w:val="20"/>
              </w:rPr>
              <w:t xml:space="preserve">5440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Mass 1360 kg/spacecraft (Wikipedia Magnetospheric Multiscale infobox); life-cycle cost USD 1.1B (NASA/JPL/Planetary Society, WebSearch 2026-06-22)</w:t>
            </w:r>
          </w:p>
        </w:tc>
        <w:tc>
          <w:tcPr>
            <w:tcW w:w="0" w:type="auto"/>
          </w:tcPr>
          <w:p>
            <w:pPr>
              <w:spacing w:line="240" w:lineRule="auto" w:before="0" w:after="0"/>
              <w:pStyle w:val="Compact"/>
            </w:pPr>
            <w:r>
              <w:rPr>
                <w:sz w:val="20"/>
                <w:szCs w:val="20"/>
              </w:rPr>
              <w:t xml:space="preserve">7.0031</w:t>
            </w:r>
          </w:p>
        </w:tc>
        <w:tc>
          <w:tcPr>
            <w:tcW w:w="0" w:type="auto"/>
          </w:tcPr>
          <w:p>
            <w:pPr>
              <w:spacing w:line="240" w:lineRule="auto" w:before="0" w:after="0"/>
              <w:pStyle w:val="Compact"/>
            </w:pPr>
            <w:r>
              <w:rPr>
                <w:sz w:val="20"/>
                <w:szCs w:val="20"/>
              </w:rPr>
              <w:t xml:space="preserve">8.6015</w:t>
            </w:r>
          </w:p>
        </w:tc>
      </w:tr>
      <w:tr>
        <w:tc>
          <w:tcPr>
            <w:tcW w:w="0" w:type="auto"/>
          </w:tcPr>
          <w:p>
            <w:pPr>
              <w:spacing w:line="240" w:lineRule="auto" w:before="0" w:after="0"/>
              <w:pStyle w:val="Compact"/>
            </w:pPr>
            <w:r>
              <w:rPr>
                <w:sz w:val="20"/>
                <w:szCs w:val="20"/>
              </w:rPr>
              <w:t xml:space="preserve">Van Allen Probes</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1350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686</w:t>
            </w:r>
          </w:p>
        </w:tc>
        <w:tc>
          <w:tcPr>
            <w:tcW w:w="0" w:type="auto"/>
          </w:tcPr>
          <w:p>
            <w:pPr>
              <w:spacing w:line="240" w:lineRule="auto" w:before="0" w:after="0"/>
              <w:pStyle w:val="Compact"/>
            </w:pPr>
            <w:r>
              <w:rPr>
                <w:sz w:val="20"/>
                <w:szCs w:val="20"/>
              </w:rPr>
              <w:t xml:space="preserve">Combined ~1500 kg for two probes -&gt; ~675 kg/spacecraft after propellant accounting (Wikipedia Van Allen Probes); USD 686M RBSP total, Living With a Star (NASA/space.com, WebSearch 2026-06-22)</w:t>
            </w:r>
          </w:p>
        </w:tc>
        <w:tc>
          <w:tcPr>
            <w:tcW w:w="0" w:type="auto"/>
          </w:tcPr>
          <w:p>
            <w:pPr>
              <w:spacing w:line="240" w:lineRule="auto" w:before="0" w:after="0"/>
              <w:pStyle w:val="Compact"/>
            </w:pPr>
            <w:r>
              <w:rPr>
                <w:sz w:val="20"/>
                <w:szCs w:val="20"/>
              </w:rPr>
              <w:t xml:space="preserve">6.5309</w:t>
            </w:r>
          </w:p>
        </w:tc>
        <w:tc>
          <w:tcPr>
            <w:tcW w:w="0" w:type="auto"/>
          </w:tcPr>
          <w:p>
            <w:pPr>
              <w:spacing w:line="240" w:lineRule="auto" w:before="0" w:after="0"/>
              <w:pStyle w:val="Compact"/>
            </w:pPr>
            <w:r>
              <w:rPr>
                <w:sz w:val="20"/>
                <w:szCs w:val="20"/>
              </w:rPr>
              <w:t xml:space="preserve">7.2079</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582.5</w:t>
            </w:r>
          </w:p>
        </w:tc>
        <w:tc>
          <w:tcPr>
            <w:tcW w:w="0" w:type="auto"/>
          </w:tcPr>
          <w:p>
            <w:pPr>
              <w:spacing w:line="240" w:lineRule="auto" w:before="0" w:after="0"/>
              <w:pStyle w:val="Compact"/>
            </w:pPr>
            <w:r>
              <w:rPr>
                <w:sz w:val="20"/>
                <w:szCs w:val="20"/>
              </w:rPr>
              <w:t xml:space="preserve">Launch mass 2454 kg, dry 809 kg (Wikipedia MAVEN infobox); prime mission cost USD 582.5M to build, launch, and operate (Wikipedia MAVEN, citing NASA)</w:t>
            </w:r>
          </w:p>
        </w:tc>
        <w:tc>
          <w:tcPr>
            <w:tcW w:w="0" w:type="auto"/>
          </w:tcPr>
          <w:p>
            <w:pPr>
              <w:spacing w:line="240" w:lineRule="auto" w:before="0" w:after="0"/>
              <w:pStyle w:val="Compact"/>
            </w:pPr>
            <w:r>
              <w:rPr>
                <w:sz w:val="20"/>
                <w:szCs w:val="20"/>
              </w:rPr>
              <w:t xml:space="preserve">6.3673</w:t>
            </w:r>
          </w:p>
        </w:tc>
        <w:tc>
          <w:tcPr>
            <w:tcW w:w="0" w:type="auto"/>
          </w:tcPr>
          <w:p>
            <w:pPr>
              <w:spacing w:line="240" w:lineRule="auto" w:before="0" w:after="0"/>
              <w:pStyle w:val="Compact"/>
            </w:pPr>
            <w:r>
              <w:rPr>
                <w:sz w:val="20"/>
                <w:szCs w:val="20"/>
              </w:rPr>
              <w:t xml:space="preserve">7.8055</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Launch mass 685 kg, dry 555 kg (Wikipedia Parker Solar Probe infobox); cost USD 1.5B (Wikipedia Parker Solar Probe)</w:t>
            </w:r>
          </w:p>
        </w:tc>
        <w:tc>
          <w:tcPr>
            <w:tcW w:w="0" w:type="auto"/>
          </w:tcPr>
          <w:p>
            <w:pPr>
              <w:spacing w:line="240" w:lineRule="auto" w:before="0" w:after="0"/>
              <w:pStyle w:val="Compact"/>
            </w:pPr>
            <w:r>
              <w:rPr>
                <w:sz w:val="20"/>
                <w:szCs w:val="20"/>
              </w:rPr>
              <w:t xml:space="preserve">7.3132</w:t>
            </w:r>
          </w:p>
        </w:tc>
        <w:tc>
          <w:tcPr>
            <w:tcW w:w="0" w:type="auto"/>
          </w:tcPr>
          <w:p>
            <w:pPr>
              <w:spacing w:line="240" w:lineRule="auto" w:before="0" w:after="0"/>
              <w:pStyle w:val="Compact"/>
            </w:pPr>
            <w:r>
              <w:rPr>
                <w:sz w:val="20"/>
                <w:szCs w:val="20"/>
              </w:rPr>
              <w:t xml:space="preserve">6.5294</w:t>
            </w:r>
          </w:p>
        </w:tc>
      </w:tr>
      <w:tr>
        <w:tc>
          <w:tcPr>
            <w:tcW w:w="0" w:type="auto"/>
          </w:tcPr>
          <w:p>
            <w:pPr>
              <w:spacing w:line="240" w:lineRule="auto" w:before="0" w:after="0"/>
              <w:pStyle w:val="Compact"/>
            </w:pPr>
            <w:r>
              <w:rPr>
                <w:sz w:val="20"/>
                <w:szCs w:val="20"/>
              </w:rPr>
              <w:t xml:space="preserve">Solar Orbiter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1800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Launch mass 1800 kg (Wikipedia Solar Orbiter infobox); NASA contribution ~USD 386M of ~USD 1.5B total (ScientificAmerican/SpaceNews via WebSearch 2026-06-22)</w:t>
            </w:r>
          </w:p>
        </w:tc>
        <w:tc>
          <w:tcPr>
            <w:tcW w:w="0" w:type="auto"/>
          </w:tcPr>
          <w:p>
            <w:pPr>
              <w:spacing w:line="240" w:lineRule="auto" w:before="0" w:after="0"/>
              <w:pStyle w:val="Compact"/>
            </w:pPr>
            <w:r>
              <w:rPr>
                <w:sz w:val="20"/>
                <w:szCs w:val="20"/>
              </w:rPr>
              <w:t xml:space="preserve">5.9558</w:t>
            </w:r>
          </w:p>
        </w:tc>
        <w:tc>
          <w:tcPr>
            <w:tcW w:w="0" w:type="auto"/>
          </w:tcPr>
          <w:p>
            <w:pPr>
              <w:spacing w:line="240" w:lineRule="auto" w:before="0" w:after="0"/>
              <w:pStyle w:val="Compact"/>
            </w:pPr>
            <w:r>
              <w:rPr>
                <w:sz w:val="20"/>
                <w:szCs w:val="20"/>
              </w:rPr>
              <w:t xml:space="preserve">7.4955</w:t>
            </w:r>
          </w:p>
        </w:tc>
      </w:tr>
      <w:tr>
        <w:tc>
          <w:tcPr>
            <w:tcW w:w="0" w:type="auto"/>
          </w:tcPr>
          <w:p>
            <w:pPr>
              <w:spacing w:line="240" w:lineRule="auto" w:before="0" w:after="0"/>
              <w:pStyle w:val="Compact"/>
            </w:pPr>
            <w:r>
              <w:rPr>
                <w:sz w:val="20"/>
                <w:szCs w:val="20"/>
              </w:rPr>
              <w:t xml:space="preserve">STEREO</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620</w:t>
            </w:r>
          </w:p>
        </w:tc>
        <w:tc>
          <w:tcPr>
            <w:tcW w:w="0" w:type="auto"/>
          </w:tcPr>
          <w:p>
            <w:pPr>
              <w:spacing w:line="240" w:lineRule="auto" w:before="0" w:after="0"/>
              <w:pStyle w:val="Compact"/>
            </w:pPr>
            <w:r>
              <w:rPr>
                <w:sz w:val="20"/>
                <w:szCs w:val="20"/>
              </w:rPr>
              <w:t xml:space="preserve">1240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Launch mass 620 kg/observatory, dry 547 kg (Wikipedia STEREO infobox); ~USD 460M NASA + ~USD 60M European ~ USD 520-550M (NASA STP via WebSearch 2026-06-22)</w:t>
            </w:r>
          </w:p>
        </w:tc>
        <w:tc>
          <w:tcPr>
            <w:tcW w:w="0" w:type="auto"/>
          </w:tcPr>
          <w:p>
            <w:pPr>
              <w:spacing w:line="240" w:lineRule="auto" w:before="0" w:after="0"/>
              <w:pStyle w:val="Compact"/>
            </w:pPr>
            <w:r>
              <w:rPr>
                <w:sz w:val="20"/>
                <w:szCs w:val="20"/>
              </w:rPr>
              <w:t xml:space="preserve">6.3099</w:t>
            </w:r>
          </w:p>
        </w:tc>
        <w:tc>
          <w:tcPr>
            <w:tcW w:w="0" w:type="auto"/>
          </w:tcPr>
          <w:p>
            <w:pPr>
              <w:spacing w:line="240" w:lineRule="auto" w:before="0" w:after="0"/>
              <w:pStyle w:val="Compact"/>
            </w:pPr>
            <w:r>
              <w:rPr>
                <w:sz w:val="20"/>
                <w:szCs w:val="20"/>
              </w:rPr>
              <w:t xml:space="preserve">7.1229</w:t>
            </w:r>
          </w:p>
        </w:tc>
      </w:tr>
      <w:tr>
        <w:tc>
          <w:tcPr>
            <w:tcW w:w="0" w:type="auto"/>
          </w:tcPr>
          <w:p>
            <w:pPr>
              <w:spacing w:line="240" w:lineRule="auto" w:before="0" w:after="0"/>
              <w:pStyle w:val="Compact"/>
            </w:pPr>
            <w:r>
              <w:rPr>
                <w:sz w:val="20"/>
                <w:szCs w:val="20"/>
              </w:rPr>
              <w:t xml:space="preserve">IBEX</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80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Dry mass 80 kg, payload 26 kg (Wikipedia Interstellar Boundary Explorer); SMEX cost ~USD 134M (Wikipedia/Planetary Society IBEX via WebSearch 2026-06-22)</w:t>
            </w:r>
          </w:p>
        </w:tc>
        <w:tc>
          <w:tcPr>
            <w:tcW w:w="0" w:type="auto"/>
          </w:tcPr>
          <w:p>
            <w:pPr>
              <w:spacing w:line="240" w:lineRule="auto" w:before="0" w:after="0"/>
              <w:pStyle w:val="Compact"/>
            </w:pPr>
            <w:r>
              <w:rPr>
                <w:sz w:val="20"/>
                <w:szCs w:val="20"/>
              </w:rPr>
              <w:t xml:space="preserve">4.8978</w:t>
            </w:r>
          </w:p>
        </w:tc>
        <w:tc>
          <w:tcPr>
            <w:tcW w:w="0" w:type="auto"/>
          </w:tcPr>
          <w:p>
            <w:pPr>
              <w:spacing w:line="240" w:lineRule="auto" w:before="0" w:after="0"/>
              <w:pStyle w:val="Compact"/>
            </w:pPr>
            <w:r>
              <w:rPr>
                <w:sz w:val="20"/>
                <w:szCs w:val="20"/>
              </w:rPr>
              <w:t xml:space="preserve">4.382</w:t>
            </w:r>
          </w:p>
        </w:tc>
      </w:tr>
      <w:tr>
        <w:tc>
          <w:tcPr>
            <w:tcW w:w="0" w:type="auto"/>
          </w:tcPr>
          <w:p>
            <w:pPr>
              <w:spacing w:line="240" w:lineRule="auto" w:before="0" w:after="0"/>
              <w:pStyle w:val="Compact"/>
            </w:pPr>
            <w:r>
              <w:rPr>
                <w:sz w:val="20"/>
                <w:szCs w:val="20"/>
              </w:rPr>
              <w:t xml:space="preserve">Cluster II</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4800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Launch mass 1200 kg/spacecraft (eoPortal Cluster); cost EUR 315M (1999) ~ USD 378M (ESA, eoPortal Cluster via WebSearch 2026-06-22)</w:t>
            </w:r>
          </w:p>
        </w:tc>
        <w:tc>
          <w:tcPr>
            <w:tcW w:w="0" w:type="auto"/>
          </w:tcPr>
          <w:p>
            <w:pPr>
              <w:spacing w:line="240" w:lineRule="auto" w:before="0" w:after="0"/>
              <w:pStyle w:val="Compact"/>
            </w:pPr>
            <w:r>
              <w:rPr>
                <w:sz w:val="20"/>
                <w:szCs w:val="20"/>
              </w:rPr>
              <w:t xml:space="preserve">5.9349</w:t>
            </w:r>
          </w:p>
        </w:tc>
        <w:tc>
          <w:tcPr>
            <w:tcW w:w="0" w:type="auto"/>
          </w:tcPr>
          <w:p>
            <w:pPr>
              <w:spacing w:line="240" w:lineRule="auto" w:before="0" w:after="0"/>
              <w:pStyle w:val="Compact"/>
            </w:pPr>
            <w:r>
              <w:rPr>
                <w:sz w:val="20"/>
                <w:szCs w:val="20"/>
              </w:rPr>
              <w:t xml:space="preserve">8.4764</w:t>
            </w:r>
          </w:p>
        </w:tc>
      </w:tr>
      <w:tr>
        <w:tc>
          <w:tcPr>
            <w:tcW w:w="0" w:type="auto"/>
          </w:tcPr>
          <w:p>
            <w:pPr>
              <w:spacing w:line="240" w:lineRule="auto" w:before="0" w:after="0"/>
              <w:pStyle w:val="Compact"/>
            </w:pPr>
            <w:r>
              <w:rPr>
                <w:sz w:val="20"/>
                <w:szCs w:val="20"/>
              </w:rPr>
              <w:t xml:space="preserve">FAST</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Launch mass 187 kg (Wikipedia FAST infobox); FAST is SMEX-2 with SMEX low-cost cap US$35M development (Wikipedia FAST citing NASA SMEX program, WebSearch 2026-06-22)</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5.2311</w:t>
            </w:r>
          </w:p>
        </w:tc>
      </w:tr>
      <w:tr>
        <w:tc>
          <w:tcPr>
            <w:tcW w:w="0" w:type="auto"/>
          </w:tcPr>
          <w:p>
            <w:pPr>
              <w:spacing w:line="240" w:lineRule="auto" w:before="0" w:after="0"/>
              <w:pStyle w:val="Compact"/>
            </w:pPr>
            <w:r>
              <w:rPr>
                <w:sz w:val="20"/>
                <w:szCs w:val="20"/>
              </w:rPr>
              <w:t xml:space="preserve">IMAGE</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494</w:t>
            </w:r>
          </w:p>
        </w:tc>
        <w:tc>
          <w:tcPr>
            <w:tcW w:w="0" w:type="auto"/>
          </w:tcPr>
          <w:p>
            <w:pPr>
              <w:spacing w:line="240" w:lineRule="auto" w:before="0" w:after="0"/>
              <w:pStyle w:val="Compact"/>
            </w:pPr>
            <w:r>
              <w:rPr>
                <w:sz w:val="20"/>
                <w:szCs w:val="20"/>
              </w:rPr>
              <w:t xml:space="preserve">494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IMAGE launch mass 494 kg (Wikipedia IMAGE / NSSDCA); MIDEX-1 cost ~USD 154M (NASA Explorers MIDEX, eoPortal IMAGE)</w:t>
            </w:r>
          </w:p>
        </w:tc>
        <w:tc>
          <w:tcPr>
            <w:tcW w:w="0" w:type="auto"/>
          </w:tcPr>
          <w:p>
            <w:pPr>
              <w:spacing w:line="240" w:lineRule="auto" w:before="0" w:after="0"/>
              <w:pStyle w:val="Compact"/>
            </w:pPr>
            <w:r>
              <w:rPr>
                <w:sz w:val="20"/>
                <w:szCs w:val="20"/>
              </w:rPr>
              <w:t xml:space="preserve">5.037</w:t>
            </w:r>
          </w:p>
        </w:tc>
        <w:tc>
          <w:tcPr>
            <w:tcW w:w="0" w:type="auto"/>
          </w:tcPr>
          <w:p>
            <w:pPr>
              <w:spacing w:line="240" w:lineRule="auto" w:before="0" w:after="0"/>
              <w:pStyle w:val="Compact"/>
            </w:pPr>
            <w:r>
              <w:rPr>
                <w:sz w:val="20"/>
                <w:szCs w:val="20"/>
              </w:rPr>
              <w:t xml:space="preserve">6.2025</w:t>
            </w:r>
          </w:p>
        </w:tc>
      </w:tr>
      <w:tr>
        <w:tc>
          <w:tcPr>
            <w:tcW w:w="0" w:type="auto"/>
          </w:tcPr>
          <w:p>
            <w:pPr>
              <w:spacing w:line="240" w:lineRule="auto" w:before="0" w:after="0"/>
              <w:pStyle w:val="Compact"/>
            </w:pPr>
            <w:r>
              <w:rPr>
                <w:sz w:val="20"/>
                <w:szCs w:val="20"/>
              </w:rPr>
              <w:t xml:space="preserve">TWINS</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TWINS-1/2 instruments ~29 kg each, hosted on host buses (Wikipedia TWINS / NASA); Mission of Opportunity cost ~USD 40M [illustrative] (NASA Explorers MO)</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4.0604</w:t>
            </w:r>
          </w:p>
        </w:tc>
      </w:tr>
      <w:tr>
        <w:tc>
          <w:tcPr>
            <w:tcW w:w="0" w:type="auto"/>
          </w:tcPr>
          <w:p>
            <w:pPr>
              <w:spacing w:line="240" w:lineRule="auto" w:before="0" w:after="0"/>
              <w:pStyle w:val="Compact"/>
            </w:pPr>
            <w:r>
              <w:rPr>
                <w:sz w:val="20"/>
                <w:szCs w:val="20"/>
              </w:rPr>
              <w:t xml:space="preserve">Solar-B Hinode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Hinode launch mass 900 kg (JAXA/Wikipedia Hinode); STP-class cost ~USD 300M including NASA contribution (NASA/JAXA via Wikipedia Hinode)</w:t>
            </w:r>
          </w:p>
        </w:tc>
        <w:tc>
          <w:tcPr>
            <w:tcW w:w="0" w:type="auto"/>
          </w:tcPr>
          <w:p>
            <w:pPr>
              <w:spacing w:line="240" w:lineRule="auto" w:before="0" w:after="0"/>
              <w:pStyle w:val="Compact"/>
            </w:pPr>
            <w:r>
              <w:rPr>
                <w:sz w:val="20"/>
                <w:szCs w:val="20"/>
              </w:rPr>
              <w:t xml:space="preserve">5.7038</w:t>
            </w:r>
          </w:p>
        </w:tc>
        <w:tc>
          <w:tcPr>
            <w:tcW w:w="0" w:type="auto"/>
          </w:tcPr>
          <w:p>
            <w:pPr>
              <w:spacing w:line="240" w:lineRule="auto" w:before="0" w:after="0"/>
              <w:pStyle w:val="Compact"/>
            </w:pPr>
            <w:r>
              <w:rPr>
                <w:sz w:val="20"/>
                <w:szCs w:val="20"/>
              </w:rPr>
              <w:t xml:space="preserve">6.8024</w:t>
            </w:r>
          </w:p>
        </w:tc>
      </w:tr>
      <w:tr>
        <w:tc>
          <w:tcPr>
            <w:tcW w:w="0" w:type="auto"/>
          </w:tcPr>
          <w:p>
            <w:pPr>
              <w:spacing w:line="240" w:lineRule="auto" w:before="0" w:after="0"/>
              <w:pStyle w:val="Compact"/>
            </w:pPr>
            <w:r>
              <w:rPr>
                <w:sz w:val="20"/>
                <w:szCs w:val="20"/>
              </w:rPr>
              <w:t xml:space="preserve">RHESSI</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293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RHESSI launch mass 293 kg (Wikipedia RHESSI infobox); SMEX-6 cost ~USD 85M (NASA SMEX, eoPortal RHESSI)</w:t>
            </w:r>
          </w:p>
        </w:tc>
        <w:tc>
          <w:tcPr>
            <w:tcW w:w="0" w:type="auto"/>
          </w:tcPr>
          <w:p>
            <w:pPr>
              <w:spacing w:line="240" w:lineRule="auto" w:before="0" w:after="0"/>
              <w:pStyle w:val="Compact"/>
            </w:pPr>
            <w:r>
              <w:rPr>
                <w:sz w:val="20"/>
                <w:szCs w:val="20"/>
              </w:rPr>
              <w:t xml:space="preserve">4.4427</w:t>
            </w:r>
          </w:p>
        </w:tc>
        <w:tc>
          <w:tcPr>
            <w:tcW w:w="0" w:type="auto"/>
          </w:tcPr>
          <w:p>
            <w:pPr>
              <w:spacing w:line="240" w:lineRule="auto" w:before="0" w:after="0"/>
              <w:pStyle w:val="Compact"/>
            </w:pPr>
            <w:r>
              <w:rPr>
                <w:sz w:val="20"/>
                <w:szCs w:val="20"/>
              </w:rPr>
              <w:t xml:space="preserve">5.6802</w:t>
            </w:r>
          </w:p>
        </w:tc>
      </w:tr>
      <w:tr>
        <w:tc>
          <w:tcPr>
            <w:tcW w:w="0" w:type="auto"/>
          </w:tcPr>
          <w:p>
            <w:pPr>
              <w:spacing w:line="240" w:lineRule="auto" w:before="0" w:after="0"/>
              <w:pStyle w:val="Compact"/>
            </w:pPr>
            <w:r>
              <w:rPr>
                <w:sz w:val="20"/>
                <w:szCs w:val="20"/>
              </w:rPr>
              <w:t xml:space="preserve">TRACE</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TRACE launch mass 250 kg (Wikipedia TRACE infobox);</w:t>
            </w:r>
            <w:r>
              <w:rPr>
                <w:sz w:val="20"/>
                <w:szCs w:val="20"/>
              </w:rPr>
              <w:t xml:space="preserve"> </w:t>
            </w:r>
            <w:r>
              <w:rPr>
                <w:sz w:val="20"/>
                <w:szCs w:val="20"/>
              </w:rPr>
              <w:t xml:space="preserve">“the TRACE spacecraft … will cost approximately 35 million dollars for the entire mission”</w:t>
            </w:r>
            <w:r>
              <w:rPr>
                <w:sz w:val="20"/>
                <w:szCs w:val="20"/>
              </w:rPr>
              <w:t xml:space="preserve"> </w:t>
            </w:r>
            <w:r>
              <w:rPr>
                <w:sz w:val="20"/>
                <w:szCs w:val="20"/>
              </w:rPr>
              <w:t xml:space="preserve">SMEX-4 (NTRS/eoPortal TRACE, WebSearch 2026-06-22)</w:t>
            </w:r>
          </w:p>
        </w:tc>
        <w:tc>
          <w:tcPr>
            <w:tcW w:w="0" w:type="auto"/>
          </w:tcPr>
          <w:p>
            <w:pPr>
              <w:spacing w:line="240" w:lineRule="auto" w:before="0" w:after="0"/>
              <w:pStyle w:val="Compact"/>
            </w:pPr>
            <w:r>
              <w:rPr>
                <w:sz w:val="20"/>
                <w:szCs w:val="20"/>
              </w:rPr>
              <w:t xml:space="preserve">3.5553</w:t>
            </w:r>
          </w:p>
        </w:tc>
        <w:tc>
          <w:tcPr>
            <w:tcW w:w="0" w:type="auto"/>
          </w:tcPr>
          <w:p>
            <w:pPr>
              <w:spacing w:line="240" w:lineRule="auto" w:before="0" w:after="0"/>
              <w:pStyle w:val="Compact"/>
            </w:pPr>
            <w:r>
              <w:rPr>
                <w:sz w:val="20"/>
                <w:szCs w:val="20"/>
              </w:rPr>
              <w:t xml:space="preserve">5.5215</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5712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3260</w:t>
            </w:r>
          </w:p>
        </w:tc>
        <w:tc>
          <w:tcPr>
            <w:tcW w:w="0" w:type="auto"/>
          </w:tcPr>
          <w:p>
            <w:pPr>
              <w:spacing w:line="240" w:lineRule="auto" w:before="0" w:after="0"/>
              <w:pStyle w:val="Compact"/>
            </w:pPr>
            <w:r>
              <w:rPr>
                <w:sz w:val="20"/>
                <w:szCs w:val="20"/>
              </w:rPr>
              <w:t xml:space="preserve">Cassini-Huygens launch mass 5712 kg (Wikipedia Cassini infobox); total cost ~USD 3.26B incl. fields-and-particles MAG/CAPS/MIMI/RPWS (NASA/Wikipedia Cassini)</w:t>
            </w:r>
          </w:p>
        </w:tc>
        <w:tc>
          <w:tcPr>
            <w:tcW w:w="0" w:type="auto"/>
          </w:tcPr>
          <w:p>
            <w:pPr>
              <w:spacing w:line="240" w:lineRule="auto" w:before="0" w:after="0"/>
              <w:pStyle w:val="Compact"/>
            </w:pPr>
            <w:r>
              <w:rPr>
                <w:sz w:val="20"/>
                <w:szCs w:val="20"/>
              </w:rPr>
              <w:t xml:space="preserve">8.0895</w:t>
            </w:r>
          </w:p>
        </w:tc>
        <w:tc>
          <w:tcPr>
            <w:tcW w:w="0" w:type="auto"/>
          </w:tcPr>
          <w:p>
            <w:pPr>
              <w:spacing w:line="240" w:lineRule="auto" w:before="0" w:after="0"/>
              <w:pStyle w:val="Compact"/>
            </w:pPr>
            <w:r>
              <w:rPr>
                <w:sz w:val="20"/>
                <w:szCs w:val="20"/>
              </w:rPr>
              <w:t xml:space="preserve">8.6503</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1130</w:t>
            </w:r>
          </w:p>
        </w:tc>
        <w:tc>
          <w:tcPr>
            <w:tcW w:w="0" w:type="auto"/>
          </w:tcPr>
          <w:p>
            <w:pPr>
              <w:spacing w:line="240" w:lineRule="auto" w:before="0" w:after="0"/>
              <w:pStyle w:val="Compact"/>
            </w:pPr>
            <w:r>
              <w:rPr>
                <w:sz w:val="20"/>
                <w:szCs w:val="20"/>
              </w:rPr>
              <w:t xml:space="preserve">Juno launch mass 3625 kg (Wikipedia Juno infobox); cost ~USD 1.13B; fields-and-particles MAG/JADE/JEDI (NASA New Frontiers / Wikipedia Juno)</w:t>
            </w:r>
          </w:p>
        </w:tc>
        <w:tc>
          <w:tcPr>
            <w:tcW w:w="0" w:type="auto"/>
          </w:tcPr>
          <w:p>
            <w:pPr>
              <w:spacing w:line="240" w:lineRule="auto" w:before="0" w:after="0"/>
              <w:pStyle w:val="Compact"/>
            </w:pPr>
            <w:r>
              <w:rPr>
                <w:sz w:val="20"/>
                <w:szCs w:val="20"/>
              </w:rPr>
              <w:t xml:space="preserve">7.03</w:t>
            </w:r>
          </w:p>
        </w:tc>
        <w:tc>
          <w:tcPr>
            <w:tcW w:w="0" w:type="auto"/>
          </w:tcPr>
          <w:p>
            <w:pPr>
              <w:spacing w:line="240" w:lineRule="auto" w:before="0" w:after="0"/>
              <w:pStyle w:val="Compact"/>
            </w:pPr>
            <w:r>
              <w:rPr>
                <w:sz w:val="20"/>
                <w:szCs w:val="20"/>
              </w:rPr>
              <w:t xml:space="preserve">8.1956</w:t>
            </w:r>
          </w:p>
        </w:tc>
      </w:tr>
      <w:tr>
        <w:tc>
          <w:tcPr>
            <w:tcW w:w="0" w:type="auto"/>
          </w:tcPr>
          <w:p>
            <w:pPr>
              <w:spacing w:line="240" w:lineRule="auto" w:before="0" w:after="0"/>
              <w:pStyle w:val="Compact"/>
            </w:pPr>
            <w:r>
              <w:rPr>
                <w:sz w:val="20"/>
                <w:szCs w:val="20"/>
              </w:rPr>
              <w:t xml:space="preserve">Galileo</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2560</w:t>
            </w:r>
          </w:p>
        </w:tc>
        <w:tc>
          <w:tcPr>
            <w:tcW w:w="0" w:type="auto"/>
          </w:tcPr>
          <w:p>
            <w:pPr>
              <w:spacing w:line="240" w:lineRule="auto" w:before="0" w:after="0"/>
              <w:pStyle w:val="Compact"/>
            </w:pPr>
            <w:r>
              <w:rPr>
                <w:sz w:val="20"/>
                <w:szCs w:val="20"/>
              </w:rPr>
              <w:t xml:space="preserve">2560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1390</w:t>
            </w:r>
          </w:p>
        </w:tc>
        <w:tc>
          <w:tcPr>
            <w:tcW w:w="0" w:type="auto"/>
          </w:tcPr>
          <w:p>
            <w:pPr>
              <w:spacing w:line="240" w:lineRule="auto" w:before="0" w:after="0"/>
              <w:pStyle w:val="Compact"/>
            </w:pPr>
            <w:r>
              <w:rPr>
                <w:sz w:val="20"/>
                <w:szCs w:val="20"/>
              </w:rPr>
              <w:t xml:space="preserve">Galileo launch mass 2560 kg (Wikipedia Galileo infobox); cost ~USD 1.39B; fields-and-particles MAG/EPD/PLS/PWS (NASA/Wikipedia Galileo)</w:t>
            </w:r>
          </w:p>
        </w:tc>
        <w:tc>
          <w:tcPr>
            <w:tcW w:w="0" w:type="auto"/>
          </w:tcPr>
          <w:p>
            <w:pPr>
              <w:spacing w:line="240" w:lineRule="auto" w:before="0" w:after="0"/>
              <w:pStyle w:val="Compact"/>
            </w:pPr>
            <w:r>
              <w:rPr>
                <w:sz w:val="20"/>
                <w:szCs w:val="20"/>
              </w:rPr>
              <w:t xml:space="preserve">7.2371</w:t>
            </w:r>
          </w:p>
        </w:tc>
        <w:tc>
          <w:tcPr>
            <w:tcW w:w="0" w:type="auto"/>
          </w:tcPr>
          <w:p>
            <w:pPr>
              <w:spacing w:line="240" w:lineRule="auto" w:before="0" w:after="0"/>
              <w:pStyle w:val="Compact"/>
            </w:pPr>
            <w:r>
              <w:rPr>
                <w:sz w:val="20"/>
                <w:szCs w:val="20"/>
              </w:rPr>
              <w:t xml:space="preserve">7.8478</w:t>
            </w:r>
          </w:p>
        </w:tc>
      </w:tr>
      <w:tr>
        <w:tc>
          <w:tcPr>
            <w:tcW w:w="0" w:type="auto"/>
          </w:tcPr>
          <w:p>
            <w:pPr>
              <w:spacing w:line="240" w:lineRule="auto" w:before="0" w:after="0"/>
              <w:pStyle w:val="Compact"/>
            </w:pPr>
            <w:r>
              <w:rPr>
                <w:sz w:val="20"/>
                <w:szCs w:val="20"/>
              </w:rPr>
              <w:t xml:space="preserve">Ulysses</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366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207.2</w:t>
            </w:r>
          </w:p>
        </w:tc>
        <w:tc>
          <w:tcPr>
            <w:tcW w:w="0" w:type="auto"/>
          </w:tcPr>
          <w:p>
            <w:pPr>
              <w:spacing w:line="240" w:lineRule="auto" w:before="0" w:after="0"/>
              <w:pStyle w:val="Compact"/>
            </w:pPr>
            <w:r>
              <w:rPr>
                <w:sz w:val="20"/>
                <w:szCs w:val="20"/>
              </w:rPr>
              <w:t xml:space="preserve">Ulysses launch mass 366 kg (Wikipedia Ulysses infobox); NASA share of project cost ~US$207.2M (GAO NSIAD-88-129FS, Cost/Schedule/Performance of NASA Ulysses Mission, WebSearch 2026-06-22)</w:t>
            </w:r>
          </w:p>
        </w:tc>
        <w:tc>
          <w:tcPr>
            <w:tcW w:w="0" w:type="auto"/>
          </w:tcPr>
          <w:p>
            <w:pPr>
              <w:spacing w:line="240" w:lineRule="auto" w:before="0" w:after="0"/>
              <w:pStyle w:val="Compact"/>
            </w:pPr>
            <w:r>
              <w:rPr>
                <w:sz w:val="20"/>
                <w:szCs w:val="20"/>
              </w:rPr>
              <w:t xml:space="preserve">5.3337</w:t>
            </w:r>
          </w:p>
        </w:tc>
        <w:tc>
          <w:tcPr>
            <w:tcW w:w="0" w:type="auto"/>
          </w:tcPr>
          <w:p>
            <w:pPr>
              <w:spacing w:line="240" w:lineRule="auto" w:before="0" w:after="0"/>
              <w:pStyle w:val="Compact"/>
            </w:pPr>
            <w:r>
              <w:rPr>
                <w:sz w:val="20"/>
                <w:szCs w:val="20"/>
              </w:rPr>
              <w:t xml:space="preserve">5.9026</w:t>
            </w:r>
          </w:p>
        </w:tc>
      </w:tr>
      <w:tr>
        <w:tc>
          <w:tcPr>
            <w:tcW w:w="0" w:type="auto"/>
          </w:tcPr>
          <w:p>
            <w:pPr>
              <w:spacing w:line="240" w:lineRule="auto" w:before="0" w:after="0"/>
              <w:pStyle w:val="Compact"/>
            </w:pPr>
            <w:r>
              <w:rPr>
                <w:sz w:val="20"/>
                <w:szCs w:val="20"/>
              </w:rPr>
              <w:t xml:space="preserve">TIMED</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587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TIMED launch mass 587 kg (Wikipedia TIMED infobox); STP-class cost ~USD 250M (NASA STP, eoPortal TIMED)</w:t>
            </w:r>
          </w:p>
        </w:tc>
        <w:tc>
          <w:tcPr>
            <w:tcW w:w="0" w:type="auto"/>
          </w:tcPr>
          <w:p>
            <w:pPr>
              <w:spacing w:line="240" w:lineRule="auto" w:before="0" w:after="0"/>
              <w:pStyle w:val="Compact"/>
            </w:pPr>
            <w:r>
              <w:rPr>
                <w:sz w:val="20"/>
                <w:szCs w:val="20"/>
              </w:rPr>
              <w:t xml:space="preserve">5.5215</w:t>
            </w:r>
          </w:p>
        </w:tc>
        <w:tc>
          <w:tcPr>
            <w:tcW w:w="0" w:type="auto"/>
          </w:tcPr>
          <w:p>
            <w:pPr>
              <w:spacing w:line="240" w:lineRule="auto" w:before="0" w:after="0"/>
              <w:pStyle w:val="Compact"/>
            </w:pPr>
            <w:r>
              <w:rPr>
                <w:sz w:val="20"/>
                <w:szCs w:val="20"/>
              </w:rPr>
              <w:t xml:space="preserve">6.375</w:t>
            </w:r>
          </w:p>
        </w:tc>
      </w:tr>
      <w:tr>
        <w:tc>
          <w:tcPr>
            <w:tcW w:w="0" w:type="auto"/>
          </w:tcPr>
          <w:p>
            <w:pPr>
              <w:spacing w:line="240" w:lineRule="auto" w:before="0" w:after="0"/>
              <w:pStyle w:val="Compact"/>
            </w:pPr>
            <w:r>
              <w:rPr>
                <w:sz w:val="20"/>
                <w:szCs w:val="20"/>
              </w:rPr>
              <w:t xml:space="preserve">GOLD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GOLD instrument ~37 kg hosted on SES-14 (Wikipedia GOLD / NASA); Mission of Opportunity cost ~USD 55M (NASA Explorers MO, Wikipedia GOLD)</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3.6109</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288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ICON launch mass 288 kg (Wikipedia ICON infobox); SMEX cost ~USD 252M (NASA Explorers, Wikipedia ICON)</w:t>
            </w:r>
          </w:p>
        </w:tc>
        <w:tc>
          <w:tcPr>
            <w:tcW w:w="0" w:type="auto"/>
          </w:tcPr>
          <w:p>
            <w:pPr>
              <w:spacing w:line="240" w:lineRule="auto" w:before="0" w:after="0"/>
              <w:pStyle w:val="Compact"/>
            </w:pPr>
            <w:r>
              <w:rPr>
                <w:sz w:val="20"/>
                <w:szCs w:val="20"/>
              </w:rPr>
              <w:t xml:space="preserve">5.5294</w:t>
            </w:r>
          </w:p>
        </w:tc>
        <w:tc>
          <w:tcPr>
            <w:tcW w:w="0" w:type="auto"/>
          </w:tcPr>
          <w:p>
            <w:pPr>
              <w:spacing w:line="240" w:lineRule="auto" w:before="0" w:after="0"/>
              <w:pStyle w:val="Compact"/>
            </w:pPr>
            <w:r>
              <w:rPr>
                <w:sz w:val="20"/>
                <w:szCs w:val="20"/>
              </w:rPr>
              <w:t xml:space="preserve">5.663</w:t>
            </w:r>
          </w:p>
        </w:tc>
      </w:tr>
      <w:tr>
        <w:tc>
          <w:tcPr>
            <w:tcW w:w="0" w:type="auto"/>
          </w:tcPr>
          <w:p>
            <w:pPr>
              <w:spacing w:line="240" w:lineRule="auto" w:before="0" w:after="0"/>
              <w:pStyle w:val="Compact"/>
            </w:pPr>
            <w:r>
              <w:rPr>
                <w:sz w:val="20"/>
                <w:szCs w:val="20"/>
              </w:rPr>
              <w:t xml:space="preserve">PUNCH</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PUNCH four microsats ~64 kg each (NASA PUNCH / Wikipedia); SMEX cost ~USD 165M (NASA SMEX, NASA PUNCH press kit)</w:t>
            </w:r>
          </w:p>
        </w:tc>
        <w:tc>
          <w:tcPr>
            <w:tcW w:w="0" w:type="auto"/>
          </w:tcPr>
          <w:p>
            <w:pPr>
              <w:spacing w:line="240" w:lineRule="auto" w:before="0" w:after="0"/>
              <w:pStyle w:val="Compact"/>
            </w:pPr>
            <w:r>
              <w:rPr>
                <w:sz w:val="20"/>
                <w:szCs w:val="20"/>
              </w:rPr>
              <w:t xml:space="preserve">5.1059</w:t>
            </w:r>
          </w:p>
        </w:tc>
        <w:tc>
          <w:tcPr>
            <w:tcW w:w="0" w:type="auto"/>
          </w:tcPr>
          <w:p>
            <w:pPr>
              <w:spacing w:line="240" w:lineRule="auto" w:before="0" w:after="0"/>
              <w:pStyle w:val="Compact"/>
            </w:pPr>
            <w:r>
              <w:rPr>
                <w:sz w:val="20"/>
                <w:szCs w:val="20"/>
              </w:rPr>
              <w:t xml:space="preserve">5.5452</w:t>
            </w:r>
          </w:p>
        </w:tc>
      </w:tr>
      <w:tr>
        <w:tc>
          <w:tcPr>
            <w:tcW w:w="0" w:type="auto"/>
          </w:tcPr>
          <w:p>
            <w:pPr>
              <w:spacing w:line="240" w:lineRule="auto" w:before="0" w:after="0"/>
              <w:pStyle w:val="Compact"/>
            </w:pPr>
            <w:r>
              <w:rPr>
                <w:sz w:val="20"/>
                <w:szCs w:val="20"/>
              </w:rPr>
              <w:t xml:space="preserve">TRACERS</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TRACERS twin smallsats ~100 kg each (NASA TRACERS / Univ. Iowa); SMEX cost ~USD 115M (NASA SMEX, NASA TRACERS)</w:t>
            </w:r>
          </w:p>
        </w:tc>
        <w:tc>
          <w:tcPr>
            <w:tcW w:w="0" w:type="auto"/>
          </w:tcPr>
          <w:p>
            <w:pPr>
              <w:spacing w:line="240" w:lineRule="auto" w:before="0" w:after="0"/>
              <w:pStyle w:val="Compact"/>
            </w:pPr>
            <w:r>
              <w:rPr>
                <w:sz w:val="20"/>
                <w:szCs w:val="20"/>
              </w:rPr>
              <w:t xml:space="preserve">4.7449</w:t>
            </w:r>
          </w:p>
        </w:tc>
        <w:tc>
          <w:tcPr>
            <w:tcW w:w="0" w:type="auto"/>
          </w:tcPr>
          <w:p>
            <w:pPr>
              <w:spacing w:line="240" w:lineRule="auto" w:before="0" w:after="0"/>
              <w:pStyle w:val="Compact"/>
            </w:pPr>
            <w:r>
              <w:rPr>
                <w:sz w:val="20"/>
                <w:szCs w:val="20"/>
              </w:rPr>
              <w:t xml:space="preserve">5.2983</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ln_cost</w:t>
            </w:r>
          </w:p>
        </w:tc>
        <w:tc>
          <w:tcPr>
            <w:tcW w:w="0" w:type="auto"/>
          </w:tcPr>
          <w:p>
            <w:pPr>
              <w:spacing w:line="240" w:lineRule="auto" w:before="0" w:after="0"/>
              <w:pStyle w:val="Compact"/>
            </w:pPr>
            <w:r>
              <w:rPr>
                <w:sz w:val="20"/>
                <w:szCs w:val="20"/>
              </w:rPr>
              <w:t xml:space="preserve">Natural log of total mission cost in then-year USD millions (NASA share for joint missions)</w:t>
            </w:r>
          </w:p>
        </w:tc>
        <w:tc>
          <w:tcPr>
            <w:tcW w:w="0" w:type="auto"/>
          </w:tcPr>
          <w:p>
            <w:pPr>
              <w:spacing w:line="240" w:lineRule="auto" w:before="0" w:after="0"/>
              <w:pStyle w:val="Compact"/>
            </w:pPr>
            <w:r>
              <w:rPr>
                <w:sz w:val="20"/>
                <w:szCs w:val="20"/>
              </w:rPr>
              <w:t xml:space="preserve">Mission press kits, NASA/eoPortal, GAO fact sheets, Planetary Society; per-row source column</w:t>
            </w:r>
          </w:p>
        </w:tc>
      </w:tr>
      <w:tr>
        <w:tc>
          <w:tcPr>
            <w:tcW w:w="0" w:type="auto"/>
          </w:tcPr>
          <w:p>
            <w:pPr>
              <w:spacing w:line="240" w:lineRule="auto" w:before="0" w:after="0"/>
              <w:pStyle w:val="Compact"/>
            </w:pPr>
            <w:r>
              <w:rPr>
                <w:sz w:val="20"/>
                <w:szCs w:val="20"/>
              </w:rPr>
              <w:t xml:space="preserve">ln_fleet_mass</w:t>
            </w:r>
          </w:p>
        </w:tc>
        <w:tc>
          <w:tcPr>
            <w:tcW w:w="0" w:type="auto"/>
          </w:tcPr>
          <w:p>
            <w:pPr>
              <w:spacing w:line="240" w:lineRule="auto" w:before="0" w:after="0"/>
              <w:pStyle w:val="Compact"/>
            </w:pPr>
            <w:r>
              <w:rPr>
                <w:sz w:val="20"/>
                <w:szCs w:val="20"/>
              </w:rPr>
              <w:t xml:space="preserve">Natural log of fleet mass = per-spacecraft launch mass times number of identical spacecraft (kg)</w:t>
            </w:r>
          </w:p>
        </w:tc>
        <w:tc>
          <w:tcPr>
            <w:tcW w:w="0" w:type="auto"/>
          </w:tcPr>
          <w:p>
            <w:pPr>
              <w:spacing w:line="240" w:lineRule="auto" w:before="0" w:after="0"/>
              <w:pStyle w:val="Compact"/>
            </w:pPr>
            <w:r>
              <w:rPr>
                <w:sz w:val="20"/>
                <w:szCs w:val="20"/>
              </w:rPr>
              <w:t xml:space="preserve">Wikipedia/NSSDCA/eoPortal mission infoboxes citing NASA primaries; per-row source column</w:t>
            </w:r>
          </w:p>
        </w:tc>
      </w:tr>
      <w:tr>
        <w:tc>
          <w:tcPr>
            <w:tcW w:w="0" w:type="auto"/>
          </w:tcPr>
          <w:p>
            <w:pPr>
              <w:spacing w:line="240" w:lineRule="auto" w:before="0" w:after="0"/>
              <w:pStyle w:val="Compact"/>
            </w:pPr>
            <w:r>
              <w:rPr>
                <w:sz w:val="20"/>
                <w:szCs w:val="20"/>
              </w:rPr>
              <w:t xml:space="preserve">n_pf_instruments</w:t>
            </w:r>
          </w:p>
        </w:tc>
        <w:tc>
          <w:tcPr>
            <w:tcW w:w="0" w:type="auto"/>
          </w:tcPr>
          <w:p>
            <w:pPr>
              <w:spacing w:line="240" w:lineRule="auto" w:before="0" w:after="0"/>
              <w:pStyle w:val="Compact"/>
            </w:pPr>
            <w:r>
              <w:rPr>
                <w:sz w:val="20"/>
                <w:szCs w:val="20"/>
              </w:rPr>
              <w:t xml:space="preserve">Count of distinct particles-and-fields instrument suites carried per spacecraft</w:t>
            </w:r>
          </w:p>
        </w:tc>
        <w:tc>
          <w:tcPr>
            <w:tcW w:w="0" w:type="auto"/>
          </w:tcPr>
          <w:p>
            <w:pPr>
              <w:spacing w:line="240" w:lineRule="auto" w:before="0" w:after="0"/>
              <w:pStyle w:val="Compact"/>
            </w:pPr>
            <w:r>
              <w:rPr>
                <w:sz w:val="20"/>
                <w:szCs w:val="20"/>
              </w:rPr>
              <w:t xml:space="preserve">Mission instrument lists in mission infoboxes and Space Science Reviews instrument papers</w:t>
            </w:r>
          </w:p>
        </w:tc>
      </w:tr>
      <w:tr>
        <w:tc>
          <w:tcPr>
            <w:tcW w:w="0" w:type="auto"/>
          </w:tcPr>
          <w:p>
            <w:pPr>
              <w:spacing w:line="240" w:lineRule="auto" w:before="0" w:after="0"/>
              <w:pStyle w:val="Compact"/>
            </w:pPr>
            <w:r>
              <w:rPr>
                <w:sz w:val="20"/>
                <w:szCs w:val="20"/>
              </w:rPr>
              <w:t xml:space="preserve">n_spacecraft</w:t>
            </w:r>
          </w:p>
        </w:tc>
        <w:tc>
          <w:tcPr>
            <w:tcW w:w="0" w:type="auto"/>
          </w:tcPr>
          <w:p>
            <w:pPr>
              <w:spacing w:line="240" w:lineRule="auto" w:before="0" w:after="0"/>
              <w:pStyle w:val="Compact"/>
            </w:pPr>
            <w:r>
              <w:rPr>
                <w:sz w:val="20"/>
                <w:szCs w:val="20"/>
              </w:rPr>
              <w:t xml:space="preserve">Number of identical spacecraft in the constellation or formation</w:t>
            </w:r>
          </w:p>
        </w:tc>
        <w:tc>
          <w:tcPr>
            <w:tcW w:w="0" w:type="auto"/>
          </w:tcPr>
          <w:p>
            <w:pPr>
              <w:spacing w:line="240" w:lineRule="auto" w:before="0" w:after="0"/>
              <w:pStyle w:val="Compact"/>
            </w:pPr>
            <w:r>
              <w:rPr>
                <w:sz w:val="20"/>
                <w:szCs w:val="20"/>
              </w:rPr>
              <w:t xml:space="preserve">Mission infoboxes and NASA mission pages</w:t>
            </w:r>
          </w:p>
        </w:tc>
      </w:tr>
      <w:tr>
        <w:tc>
          <w:tcPr>
            <w:tcW w:w="0" w:type="auto"/>
          </w:tcPr>
          <w:p>
            <w:pPr>
              <w:spacing w:line="240" w:lineRule="auto" w:before="0" w:after="0"/>
              <w:pStyle w:val="Compact"/>
            </w:pPr>
            <w:r>
              <w:rPr>
                <w:sz w:val="20"/>
                <w:szCs w:val="20"/>
              </w:rPr>
              <w:t xml:space="preserve">class_explorer</w:t>
            </w:r>
          </w:p>
        </w:tc>
        <w:tc>
          <w:tcPr>
            <w:tcW w:w="0" w:type="auto"/>
          </w:tcPr>
          <w:p>
            <w:pPr>
              <w:spacing w:line="240" w:lineRule="auto" w:before="0" w:after="0"/>
              <w:pStyle w:val="Compact"/>
            </w:pPr>
            <w:r>
              <w:rPr>
                <w:sz w:val="20"/>
                <w:szCs w:val="20"/>
              </w:rPr>
              <w:t xml:space="preserve">Fixed-effect dummy = 1 if mission is in the NASA Explorer line (SMEX/MIDEX/Mission of Opportunity)</w:t>
            </w:r>
          </w:p>
        </w:tc>
        <w:tc>
          <w:tcPr>
            <w:tcW w:w="0" w:type="auto"/>
          </w:tcPr>
          <w:p>
            <w:pPr>
              <w:spacing w:line="240" w:lineRule="auto" w:before="0" w:after="0"/>
              <w:pStyle w:val="Compact"/>
            </w:pPr>
            <w:r>
              <w:rPr>
                <w:sz w:val="20"/>
                <w:szCs w:val="20"/>
              </w:rPr>
              <w:t xml:space="preserve">NASA Explorers Program designations (explorers.gsfc.nasa.gov)</w:t>
            </w:r>
          </w:p>
        </w:tc>
      </w:tr>
      <w:tr>
        <w:tc>
          <w:tcPr>
            <w:tcW w:w="0" w:type="auto"/>
          </w:tcPr>
          <w:p>
            <w:pPr>
              <w:spacing w:line="240" w:lineRule="auto" w:before="0" w:after="0"/>
              <w:pStyle w:val="Compact"/>
            </w:pPr>
            <w:r>
              <w:rPr>
                <w:sz w:val="20"/>
                <w:szCs w:val="20"/>
              </w:rPr>
              <w:t xml:space="preserve">class_stp_lws</w:t>
            </w:r>
          </w:p>
        </w:tc>
        <w:tc>
          <w:tcPr>
            <w:tcW w:w="0" w:type="auto"/>
          </w:tcPr>
          <w:p>
            <w:pPr>
              <w:spacing w:line="240" w:lineRule="auto" w:before="0" w:after="0"/>
              <w:pStyle w:val="Compact"/>
            </w:pPr>
            <w:r>
              <w:rPr>
                <w:sz w:val="20"/>
                <w:szCs w:val="20"/>
              </w:rPr>
              <w:t xml:space="preserve">Fixed-effect dummy = 1 if mission is in Solar Terrestrial Probes or Living With a Star (or planetary directed P-and-F)</w:t>
            </w:r>
          </w:p>
        </w:tc>
        <w:tc>
          <w:tcPr>
            <w:tcW w:w="0" w:type="auto"/>
          </w:tcPr>
          <w:p>
            <w:pPr>
              <w:spacing w:line="240" w:lineRule="auto" w:before="0" w:after="0"/>
              <w:pStyle w:val="Compact"/>
            </w:pPr>
            <w:r>
              <w:rPr>
                <w:sz w:val="20"/>
                <w:szCs w:val="20"/>
              </w:rPr>
              <w:t xml:space="preserve">NASA program-line designations; flagship/ESA-led missions are the omitted base category</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2.3537</w:t>
            </w:r>
          </w:p>
        </w:tc>
        <w:tc>
          <w:tcPr>
            <w:tcW w:w="0" w:type="auto"/>
          </w:tcPr>
          <w:p>
            <w:pPr>
              <w:spacing w:line="240" w:lineRule="auto" w:before="0" w:after="0"/>
              <w:pStyle w:val="Compact"/>
            </w:pPr>
            <w:r>
              <w:rPr>
                <w:sz w:val="20"/>
                <w:szCs w:val="20"/>
              </w:rPr>
              <w:t xml:space="preserve">1.0884</w:t>
            </w:r>
          </w:p>
        </w:tc>
        <w:tc>
          <w:tcPr>
            <w:tcW w:w="0" w:type="auto"/>
          </w:tcPr>
          <w:p>
            <w:pPr>
              <w:spacing w:line="240" w:lineRule="auto" w:before="0" w:after="0"/>
              <w:pStyle w:val="Compact"/>
            </w:pPr>
            <w:r>
              <w:rPr>
                <w:sz w:val="20"/>
                <w:szCs w:val="20"/>
              </w:rPr>
              <w:t xml:space="preserve">2.1625</w:t>
            </w:r>
          </w:p>
        </w:tc>
        <w:tc>
          <w:tcPr>
            <w:tcW w:w="0" w:type="auto"/>
          </w:tcPr>
          <w:p>
            <w:pPr>
              <w:spacing w:line="240" w:lineRule="auto" w:before="0" w:after="0"/>
              <w:pStyle w:val="Compact"/>
            </w:pPr>
            <w:r>
              <w:rPr>
                <w:sz w:val="20"/>
                <w:szCs w:val="20"/>
              </w:rPr>
              <w:t xml:space="preserve">0.0306</w:t>
            </w:r>
          </w:p>
        </w:tc>
        <w:tc>
          <w:tcPr>
            <w:tcW w:w="0" w:type="auto"/>
          </w:tcPr>
          <w:p>
            <w:pPr>
              <w:spacing w:line="240" w:lineRule="auto" w:before="0" w:after="0"/>
              <w:pStyle w:val="Compact"/>
            </w:pPr>
            <w:r>
              <w:rPr>
                <w:sz w:val="20"/>
                <w:szCs w:val="20"/>
              </w:rPr>
              <w:t xml:space="preserve">[0.2204, 4.487]</w:t>
            </w:r>
          </w:p>
        </w:tc>
      </w:tr>
      <w:tr>
        <w:tc>
          <w:tcPr>
            <w:tcW w:w="0" w:type="auto"/>
          </w:tcPr>
          <w:p>
            <w:pPr>
              <w:spacing w:line="240" w:lineRule="auto" w:before="0" w:after="0"/>
              <w:pStyle w:val="Compact"/>
            </w:pPr>
            <w:r>
              <w:rPr>
                <w:sz w:val="20"/>
                <w:szCs w:val="20"/>
              </w:rPr>
              <w:t xml:space="preserve">ln_fleet_mass</w:t>
            </w:r>
          </w:p>
        </w:tc>
        <w:tc>
          <w:tcPr>
            <w:tcW w:w="0" w:type="auto"/>
          </w:tcPr>
          <w:p>
            <w:pPr>
              <w:spacing w:line="240" w:lineRule="auto" w:before="0" w:after="0"/>
              <w:pStyle w:val="Compact"/>
            </w:pPr>
            <w:r>
              <w:rPr>
                <w:sz w:val="20"/>
                <w:szCs w:val="20"/>
              </w:rPr>
              <w:t xml:space="preserve">0.5837</w:t>
            </w:r>
          </w:p>
        </w:tc>
        <w:tc>
          <w:tcPr>
            <w:tcW w:w="0" w:type="auto"/>
          </w:tcPr>
          <w:p>
            <w:pPr>
              <w:spacing w:line="240" w:lineRule="auto" w:before="0" w:after="0"/>
              <w:pStyle w:val="Compact"/>
            </w:pPr>
            <w:r>
              <w:rPr>
                <w:sz w:val="20"/>
                <w:szCs w:val="20"/>
              </w:rPr>
              <w:t xml:space="preserve">0.1721</w:t>
            </w:r>
          </w:p>
        </w:tc>
        <w:tc>
          <w:tcPr>
            <w:tcW w:w="0" w:type="auto"/>
          </w:tcPr>
          <w:p>
            <w:pPr>
              <w:spacing w:line="240" w:lineRule="auto" w:before="0" w:after="0"/>
              <w:pStyle w:val="Compact"/>
            </w:pPr>
            <w:r>
              <w:rPr>
                <w:sz w:val="20"/>
                <w:szCs w:val="20"/>
              </w:rPr>
              <w:t xml:space="preserve">3.3923</w:t>
            </w:r>
          </w:p>
        </w:tc>
        <w:tc>
          <w:tcPr>
            <w:tcW w:w="0" w:type="auto"/>
          </w:tcPr>
          <w:p>
            <w:pPr>
              <w:spacing w:line="240" w:lineRule="auto" w:before="0" w:after="0"/>
              <w:pStyle w:val="Compact"/>
            </w:pPr>
            <w:r>
              <w:rPr>
                <w:sz w:val="20"/>
                <w:szCs w:val="20"/>
              </w:rPr>
              <w:t xml:space="preserve">0.0006931</w:t>
            </w:r>
          </w:p>
        </w:tc>
        <w:tc>
          <w:tcPr>
            <w:tcW w:w="0" w:type="auto"/>
          </w:tcPr>
          <w:p>
            <w:pPr>
              <w:spacing w:line="240" w:lineRule="auto" w:before="0" w:after="0"/>
              <w:pStyle w:val="Compact"/>
            </w:pPr>
            <w:r>
              <w:rPr>
                <w:sz w:val="20"/>
                <w:szCs w:val="20"/>
              </w:rPr>
              <w:t xml:space="preserve">[0.2465, 0.921]</w:t>
            </w:r>
          </w:p>
        </w:tc>
      </w:tr>
      <w:tr>
        <w:tc>
          <w:tcPr>
            <w:tcW w:w="0" w:type="auto"/>
          </w:tcPr>
          <w:p>
            <w:pPr>
              <w:spacing w:line="240" w:lineRule="auto" w:before="0" w:after="0"/>
              <w:pStyle w:val="Compact"/>
            </w:pPr>
            <w:r>
              <w:rPr>
                <w:sz w:val="20"/>
                <w:szCs w:val="20"/>
              </w:rPr>
              <w:t xml:space="preserve">n_pf_instruments</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0.0715</w:t>
            </w:r>
          </w:p>
        </w:tc>
        <w:tc>
          <w:tcPr>
            <w:tcW w:w="0" w:type="auto"/>
          </w:tcPr>
          <w:p>
            <w:pPr>
              <w:spacing w:line="240" w:lineRule="auto" w:before="0" w:after="0"/>
              <w:pStyle w:val="Compact"/>
            </w:pPr>
            <w:r>
              <w:rPr>
                <w:sz w:val="20"/>
                <w:szCs w:val="20"/>
              </w:rPr>
              <w:t xml:space="preserve">-0.8931</w:t>
            </w:r>
          </w:p>
        </w:tc>
        <w:tc>
          <w:tcPr>
            <w:tcW w:w="0" w:type="auto"/>
          </w:tcPr>
          <w:p>
            <w:pPr>
              <w:spacing w:line="240" w:lineRule="auto" w:before="0" w:after="0"/>
              <w:pStyle w:val="Compact"/>
            </w:pPr>
            <w:r>
              <w:rPr>
                <w:sz w:val="20"/>
                <w:szCs w:val="20"/>
              </w:rPr>
              <w:t xml:space="preserve">0.3718</w:t>
            </w:r>
          </w:p>
        </w:tc>
        <w:tc>
          <w:tcPr>
            <w:tcW w:w="0" w:type="auto"/>
          </w:tcPr>
          <w:p>
            <w:pPr>
              <w:spacing w:line="240" w:lineRule="auto" w:before="0" w:after="0"/>
              <w:pStyle w:val="Compact"/>
            </w:pPr>
            <w:r>
              <w:rPr>
                <w:sz w:val="20"/>
                <w:szCs w:val="20"/>
              </w:rPr>
              <w:t xml:space="preserve">[-0.2041, 0.0763]</w:t>
            </w:r>
          </w:p>
        </w:tc>
      </w:tr>
      <w:tr>
        <w:tc>
          <w:tcPr>
            <w:tcW w:w="0" w:type="auto"/>
          </w:tcPr>
          <w:p>
            <w:pPr>
              <w:spacing w:line="240" w:lineRule="auto" w:before="0" w:after="0"/>
              <w:pStyle w:val="Compact"/>
            </w:pPr>
            <w:r>
              <w:rPr>
                <w:sz w:val="20"/>
                <w:szCs w:val="20"/>
              </w:rPr>
              <w:t xml:space="preserve">n_spacecraft</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0.1145</w:t>
            </w:r>
          </w:p>
        </w:tc>
        <w:tc>
          <w:tcPr>
            <w:tcW w:w="0" w:type="auto"/>
          </w:tcPr>
          <w:p>
            <w:pPr>
              <w:spacing w:line="240" w:lineRule="auto" w:before="0" w:after="0"/>
              <w:pStyle w:val="Compact"/>
            </w:pPr>
            <w:r>
              <w:rPr>
                <w:sz w:val="20"/>
                <w:szCs w:val="20"/>
              </w:rPr>
              <w:t xml:space="preserve">-0.262</w:t>
            </w:r>
          </w:p>
        </w:tc>
        <w:tc>
          <w:tcPr>
            <w:tcW w:w="0" w:type="auto"/>
          </w:tcPr>
          <w:p>
            <w:pPr>
              <w:spacing w:line="240" w:lineRule="auto" w:before="0" w:after="0"/>
              <w:pStyle w:val="Compact"/>
            </w:pPr>
            <w:r>
              <w:rPr>
                <w:sz w:val="20"/>
                <w:szCs w:val="20"/>
              </w:rPr>
              <w:t xml:space="preserve">0.7933</w:t>
            </w:r>
          </w:p>
        </w:tc>
        <w:tc>
          <w:tcPr>
            <w:tcW w:w="0" w:type="auto"/>
          </w:tcPr>
          <w:p>
            <w:pPr>
              <w:spacing w:line="240" w:lineRule="auto" w:before="0" w:after="0"/>
              <w:pStyle w:val="Compact"/>
            </w:pPr>
            <w:r>
              <w:rPr>
                <w:sz w:val="20"/>
                <w:szCs w:val="20"/>
              </w:rPr>
              <w:t xml:space="preserve">[-0.2545, 0.1945]</w:t>
            </w:r>
          </w:p>
        </w:tc>
      </w:tr>
      <w:tr>
        <w:tc>
          <w:tcPr>
            <w:tcW w:w="0" w:type="auto"/>
          </w:tcPr>
          <w:p>
            <w:pPr>
              <w:spacing w:line="240" w:lineRule="auto" w:before="0" w:after="0"/>
              <w:pStyle w:val="Compact"/>
            </w:pPr>
            <w:r>
              <w:rPr>
                <w:sz w:val="20"/>
                <w:szCs w:val="20"/>
              </w:rPr>
              <w:t xml:space="preserve">class_explorer</w:t>
            </w:r>
          </w:p>
        </w:tc>
        <w:tc>
          <w:tcPr>
            <w:tcW w:w="0" w:type="auto"/>
          </w:tcPr>
          <w:p>
            <w:pPr>
              <w:spacing w:line="240" w:lineRule="auto" w:before="0" w:after="0"/>
              <w:pStyle w:val="Compact"/>
            </w:pPr>
            <w:r>
              <w:rPr>
                <w:sz w:val="20"/>
                <w:szCs w:val="20"/>
              </w:rPr>
              <w:t xml:space="preserve">-0.668</w:t>
            </w:r>
          </w:p>
        </w:tc>
        <w:tc>
          <w:tcPr>
            <w:tcW w:w="0" w:type="auto"/>
          </w:tcPr>
          <w:p>
            <w:pPr>
              <w:spacing w:line="240" w:lineRule="auto" w:before="0" w:after="0"/>
              <w:pStyle w:val="Compact"/>
            </w:pPr>
            <w:r>
              <w:rPr>
                <w:sz w:val="20"/>
                <w:szCs w:val="20"/>
              </w:rPr>
              <w:t xml:space="preserve">0.5064</w:t>
            </w:r>
          </w:p>
        </w:tc>
        <w:tc>
          <w:tcPr>
            <w:tcW w:w="0" w:type="auto"/>
          </w:tcPr>
          <w:p>
            <w:pPr>
              <w:spacing w:line="240" w:lineRule="auto" w:before="0" w:after="0"/>
              <w:pStyle w:val="Compact"/>
            </w:pPr>
            <w:r>
              <w:rPr>
                <w:sz w:val="20"/>
                <w:szCs w:val="20"/>
              </w:rPr>
              <w:t xml:space="preserve">-1.3191</w:t>
            </w:r>
          </w:p>
        </w:tc>
        <w:tc>
          <w:tcPr>
            <w:tcW w:w="0" w:type="auto"/>
          </w:tcPr>
          <w:p>
            <w:pPr>
              <w:spacing w:line="240" w:lineRule="auto" w:before="0" w:after="0"/>
              <w:pStyle w:val="Compact"/>
            </w:pPr>
            <w:r>
              <w:rPr>
                <w:sz w:val="20"/>
                <w:szCs w:val="20"/>
              </w:rPr>
              <w:t xml:space="preserve">0.1871</w:t>
            </w:r>
          </w:p>
        </w:tc>
        <w:tc>
          <w:tcPr>
            <w:tcW w:w="0" w:type="auto"/>
          </w:tcPr>
          <w:p>
            <w:pPr>
              <w:spacing w:line="240" w:lineRule="auto" w:before="0" w:after="0"/>
              <w:pStyle w:val="Compact"/>
            </w:pPr>
            <w:r>
              <w:rPr>
                <w:sz w:val="20"/>
                <w:szCs w:val="20"/>
              </w:rPr>
              <w:t xml:space="preserve">[-1.6606, 0.3245]</w:t>
            </w:r>
          </w:p>
        </w:tc>
      </w:tr>
      <w:tr>
        <w:tc>
          <w:tcPr>
            <w:tcW w:w="0" w:type="auto"/>
          </w:tcPr>
          <w:p>
            <w:pPr>
              <w:spacing w:line="240" w:lineRule="auto" w:before="0" w:after="0"/>
              <w:pStyle w:val="Compact"/>
            </w:pPr>
            <w:r>
              <w:rPr>
                <w:sz w:val="20"/>
                <w:szCs w:val="20"/>
              </w:rPr>
              <w:t xml:space="preserve">class_stp_lws</w:t>
            </w:r>
          </w:p>
        </w:tc>
        <w:tc>
          <w:tcPr>
            <w:tcW w:w="0" w:type="auto"/>
          </w:tcPr>
          <w:p>
            <w:pPr>
              <w:spacing w:line="240" w:lineRule="auto" w:before="0" w:after="0"/>
              <w:pStyle w:val="Compact"/>
            </w:pPr>
            <w:r>
              <w:rPr>
                <w:sz w:val="20"/>
                <w:szCs w:val="20"/>
              </w:rPr>
              <w:t xml:space="preserve">0.1762</w:t>
            </w:r>
          </w:p>
        </w:tc>
        <w:tc>
          <w:tcPr>
            <w:tcW w:w="0" w:type="auto"/>
          </w:tcPr>
          <w:p>
            <w:pPr>
              <w:spacing w:line="240" w:lineRule="auto" w:before="0" w:after="0"/>
              <w:pStyle w:val="Compact"/>
            </w:pPr>
            <w:r>
              <w:rPr>
                <w:sz w:val="20"/>
                <w:szCs w:val="20"/>
              </w:rPr>
              <w:t xml:space="preserve">0.366</w:t>
            </w:r>
          </w:p>
        </w:tc>
        <w:tc>
          <w:tcPr>
            <w:tcW w:w="0" w:type="auto"/>
          </w:tcPr>
          <w:p>
            <w:pPr>
              <w:spacing w:line="240" w:lineRule="auto" w:before="0" w:after="0"/>
              <w:pStyle w:val="Compact"/>
            </w:pPr>
            <w:r>
              <w:rPr>
                <w:sz w:val="20"/>
                <w:szCs w:val="20"/>
              </w:rPr>
              <w:t xml:space="preserve">0.4813</w:t>
            </w:r>
          </w:p>
        </w:tc>
        <w:tc>
          <w:tcPr>
            <w:tcW w:w="0" w:type="auto"/>
          </w:tcPr>
          <w:p>
            <w:pPr>
              <w:spacing w:line="240" w:lineRule="auto" w:before="0" w:after="0"/>
              <w:pStyle w:val="Compact"/>
            </w:pPr>
            <w:r>
              <w:rPr>
                <w:sz w:val="20"/>
                <w:szCs w:val="20"/>
              </w:rPr>
              <w:t xml:space="preserve">0.6303</w:t>
            </w:r>
          </w:p>
        </w:tc>
        <w:tc>
          <w:tcPr>
            <w:tcW w:w="0" w:type="auto"/>
          </w:tcPr>
          <w:p>
            <w:pPr>
              <w:spacing w:line="240" w:lineRule="auto" w:before="0" w:after="0"/>
              <w:pStyle w:val="Compact"/>
            </w:pPr>
            <w:r>
              <w:rPr>
                <w:sz w:val="20"/>
                <w:szCs w:val="20"/>
              </w:rPr>
              <w:t xml:space="preserve">[-0.5411, 0.8934]</w:t>
            </w:r>
          </w:p>
        </w:tc>
      </w:tr>
    </w:tbl>
    <w:p>
      <w:pPr>
        <w:pStyle w:val="BodyText"/>
      </w:pPr>
      <w:r>
        <w:t xml:space="preserve">Fit: N = 24 R2 = 0.7645 R2_adj = 0.6991 F = 15.2729 F_p = 6.218e-06</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71" Target="https://doi.org/10.1016/j.actaastro.2021.07.004" TargetMode="External" /><Relationship Type="http://schemas.openxmlformats.org/officeDocument/2006/relationships/hyperlink" Id="rId73" Target="https://doi.org/10.1016/j.actaastro.2021.07.046" TargetMode="External" /><Relationship Type="http://schemas.openxmlformats.org/officeDocument/2006/relationships/hyperlink" Id="rId68" Target="https://doi.org/10.1016/j.actaastro.2025.11.006"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21.07.004" TargetMode="External" /><Relationship Type="http://schemas.openxmlformats.org/officeDocument/2006/relationships/hyperlink" Id="rId73" Target="https://doi.org/10.1016/j.actaastro.2021.07.046" TargetMode="External" /><Relationship Type="http://schemas.openxmlformats.org/officeDocument/2006/relationships/hyperlink" Id="rId68" Target="https://doi.org/10.1016/j.actaastro.2025.11.00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2026-06-25T14:26:22Z</dcterms:created>
  <dcterms:modified xsi:type="dcterms:W3CDTF">2026-06-25T14:26:22Z</dcterms:modified>
</cp:coreProperties>
</file>

<file path=docProps/custom.xml><?xml version="1.0" encoding="utf-8"?>
<Properties xmlns="http://schemas.openxmlformats.org/officeDocument/2006/custom-properties" xmlns:vt="http://schemas.openxmlformats.org/officeDocument/2006/docPropsVTypes"/>
</file>