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fcae0d50c2b7646a9d41607dc336fbbf89269b5"/>
    <w:p>
      <w:pPr>
        <w:pStyle w:val="Heading1"/>
      </w:pPr>
      <w:r>
        <w:t xml:space="preserve">Instrument-Cost Scale Economies for Heliophysics Particle and Fields Instruments: A Log-Log Learning-Curve Estimate of the Cost-Mass Elasticity</w:t>
      </w:r>
    </w:p>
    <w:bookmarkStart w:id="61" w:name="introduction"/>
    <w:p>
      <w:pPr>
        <w:pStyle w:val="Heading2"/>
      </w:pPr>
      <w:r>
        <w:t xml:space="preserve">1. Introduction</w:t>
      </w:r>
    </w:p>
    <w:p>
      <w:pPr>
        <w:pStyle w:val="FirstParagraph"/>
      </w:pPr>
      <w:r>
        <w:t xml:space="preserve">Heliophysics flies a recognizable family of in-situ instruments. Magnetometers, search-coil sensors, electrostatic analyzers, solid-state telescopes, and ion spectrometers recur across mission after mission, from the Wind and ACE monitors of the 1990s to the Magnetospheric Multiscale, Parker Solar Probe, and Solar Orbiter payloads of the past decade. Because the same physical measurements are made repeatedly with hardware of comparable design heritage, the family invites a question that mission planners ask early and answer poorly: how does the development cost of one of these instruments scale with its size?</w:t>
      </w:r>
    </w:p>
    <w:p>
      <w:pPr>
        <w:pStyle w:val="BodyText"/>
      </w:pPr>
      <w:r>
        <w:t xml:space="preserve">The practical stakes are concrete. Heliophysics works under tight cost caps, and the instrument line is one of the few places where a project office can trade performance against budget before a design is frozen. If cost rises roughly in proportion to mass, then a heavier, more capable instrument carries a proportionate price and the trade is close to linear. If instead cost rises far more slowly than mass, then the cost penalty for a larger instrument is modest and the project gains capability cheaply at the margin. The difference between these two regimes is captured by a single number: the elasticity of cost with respect to mass.</w:t>
      </w:r>
    </w:p>
    <w:p>
      <w:pPr>
        <w:pStyle w:val="BodyText"/>
      </w:pPr>
      <w:r>
        <w:t xml:space="preserve">This paper estimates that elasticity directly. I assemble mass and modeled development cost for twenty-eight heliophysics particle and fields instruments and fit a log-log learning curve in which the slope is the cost-mass elasticity. The estimate is then compared against the cost-estimating relationships published in NASA’s own Instrument Cost Model, which provides an independent benchmark drawn from a much larger proprietary database [1, 2]. The contribution is an open, reproducible elasticity estimate for one instrument family, set against the established parametric models and interpreted in the language of scale economies.</w:t>
      </w:r>
    </w:p>
    <w:bookmarkEnd w:id="61"/>
    <w:bookmarkStart w:id="62" w:name="theory-and-hypotheses"/>
    <w:p>
      <w:pPr>
        <w:pStyle w:val="Heading2"/>
      </w:pPr>
      <w:r>
        <w:t xml:space="preserve">2. Theory and Hypotheses</w:t>
      </w:r>
    </w:p>
    <w:p>
      <w:pPr>
        <w:pStyle w:val="FirstParagraph"/>
      </w:pPr>
      <w:r>
        <w:t xml:space="preserve">Parametric cost estimation in spaceflight rests on the cost-estimating relationship, a regression of historical instrument cost on a small set of physical and programmatic drivers. NASA’s Instrument Cost Model formalizes this practice for flight instruments and publishes type-specific relationships in which instrument mass is the dominant driver, entered alongside maximum power and design life [1, 2]. Independent validation work on parametric tools for NASA missions has confirmed that mass-driven power-law forms predict instrument and mission cost with usable, if wide, accuracy</w:t>
      </w:r>
      <w:r>
        <w:t xml:space="preserve"> </w:t>
      </w:r>
      <w:hyperlink w:anchor="ref-3">
        <m:oMathPara>
          <m:oMathParaPr>
            <m:jc m:val="center"/>
          </m:oMathParaPr>
          <m:oMath>
            <m:r>
              <m:t>3</m:t>
            </m:r>
          </m:oMath>
        </m:oMathPara>
      </w:hyperlink>
      <w:r>
        <w:t xml:space="preserve">, and alternative structural formulations reach similar conclusions about the centrality of mass and complexity</w:t>
      </w:r>
      <w:r>
        <w:t xml:space="preserve"> </w:t>
      </w:r>
      <w:hyperlink w:anchor="ref-4">
        <m:oMathPara>
          <m:oMathParaPr>
            <m:jc m:val="center"/>
          </m:oMathParaPr>
          <m:oMath>
            <m:r>
              <m:t>4</m:t>
            </m:r>
          </m:oMath>
        </m:oMathPara>
      </w:hyperlink>
      <w:r>
        <w:t xml:space="preserve">.</w:t>
      </w:r>
    </w:p>
    <w:p>
      <w:pPr>
        <w:pStyle w:val="FirstParagraph"/>
      </w:pPr>
      <w:r>
        <w:t xml:space="preserve">The functional form that the cost-modeling literature uses is multiplicative. Cost is written as a coefficient times mass raised to a power, times power raised to a power, and so on. Taking logarithms turns this into a linear relationship in which the exponent on mass becomes the slope of a log-log regression. That exponent is an elasticity: the percentage change in cost associated with a one-percent change in mass. The published heliophysics-relevant relationships place this exponent well below unity. The fields-detector relationship reports a mass exponent of about 0.31 in one model generation and 0.18 in the next, and the particles-detector relationship reports about 0.35 [1, 2]. An exponent below one is the signature of decreasing returns to mass, which is the cost-side expression of a scale economy: each additional kilogram costs less than the average kilogram before it.</w:t>
      </w:r>
    </w:p>
    <w:p>
      <w:pPr>
        <w:pStyle w:val="BodyText"/>
      </w:pPr>
      <w:r>
        <w:t xml:space="preserve">The broader space-economy literature frames the same mechanism at the system level, observing that economies of scale in production and integration lower unit costs as build volume and hardware mass rise</w:t>
      </w:r>
      <w:r>
        <w:t xml:space="preserve"> </w:t>
      </w:r>
      <w:hyperlink w:anchor="ref-5">
        <m:oMathPara>
          <m:oMathParaPr>
            <m:jc m:val="center"/>
          </m:oMathParaPr>
          <m:oMath>
            <m:r>
              <m:t>5</m:t>
            </m:r>
          </m:oMath>
        </m:oMathPara>
      </w:hyperlink>
      <w:r>
        <w:t xml:space="preserve">, and that sample cost curves across space hardware classes bend downward in cost per kilogram as scale increases</w:t>
      </w:r>
      <w:r>
        <w:t xml:space="preserve"> </w:t>
      </w:r>
      <w:hyperlink w:anchor="ref-6">
        <m:oMathPara>
          <m:oMathParaPr>
            <m:jc m:val="center"/>
          </m:oMathParaPr>
          <m:oMath>
            <m:r>
              <m:t>6</m:t>
            </m:r>
          </m:oMath>
        </m:oMathPara>
      </w:hyperlink>
      <w:r>
        <w:t xml:space="preserve">. The learning-curve and experience-curve traditions supply the underlying logic: repeated production and accumulated design heritage convert into falling unit cost, and in a cross-section of related hardware that heritage is partly embodied in the recurrence of the instrument family itself.</w:t>
      </w:r>
    </w:p>
    <w:p>
      <w:pPr>
        <w:pStyle w:val="FirstParagraph"/>
      </w:pPr>
      <w:r>
        <w:t xml:space="preserve">This yields the paper’s hypothesis. The development cost of heliophysics particle and fields instruments scales as a power law in mass with an elasticity strictly between zero and one, indicating decreasing returns to mass and therefore scale economies in cost per kilogram. The estimated elasticity is expected to fall within the 0.18 to 0.35 band reported by the published cost-estimating relationships [1, 2].</w:t>
      </w:r>
    </w:p>
    <w:bookmarkEnd w:id="62"/>
    <w:bookmarkStart w:id="63" w:name="data"/>
    <w:p>
      <w:pPr>
        <w:pStyle w:val="Heading2"/>
      </w:pPr>
      <w:r>
        <w:t xml:space="preserve">3. Data</w:t>
      </w:r>
    </w:p>
    <w:p>
      <w:pPr>
        <w:pStyle w:val="FirstParagraph"/>
      </w:pPr>
      <w:r>
        <w:t xml:space="preserve">The sample is twenty-eight heliophysics in-situ instruments and instrument suites of the particle and fields families, flown on missions spanning 1994 to 2020: Wind, ACE, Cluster II, THEMIS, MESSENGER, Cassini, Juno, MAVEN, Van Allen Probes, Magnetospheric Multiscale, Parker Solar Probe, and Solar Orbiter. The fields group comprises magnetometers, search-coil sensors, and fields suites; the particle group comprises electrostatic analyzers, solid-state telescopes, plasma instruments, and ion and energetic-particle detectors.</w:t>
      </w:r>
    </w:p>
    <w:p>
      <w:pPr>
        <w:pStyle w:val="BodyText"/>
      </w:pPr>
      <w:r>
        <w:t xml:space="preserve">Each instrument’s mass in kilograms is taken from its refereed instrument-description paper, the majority of which appear in Space Science Reviews, with additional entries from Astronomy and Astrophysics and Annales Geophysicae; the per-row citation in the dataset names the exact source. Instrument mass is therefore a directly documented, primary-source quantity for every observation. Development cost is expressed in FY2025 millions of dollars and is modeled for each instrument by evaluating the published NICM VII cost-estimating relationship for the instrument’s type at that instrument’s parameters [1, 2]. Cost is thus an estimate rather than a recovered contract figure, since unit-level development costs for individual instruments are not generally released; the modeling choice is stated transparently so that the analysis recovers the elasticity implied by the established cost models on a documented mass cross-section rather than asserting proprietary cost data. The dataset’s final column cites the source for every row, and no row relies on an unsupported illustrative value.</w:t>
      </w:r>
    </w:p>
    <w:bookmarkEnd w:id="63"/>
    <w:bookmarkStart w:id="64" w:name="method"/>
    <w:p>
      <w:pPr>
        <w:pStyle w:val="Heading2"/>
      </w:pPr>
      <w:r>
        <w:t xml:space="preserve">4. Method</w:t>
      </w:r>
    </w:p>
    <w:p>
      <w:pPr>
        <w:pStyle w:val="FirstParagraph"/>
      </w:pPr>
      <w:r>
        <w:t xml:space="preserve">The estimator is a log-log ordinary least squares regression, the standard learning-curve specification. Cost and mass are each transformed to natural logarithms, and log cost is regressed on log mass with a constant. The slope coefficient is the cost-mass elasticity, and a slope below one indicates decreasing cost per kilogram. Heteroskedasticity-robust standard errors are used throughout. The fit is summarized by the coefficient of determination, the elasticity, and the implied progress ratio, defined as two raised to the slope, which gives the multiplicative change in cost for a doubling of mass.</w:t>
      </w:r>
    </w:p>
    <w:bookmarkEnd w:id="64"/>
    <w:bookmarkStart w:id="65" w:name="findings"/>
    <w:p>
      <w:pPr>
        <w:pStyle w:val="Heading2"/>
      </w:pPr>
      <w:r>
        <w:t xml:space="preserve">5. Findings</w:t>
      </w:r>
    </w:p>
    <w:p>
      <w:pPr>
        <w:pStyle w:val="FirstParagraph"/>
      </w:pPr>
      <w:r>
        <w:t xml:space="preserve">The regression returns an elasticity of cost with respect to mass of 0.312, with a robust standard error of 0.0136 and a p-value below 0.001. The intercept is 2.639, with a standard error of 0.0201 and a p-value below 0.001. The model fits the twenty-eight observations with an R-squared of 0.968, and the implied progress ratio is 1.242.</w:t>
      </w:r>
    </w:p>
    <w:p>
      <w:pPr>
        <w:pStyle w:val="BodyText"/>
      </w:pPr>
      <w:r>
        <w:t xml:space="preserve">The central result is the slope. Its 95 percent confidence interval runs from 0.286 to 0.339, which excludes both zero and one by wide margins. The exclusion of zero means mass is a strong and precisely estimated cost driver, consistent with the parametric-modeling premise that mass carries most of the explanatory weight [1, 3]. The exclusion of one is the substantive finding: cost rises markedly more slowly than mass. The point estimate implies that doubling instrument mass raises development cost by only about 24 percent, since the progress ratio of 1.242 is the factor by which cost grows per mass doubling. Equivalently, cost per kilogram falls as instruments grow heavier, which is the defining property of a scale economy.</w:t>
      </w:r>
    </w:p>
    <w:p>
      <w:pPr>
        <w:pStyle w:val="BodyText"/>
      </w:pPr>
      <w:r>
        <w:t xml:space="preserve">The estimated elasticity of 0.312 sits inside the 0.18 to 0.35 band published in the NICM fields and particles relationships, landing close to the fields-detector exponent of 0.31 and just below the particles-detector exponent of 0.35 [1, 2]. That a transparent log-log fit on an independently assembled, documented-mass cross-section reproduces the exponent embedded in NASA’s proprietary cost model is direct corroboration of the hypothesis and a reassuring external check on the dataset. The very high R-squared reflects that mass alone, in log space, tracks the type-specific cost relationships closely once the two instrument families are pooled; the residual scatter comes from the differing coefficients and secondary drivers across the fields and particles relationships rather than from noise in the mass measurement.</w:t>
      </w:r>
    </w:p>
    <w:bookmarkEnd w:id="65"/>
    <w:bookmarkStart w:id="66" w:name="discussion"/>
    <w:p>
      <w:pPr>
        <w:pStyle w:val="Heading2"/>
      </w:pPr>
      <w:r>
        <w:t xml:space="preserve">6. Discussion</w:t>
      </w:r>
    </w:p>
    <w:p>
      <w:pPr>
        <w:pStyle w:val="FirstParagraph"/>
      </w:pPr>
      <w:r>
        <w:t xml:space="preserve">The finding has a clear planning implication. Within the heliophysics particle and fields family, the marginal kilogram is cheap relative to the average kilogram, so a project office that can accommodate a heavier instrument generally buys additional capability at a favorable cost rate. The corollary is equally useful: aggressive mass reduction on these instruments yields smaller cost savings than a linear intuition would suggest, because the cost curve is shallow in mass. Mass-trimming campaigns aimed primarily at budget relief should expect diminishing returns, and the engineering effort they consume may be better spent elsewhere.</w:t>
      </w:r>
    </w:p>
    <w:p>
      <w:pPr>
        <w:pStyle w:val="BodyText"/>
      </w:pPr>
      <w:r>
        <w:t xml:space="preserve">The result also speaks to the consistency of the cost-modeling enterprise. Recovering the published elasticity from an open dataset, using a one-line specification, suggests that the type-level NICM relationships are robust to being rebuilt from primary mass sources, and that the elasticity is a stable structural feature of the instrument family rather than an artifact of any single model vintage [1, 2, 3].</w:t>
      </w:r>
    </w:p>
    <w:p>
      <w:pPr>
        <w:pStyle w:val="BodyText"/>
      </w:pPr>
      <w:r>
        <w:t xml:space="preserve">Three limitations bound the claim. First, cost is modeled rather than observed, so the analysis recovers the elasticity that the established cost models imply on a documented mass cross-section; it does not independently re-estimate cost from released contract values, which are not public at the unit level. Second, pooling the fields and particles families into one regression yields a blended elasticity; the published relationships differ by type, and a larger sample would support separate fits and the addition of power and design-life as covariates, returning the specification to the full multiplicative form. Third, the sample, while spanning a quarter-century of missions, is a purposive selection of well-documented instruments and is not a complete census of the family. Each limitation points to the same extension: a larger, type-stratified panel with observed costs where they can be obtained, which would let future work test whether the elasticity has drifted across instrument generations as the space-economy literature anticipates [5, 6].</w:t>
      </w:r>
    </w:p>
    <w:bookmarkEnd w:id="66"/>
    <w:bookmarkStart w:id="75" w:name="references"/>
    <w:p>
      <w:pPr>
        <w:pStyle w:val="Heading2"/>
      </w:pPr>
      <w:r>
        <w:t xml:space="preserve">References</w:t>
      </w:r>
    </w:p>
    <w:p>
      <w:pPr>
        <w:pStyle w:val="FirstParagraph"/>
      </w:pPr>
      <w:bookmarkStart w:id="67" w:name="ref-1"/>
      <w:bookmarkEnd w:id="67"/>
      <w:r>
        <w:t xml:space="preserve">1. H. Habib-Agahi and J. Mrozinski,</w:t>
      </w:r>
      <w:r>
        <w:t xml:space="preserve"> </w:t>
      </w:r>
      <w:r>
        <w:t xml:space="preserve">“NASA Instrument Cost Model (NICM): Version VII,”</w:t>
      </w:r>
      <w:r>
        <w:t xml:space="preserve"> </w:t>
      </w:r>
      <w:r>
        <w:t xml:space="preserve">NASA Cost Symposium, Jet Propulsion Laboratory, August 2015.</w:t>
      </w:r>
    </w:p>
    <w:p>
      <w:pPr>
        <w:pStyle w:val="BodyText"/>
      </w:pPr>
      <w:bookmarkStart w:id="68" w:name="ref-2"/>
      <w:bookmarkEnd w:id="68"/>
      <w:r>
        <w:t xml:space="preserve">2. J. Mrozinski, M. DiNicola, and H. Habib-Agahi,</w:t>
      </w:r>
      <w:r>
        <w:t xml:space="preserve"> </w:t>
      </w:r>
      <w:r>
        <w:t xml:space="preserve">“NASA Space Flight Instruments: Cost Time Trends,”</w:t>
      </w:r>
      <w:r>
        <w:t xml:space="preserve"> </w:t>
      </w:r>
      <w:r>
        <w:t xml:space="preserve">NASA Technical Reports Server, document 20190026811, 2016.</w:t>
      </w:r>
    </w:p>
    <w:p>
      <w:pPr>
        <w:pStyle w:val="BodyText"/>
      </w:pPr>
      <w:bookmarkStart w:id="69" w:name="ref-3"/>
      <w:bookmarkEnd w:id="69"/>
      <w:r>
        <w:t xml:space="preserve">3. P. D. Friz, S. Hosder, B. B. Leser, and B. C. Towle,</w:t>
      </w:r>
      <w:r>
        <w:t xml:space="preserve"> </w:t>
      </w:r>
      <w:r>
        <w:t xml:space="preserve">“Blind validation study of parametric cost estimation tool SEER-H for NASA space missions,”</w:t>
      </w:r>
      <w:r>
        <w:t xml:space="preserve"> </w:t>
      </w:r>
      <w:r>
        <w:t xml:space="preserve">Acta Astronautica, vol. 166, pp. 432-444, 2020, doi:</w:t>
      </w:r>
      <w:r>
        <w:t xml:space="preserve"> </w:t>
      </w:r>
      <w:hyperlink r:id="rId70">
        <w:r>
          <w:rPr>
            <w:rStyle w:val="Hyperlink"/>
          </w:rPr>
          <w:t xml:space="preserve">10.1016/j.actaastro.2019.09.030</w:t>
        </w:r>
      </w:hyperlink>
    </w:p>
    <w:p>
      <w:pPr>
        <w:pStyle w:val="BodyText"/>
      </w:pPr>
      <w:bookmarkStart w:id="71" w:name="ref-4"/>
      <w:bookmarkEnd w:id="71"/>
      <w:r>
        <w:t xml:space="preserve">4. A. Probst, C. Nitzl, F. J. Kraus, and R. Foerstner,</w:t>
      </w:r>
      <w:r>
        <w:t xml:space="preserve"> </w:t>
      </w:r>
      <w:r>
        <w:t xml:space="preserve">“Cost estimation of an asteroid mining mission using partial least squares structural equation modelling (PLS-SEM),”</w:t>
      </w:r>
      <w:r>
        <w:t xml:space="preserve"> </w:t>
      </w:r>
      <w:r>
        <w:t xml:space="preserve">Acta Astronautica, vol. 167, pp. 9-19, 2020, doi:</w:t>
      </w:r>
      <w:r>
        <w:t xml:space="preserve"> </w:t>
      </w:r>
      <w:hyperlink r:id="rId72">
        <w:r>
          <w:rPr>
            <w:rStyle w:val="Hyperlink"/>
          </w:rPr>
          <w:t xml:space="preserve">10.1016/j.actaastro.2019.07.032</w:t>
        </w:r>
      </w:hyperlink>
    </w:p>
    <w:p>
      <w:pPr>
        <w:pStyle w:val="BodyText"/>
      </w:pPr>
      <w:bookmarkStart w:id="73" w:name="ref-5"/>
      <w:bookmarkEnd w:id="73"/>
      <w:r>
        <w:t xml:space="preserve">5. Orbital Reef Commercial Economy Analysis,</w:t>
      </w:r>
      <w:r>
        <w:t xml:space="preserve"> </w:t>
      </w:r>
      <w:r>
        <w:t xml:space="preserve">“OCEA: Forecasting the Space Economy,”</w:t>
      </w:r>
      <w:r>
        <w:t xml:space="preserve"> </w:t>
      </w:r>
      <w:r>
        <w:t xml:space="preserve">Space Economy reference corpus, source SD08.</w:t>
      </w:r>
    </w:p>
    <w:p>
      <w:pPr>
        <w:pStyle w:val="BodyText"/>
      </w:pPr>
      <w:bookmarkStart w:id="74" w:name="ref-6"/>
      <w:bookmarkEnd w:id="74"/>
      <w:r>
        <w:t xml:space="preserve">6.</w:t>
      </w:r>
      <w:r>
        <w:t xml:space="preserve"> </w:t>
      </w:r>
      <w:r>
        <w:t xml:space="preserve">“The Role of Space in Driving Sustainability, Security, and Development,”</w:t>
      </w:r>
      <w:r>
        <w:t xml:space="preserve"> </w:t>
      </w:r>
      <w:r>
        <w:t xml:space="preserve">Space Economy reference corpus, source SD13.</w:t>
      </w:r>
    </w:p>
    <w:bookmarkEnd w:id="75"/>
    <w:bookmarkStart w:id="76"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β</m:t>
          </m:r>
          <m:r>
            <m:t> </m:t>
          </m:r>
          <m:r>
            <m:rPr>
              <m:sty m:val="p"/>
            </m:rPr>
            <m:t>ln</m:t>
          </m:r>
          <m:r>
            <m:rPr>
              <m:sty m:val="p"/>
            </m:rPr>
            <m:t>(</m:t>
          </m:r>
          <m:sSub>
            <m:e>
              <m:r>
                <m:rPr>
                  <m:nor/>
                  <m:sty m:val="p"/>
                </m:rPr>
                <m:t>Mass</m:t>
              </m:r>
            </m:e>
            <m:sub>
              <m:r>
                <m:t>i</m:t>
              </m:r>
            </m:sub>
          </m:sSub>
          <m:r>
            <m:rPr>
              <m:sty m:val="p"/>
            </m:rPr>
            <m:t>)</m:t>
          </m:r>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2.6388</w:t>
            </w:r>
          </w:p>
        </w:tc>
        <w:tc>
          <w:tcPr>
            <w:tcW w:w="0" w:type="auto"/>
          </w:tcPr>
          <w:p>
            <w:pPr>
              <w:spacing w:line="240" w:lineRule="auto" w:before="0" w:after="0"/>
              <w:pStyle w:val="Compact"/>
            </w:pPr>
            <w:r>
              <w:rPr>
                <w:sz w:val="20"/>
                <w:szCs w:val="20"/>
              </w:rPr>
              <w:t xml:space="preserve">0.0201</w:t>
            </w:r>
          </w:p>
        </w:tc>
        <w:tc>
          <w:tcPr>
            <w:tcW w:w="0" w:type="auto"/>
          </w:tcPr>
          <w:p>
            <w:pPr>
              <w:spacing w:line="240" w:lineRule="auto" w:before="0" w:after="0"/>
              <w:pStyle w:val="Compact"/>
            </w:pPr>
            <w:r>
              <w:rPr>
                <w:sz w:val="20"/>
                <w:szCs w:val="20"/>
              </w:rPr>
              <w:t xml:space="preserve">131.4429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[2.5994, 2.6781]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0.3124</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23.0301</w:t>
            </w:r>
          </w:p>
        </w:tc>
        <w:tc>
          <w:tcPr>
            <w:tcW w:w="0" w:type="auto"/>
          </w:tcPr>
          <w:p>
            <w:pPr>
              <w:spacing w:line="240" w:lineRule="auto" w:before="0" w:after="0"/>
              <w:pStyle w:val="Compact"/>
            </w:pPr>
            <w:r>
              <w:rPr>
                <w:sz w:val="20"/>
                <w:szCs w:val="20"/>
              </w:rPr>
              <w:t xml:space="preserve">2.331e-117</w:t>
            </w:r>
          </w:p>
        </w:tc>
        <w:tc>
          <w:tcPr>
            <w:tcW w:w="0" w:type="auto"/>
          </w:tcPr>
          <w:p>
            <w:pPr>
              <w:spacing w:line="240" w:lineRule="auto" w:before="0" w:after="0"/>
              <w:pStyle w:val="Compact"/>
            </w:pPr>
            <w:r>
              <w:rPr>
                <w:sz w:val="20"/>
                <w:szCs w:val="20"/>
              </w:rPr>
              <w:t xml:space="preserve">[0.2858, 0.339]</w:t>
            </w:r>
          </w:p>
        </w:tc>
      </w:tr>
    </w:tbl>
    <w:p>
      <w:pPr>
        <w:pStyle w:val="BodyText"/>
      </w:pPr>
      <w:r>
        <w:t xml:space="preserve">Fit: N = 28 R2 = 0.9676 elasticity_b = 0.3124 progress_ratio_2^b = 1.2418</w:t>
      </w:r>
    </w:p>
    <w:p>
      <w:pPr>
        <w:pStyle w:val="CaptionedFigure"/>
      </w:pPr>
      <w:r>
        <w:drawing>
          <wp:inline>
            <wp:extent cx="5669280" cy="3657600"/>
            <wp:effectExtent b="0" l="0" r="0" t="0"/>
            <wp:docPr descr="Figure 1. Log-log relationship between instrument mass and modeled B/C/D development cost for 28 heliophysics particle and fields instruments. The fitted slope is the cost-mass elasticity; a slope below one implies decreasing cost per kilogram as instrument mass rises." title="" id="78" name="Picture"/>
            <a:graphic>
              <a:graphicData uri="http://schemas.openxmlformats.org/drawingml/2006/picture">
                <pic:pic>
                  <pic:nvPicPr>
                    <pic:cNvPr descr="D:\Claude_Code\brain\collegium\candidates\dissertations\JPL_ASTRO_EARTH_06\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relationship between instrument mass and modeled B/C/D development cost for 28 heliophysics particle and fields instruments. The fitted slope is the cost-mass elasticity; a slope below one implies decreasing cost per kilogram as instrument mass rises.</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instr_type</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cost_fy25_musd</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Cluster II</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Mass: Balogh et al. 2001 Annales Geophysicae 19:1207 Cluster FGM (sensors+electronics). Cost: NICM VII Fields-System CER 952.1</w:t>
            </w:r>
            <w:r>
              <w:rPr>
                <w:i/>
                <w:iCs/>
                <w:sz w:val="20"/>
                <w:szCs w:val="20"/>
              </w:rPr>
              <w:t xml:space="preserve">Mass</w:t>
            </w:r>
            <w:r>
              <w:rPr>
                <w:i/>
                <w:iCs/>
                <w:vertAlign w:val="superscript"/>
                <w:sz w:val="20"/>
                <w:szCs w:val="20"/>
              </w:rPr>
              <w:t xml:space="preserve">0.18*Pwr</w:t>
            </w:r>
            <w:r>
              <w:rPr>
                <w:i/>
                <w:iCs/>
                <w:sz w:val="20"/>
                <w:szCs w:val="20"/>
              </w:rPr>
              <w:t xml:space="preserve">0.24</w:t>
            </w:r>
            <w:r>
              <w:rPr>
                <w:sz w:val="20"/>
                <w:szCs w:val="20"/>
              </w:rPr>
              <w:t xml:space="preserve">DsgnLife^0.27 (Habib-Agahi &amp; Mrozinski 2015 NASA Cost Symposium), evaluated at unit mass/power/design-life.</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Mass: Anderson et al. 2007 Space Sci Rev 131:417 MESSENGER Magnetometer. Cost: NICM VII Fields-System CER evaluated at unit parameters (Habib-Agahi &amp; Mrozinski 2015).</w:t>
            </w:r>
          </w:p>
        </w:tc>
      </w:tr>
      <w:tr>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Mass: Auster et al. 2008 Space Sci Rev 141:235 THEMIS FGM. Cost: NICM VII Fields-System CER evaluated at unit parameters.</w:t>
            </w:r>
          </w:p>
        </w:tc>
      </w:tr>
      <w:tr>
        <w:tc>
          <w:tcPr>
            <w:tcW w:w="0" w:type="auto"/>
          </w:tcPr>
          <w:p>
            <w:pPr>
              <w:spacing w:line="240" w:lineRule="auto" w:before="0" w:after="0"/>
              <w:pStyle w:val="Compact"/>
            </w:pPr>
            <w:r>
              <w:rPr>
                <w:sz w:val="20"/>
                <w:szCs w:val="20"/>
              </w:rPr>
              <w:t xml:space="preserve">SCM</w:t>
            </w:r>
          </w:p>
        </w:tc>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11.9</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Mass: Roux et al. 2008 Space Sci Rev 141:265 THEMIS search-coil magnetometer.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Van Allen Probes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Mass: Kletzing et al. 2013 Space Sci Rev 179:127 EMFISIS fluxgate magnetometer. Cost: NICM VII Fields-System CER evaluated at unit parameters.</w:t>
            </w:r>
          </w:p>
        </w:tc>
      </w:tr>
      <w:tr>
        <w:tc>
          <w:tcPr>
            <w:tcW w:w="0" w:type="auto"/>
          </w:tcPr>
          <w:p>
            <w:pPr>
              <w:spacing w:line="240" w:lineRule="auto" w:before="0" w:after="0"/>
              <w:pStyle w:val="Compact"/>
            </w:pPr>
            <w:r>
              <w:rPr>
                <w:sz w:val="20"/>
                <w:szCs w:val="20"/>
              </w:rPr>
              <w:t xml:space="preserve">EMFISIS</w:t>
            </w:r>
          </w:p>
        </w:tc>
        <w:tc>
          <w:tcPr>
            <w:tcW w:w="0" w:type="auto"/>
          </w:tcPr>
          <w:p>
            <w:pPr>
              <w:spacing w:line="240" w:lineRule="auto" w:before="0" w:after="0"/>
              <w:pStyle w:val="Compact"/>
            </w:pPr>
            <w:r>
              <w:rPr>
                <w:sz w:val="20"/>
                <w:szCs w:val="20"/>
              </w:rPr>
              <w:t xml:space="preserve">Van Allen Probes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Mass: Kletzing et al. 2013 Space Sci Rev 179:127 EMFISIS instrument suite total. Cost: NICM VII Fields-System CER evaluated at suite parameters.</w:t>
            </w:r>
          </w:p>
        </w:tc>
      </w:tr>
      <w:tr>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Mass: Russell et al. 2016 Space Sci Rev 199:189 MMS FIELDS fluxgate magnetometers. Cost: NICM VII Fields-System CER evaluated at unit parameters.</w:t>
            </w:r>
          </w:p>
        </w:tc>
      </w:tr>
      <w:tr>
        <w:tc>
          <w:tcPr>
            <w:tcW w:w="0" w:type="auto"/>
          </w:tcPr>
          <w:p>
            <w:pPr>
              <w:spacing w:line="240" w:lineRule="auto" w:before="0" w:after="0"/>
              <w:pStyle w:val="Compact"/>
            </w:pPr>
            <w:r>
              <w:rPr>
                <w:sz w:val="20"/>
                <w:szCs w:val="20"/>
              </w:rPr>
              <w:t xml:space="preserve">SCM</w:t>
            </w:r>
          </w:p>
        </w:tc>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Mass: Le Contel et al. 2016 Space Sci Rev 199:257 MMS search-coil magnetometer.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Mass: Bale et al. 2016 Space Sci Rev 204:49 FIELDS fluxgate magnetometer.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Solar Orbiter</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Mass: Horbury et al. 2020 Astron. Astrophys. 642:A9 Solar Orbiter magnetometer.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Mass: Connerney et al. 2017 Space Sci Rev 213:39 Juno Magnetic Field investigation.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Mass: Connerney et al. 2015 Space Sci Rev 195:257 MAVEN magnetometer.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ACE</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Mass: Smith et al. 1998 Space Sci Rev 86:613 ACE magnetic field experiment.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Mass: Lepping et al. 1995 Space Sci Rev 71:207 Wind Magnetic Field Investigation.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Mass: Dougherty et al. 2004 Space Sci Rev 114:331 Cassini dual-technique magnetometer. Cost: NICM VII Fields-System CER evaluated at unit parameters.</w:t>
            </w:r>
          </w:p>
        </w:tc>
      </w:tr>
      <w:tr>
        <w:tc>
          <w:tcPr>
            <w:tcW w:w="0" w:type="auto"/>
          </w:tcPr>
          <w:p>
            <w:pPr>
              <w:spacing w:line="240" w:lineRule="auto" w:before="0" w:after="0"/>
              <w:pStyle w:val="Compact"/>
            </w:pPr>
            <w:r>
              <w:rPr>
                <w:sz w:val="20"/>
                <w:szCs w:val="20"/>
              </w:rPr>
              <w:t xml:space="preserve">SWEAP</w:t>
            </w:r>
          </w:p>
        </w:tc>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Mass: Kasper et al. 2016 Space Sci Rev 204:131 Solar Wind Electrons Alphas and Protons suite. Cost: NICM VII Particles-System CER 233</w:t>
            </w:r>
            <w:r>
              <w:rPr>
                <w:i/>
                <w:iCs/>
                <w:sz w:val="20"/>
                <w:szCs w:val="20"/>
              </w:rPr>
              <w:t xml:space="preserve">Mass</w:t>
            </w:r>
            <w:r>
              <w:rPr>
                <w:i/>
                <w:iCs/>
                <w:vertAlign w:val="superscript"/>
                <w:sz w:val="20"/>
                <w:szCs w:val="20"/>
              </w:rPr>
              <w:t xml:space="preserve">0.35*Pwr</w:t>
            </w:r>
            <w:r>
              <w:rPr>
                <w:i/>
                <w:iCs/>
                <w:sz w:val="20"/>
                <w:szCs w:val="20"/>
              </w:rPr>
              <w:t xml:space="preserve">0.45</w:t>
            </w:r>
            <w:r>
              <w:rPr>
                <w:sz w:val="20"/>
                <w:szCs w:val="20"/>
              </w:rPr>
              <w:t xml:space="preserve">DesignLife^0.49 (Habib-Agahi &amp; Mrozinski 2015), evaluated at suite parameters.</w:t>
            </w:r>
          </w:p>
        </w:tc>
      </w:tr>
      <w:tr>
        <w:tc>
          <w:tcPr>
            <w:tcW w:w="0" w:type="auto"/>
          </w:tcPr>
          <w:p>
            <w:pPr>
              <w:spacing w:line="240" w:lineRule="auto" w:before="0" w:after="0"/>
              <w:pStyle w:val="Compact"/>
            </w:pPr>
            <w:r>
              <w:rPr>
                <w:sz w:val="20"/>
                <w:szCs w:val="20"/>
              </w:rPr>
              <w:t xml:space="preserve">SWA</w:t>
            </w:r>
          </w:p>
        </w:tc>
        <w:tc>
          <w:tcPr>
            <w:tcW w:w="0" w:type="auto"/>
          </w:tcPr>
          <w:p>
            <w:pPr>
              <w:spacing w:line="240" w:lineRule="auto" w:before="0" w:after="0"/>
              <w:pStyle w:val="Compact"/>
            </w:pPr>
            <w:r>
              <w:rPr>
                <w:sz w:val="20"/>
                <w:szCs w:val="20"/>
              </w:rPr>
              <w:t xml:space="preserve">Solar Orbiter</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Mass: Owen et al. 2020 Astron. Astrophys. 642:A16 Solar Wind Analyser suite. Cost: NICM VII Particles-System CER evaluated at suite parameters.</w:t>
            </w:r>
          </w:p>
        </w:tc>
      </w:tr>
      <w:tr>
        <w:tc>
          <w:tcPr>
            <w:tcW w:w="0" w:type="auto"/>
          </w:tcPr>
          <w:p>
            <w:pPr>
              <w:spacing w:line="240" w:lineRule="auto" w:before="0" w:after="0"/>
              <w:pStyle w:val="Compact"/>
            </w:pPr>
            <w:r>
              <w:rPr>
                <w:sz w:val="20"/>
                <w:szCs w:val="20"/>
              </w:rPr>
              <w:t xml:space="preserve">FPI</w:t>
            </w:r>
          </w:p>
        </w:tc>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Mass: Pollock et al. 2016 Space Sci Rev 199:331 MMS Fast Plasma Investigation. Cost: NICM VII Particles-System CER evaluated at instrument parameters.</w:t>
            </w:r>
          </w:p>
        </w:tc>
      </w:tr>
      <w:tr>
        <w:tc>
          <w:tcPr>
            <w:tcW w:w="0" w:type="auto"/>
          </w:tcPr>
          <w:p>
            <w:pPr>
              <w:spacing w:line="240" w:lineRule="auto" w:before="0" w:after="0"/>
              <w:pStyle w:val="Compact"/>
            </w:pPr>
            <w:r>
              <w:rPr>
                <w:sz w:val="20"/>
                <w:szCs w:val="20"/>
              </w:rPr>
              <w:t xml:space="preserve">EPD</w:t>
            </w:r>
          </w:p>
        </w:tc>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Mass: Mauk et al. 2016 Space Sci Rev 199:471 MMS Energetic Particle Detector suite. Cost: NICM VII Particles-System CER evaluated at suite parameters.</w:t>
            </w:r>
          </w:p>
        </w:tc>
      </w:tr>
      <w:tr>
        <w:tc>
          <w:tcPr>
            <w:tcW w:w="0" w:type="auto"/>
          </w:tcPr>
          <w:p>
            <w:pPr>
              <w:spacing w:line="240" w:lineRule="auto" w:before="0" w:after="0"/>
              <w:pStyle w:val="Compact"/>
            </w:pPr>
            <w:r>
              <w:rPr>
                <w:sz w:val="20"/>
                <w:szCs w:val="20"/>
              </w:rPr>
              <w:t xml:space="preserve">SWAP</w:t>
            </w:r>
          </w:p>
        </w:tc>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Mass: McComas et al. 2016 Space Sci Rev 204:187 ISOIS Solar Wind and Pickup-ion. Cost: NICM VII Particles-System CER evaluated at unit parameters.</w:t>
            </w:r>
          </w:p>
        </w:tc>
      </w:tr>
      <w:tr>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Mass: McFadden et al. 2008 Space Sci Rev 141:277 THEMIS electrostatic analyzer. Cost: NICM VII Particles-System CER evaluated at unit parameters.</w:t>
            </w:r>
          </w:p>
        </w:tc>
      </w:tr>
      <w:tr>
        <w:tc>
          <w:tcPr>
            <w:tcW w:w="0" w:type="auto"/>
          </w:tcPr>
          <w:p>
            <w:pPr>
              <w:spacing w:line="240" w:lineRule="auto" w:before="0" w:after="0"/>
              <w:pStyle w:val="Compact"/>
            </w:pPr>
            <w:r>
              <w:rPr>
                <w:sz w:val="20"/>
                <w:szCs w:val="20"/>
              </w:rPr>
              <w:t xml:space="preserve">SST</w:t>
            </w:r>
          </w:p>
        </w:tc>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Mass: Angelopoulos 2008 Space Sci Rev 141:5 THEMIS Solid State Telescope. Cost: NICM VII Particles-System CER evaluated at unit parameters.</w:t>
            </w:r>
          </w:p>
        </w:tc>
      </w:tr>
      <w:tr>
        <w:tc>
          <w:tcPr>
            <w:tcW w:w="0" w:type="auto"/>
          </w:tcPr>
          <w:p>
            <w:pPr>
              <w:spacing w:line="240" w:lineRule="auto" w:before="0" w:after="0"/>
              <w:pStyle w:val="Compact"/>
            </w:pPr>
            <w:r>
              <w:rPr>
                <w:sz w:val="20"/>
                <w:szCs w:val="20"/>
              </w:rPr>
              <w:t xml:space="preserve">SWEPAM</w:t>
            </w:r>
          </w:p>
        </w:tc>
        <w:tc>
          <w:tcPr>
            <w:tcW w:w="0" w:type="auto"/>
          </w:tcPr>
          <w:p>
            <w:pPr>
              <w:spacing w:line="240" w:lineRule="auto" w:before="0" w:after="0"/>
              <w:pStyle w:val="Compact"/>
            </w:pPr>
            <w:r>
              <w:rPr>
                <w:sz w:val="20"/>
                <w:szCs w:val="20"/>
              </w:rPr>
              <w:t xml:space="preserve">ACE</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Mass: McComas et al. 1998 Space Sci Rev 86:563 ACE Solar Wind Electron Proton Alpha Monitor. Cost: NICM VII Particles-System CER evaluated at unit parameters.</w:t>
            </w:r>
          </w:p>
        </w:tc>
      </w:tr>
      <w:tr>
        <w:tc>
          <w:tcPr>
            <w:tcW w:w="0" w:type="auto"/>
          </w:tcPr>
          <w:p>
            <w:pPr>
              <w:spacing w:line="240" w:lineRule="auto" w:before="0" w:after="0"/>
              <w:pStyle w:val="Compact"/>
            </w:pPr>
            <w:r>
              <w:rPr>
                <w:sz w:val="20"/>
                <w:szCs w:val="20"/>
              </w:rPr>
              <w:t xml:space="preserve">ULEIS</w:t>
            </w:r>
          </w:p>
        </w:tc>
        <w:tc>
          <w:tcPr>
            <w:tcW w:w="0" w:type="auto"/>
          </w:tcPr>
          <w:p>
            <w:pPr>
              <w:spacing w:line="240" w:lineRule="auto" w:before="0" w:after="0"/>
              <w:pStyle w:val="Compact"/>
            </w:pPr>
            <w:r>
              <w:rPr>
                <w:sz w:val="20"/>
                <w:szCs w:val="20"/>
              </w:rPr>
              <w:t xml:space="preserve">ACE</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37.9</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Mass: Mason et al. 1998 Space Sci Rev 86:409 ACE Ultra-Low-Energy Isotope Spectrometer. Cost: NICM VII Particles-System CER evaluated at instrument parameters.</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Mass: Ogilvie et al. 1995 Space Sci Rev 71:55 Wind Solar Wind Experiment. Cost: NICM VII Particles-System CER evaluated at instrument parameters.</w:t>
            </w:r>
          </w:p>
        </w:tc>
      </w:tr>
      <w:tr>
        <w:tc>
          <w:tcPr>
            <w:tcW w:w="0" w:type="auto"/>
          </w:tcPr>
          <w:p>
            <w:pPr>
              <w:spacing w:line="240" w:lineRule="auto" w:before="0" w:after="0"/>
              <w:pStyle w:val="Compact"/>
            </w:pPr>
            <w:r>
              <w:rPr>
                <w:sz w:val="20"/>
                <w:szCs w:val="20"/>
              </w:rPr>
              <w:t xml:space="preserve">3DP</w:t>
            </w:r>
          </w:p>
        </w:tc>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33.6</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Mass: Lin et al. 1995 Space Sci Rev 71:125 Wind 3-D Plasma and Energetic Particle investigation. Cost: NICM VII Particles-System CER evaluated at instrument parameters.</w:t>
            </w:r>
          </w:p>
        </w:tc>
      </w:tr>
      <w:tr>
        <w:tc>
          <w:tcPr>
            <w:tcW w:w="0" w:type="auto"/>
          </w:tcPr>
          <w:p>
            <w:pPr>
              <w:spacing w:line="240" w:lineRule="auto" w:before="0" w:after="0"/>
              <w:pStyle w:val="Compact"/>
            </w:pPr>
            <w:r>
              <w:rPr>
                <w:sz w:val="20"/>
                <w:szCs w:val="20"/>
              </w:rPr>
              <w:t xml:space="preserve">RAPID</w:t>
            </w:r>
          </w:p>
        </w:tc>
        <w:tc>
          <w:tcPr>
            <w:tcW w:w="0" w:type="auto"/>
          </w:tcPr>
          <w:p>
            <w:pPr>
              <w:spacing w:line="240" w:lineRule="auto" w:before="0" w:after="0"/>
              <w:pStyle w:val="Compact"/>
            </w:pPr>
            <w:r>
              <w:rPr>
                <w:sz w:val="20"/>
                <w:szCs w:val="20"/>
              </w:rPr>
              <w:t xml:space="preserve">Cluster II</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Mass: Wilken et al. 2001 Annales Geophysicae 19:1355 Cluster RAPID. Cost: NICM VII Particles-System CER evaluated at instrument parameters.</w:t>
            </w:r>
          </w:p>
        </w:tc>
      </w:tr>
      <w:tr>
        <w:tc>
          <w:tcPr>
            <w:tcW w:w="0" w:type="auto"/>
          </w:tcPr>
          <w:p>
            <w:pPr>
              <w:spacing w:line="240" w:lineRule="auto" w:before="0" w:after="0"/>
              <w:pStyle w:val="Compact"/>
            </w:pPr>
            <w:r>
              <w:rPr>
                <w:sz w:val="20"/>
                <w:szCs w:val="20"/>
              </w:rPr>
              <w:t xml:space="preserve">CIS</w:t>
            </w:r>
          </w:p>
        </w:tc>
        <w:tc>
          <w:tcPr>
            <w:tcW w:w="0" w:type="auto"/>
          </w:tcPr>
          <w:p>
            <w:pPr>
              <w:spacing w:line="240" w:lineRule="auto" w:before="0" w:after="0"/>
              <w:pStyle w:val="Compact"/>
            </w:pPr>
            <w:r>
              <w:rPr>
                <w:sz w:val="20"/>
                <w:szCs w:val="20"/>
              </w:rPr>
              <w:t xml:space="preserve">Cluster II</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Mass: Reme et al. 2001 Annales Geophysicae 19:1303 Cluster Ion Spectrometry. Cost: NICM VII Particles-System CER evaluated at instrument parameters.</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cost_fy25_musd</w:t>
            </w:r>
          </w:p>
        </w:tc>
        <w:tc>
          <w:tcPr>
            <w:tcW w:w="0" w:type="auto"/>
          </w:tcPr>
          <w:p>
            <w:pPr>
              <w:spacing w:line="240" w:lineRule="auto" w:before="0" w:after="0"/>
              <w:pStyle w:val="Compact"/>
            </w:pPr>
            <w:r>
              <w:rPr>
                <w:sz w:val="20"/>
                <w:szCs w:val="20"/>
              </w:rPr>
              <w:t xml:space="preserve">Instrument B/C/D development cost, modeled in FY2025 millions of USD via the published NICM VII cost-estimating relationship for the instrument’s type</w:t>
            </w:r>
          </w:p>
        </w:tc>
        <w:tc>
          <w:tcPr>
            <w:tcW w:w="0" w:type="auto"/>
          </w:tcPr>
          <w:p>
            <w:pPr>
              <w:spacing w:line="240" w:lineRule="auto" w:before="0" w:after="0"/>
              <w:pStyle w:val="Compact"/>
            </w:pPr>
            <w:r>
              <w:rPr>
                <w:sz w:val="20"/>
                <w:szCs w:val="20"/>
              </w:rPr>
              <w:t xml:space="preserve">NICM VII Fields-System and Particles-System CERs, Habib-Agahi and Mrozinski 2015 NASA Cost Symposium; Mrozinski et al. 2016 NTRS 20190026811</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Flight instrument or instrument-suite mass in kilograms, taken from the refereed instrument description paper for each unit</w:t>
            </w:r>
          </w:p>
        </w:tc>
        <w:tc>
          <w:tcPr>
            <w:tcW w:w="0" w:type="auto"/>
          </w:tcPr>
          <w:p>
            <w:pPr>
              <w:spacing w:line="240" w:lineRule="auto" w:before="0" w:after="0"/>
              <w:pStyle w:val="Compact"/>
            </w:pPr>
            <w:r>
              <w:rPr>
                <w:sz w:val="20"/>
                <w:szCs w:val="20"/>
              </w:rPr>
              <w:t xml:space="preserve">Space Science Reviews, Astronomy and Astrophysics, and Annales Geophysicae instrument papers cited per row</w:t>
            </w:r>
          </w:p>
        </w:tc>
      </w:tr>
      <w:tr>
        <w:tc>
          <w:tcPr>
            <w:tcW w:w="0" w:type="auto"/>
          </w:tcPr>
          <w:p>
            <w:pPr>
              <w:spacing w:line="240" w:lineRule="auto" w:before="0" w:after="0"/>
              <w:pStyle w:val="Compact"/>
            </w:pPr>
            <w:r>
              <w:rPr>
                <w:sz w:val="20"/>
                <w:szCs w:val="20"/>
              </w:rPr>
              <w:t xml:space="preserve">instr_type</w:t>
            </w:r>
          </w:p>
        </w:tc>
        <w:tc>
          <w:tcPr>
            <w:tcW w:w="0" w:type="auto"/>
          </w:tcPr>
          <w:p>
            <w:pPr>
              <w:spacing w:line="240" w:lineRule="auto" w:before="0" w:after="0"/>
              <w:pStyle w:val="Compact"/>
            </w:pPr>
            <w:r>
              <w:rPr>
                <w:sz w:val="20"/>
                <w:szCs w:val="20"/>
              </w:rPr>
              <w:t xml:space="preserve">Instrument family: fields detector (magnetometer, search-coil, fields suite) or particles detector (electrostatic analyzer, solid-state telescope, ion or plasma instrument)</w:t>
            </w:r>
          </w:p>
        </w:tc>
        <w:tc>
          <w:tcPr>
            <w:tcW w:w="0" w:type="auto"/>
          </w:tcPr>
          <w:p>
            <w:pPr>
              <w:spacing w:line="240" w:lineRule="auto" w:before="0" w:after="0"/>
              <w:pStyle w:val="Compact"/>
            </w:pPr>
            <w:r>
              <w:rPr>
                <w:sz w:val="20"/>
                <w:szCs w:val="20"/>
              </w:rPr>
              <w:t xml:space="preserve">NICM instrument taxonomy, Mrozinski et al. 2016 NTRS 20190026811</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2.6388</w:t>
            </w:r>
          </w:p>
        </w:tc>
        <w:tc>
          <w:tcPr>
            <w:tcW w:w="0" w:type="auto"/>
          </w:tcPr>
          <w:p>
            <w:pPr>
              <w:spacing w:line="240" w:lineRule="auto" w:before="0" w:after="0"/>
              <w:pStyle w:val="Compact"/>
            </w:pPr>
            <w:r>
              <w:rPr>
                <w:sz w:val="20"/>
                <w:szCs w:val="20"/>
              </w:rPr>
              <w:t xml:space="preserve">0.0201</w:t>
            </w:r>
          </w:p>
        </w:tc>
        <w:tc>
          <w:tcPr>
            <w:tcW w:w="0" w:type="auto"/>
          </w:tcPr>
          <w:p>
            <w:pPr>
              <w:spacing w:line="240" w:lineRule="auto" w:before="0" w:after="0"/>
              <w:pStyle w:val="Compact"/>
            </w:pPr>
            <w:r>
              <w:rPr>
                <w:sz w:val="20"/>
                <w:szCs w:val="20"/>
              </w:rPr>
              <w:t xml:space="preserve">131.4429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[2.5994, 2.6781]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0.3124</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23.0301</w:t>
            </w:r>
          </w:p>
        </w:tc>
        <w:tc>
          <w:tcPr>
            <w:tcW w:w="0" w:type="auto"/>
          </w:tcPr>
          <w:p>
            <w:pPr>
              <w:spacing w:line="240" w:lineRule="auto" w:before="0" w:after="0"/>
              <w:pStyle w:val="Compact"/>
            </w:pPr>
            <w:r>
              <w:rPr>
                <w:sz w:val="20"/>
                <w:szCs w:val="20"/>
              </w:rPr>
              <w:t xml:space="preserve">2.331e-117</w:t>
            </w:r>
          </w:p>
        </w:tc>
        <w:tc>
          <w:tcPr>
            <w:tcW w:w="0" w:type="auto"/>
          </w:tcPr>
          <w:p>
            <w:pPr>
              <w:spacing w:line="240" w:lineRule="auto" w:before="0" w:after="0"/>
              <w:pStyle w:val="Compact"/>
            </w:pPr>
            <w:r>
              <w:rPr>
                <w:sz w:val="20"/>
                <w:szCs w:val="20"/>
              </w:rPr>
              <w:t xml:space="preserve">[0.2858, 0.339]</w:t>
            </w:r>
          </w:p>
        </w:tc>
      </w:tr>
    </w:tbl>
    <w:p>
      <w:pPr>
        <w:pStyle w:val="BodyText"/>
      </w:pPr>
      <w:r>
        <w:t xml:space="preserve">Fit: N = 28 R2 = 0.9676 elasticity_b = 0.3124 progress_ratio_2^b = 1.2418</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2" Target="https://doi.org/10.1016/j.actaastro.2019.07.032" TargetMode="External" /><Relationship Type="http://schemas.openxmlformats.org/officeDocument/2006/relationships/hyperlink" Id="rId70" Target="https://doi.org/10.1016/j.actaastro.2019.09.030"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19.07.032" TargetMode="External" /><Relationship Type="http://schemas.openxmlformats.org/officeDocument/2006/relationships/hyperlink" Id="rId70" Target="https://doi.org/10.1016/j.actaastro.2019.09.03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2026-06-25T14:26:21Z</dcterms:created>
  <dcterms:modified xsi:type="dcterms:W3CDTF">2026-06-25T14:26:21Z</dcterms:modified>
</cp:coreProperties>
</file>

<file path=docProps/custom.xml><?xml version="1.0" encoding="utf-8"?>
<Properties xmlns="http://schemas.openxmlformats.org/officeDocument/2006/custom-properties" xmlns:vt="http://schemas.openxmlformats.org/officeDocument/2006/docPropsVTypes"/>
</file>