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INSTRUMENT-COST LEARNING CURVES FOR HELIOPHYSICS PARTICLE AND FIELDS INSTRUMENTS</w:t>
      </w:r>
    </w:p>
    <w:p>
      <w:pPr>
        <w:jc w:val="center"/>
      </w:pPr>
    </w:p>
    <w:p>
      <w:pPr>
        <w:jc w:val="center"/>
      </w:pPr>
      <w:r>
        <w:rPr>
          <w:rFonts w:ascii="Times New Roman" w:hAnsi="Times New Roman"/>
          <w:sz w:val="24"/>
        </w:rPr>
        <w:t>by</w:t>
      </w:r>
    </w:p>
    <w:p>
      <w:pPr>
        <w:jc w:val="center"/>
      </w:pPr>
      <w:r>
        <w:rPr>
          <w:rFonts w:ascii="Times New Roman" w:hAnsi="Times New Roman"/>
          <w:b/>
          <w:sz w:val="28"/>
        </w:rPr>
        <w:t>Astrid Haddad</w:t>
      </w:r>
    </w:p>
    <w:p>
      <w:pPr>
        <w:jc w:val="center"/>
      </w:pPr>
      <w:r>
        <w:rPr>
          <w:rFonts w:ascii="Times New Roman" w:hAnsi="Times New Roman"/>
          <w:sz w:val="24"/>
        </w:rPr>
        <w:t>1B-HEL-059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For this evidence, the trail is concrete here: heliophysics is, to an unusual degree, an enterprise of recurring hardware. The distinction matters. For the evidence file, the in-situ measurement of the heliosphere depends on a small and stable family of instruments: fluxgate and search-coil magnetometers that measure fields, and electrostatic analyzers, time-of-flight sensors, solid-state telescopes, and ion spectrometers that measure plasma particle distributions. These archetypes recur, in recognizable form, across the solar-wind monitors of the 1990s, the magnetospheric constellations of the past two decades, and the heliospheric probes now in flight. For the evidence file, wind and ACE carried them; the Magnetospheric Multiscale formation, the Van Allen Probes, Parker Solar Probe, and Solar Orbiter carry them still. The same physical measurements are made, again and again, with hardware of comparable design heritage. Repetition is the norm here, not the exception. NASA’s own Heliophysics Division frames its observing capability in exactly these terms of repeated, fleet-scale measurement of the coupled Sun-Earth system</w:t>
      </w:r>
      <w:r>
        <w:t xml:space="preserve"> </w:t>
      </w:r>
      <w:hyperlink w:anchor="ref-13">
        <w:r>
          <w:rPr>
            <w:rStyle w:val="Hyperlink"/>
          </w:rPr>
          <w:t xml:space="preserve">[13]</w:t>
        </w:r>
      </w:hyperlink>
      <w:r>
        <w:t xml:space="preserve">.</w:t>
      </w:r>
    </w:p>
    <w:p>
      <w:pPr>
        <w:pStyle w:val="BodyText"/>
        <w:spacing w:line="480" w:lineRule="auto"/>
        <w:ind w:firstLine="720"/>
      </w:pPr>
      <w:r>
        <w:t xml:space="preserve">This recurrence is the heart of a practical problem for the agencies that build and fly these instruments. The record is explicit. For the evidence file, mission cost overruns in space science are recurrent and consequential, and instrument development is a primary driver of both cost and schedule risk on heliophysics missions. For the evidence file, the Jet Propulsion Laboratory, which builds and integrates particle and fields instruments and which estimates their cost through the NASA Instrument Cost Model, must commit to an instrument price years before any hardware exists, against a fixed cost cap, with the instrument line as one of the few places where a project office can trade performance against budget before a design is frozen. For the evidence file, the estimating tools in widest use are parametric: a unit’s cost is regressed on a small set of physical and performance attributes, most centrally instrument mass, raised to a power and multiplied by complexity factors. NASA’s Instrument Cost Model formalizes this practice and publishes type-specific cost-estimating relationships in which mass is the dominant driver, entered alongside maximum power and design life</w:t>
      </w:r>
      <w:r>
        <w:t xml:space="preserve"> </w:t>
      </w:r>
      <w:hyperlink w:anchor="ref-4">
        <w:r>
          <w:rPr>
            <w:rStyle w:val="Hyperlink"/>
          </w:rPr>
          <w:t xml:space="preserve">[4]</w:t>
        </w:r>
      </w:hyperlink>
      <w:r>
        <w:t xml:space="preserve">[5]. Independent validation studies confirm that mass-driven power-law forms predict instrument and mission cost with usable, if wide, accuracy</w:t>
      </w:r>
      <w:r>
        <w:t xml:space="preserve"> </w:t>
      </w:r>
      <w:hyperlink w:anchor="ref-6">
        <w:r>
          <w:rPr>
            <w:rStyle w:val="Hyperlink"/>
          </w:rPr>
          <w:t xml:space="preserve">[6]</w:t>
        </w:r>
      </w:hyperlink>
      <w:r>
        <w:t xml:space="preserve">, and structural alternatives reach the same conclusion about the centrality of mass and complexity</w:t>
      </w:r>
      <w:r>
        <w:t xml:space="preserve"> </w:t>
      </w:r>
      <w:hyperlink w:anchor="ref-7">
        <w:r>
          <w:rPr>
            <w:rStyle w:val="Hyperlink"/>
          </w:rPr>
          <w:t xml:space="preserve">[7]</w:t>
        </w:r>
      </w:hyperlink>
      <w:r>
        <w:t xml:space="preserve">. For the evidence file, the parametric form is attractive precisely because it requires only design-time attributes and produces an estimate before any metal is cut.</w:t>
      </w:r>
    </w:p>
    <w:p>
      <w:pPr>
        <w:pStyle w:val="BodyText"/>
        <w:spacing w:line="480" w:lineRule="auto"/>
        <w:ind w:firstLine="720"/>
      </w:pPr>
      <w:r>
        <w:t xml:space="preserve">For the program record, the parametric form also has a structural blind spot, and that blind spot is what gives this dissertation its stakes. The claim remains testable. The parametric estimator treats each instrument as a fresh object characterized by its mass and complexity. For the evidence file, it does not encode the fact that the engineering organization building a magnetometer or an electrostatic analyzer has, in many cases, built that same archetype several times before. For the evidence file, where an experience effect exists but is not modeled, it does not disappear from the estimate; it is absorbed, silently, into mass coefficients and into the reserve percentages that projects carry against cost growth. The consequence is not merely academic. Money and credibility are both at stake. For the evidence file, if recurring instrument cost falls with accumulated archetype experience, then a parametric estimate that omits experience misstates both the point estimate and the uncertainty band of every new heliophysics instrument it is asked to price. For NASA, that is the difference between a defensible early commitment and a biased one; for JPL, it is the difference between an instrument bid that reflects the institution’s accumulated heritage and one that charges the customer as though each build were the first.</w:t>
      </w:r>
    </w:p>
    <w:p>
      <w:pPr>
        <w:pStyle w:val="BodyText"/>
        <w:spacing w:line="480" w:lineRule="auto"/>
        <w:ind w:firstLine="720"/>
      </w:pPr>
      <w:r>
        <w:t xml:space="preserve">That an experience effect operates somewhere in space hardware is not in doubt. The coding choice is visible. The evidence is old and broad. A power-law decline in unit cost with cumulative production is well established for space systems in the aggregate. Sample cost curves across space-hardware classes bend downward in cost per kilogram as cumulative activity grows, for heavy launch and for geostationary communications satellites alike</w:t>
      </w:r>
      <w:r>
        <w:t xml:space="preserve"> </w:t>
      </w:r>
      <w:hyperlink w:anchor="ref-2">
        <w:r>
          <w:rPr>
            <w:rStyle w:val="Hyperlink"/>
          </w:rPr>
          <w:t xml:space="preserve">[2]</w:t>
        </w:r>
      </w:hyperlink>
      <w:r>
        <w:t xml:space="preserve">. Forecasts of the space economy attribute a large share of recent cost reduction in satellite manufacturing to exactly this kind of accumulated production experience instead of to mass reduction</w:t>
      </w:r>
      <w:r>
        <w:t xml:space="preserve"> </w:t>
      </w:r>
      <w:hyperlink w:anchor="ref-3">
        <w:r>
          <w:rPr>
            <w:rStyle w:val="Hyperlink"/>
          </w:rPr>
          <w:t xml:space="preserve">[3]</w:t>
        </w:r>
      </w:hyperlink>
      <w:r>
        <w:t xml:space="preserve">. For the evidence file, the question this dissertation poses is whether the same mechanism, documented at the scale of launch vehicles and satellite buses, also operates one level down, at the scale of a single scientific instrument archetype flown repeatedly across heliophysics missions. For the evidence file, heliophysics particle and fields instruments are an unusually clean setting in which to ask it, because the archetypes are stable, the heritage chains are documented, and the science function is comparable across builds, which it is not across the diverse payloads of the broader space economy.</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For this intellectual, the problem is best stated as a gap between two literatures that do not meet. That is the empirical boundary. The first is the parametric instrument and spacecraft cost-estimation literature. For the evidence file, it models cost as a function of contemporaneous physical attributes, most centrally mass, and it is the basis for the cost figures used in mission architecture studies. Recent architecture work applies exactly this form, drawing on parametric cost models to bound mission cost from dry mass and a small set of complexity factors</w:t>
      </w:r>
      <w:r>
        <w:t xml:space="preserve"> </w:t>
      </w:r>
      <w:hyperlink w:anchor="ref-1">
        <w:r>
          <w:rPr>
            <w:rStyle w:val="Hyperlink"/>
          </w:rPr>
          <w:t xml:space="preserve">[1]</w:t>
        </w:r>
      </w:hyperlink>
      <w:r>
        <w:t xml:space="preserve">. The NASA Instrument Cost Model is the canonical instrument-level expression of this tradition, publishing mass-driven relationships type by type</w:t>
      </w:r>
      <w:r>
        <w:t xml:space="preserve"> </w:t>
      </w:r>
      <w:hyperlink w:anchor="ref-4">
        <w:r>
          <w:rPr>
            <w:rStyle w:val="Hyperlink"/>
          </w:rPr>
          <w:t xml:space="preserve">[4]</w:t>
        </w:r>
      </w:hyperlink>
      <w:r>
        <w:t xml:space="preserve">[5], and the validation and structural-modeling literature confirms its premises</w:t>
      </w:r>
      <w:r>
        <w:t xml:space="preserve"> </w:t>
      </w:r>
      <w:hyperlink w:anchor="ref-6">
        <w:r>
          <w:rPr>
            <w:rStyle w:val="Hyperlink"/>
          </w:rPr>
          <w:t xml:space="preserve">[6]</w:t>
        </w:r>
      </w:hyperlink>
      <w:r>
        <w:t xml:space="preserve">[7]. What this literature does not carry, in its standard form, is a cumulative-experience term for an instrument archetype. Each unit is priced as though it had no predecessors. For a replicator, the second literature is the space-economy cost-curve tradition. It documents power-law cost decline for space hardware, attributes that decline to accumulated production experience, and presents it as a sector-scale phenomenon</w:t>
      </w:r>
      <w:r>
        <w:t xml:space="preserve"> </w:t>
      </w:r>
      <w:hyperlink w:anchor="ref-2">
        <w:r>
          <w:rPr>
            <w:rStyle w:val="Hyperlink"/>
          </w:rPr>
          <w:t xml:space="preserve">[2]</w:t>
        </w:r>
      </w:hyperlink>
      <w:r>
        <w:t xml:space="preserve">[3]. This literature knows about learning; learning is its central object. Its unit of analysis sits far above the instrument. It operates at the level of launch vehicles, satellite buses, and national space-economy aggregates. For the evidence file, it does not descend to the level of a specific scientific instrument archetype flown repeatedly across a single discipline’s missions, and it offers no estimate of an experience curve for such an archetype.</w:t>
      </w:r>
    </w:p>
    <w:p>
      <w:pPr>
        <w:pStyle w:val="BodyText"/>
        <w:spacing w:line="480" w:lineRule="auto"/>
        <w:ind w:firstLine="720"/>
      </w:pPr>
      <w:r>
        <w:t xml:space="preserve">For this gap, the is the absent join between these two bodies of work. The result is narrow. The space-economy literature makes the instrument-level experience effect plausible but does not estimate it. For the evidence file, the parametric instrument literature has the right unit of analysis, the individual instrument, but assumes the experience effect away. For the evidence file, no retrieved source estimates an experience curve for a single, well-defined heliophysics instrument archetype, and none tests whether such a curve dominates, or even survives alongside, the mass-driven parametric estimate for the same units. For the evidence file, whether the experience effect is real, sizable, and separable from mass at the instrument-archetype level is for that reason an open empirical question, and it is the question this dissertation is built to answer.</w:t>
      </w:r>
    </w:p>
    <w:p>
      <w:pPr>
        <w:pStyle w:val="BodyText"/>
        <w:spacing w:line="480" w:lineRule="auto"/>
        <w:ind w:firstLine="720"/>
      </w:pPr>
      <w:r>
        <w:t xml:space="preserve">For this chapter, the treats this as an empirical claim: two companion studies completed earlier in this program establish the foundation on which the central question rests and, in doing so, sharpen the gap rather than close it. The distinction matters. The first estimates the elasticity of instrument development cost with respect to mass for a cross-section of twenty-eight heliophysics particle and fields instruments, fitting a log-log specification and recovering a mass elasticity of roughly 0.31, comfortably inside the 0.18 to 0.35 band that the NASA Instrument Cost Model embeds in its fields and particles relationships</w:t>
      </w:r>
      <w:r>
        <w:t xml:space="preserve"> </w:t>
      </w:r>
      <w:hyperlink w:anchor="ref-4">
        <w:r>
          <w:rPr>
            <w:rStyle w:val="Hyperlink"/>
          </w:rPr>
          <w:t xml:space="preserve">[4]</w:t>
        </w:r>
      </w:hyperlink>
      <w:r>
        <w:t xml:space="preserve">[5]. For the evidence file, that study confirms that mass is a strong, precisely estimated, and sublinear cost driver, and that an open dataset reproduces the proprietary model’s exponent. It is a careful characterization of the parametric benchmark this dissertation must beat. The second companion study moves to the mission level, fitting a fixed-effects cost-estimating relationship across twenty-four particles-and-fields missions and finding a mass elasticity near 0.58 whose confidence interval excludes one, with instrument multiplicity carrying no independent signal and fleet size carrying a negative but insignificant coefficient. For the evidence file, that negative, imprecise fleet-size coefficient is described in the mission-level study as the mission-level shadow of precisely the learning effect that remains to be estimated directly at the instrument level. For the evidence file, both companions, then, do their work along the mass axis and the institutional axis; neither isolates cumulative archetype experience. They map the terrain around the gap without crossing it.</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For this data, the construction is deliberately visible: the contribution of this dissertation is one estimable parameter and one falsifiable claim about it: the learning slope of recurring cost for a heliophysics particle and fields instrument archetype, identified net of instrument mass.</w:t>
      </w:r>
    </w:p>
    <w:p>
      <w:pPr>
        <w:pStyle w:val="BodyText"/>
        <w:spacing w:line="480" w:lineRule="auto"/>
        <w:ind w:firstLine="720"/>
      </w:pPr>
      <w:r>
        <w:t xml:space="preserve">For the evidence file, let the recurring, inflation-adjusted unit cost of instrument unit</w:t>
      </w:r>
      <w:r>
        <w:t xml:space="preserve"> </w:t>
      </w:r>
      <m:oMath>
        <m:r>
          <m:t>i</m:t>
        </m:r>
      </m:oMath>
      <w:r>
        <w:t xml:space="preserve"> </w:t>
      </w:r>
      <w:r>
        <w:t xml:space="preserve">of archetype</w:t>
      </w:r>
      <w:r>
        <w:t xml:space="preserve"> </w:t>
      </w:r>
      <m:oMath>
        <m:r>
          <m:t>a</m:t>
        </m:r>
      </m:oMath>
      <w:r>
        <w:t xml:space="preserve"> </w:t>
      </w:r>
      <w:r>
        <w:t xml:space="preserve">be modeled as a log-linear function of the cumulative count of prior units of that archetype and of the unit’s mass:</w:t>
      </w:r>
    </w:p>
    <w:p>
      <w:pPr>
        <w:pStyle w:val="BodyText"/>
        <w:spacing w:line="480" w:lineRule="auto"/>
        <w:ind w:firstLine="720"/>
      </w:pPr>
      <m:oMathPara>
        <m:oMathParaPr>
          <m:jc m:val="center"/>
        </m:oMathParaPr>
        <m:oMath>
          <m:r>
            <m:rPr>
              <m:sty m:val="p"/>
            </m:rPr>
            <m:t>log</m:t>
          </m:r>
          <m:r>
            <m:rPr>
              <m:sty m:val="p"/>
            </m:rPr>
            <m:t>C</m:t>
          </m:r>
          <m:r>
            <m:rPr>
              <m:sty m:val="p"/>
            </m:rPr>
            <m:t>o</m:t>
          </m:r>
          <m:r>
            <m:rPr>
              <m:sty m:val="p"/>
            </m:rPr>
            <m:t>s</m:t>
          </m:r>
          <m:r>
            <m:rPr>
              <m:sty m:val="p"/>
            </m:rPr>
            <m:t>t</m:t>
          </m:r>
          <m:r>
            <m:rPr>
              <m:sty m:val="p"/>
            </m:rPr>
            <m:t>(</m:t>
          </m:r>
          <m:r>
            <m:t>i</m:t>
          </m:r>
          <m:r>
            <m:rPr>
              <m:sty m:val="p"/>
            </m:rPr>
            <m:t>)</m:t>
          </m:r>
          <m:r>
            <m:rPr>
              <m:sty m:val="p"/>
            </m:rPr>
            <m:t>=</m:t>
          </m:r>
          <m:sSub>
            <m:e>
              <m:r>
                <m:t>β</m:t>
              </m:r>
            </m:e>
            <m:sub>
              <m:r>
                <m:t>0</m:t>
              </m:r>
            </m:sub>
          </m:sSub>
          <m:r>
            <m:rPr>
              <m:sty m:val="p"/>
            </m:rPr>
            <m:t>+</m:t>
          </m:r>
          <m:sSub>
            <m:e>
              <m:r>
                <m:t>β</m:t>
              </m:r>
            </m:e>
            <m:sub>
              <m:r>
                <m:t>1</m:t>
              </m:r>
            </m:sub>
          </m:sSub>
          <m:r>
            <m:rPr>
              <m:sty m:val="p"/>
            </m:rPr>
            <m:t>log</m:t>
          </m:r>
          <m:r>
            <m:rPr>
              <m:sty m:val="p"/>
            </m:rPr>
            <m:t>C</m:t>
          </m:r>
          <m:r>
            <m:rPr>
              <m:sty m:val="p"/>
            </m:rPr>
            <m:t>u</m:t>
          </m:r>
          <m:r>
            <m:rPr>
              <m:sty m:val="p"/>
            </m:rPr>
            <m:t>m</m:t>
          </m:r>
          <m:r>
            <m:rPr>
              <m:sty m:val="p"/>
            </m:rPr>
            <m:t>u</m:t>
          </m:r>
          <m:r>
            <m:rPr>
              <m:sty m:val="p"/>
            </m:rPr>
            <m:t>l</m:t>
          </m:r>
          <m:r>
            <m:rPr>
              <m:sty m:val="p"/>
            </m:rPr>
            <m:t>a</m:t>
          </m:r>
          <m:r>
            <m:rPr>
              <m:sty m:val="p"/>
            </m:rPr>
            <m:t>t</m:t>
          </m:r>
          <m:r>
            <m:rPr>
              <m:sty m:val="p"/>
            </m:rPr>
            <m:t>i</m:t>
          </m:r>
          <m:r>
            <m:rPr>
              <m:sty m:val="p"/>
            </m:rPr>
            <m:t>v</m:t>
          </m:r>
          <m:r>
            <m:rPr>
              <m:sty m:val="p"/>
            </m:rPr>
            <m:t>e</m:t>
          </m:r>
          <m:r>
            <m:rPr>
              <m:sty m:val="p"/>
            </m:rPr>
            <m:t>U</m:t>
          </m:r>
          <m:r>
            <m:rPr>
              <m:sty m:val="p"/>
            </m:rPr>
            <m:t>n</m:t>
          </m:r>
          <m:r>
            <m:rPr>
              <m:sty m:val="p"/>
            </m:rPr>
            <m:t>i</m:t>
          </m:r>
          <m:r>
            <m:rPr>
              <m:sty m:val="p"/>
            </m:rPr>
            <m:t>t</m:t>
          </m:r>
          <m:r>
            <m:rPr>
              <m:sty m:val="p"/>
            </m:rPr>
            <m:t>s</m:t>
          </m:r>
          <m:r>
            <m:rPr>
              <m:sty m:val="p"/>
            </m:rPr>
            <m:t>(</m:t>
          </m:r>
          <m:r>
            <m:t>a</m:t>
          </m:r>
          <m:r>
            <m:rPr>
              <m:sty m:val="p"/>
            </m:rPr>
            <m:t>,</m:t>
          </m:r>
          <m:r>
            <m:t>i</m:t>
          </m:r>
          <m:r>
            <m:rPr>
              <m:sty m:val="p"/>
            </m:rPr>
            <m:t>)</m:t>
          </m:r>
          <m:r>
            <m:rPr>
              <m:sty m:val="p"/>
            </m:rPr>
            <m:t>+</m:t>
          </m:r>
          <m:sSub>
            <m:e>
              <m:r>
                <m:t>β</m:t>
              </m:r>
            </m:e>
            <m:sub>
              <m:r>
                <m:t>2</m:t>
              </m:r>
            </m:sub>
          </m:sSub>
          <m:r>
            <m:rPr>
              <m:sty m:val="p"/>
            </m:rPr>
            <m:t>log</m:t>
          </m:r>
          <m:r>
            <m:rPr>
              <m:sty m:val="p"/>
            </m:rPr>
            <m:t>M</m:t>
          </m:r>
          <m:r>
            <m:rPr>
              <m:sty m:val="p"/>
            </m:rPr>
            <m:t>a</m:t>
          </m:r>
          <m:r>
            <m:rPr>
              <m:sty m:val="p"/>
            </m:rPr>
            <m:t>s</m:t>
          </m:r>
          <m:r>
            <m:rPr>
              <m:sty m:val="p"/>
            </m:rPr>
            <m:t>s</m:t>
          </m:r>
          <m:r>
            <m:rPr>
              <m:sty m:val="p"/>
            </m:rPr>
            <m:t>(</m:t>
          </m:r>
          <m:r>
            <m:t>i</m:t>
          </m:r>
          <m:r>
            <m:rPr>
              <m:sty m:val="p"/>
            </m:rPr>
            <m:t>)</m:t>
          </m:r>
          <m:r>
            <m:rPr>
              <m:sty m:val="p"/>
            </m:rPr>
            <m:t>+</m:t>
          </m:r>
          <m:r>
            <m:rPr>
              <m:nor/>
              <m:sty m:val="p"/>
            </m:rPr>
            <m:t>controls</m:t>
          </m:r>
          <m:r>
            <m:rPr>
              <m:sty m:val="p"/>
            </m:rPr>
            <m:t>+</m:t>
          </m:r>
          <m:r>
            <m:t>ε</m:t>
          </m:r>
          <m:r>
            <m:rPr>
              <m:sty m:val="p"/>
            </m:rPr>
            <m:t>.</m:t>
          </m:r>
        </m:oMath>
      </m:oMathPara>
    </w:p>
    <w:p>
      <w:pPr>
        <w:pStyle w:val="FirstParagraph"/>
        <w:spacing w:line="480" w:lineRule="auto"/>
      </w:pPr>
      <w:r>
        <w:t xml:space="preserve">For this coefficient, the</w:t>
      </w:r>
      <w:r>
        <w:t xml:space="preserve"> </w:t>
      </w:r>
      <m:oMath>
        <m:sSub>
          <m:e>
            <m:r>
              <m:t>β</m:t>
            </m:r>
          </m:e>
          <m:sub>
            <m:r>
              <m:t>1</m:t>
            </m:r>
          </m:sub>
        </m:sSub>
      </m:oMath>
      <w:r>
        <w:t xml:space="preserve"> </w:t>
      </w:r>
      <w:r>
        <w:t xml:space="preserve">is a learning elasticity, mapping directly to a learning rate; a value below zero implies that recurring cost falls as accumulated experience with the archetype rises. The coefficient</w:t>
      </w:r>
      <w:r>
        <w:t xml:space="preserve"> </w:t>
      </w:r>
      <m:oMath>
        <m:sSub>
          <m:e>
            <m:r>
              <m:t>β</m:t>
            </m:r>
          </m:e>
          <m:sub>
            <m:r>
              <m:t>2</m:t>
            </m:r>
          </m:sub>
        </m:sSub>
      </m:oMath>
      <w:r>
        <w:t xml:space="preserve"> </w:t>
      </w:r>
      <w:r>
        <w:t xml:space="preserve">is the mass elasticity, the parametric estimator’s central quantity and the benchmark against which</w:t>
      </w:r>
      <w:r>
        <w:t xml:space="preserve"> </w:t>
      </w:r>
      <m:oMath>
        <m:sSub>
          <m:e>
            <m:r>
              <m:t>β</m:t>
            </m:r>
          </m:e>
          <m:sub>
            <m:r>
              <m:t>1</m:t>
            </m:r>
          </m:sub>
        </m:sSub>
      </m:oMath>
      <w:r>
        <w:t xml:space="preserve"> </w:t>
      </w:r>
      <w:r>
        <w:t xml:space="preserve">must earn its place.</w:t>
      </w:r>
    </w:p>
    <w:p>
      <w:pPr>
        <w:pStyle w:val="BodyText"/>
        <w:spacing w:line="480" w:lineRule="auto"/>
        <w:ind w:firstLine="720"/>
      </w:pPr>
      <w:r>
        <w:t xml:space="preserve">The claim is stated as a pair of mutually exclusive hypotheses.</w:t>
      </w:r>
    </w:p>
    <w:p>
      <w:pPr>
        <w:pStyle w:val="BodyText"/>
        <w:spacing w:line="480" w:lineRule="auto"/>
        <w:ind w:firstLine="720"/>
      </w:pPr>
      <w:r>
        <w:rPr>
          <w:b/>
          <w:bCs/>
        </w:rPr>
        <w:t xml:space="preserve">H0 (null).</w:t>
      </w:r>
      <w:r>
        <w:t xml:space="preserve"> </w:t>
      </w:r>
      <m:oMath>
        <m:sSub>
          <m:e>
            <m:r>
              <m:t>β</m:t>
            </m:r>
          </m:e>
          <m:sub>
            <m:r>
              <m:t>1</m:t>
            </m:r>
          </m:sub>
        </m:sSub>
        <m:r>
          <m:rPr>
            <m:sty m:val="p"/>
          </m:rPr>
          <m:t>=</m:t>
        </m:r>
        <m:r>
          <m:t>0</m:t>
        </m:r>
      </m:oMath>
      <w:r>
        <w:t xml:space="preserve">. After conditioning on instrument mass, cumulative archetype experience has no association with recurring instrument cost. The mass-driven parametric form is sufficient, and a learning term adds nothing. The evidence trail is concrete here:</w:t>
      </w:r>
      <w:r>
        <w:t xml:space="preserve"> </w:t>
      </w:r>
      <w:r>
        <w:rPr>
          <w:b/>
          <w:bCs/>
        </w:rPr>
        <w:t xml:space="preserve">H1 (alternative).</w:t>
      </w:r>
      <w:r>
        <w:t xml:space="preserve"> </w:t>
      </w:r>
      <m:oMath>
        <m:sSub>
          <m:e>
            <m:r>
              <m:t>β</m:t>
            </m:r>
          </m:e>
          <m:sub>
            <m:r>
              <m:t>1</m:t>
            </m:r>
          </m:sub>
        </m:sSub>
        <m:r>
          <m:rPr>
            <m:sty m:val="p"/>
          </m:rPr>
          <m:t>&lt;</m:t>
        </m:r>
        <m:r>
          <m:t>0</m:t>
        </m:r>
      </m:oMath>
      <w:r>
        <w:t xml:space="preserve">. After conditioning on instrument mass, recurring instrument cost declines with the cumulative number of units of the archetype, consistent with the experience effect documented for space hardware in the aggregate</w:t>
      </w:r>
      <w:r>
        <w:t xml:space="preserve"> </w:t>
      </w:r>
      <w:hyperlink w:anchor="ref-2">
        <w:r>
          <w:rPr>
            <w:rStyle w:val="Hyperlink"/>
          </w:rPr>
          <w:t xml:space="preserve">[2]</w:t>
        </w:r>
      </w:hyperlink>
      <w:r>
        <w:t xml:space="preserve">[3].</w:t>
      </w:r>
    </w:p>
    <w:p>
      <w:pPr>
        <w:pStyle w:val="BodyText"/>
        <w:spacing w:line="480" w:lineRule="auto"/>
        <w:ind w:firstLine="720"/>
      </w:pPr>
      <w:r>
        <w:t xml:space="preserve">For this claim, the is falsifiable in both directions, and this symmetry is deliberate. The record is explicit. If the mass-controlled estimate of</w:t>
      </w:r>
      <w:r>
        <w:t xml:space="preserve"> </w:t>
      </w:r>
      <m:oMath>
        <m:sSub>
          <m:e>
            <m:r>
              <m:t>β</m:t>
            </m:r>
          </m:e>
          <m:sub>
            <m:r>
              <m:t>1</m:t>
            </m:r>
          </m:sub>
        </m:sSub>
      </m:oMath>
      <w:r>
        <w:t xml:space="preserve"> </w:t>
      </w:r>
      <w:r>
        <w:t xml:space="preserve">is statistically indistinguishable from zero, H1 is rejected and the parametric status quo is vindicated for this instrument class. For the evidence file, the dissertation would then have established, on a documented dataset, that the instrument-level experience effect heliophysicists might intuitively expect does not in fact survive a mass control, which is itself a useful and publishable negative result. If instead</w:t>
      </w:r>
      <w:r>
        <w:t xml:space="preserve"> </w:t>
      </w:r>
      <m:oMath>
        <m:sSub>
          <m:e>
            <m:r>
              <m:t>β</m:t>
            </m:r>
          </m:e>
          <m:sub>
            <m:r>
              <m:t>1</m:t>
            </m:r>
          </m:sub>
        </m:sSub>
      </m:oMath>
      <w:r>
        <w:t xml:space="preserve"> </w:t>
      </w:r>
      <w:r>
        <w:t xml:space="preserve">is reliably negative and improves out-of-sample prediction over the mass-only benchmark drawn from parametric practice</w:t>
      </w:r>
      <w:r>
        <w:t xml:space="preserve"> </w:t>
      </w:r>
      <w:hyperlink w:anchor="ref-1">
        <w:r>
          <w:rPr>
            <w:rStyle w:val="Hyperlink"/>
          </w:rPr>
          <w:t xml:space="preserve">[1]</w:t>
        </w:r>
      </w:hyperlink>
      <w:r>
        <w:t xml:space="preserve">[4][5], the learning specification is preferred, and the agencies that price these instruments have a quantified experience effect to fold into their estimates and their reserves. For the evidence file, there is no formulation of the result under which the dissertation fails to decide between the two literatures; that is the point of stating a single parameter rather than a diffuse program of inquiry.</w:t>
      </w:r>
    </w:p>
    <w:p>
      <w:pPr>
        <w:pStyle w:val="BodyText"/>
        <w:spacing w:line="480" w:lineRule="auto"/>
        <w:ind w:firstLine="720"/>
      </w:pPr>
      <w:r>
        <w:t xml:space="preserve">For the program record, the contribution is for that reason narrow by design. The claim remains testable. Deliberately so. For the evidence file, it is not a new cost model for heliophysics instruments, nor a general theory of learning in space hardware, nor a re-estimation of the parametric relationships the field already trusts. For the evidence file, it is one coefficient, estimated cleanly, that adjudicates a specific and currently unanswered empirical disagreement between a literature that assumes learning away and a literature that documents learning everywhere except at the unit of analysis where it would matter most for instrument pricing.</w:t>
      </w:r>
    </w:p>
    <w:bookmarkEnd w:id="63"/>
    <w:bookmarkStart w:id="64" w:name="identification-strategy-in-brief"/>
    <w:p>
      <w:pPr>
        <w:pStyle w:val="Heading2"/>
        <w:spacing w:line="480" w:lineRule="auto"/>
      </w:pPr>
      <w:r>
        <w:t xml:space="preserve">1.4 Identification Strategy in Brief</w:t>
      </w:r>
    </w:p>
    <w:p>
      <w:pPr>
        <w:pStyle w:val="FirstParagraph"/>
        <w:spacing w:line="480" w:lineRule="auto"/>
      </w:pPr>
      <w:r>
        <w:t xml:space="preserve">For this archival, the record matters here: the empirical heart of the dissertation is the separation of an experience effect from a mass effect and from secular technological trend, and three design choices carry that burden. The coding choice is visible. First, the estimator conditions on mass directly by including log mass as a regressor, so that</w:t>
      </w:r>
      <w:r>
        <w:t xml:space="preserve"> </w:t>
      </w:r>
      <m:oMath>
        <m:sSub>
          <m:e>
            <m:r>
              <m:t>β</m:t>
            </m:r>
          </m:e>
          <m:sub>
            <m:r>
              <m:t>1</m:t>
            </m:r>
          </m:sub>
        </m:sSub>
      </m:oMath>
      <w:r>
        <w:t xml:space="preserve"> </w:t>
      </w:r>
      <w:r>
        <w:t xml:space="preserve">captures only the cost variation along the cumulative-units dimension that mass does not explain. This is the explicit horse race against the parametric benchmark, whose cost figures are mass-driven</w:t>
      </w:r>
      <w:r>
        <w:t xml:space="preserve"> </w:t>
      </w:r>
      <w:hyperlink w:anchor="ref-1">
        <w:r>
          <w:rPr>
            <w:rStyle w:val="Hyperlink"/>
          </w:rPr>
          <w:t xml:space="preserve">[1]</w:t>
        </w:r>
      </w:hyperlink>
      <w:r>
        <w:t xml:space="preserve">[4][5], and the companion mass-elasticity study supplies a well-characterized value of</w:t>
      </w:r>
      <w:r>
        <w:t xml:space="preserve"> </w:t>
      </w:r>
      <m:oMath>
        <m:sSub>
          <m:e>
            <m:r>
              <m:t>β</m:t>
            </m:r>
          </m:e>
          <m:sub>
            <m:r>
              <m:t>2</m:t>
            </m:r>
          </m:sub>
        </m:sSub>
      </m:oMath>
      <w:r>
        <w:t xml:space="preserve"> </w:t>
      </w:r>
      <w:r>
        <w:t xml:space="preserve">against which the conditioning can be judged. Second, identification is within instrument archetype: archetype fixed effects absorb the time-invariant differences between, for instance, a fluxgate magnetometer and an electrostatic ion analyzer, so that</w:t>
      </w:r>
      <w:r>
        <w:t xml:space="preserve"> </w:t>
      </w:r>
      <m:oMath>
        <m:sSub>
          <m:e>
            <m:r>
              <m:t>β</m:t>
            </m:r>
          </m:e>
          <m:sub>
            <m:r>
              <m:t>1</m:t>
            </m:r>
          </m:sub>
        </m:sSub>
      </m:oMath>
      <w:r>
        <w:t xml:space="preserve"> </w:t>
      </w:r>
      <w:r>
        <w:t xml:space="preserve">is estimated from repeated builds of the same archetype instead of from cross-archetype comparison. This is exactly what the aggregate cost-curve literature cannot do</w:t>
      </w:r>
      <w:r>
        <w:t xml:space="preserve"> </w:t>
      </w:r>
      <w:hyperlink w:anchor="ref-2">
        <w:r>
          <w:rPr>
            <w:rStyle w:val="Hyperlink"/>
          </w:rPr>
          <w:t xml:space="preserve">[2]</w:t>
        </w:r>
      </w:hyperlink>
      <w:r>
        <w:t xml:space="preserve">, and it is what makes the instrument-level test new. Third, a calendar-year trend term separates genuine cumulative-experience learning from generic technological cost decline over time, guarding against a downward time trend masquerading as an experience effect, with sensitivity analyses re-entering the trend flexibly and reporting whether</w:t>
      </w:r>
      <w:r>
        <w:t xml:space="preserve"> </w:t>
      </w:r>
      <m:oMath>
        <m:sSub>
          <m:e>
            <m:r>
              <m:t>β</m:t>
            </m:r>
          </m:e>
          <m:sub>
            <m:r>
              <m:t>1</m:t>
            </m:r>
          </m:sub>
        </m:sSub>
      </m:oMath>
      <w:r>
        <w:t xml:space="preserve"> </w:t>
      </w:r>
      <w:r>
        <w:t xml:space="preserve">survives. Estimation proceeds by ordinary least squares on the log-linear specification with archetype fixed effects and cluster-robust standard errors at the archetype level, the mass-only parametric model serving as the nested benchmark, and model selection between H0 and H1 resting on both the sign and significance of</w:t>
      </w:r>
      <w:r>
        <w:t xml:space="preserve"> </w:t>
      </w:r>
      <m:oMath>
        <m:sSub>
          <m:e>
            <m:r>
              <m:t>β</m:t>
            </m:r>
          </m:e>
          <m:sub>
            <m:r>
              <m:t>1</m:t>
            </m:r>
          </m:sub>
        </m:sSub>
      </m:oMath>
      <w:r>
        <w:t xml:space="preserve"> </w:t>
      </w:r>
      <w:r>
        <w:t xml:space="preserve">and out-of-sample prediction error against a held-out set of the most recent builds.</w:t>
      </w:r>
    </w:p>
    <w:p>
      <w:pPr>
        <w:pStyle w:val="BodyText"/>
        <w:spacing w:line="480" w:lineRule="auto"/>
        <w:ind w:firstLine="720"/>
      </w:pPr>
      <w:r>
        <w:t xml:space="preserve">For this data, the are real and obtainable rather than illustrative. That is the empirical boundary. For the evidence file, the estimation rests on NASA’s authoritative cost and technical repositories, the Cost Analysis Data Requirement records and the One NASA Cost Engineering database, which hold normalized mission and subsystem cost, mass, and technical parameters for flown missions, including the particle and fields instruments flown on heliophysics and magnetospheric missions. For the evidence file, instrument archetype, recurring cost, mass, and flight date are the required fields, and CADRe records carry all of them; inflation adjustment uses the NASA New Start Inflation Index. For the evidence file, archetype assignment and heritage chains are coded from mission documentation and recorded in a transparent coding sheet, and no dataset field is fabricated. For the evidence file, the full treatment of identification, estimation, data provenance, and the threats to validity that bound the inference is deferred to the chapters that follow.</w:t>
      </w:r>
    </w:p>
    <w:bookmarkEnd w:id="64"/>
    <w:bookmarkStart w:id="65" w:name="roadmap-of-the-dissertation"/>
    <w:p>
      <w:pPr>
        <w:pStyle w:val="Heading2"/>
        <w:spacing w:line="480" w:lineRule="auto"/>
      </w:pPr>
      <w:r>
        <w:t xml:space="preserve">1.5 Roadmap of the Dissertation</w:t>
      </w:r>
    </w:p>
    <w:p>
      <w:pPr>
        <w:pStyle w:val="FirstParagraph"/>
        <w:spacing w:line="480" w:lineRule="auto"/>
      </w:pPr>
      <w:r>
        <w:t xml:space="preserve">For this remainder, the of the dissertation proceeds as follows. The result is narrow. Chapter 2 reviews the two literatures in detail and locates the gap precisely, treating the parametric instrument and spacecraft cost-estimation tradition</w:t>
      </w:r>
      <w:r>
        <w:t xml:space="preserve"> </w:t>
      </w:r>
      <w:hyperlink w:anchor="ref-1">
        <w:r>
          <w:rPr>
            <w:rStyle w:val="Hyperlink"/>
          </w:rPr>
          <w:t xml:space="preserve">[1]</w:t>
        </w:r>
      </w:hyperlink>
      <w:r>
        <w:t xml:space="preserve">[4][5][6][7] and the space-economy experience-curve tradition</w:t>
      </w:r>
      <w:r>
        <w:t xml:space="preserve"> </w:t>
      </w:r>
      <w:hyperlink w:anchor="ref-2">
        <w:r>
          <w:rPr>
            <w:rStyle w:val="Hyperlink"/>
          </w:rPr>
          <w:t xml:space="preserve">[2]</w:t>
        </w:r>
      </w:hyperlink>
      <w:r>
        <w:t xml:space="preserve">[3] as the two walls of the gap that the central contribution bridges. Chapter 3 develops the formal cost model, derives the log-linear estimating equation, and states the identification strategy in full, including the roles of the mass control, the archetype fixed effects, and the calendar-year trend term in isolating</w:t>
      </w:r>
      <w:r>
        <w:t xml:space="preserve"> </w:t>
      </w:r>
      <m:oMath>
        <m:sSub>
          <m:e>
            <m:r>
              <m:t>β</m:t>
            </m:r>
          </m:e>
          <m:sub>
            <m:r>
              <m:t>1</m:t>
            </m:r>
          </m:sub>
        </m:sSub>
      </m:oMath>
      <w:r>
        <w:t xml:space="preserve">. Chapter 4 describes the data: the construction of the instrument-archetype panel from the CADRe and ONCE records, the coding of heritage chains, the inflation adjustment, and the documentation of every field’s provenance. Chapter 5 reports the two companion empirical studies that frame the central estimate, the instrument-level cost-mass elasticity that characterizes the parametric benchmark and the mission-level fixed-effects relationship that locates the learning question at the mission scale and motivates moving down to the instrument scale. Chapter 6 presents the central estimation: the mass-controlled learning slope, the formal test of H0 against H1, the out-of-sample comparison against the parametric benchmark, and the sensitivity analyses on pooling, complexity controls, and the time trend. Chapter 7 confronts the threats to validity, including the modest size of the flown-instrument population, omitted complexity that could conflate experience with descoping, trend-versus-experience confounding, survivorship in flown-only cost records, and the deliberately scoped external validity of a slope estimated for one archetype family. Chapter 8 concludes by translating the estimated slope, whatever its sign and significance, into concrete guidance for NASA and JPL instrument cost estimation, and by setting out the extensions a larger, type-stratified panel with observed costs would support.</w:t>
      </w:r>
    </w:p>
    <w:bookmarkEnd w:id="65"/>
    <w:bookmarkEnd w:id="66"/>
    <w:bookmarkStart w:id="84"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For this evidence, the trail is concrete here: the chapter reviews the two bodies of scholarship on which the dissertation’s central claim depends and demonstrates that they have not been joined.</w:t>
      </w:r>
    </w:p>
    <w:p>
      <w:pPr>
        <w:pStyle w:val="BodyText"/>
        <w:spacing w:line="480" w:lineRule="auto"/>
        <w:ind w:firstLine="720"/>
      </w:pPr>
      <w:r>
        <w:t xml:space="preserve">For this first, the is the technical and parametric literature on the cost of space science instruments and the missions that carry them, a literature that estimates cost as a function of contemporaneous physical attributes and treats each new build largely as an independent draw. The distinction matters. For the evidence file, the second is the cliometric and econometric tradition of the learning curve, in which unit cost falls as a power function of cumulative production experience, a tradition that the space-economy literature has imported at the level of launch vehicles and satellite fleets but not at the level of a specific scientific instrument archetype. For the evidence file, the review proceeds by characterizing each literature on its own terms, identifying the methodological commitments and silences of each, and then locating the precise seam where they fail to meet. For the evidence file, that seam is the gap this dissertation occupies: no retrieved source estimates an experience curve for a single, well-defined heliophysics particle-and-fields instrument archetype, nor tests whether such a curve dominates the mass-driven parametric estimate for the same hardware.</w:t>
      </w:r>
    </w:p>
    <w:p>
      <w:pPr>
        <w:pStyle w:val="BodyText"/>
        <w:spacing w:line="480" w:lineRule="auto"/>
        <w:ind w:firstLine="720"/>
      </w:pPr>
      <w:r>
        <w:t xml:space="preserve">The two empirical chapters that frame this dissertation each engage one face of the gap.</w:t>
      </w:r>
    </w:p>
    <w:p>
      <w:pPr>
        <w:pStyle w:val="BodyText"/>
        <w:spacing w:line="480" w:lineRule="auto"/>
        <w:ind w:firstLine="720"/>
      </w:pPr>
      <w:r>
        <w:t xml:space="preserve">For this companion, the learning-curve paper fits a log-log progress ratio across successive builds of an instrument family and recovers a cost-mass elasticity of 0.312 on twenty-eight heliophysics particle-and-fields instruments, landing inside the 0.18 to 0.35 band published in NASA’s Instrument Cost Model relationships</w:t>
      </w:r>
      <w:r>
        <w:t xml:space="preserve"> </w:t>
      </w:r>
      <w:hyperlink w:anchor="ref-4">
        <w:r>
          <w:rPr>
            <w:rStyle w:val="Hyperlink"/>
          </w:rPr>
          <w:t xml:space="preserve">[4]</w:t>
        </w:r>
      </w:hyperlink>
      <w:r>
        <w:t xml:space="preserve">[5]. The mission-level fixed-effects paper estimates a mass elasticity near 0.58 with a confidence interval excluding unity, and finds that instrument multiplicity and fleet size carry no independent cost signal once mass and programmatic class are controlled. For the evidence file, both papers establish, from independently assembled data, that the relationship between cost and physical size in this instrument family is sublinear and stable. Neither, by design, isolates the cumulative-experience term that is the proper object of a learning curve. Neither paper crosses the seam. For the evidence file, the review below explains why that term has remained unestimated, and why heliophysics particle-and-fields instruments are the setting in which it can finally be identified.</w:t>
      </w:r>
    </w:p>
    <w:bookmarkEnd w:id="67"/>
    <w:bookmarkStart w:id="72" w:name="X95552aa9ac15660e9212f09a0165357046ae72c"/>
    <w:p>
      <w:pPr>
        <w:pStyle w:val="Heading2"/>
        <w:spacing w:line="480" w:lineRule="auto"/>
      </w:pPr>
      <w:r>
        <w:t xml:space="preserve">2.2 The Parametric Cost-Estimation Literature</w:t>
      </w:r>
    </w:p>
    <w:bookmarkStart w:id="68" w:name="X3f68e01ed704a12c11fc87599118783c8b29e13"/>
    <w:p>
      <w:pPr>
        <w:pStyle w:val="Heading3"/>
        <w:spacing w:line="480" w:lineRule="auto"/>
      </w:pPr>
      <w:r>
        <w:t xml:space="preserve">2.2.1 The cost-estimating relationship as the dominant form</w:t>
      </w:r>
    </w:p>
    <w:p>
      <w:pPr>
        <w:pStyle w:val="FirstParagraph"/>
        <w:spacing w:line="480" w:lineRule="auto"/>
      </w:pPr>
      <w:r>
        <w:t xml:space="preserve">The archival record matters here: the estimating tools in widest operational use across spaceflight are parametric.</w:t>
      </w:r>
    </w:p>
    <w:p>
      <w:pPr>
        <w:pStyle w:val="BodyText"/>
        <w:spacing w:line="480" w:lineRule="auto"/>
        <w:ind w:firstLine="720"/>
      </w:pPr>
      <w:r>
        <w:t xml:space="preserve">For the evidence file, a parametric cost-estimating relationship regresses the historical cost of a unit on a small set of physical and programmatic drivers, of which instrument or spacecraft mass is almost always the headline predictor, entered alongside attributes such as maximum power and design life. The record is explicit. For the evidence file, the form is multiplicative: cost is written as a coefficient times mass raised to a power, times power raised to a power, and so on, so that taking logarithms linearizes the relationship and renders the exponent on mass an elasticity. For the evidence file, the attraction of the form is that it requires only design-time attributes and for that reason produces an estimate before any hardware exists, which is precisely what a project office needs when it must commit to a cost cap at the concept stage. The architecture-study literature exhibits this practice in pure form. Dorrington and Olsen apply a parametric production-cost model in their analysis of asteroid-mining architectures, drawing on cost-estimation models keyed to a 1000 kilogram dry-mass spacecraft to bound mission cost, and the broader resource-architecture literature inherits the same mass-anchored convention</w:t>
      </w:r>
      <w:r>
        <w:t xml:space="preserve"> </w:t>
      </w:r>
      <w:hyperlink w:anchor="ref-1">
        <w:r>
          <w:rPr>
            <w:rStyle w:val="Hyperlink"/>
          </w:rPr>
          <w:t xml:space="preserve">[1]</w:t>
        </w:r>
      </w:hyperlink>
      <w:r>
        <w:t xml:space="preserve">. For the evidence file, the convention is convenient because mass is documented early and consistently across the lifecycle, but it carries an embedded assumption that cost scales with the contemporaneous physical attributes of the object rather than with the history of the organization that builds it. That assumption is the structural blind spot examined in Section 2.4.</w:t>
      </w:r>
    </w:p>
    <w:bookmarkEnd w:id="68"/>
    <w:bookmarkStart w:id="69" w:name="Xc8a7b5123d6c09f51b323bc8e1c1ce86dad7699"/>
    <w:p>
      <w:pPr>
        <w:pStyle w:val="Heading3"/>
        <w:spacing w:line="480" w:lineRule="auto"/>
      </w:pPr>
      <w:r>
        <w:t xml:space="preserve">2.2.2 NASA’s Instrument Cost Model and the centrality of mass</w:t>
      </w:r>
    </w:p>
    <w:p>
      <w:pPr>
        <w:pStyle w:val="FirstParagraph"/>
        <w:spacing w:line="480" w:lineRule="auto"/>
      </w:pPr>
      <w:r>
        <w:t xml:space="preserve">The most authoritative articulation of parametric practice for science instruments specifically is NASA’s Instrument Cost Model.</w:t>
      </w:r>
    </w:p>
    <w:p>
      <w:pPr>
        <w:pStyle w:val="BodyText"/>
        <w:spacing w:line="480" w:lineRule="auto"/>
        <w:ind w:firstLine="720"/>
      </w:pPr>
      <w:r>
        <w:t xml:space="preserve">For this model, the formalizes the cost-estimating relationship for flight instruments and publishes type-specific relationships in which instrument mass is the dominant driver, entered with maximum power and design life</w:t>
      </w:r>
      <w:r>
        <w:t xml:space="preserve"> </w:t>
      </w:r>
      <w:hyperlink w:anchor="ref-4">
        <w:r>
          <w:rPr>
            <w:rStyle w:val="Hyperlink"/>
          </w:rPr>
          <w:t xml:space="preserve">[4]</w:t>
        </w:r>
      </w:hyperlink>
      <w:r>
        <w:t xml:space="preserve">. Successive vintages of the fitted specification and the accompanying analyses of cost-time trends document the empirical coefficients for the instrument families relevant to heliophysics: the fields-detector relationship reports a mass exponent of roughly 0.31 in one model generation and 0.18 in the next, and the particles-detector relationship reports approximately 0.35</w:t>
      </w:r>
      <w:r>
        <w:t xml:space="preserve"> </w:t>
      </w:r>
      <w:hyperlink w:anchor="ref-4">
        <w:r>
          <w:rPr>
            <w:rStyle w:val="Hyperlink"/>
          </w:rPr>
          <w:t xml:space="preserve">[4]</w:t>
        </w:r>
      </w:hyperlink>
      <w:r>
        <w:t xml:space="preserve">[5]. For the evidence file, these exponents are below unity, which is the cost-side signature of decreasing returns to mass, meaning each additional kilogram costs less than the average kilogram before it. The companion learning-curve paper in this dissertation treats those published exponents as an external benchmark and recovers a transparent log-log elasticity of 0.312 from primary mass sources, reproducing the fitted specification’s embedded exponent on an open cross-section</w:t>
      </w:r>
      <w:r>
        <w:t xml:space="preserve"> </w:t>
      </w:r>
      <w:hyperlink w:anchor="ref-4">
        <w:r>
          <w:rPr>
            <w:rStyle w:val="Hyperlink"/>
          </w:rPr>
          <w:t xml:space="preserve">[4]</w:t>
        </w:r>
      </w:hyperlink>
      <w:r>
        <w:t xml:space="preserve">[5].</w:t>
      </w:r>
    </w:p>
    <w:p>
      <w:pPr>
        <w:pStyle w:val="BodyText"/>
        <w:spacing w:line="480" w:lineRule="auto"/>
        <w:ind w:firstLine="720"/>
      </w:pPr>
      <w:r>
        <w:t xml:space="preserve">For this chapter, the treats this as an empirical claim: two features of the Instrument Cost Model literature matter for the gap argument. The claim remains testable. For the evidence file, first, the estimating design is built on a large proprietary database of flown instruments, so its coefficients embody, in some averaged and unobservable way, whatever experience effects are present in the historical record. Second, and decisively, the estimating design does not surface those experience effects as a parameter. For the evidence file, cumulative archetype experience is not a regressor; it is, at most, an unestimated component of the residual and the reserve. For the evidence file, the model predicts the cost of a new instrument from its mass and a small set of attributes, treating the instrument as a fresh object characterized by its physical specification rather than as the next unit in a documented heritage chain. For the evidence file, this is not a deficiency of execution but a property of the specification: the parametric form, by construction, does not carry a cumulative-experience term.</w:t>
      </w:r>
    </w:p>
    <w:bookmarkEnd w:id="69"/>
    <w:bookmarkStart w:id="70" w:name="Xcef0c041a97251af2f84f9161284103180f2231"/>
    <w:p>
      <w:pPr>
        <w:pStyle w:val="Heading3"/>
        <w:spacing w:line="480" w:lineRule="auto"/>
      </w:pPr>
      <w:r>
        <w:t xml:space="preserve">2.2.3 Validation studies and alternative parametric formulations</w:t>
      </w:r>
    </w:p>
    <w:p>
      <w:pPr>
        <w:pStyle w:val="FirstParagraph"/>
        <w:spacing w:line="480" w:lineRule="auto"/>
      </w:pPr>
      <w:r>
        <w:t xml:space="preserve">For this data, the construction is deliberately visible: a body of validation work confirms that mass-driven power-law forms predict instrument and mission cost with usable, if wide, accuracy. The coding choice is visible. Friz and colleagues report a blind validation study of the parametric tool SEER-H against NASA space missions and find that the mass-anchored form recovers cost within tolerances that practitioners regard as serviceable for early estimates</w:t>
      </w:r>
      <w:r>
        <w:t xml:space="preserve"> </w:t>
      </w:r>
      <w:hyperlink w:anchor="ref-6">
        <w:r>
          <w:rPr>
            <w:rStyle w:val="Hyperlink"/>
          </w:rPr>
          <w:t xml:space="preserve">[6]</w:t>
        </w:r>
      </w:hyperlink>
      <w:r>
        <w:t xml:space="preserve">. Independent structural formulations reach compatible conclusions about the centrality of mass and complexity: Probst and colleagues estimate the cost of an asteroid-mining mission using partial least squares structural equation modelling and again locate mass and complexity at the center of the cost structure</w:t>
      </w:r>
      <w:r>
        <w:t xml:space="preserve"> </w:t>
      </w:r>
      <w:hyperlink w:anchor="ref-7">
        <w:r>
          <w:rPr>
            <w:rStyle w:val="Hyperlink"/>
          </w:rPr>
          <w:t xml:space="preserve">[7]</w:t>
        </w:r>
      </w:hyperlink>
      <w:r>
        <w:t xml:space="preserve">. For the evidence file, the convergence across a regression-based validation study and a latent-variable structural model is itself evidence that the mass-centered parametric reading is robust to the choice of estimator, which strengthens rather than weakens the point that the experience term is systematically absent from the entire family of parametric tools.</w:t>
      </w:r>
    </w:p>
    <w:p>
      <w:pPr>
        <w:pStyle w:val="BodyText"/>
        <w:spacing w:line="480" w:lineRule="auto"/>
        <w:ind w:firstLine="720"/>
      </w:pPr>
      <w:r>
        <w:t xml:space="preserve">For this mission-level, the evidence developed in this dissertation extends the same finding to the spacecraft scale while sharpening it. That is the empirical boundary. The fixed-effects cost-estimating relationship reported in the second empirical paper regresses log mission cost on log fleet mass, instrument-suite count, fleet size, and programmatic-class dummies, and returns a mass elasticity of 0.584 whose ninety-five percent confidence interval, from 0.246 to 0.921, lies entirely below one. The result directly contradicts the one-for-one mass scaling embedded in conventional mass-anchored parametric models of the kind Dorrington and Olsen employ</w:t>
      </w:r>
      <w:r>
        <w:t xml:space="preserve"> </w:t>
      </w:r>
      <w:hyperlink w:anchor="ref-1">
        <w:r>
          <w:rPr>
            <w:rStyle w:val="Hyperlink"/>
          </w:rPr>
          <w:t xml:space="preserve">[1]</w:t>
        </w:r>
      </w:hyperlink>
      <w:r>
        <w:t xml:space="preserve">, and it does so while showing that instrument multiplicity adds no independent signal once mass is controlled. That null on instrument count is the mission-level shadow of accumulated design heritage: mature particles-and-fields instruments behave as a comparatively cheap, well-understood accommodation problem, consistent with the heritage-and-reuse reading drawn from the constellation design literature</w:t>
      </w:r>
      <w:r>
        <w:t xml:space="preserve"> </w:t>
      </w:r>
      <w:hyperlink w:anchor="ref-12">
        <w:r>
          <w:rPr>
            <w:rStyle w:val="Hyperlink"/>
          </w:rPr>
          <w:t xml:space="preserve">[12]</w:t>
        </w:r>
      </w:hyperlink>
      <w:r>
        <w:t xml:space="preserve">. The heritage is visibly present in the cost structure, yet it is nowhere modeled as an experience parameter.</w:t>
      </w:r>
    </w:p>
    <w:bookmarkEnd w:id="70"/>
    <w:bookmarkStart w:id="71" w:name="X38180895bac8202579b855d33ecf20c6dc4e603"/>
    <w:p>
      <w:pPr>
        <w:pStyle w:val="Heading3"/>
        <w:spacing w:line="480" w:lineRule="auto"/>
      </w:pPr>
      <w:r>
        <w:t xml:space="preserve">2.2.4 The instrument archetypes and their heritage chains</w:t>
      </w:r>
    </w:p>
    <w:p>
      <w:pPr>
        <w:pStyle w:val="FirstParagraph"/>
        <w:spacing w:line="480" w:lineRule="auto"/>
      </w:pPr>
      <w:r>
        <w:t xml:space="preserve">For this technical, the literature also supplies the raw material for archetype coding, which is a precondition for any instrument-level learning estimate. The result is narrow. For the evidence file, heliophysics flies a recognizable and stable family of in-situ instruments: fluxgate and search-coil magnetometers, electrostatic analyzers, solid-state telescopes, plasma instruments, and ion and energetic-particle spectrometers. For the evidence file, these recur in comparable form across solar-wind monitors, magnetospheric constellations, and heliospheric probes spanning four decades, and their instrument-description papers, the majority appearing in Space Science Reviews, document mass, power, and design heritage at the unit level. The mission-concept and instrument literature in the reference pool illustrates the breadth and continuity of these archetypes. Constellation and swarm concepts for magnetospheric science describe coordinated particles-and-fields payloads whose per-spacecraft instrument complement comes from the same archetype family</w:t>
      </w:r>
      <w:r>
        <w:t xml:space="preserve"> </w:t>
      </w:r>
      <w:hyperlink w:anchor="ref-12">
        <w:r>
          <w:rPr>
            <w:rStyle w:val="Hyperlink"/>
          </w:rPr>
          <w:t xml:space="preserve">[12]</w:t>
        </w:r>
      </w:hyperlink>
      <w:r>
        <w:t xml:space="preserve">. Magnetospheric mission proposals such as the induced-magnetosphere explorer concept specify magnetometer and plasma-instrument suites of recognizable heritage</w:t>
      </w:r>
      <w:r>
        <w:t xml:space="preserve"> </w:t>
      </w:r>
      <w:hyperlink w:anchor="ref-21">
        <w:r>
          <w:rPr>
            <w:rStyle w:val="Hyperlink"/>
          </w:rPr>
          <w:t xml:space="preserve">[21]</w:t>
        </w:r>
      </w:hyperlink>
      <w:r>
        <w:t xml:space="preserve">. Heliospheric and interstellar probe studies carry energetic-particle and fields instruments whose lineage traces directly to earlier flown hardware</w:t>
      </w:r>
      <w:r>
        <w:t xml:space="preserve"> </w:t>
      </w:r>
      <w:hyperlink w:anchor="ref-22">
        <w:r>
          <w:rPr>
            <w:rStyle w:val="Hyperlink"/>
          </w:rPr>
          <w:t xml:space="preserve">[22]</w:t>
        </w:r>
      </w:hyperlink>
      <w:r>
        <w:t xml:space="preserve">. Charged-particle detector maturation efforts demonstrate that the archetype evolves through documented technology-maturation steps instead of through discontinuous reinvention</w:t>
      </w:r>
      <w:r>
        <w:t xml:space="preserve"> </w:t>
      </w:r>
      <w:hyperlink w:anchor="ref-16">
        <w:r>
          <w:rPr>
            <w:rStyle w:val="Hyperlink"/>
          </w:rPr>
          <w:t xml:space="preserve">[16]</w:t>
        </w:r>
      </w:hyperlink>
      <w:r>
        <w:t xml:space="preserve">. For the evidence file, the stability of these archetypes, and the documentation of their heritage chains, is what makes the instrument-archetype the natural unit at which an experience effect could be identified, in contrast to the aggregate sector scale at which the space-economy literature operates.</w:t>
      </w:r>
    </w:p>
    <w:p>
      <w:pPr>
        <w:pStyle w:val="BodyText"/>
        <w:spacing w:line="480" w:lineRule="auto"/>
        <w:ind w:firstLine="720"/>
      </w:pPr>
      <w:r>
        <w:t xml:space="preserve">For the empirical reader, the programmatic context in which these instruments fly is likewise documented. NASA’s Heliophysics Division situates particles-and-fields measurement within an operational science and space-situational-awareness mandate, and the supporting literature on solar energetic particle monitoring and space-environment sensing establishes that these instruments are flown not as one-off experiments but as recurring elements of a sustained measurement enterprise</w:t>
      </w:r>
      <w:r>
        <w:t xml:space="preserve"> </w:t>
      </w:r>
      <w:hyperlink w:anchor="ref-13">
        <w:r>
          <w:rPr>
            <w:rStyle w:val="Hyperlink"/>
          </w:rPr>
          <w:t xml:space="preserve">[13]</w:t>
        </w:r>
      </w:hyperlink>
      <w:r>
        <w:t xml:space="preserve">[14]. For the evidence file, this recurrence is exactly the condition under which a learning effect, if it exists, would have had repeated opportunity to operate.</w:t>
      </w:r>
    </w:p>
    <w:bookmarkEnd w:id="71"/>
    <w:bookmarkEnd w:id="72"/>
    <w:bookmarkStart w:id="77" w:name="X3aba320a7556226a9467a20f7f4d6bb6b252833"/>
    <w:p>
      <w:pPr>
        <w:pStyle w:val="Heading2"/>
        <w:spacing w:line="480" w:lineRule="auto"/>
      </w:pPr>
      <w:r>
        <w:t xml:space="preserve">2.3 The Cliometric and Econometric Learning-Curve Literature</w:t>
      </w:r>
    </w:p>
    <w:bookmarkStart w:id="73" w:name="Xc6d08a25be6467bc0996981f1ed880c5f1c65c5"/>
    <w:p>
      <w:pPr>
        <w:pStyle w:val="Heading3"/>
        <w:spacing w:line="480" w:lineRule="auto"/>
      </w:pPr>
      <w:r>
        <w:t xml:space="preserve">2.3.1 The learning curve as a cliometric instrument</w:t>
      </w:r>
    </w:p>
    <w:p>
      <w:pPr>
        <w:pStyle w:val="FirstParagraph"/>
        <w:spacing w:line="480" w:lineRule="auto"/>
      </w:pPr>
      <w:r>
        <w:t xml:space="preserve">For this second, the literature is the learning-curve, or experience-curve, tradition. The distinction matters. For the evidence file, its core proposition is that unit cost declines as a power function of cumulative production: as an organization builds more units of a given object, the recurring cost of each successive unit falls by a roughly constant percentage with each doubling of cumulative output. For the evidence file, the relationship is conventionally written in log-log form, so that the slope is a learning elasticity and the implied progress ratio, two raised to that slope, gives the multiplicative change in cost per doubling of cumulative units. For the evidence file, the form is identical in algebra to the parametric power law, but the driver is different in kind: the parametric driver is a contemporaneous physical attribute of the unit, whereas the learning driver is the accumulated history of prior production. For the evidence file, this distinction is the conceptual hinge of the entire dissertation, because it means a single dataset can in principle be made to speak to both specifications and to adjudicate between them.</w:t>
      </w:r>
    </w:p>
    <w:p>
      <w:pPr>
        <w:pStyle w:val="BodyText"/>
        <w:spacing w:line="480" w:lineRule="auto"/>
        <w:ind w:firstLine="720"/>
      </w:pPr>
      <w:r>
        <w:t xml:space="preserve">For the program record, the learning curve is a cliometric instrument in the strict sense that it uses an econometric specification to recover a structural parameter of historical economic behavior, the rate at which experience is converted into cost reduction. The record is explicit. As a cliometric tool it carries well-known identification hazards. For the evidence file, chief among them is the confounding of genuine cumulative-experience learning with secular technological cost decline over calendar time: a downward time trend in cost can masquerade as a learning effect unless the specification separates the two. For the evidence file, a second hazard is the confounding of learning with descoping, where newer units are simultaneously cheaper and less capable, so that an apparent experience effect is in part a capability reduction. For the evidence file, a third is the conflation of an experience effect with a scale effect, where the apparent decline reflects building larger units rather than building more of them. For the evidence file, each hazard has a standard remedy in the cliometric toolkit, respectively a calendar-year trend term, capability and complexity controls, and direct conditioning on size, and the methodological discipline of the literature consists largely in deploying these remedies and reporting their sensitivity.</w:t>
      </w:r>
    </w:p>
    <w:bookmarkEnd w:id="73"/>
    <w:bookmarkStart w:id="74" w:name="Xb6e9ce0c70a0468f2cb01a9fd11c983611c370a"/>
    <w:p>
      <w:pPr>
        <w:pStyle w:val="Heading3"/>
        <w:spacing w:line="480" w:lineRule="auto"/>
      </w:pPr>
      <w:r>
        <w:t xml:space="preserve">2.3.2 Scale economies and the cost-mass elasticity as a related construct</w:t>
      </w:r>
    </w:p>
    <w:p>
      <w:pPr>
        <w:pStyle w:val="FirstParagraph"/>
        <w:spacing w:line="480" w:lineRule="auto"/>
      </w:pPr>
      <w:r>
        <w:t xml:space="preserve">For this archival, the record matters here: the learning-curve tradition is closely related to, but analytically distinct from, the literature on scale economies that the parametric models already partly capture. The claim remains testable. A cost-mass elasticity below one, of the kind the Instrument Cost Model reports and the companion paper recovers, is a statement about returns to size within a cross-section: the marginal kilogram is cheaper than the average kilogram</w:t>
      </w:r>
      <w:r>
        <w:t xml:space="preserve"> </w:t>
      </w:r>
      <w:hyperlink w:anchor="ref-4">
        <w:r>
          <w:rPr>
            <w:rStyle w:val="Hyperlink"/>
          </w:rPr>
          <w:t xml:space="preserve">[4]</w:t>
        </w:r>
      </w:hyperlink>
      <w:r>
        <w:t xml:space="preserve">[5]. For the evidence file, a learning elasticity below zero is a statement about returns to repetition across a time-ordered sequence: the marginal unit is cheaper than the prior unit because of accumulated experience. For the evidence file, the two can coexist, can be confounded, and must be separated, which is the identification problem the dissertation’s design confronts directly. The space-systems literature on small and very-low-Earth-orbit platforms makes the scale-economy mechanism explicit at the system level, observing that integration, test, and fixed programmatic overhead absorb a large share of budget that does not grow with mass, which pushes the mass elasticity below one</w:t>
      </w:r>
      <w:r>
        <w:t xml:space="preserve"> </w:t>
      </w:r>
      <w:hyperlink w:anchor="ref-11">
        <w:r>
          <w:rPr>
            <w:rStyle w:val="Hyperlink"/>
          </w:rPr>
          <w:t xml:space="preserve">[11]</w:t>
        </w:r>
      </w:hyperlink>
      <w:r>
        <w:t xml:space="preserve">. That same fixed-overhead structure is what the mission-level fixed-effects paper recovers in its sublinear mass elasticity near 0.58, and it is a scale effect, not a learning effect. The learning question is logically downstream: once size is conditioned out, does repetition still lower cost,</w:t>
      </w:r>
    </w:p>
    <w:bookmarkEnd w:id="74"/>
    <w:bookmarkStart w:id="75" w:name="X9cbb2959e141b0c17f87a6e120f3f9a09e575fc"/>
    <w:p>
      <w:pPr>
        <w:pStyle w:val="Heading3"/>
        <w:spacing w:line="480" w:lineRule="auto"/>
      </w:pPr>
      <w:r>
        <w:t xml:space="preserve">2.3.3 The experience curve at the sector scale in the space economy</w:t>
      </w:r>
    </w:p>
    <w:p>
      <w:pPr>
        <w:pStyle w:val="FirstParagraph"/>
        <w:spacing w:line="480" w:lineRule="auto"/>
      </w:pPr>
      <w:r>
        <w:t xml:space="preserve">For a replicator, the space-economy literature has imported the experience curve, but only at the aggregate level. The coding choice is visible. Sample space cost curves show cost per kilogram for heavy launch and for geostationary communications satellites declining as cumulative activity grows, presenting the experience effect as a sector-scale regularity in space hardware</w:t>
      </w:r>
      <w:r>
        <w:t xml:space="preserve"> </w:t>
      </w:r>
      <w:hyperlink w:anchor="ref-2">
        <w:r>
          <w:rPr>
            <w:rStyle w:val="Hyperlink"/>
          </w:rPr>
          <w:t xml:space="preserve">[2]</w:t>
        </w:r>
      </w:hyperlink>
      <w:r>
        <w:t xml:space="preserve">. Forecasts of the space economy attribute a substantial share of recent cost reduction in satellite manufacturing to accumulated production experience rather than to mass reduction, locating the mechanism in repeated production and integration rather than in the physical shrinking of the hardware</w:t>
      </w:r>
      <w:r>
        <w:t xml:space="preserve"> </w:t>
      </w:r>
      <w:hyperlink w:anchor="ref-3">
        <w:r>
          <w:rPr>
            <w:rStyle w:val="Hyperlink"/>
          </w:rPr>
          <w:t xml:space="preserve">[3]</w:t>
        </w:r>
      </w:hyperlink>
      <w:r>
        <w:t xml:space="preserve">[8][10]. The space-economy framing makes the same point at the system level, observing that economies of scale in production and integration lower unit costs as build volume and hardware mass rise, and that cost curves across hardware classes bend downward in cost per kilogram as scale increases</w:t>
      </w:r>
      <w:r>
        <w:t xml:space="preserve"> </w:t>
      </w:r>
      <w:hyperlink w:anchor="ref-2">
        <w:r>
          <w:rPr>
            <w:rStyle w:val="Hyperlink"/>
          </w:rPr>
          <w:t xml:space="preserve">[2]</w:t>
        </w:r>
      </w:hyperlink>
      <w:r>
        <w:t xml:space="preserve">[3]. This aggregate evidence is what supplies a credible prior that an experience effect operates somewhere in space hardware. Plausibility, yes. The level, no. It is decisive in establishing the first and silent on the second.</w:t>
      </w:r>
    </w:p>
    <w:p>
      <w:pPr>
        <w:pStyle w:val="BodyText"/>
        <w:spacing w:line="480" w:lineRule="auto"/>
        <w:ind w:firstLine="720"/>
      </w:pPr>
      <w:r>
        <w:t xml:space="preserve">For this critical, the limitation of this literature, for present purposes, is its unit of analysis. That is the empirical boundary. It operates at the level of launch vehicles, satellite buses, and sector-wide manufacturing aggregates. For the evidence file, it does not descend to the level of a specific scientific instrument archetype flown repeatedly across a coherent mission line. For the evidence file, aggregate cost-curve evidence cannot, in principle, isolate the experience effect for a fluxgate magnetometer or an electrostatic analyzer, because the aggregation pools across heterogeneous hardware classes whose archetype identities are dissolved in the sector total. The space-economy literature for that reason motivates the instrument-level question without being able to answer it.</w:t>
      </w:r>
    </w:p>
    <w:bookmarkEnd w:id="75"/>
    <w:bookmarkStart w:id="76" w:name="X9011a13d2af4808197e6a85b2b51e8efa22effe"/>
    <w:p>
      <w:pPr>
        <w:pStyle w:val="Heading3"/>
        <w:spacing w:line="480" w:lineRule="auto"/>
      </w:pPr>
      <w:r>
        <w:t xml:space="preserve">2.3.4 The within-archetype identification strategy</w:t>
      </w:r>
    </w:p>
    <w:p>
      <w:pPr>
        <w:pStyle w:val="FirstParagraph"/>
        <w:spacing w:line="480" w:lineRule="auto"/>
      </w:pPr>
      <w:r>
        <w:t xml:space="preserve">What distinguishes an instrument-level learning estimate from the aggregate cost-curve evidence is the possibility of within-archetype identification. The result is narrow. For the evidence file, if the population of flown units is partitioned by archetype, and archetype fixed effects absorb the time-invariant differences between, for example, fluxgate magnetometers and electrostatic ion analyzers, then the learning elasticity is estimated from repeated builds of the same archetype rather than from cross-archetype comparison. This is precisely what the aggregate cost-curve evidence cannot do, since it has no archetype index to condition on</w:t>
      </w:r>
      <w:r>
        <w:t xml:space="preserve"> </w:t>
      </w:r>
      <w:hyperlink w:anchor="ref-2">
        <w:r>
          <w:rPr>
            <w:rStyle w:val="Hyperlink"/>
          </w:rPr>
          <w:t xml:space="preserve">[2]</w:t>
        </w:r>
      </w:hyperlink>
      <w:r>
        <w:t xml:space="preserve">. For the evidence file, the within-archetype strategy is also what allows the calendar-year trend, the capability controls, and the direct mass conditioning to do their work cleanly, because each operates within a population of comparable hardware rather than across incommensurable classes. For the evidence file, the dissertation’s central design choice, to condition on mass directly while estimating the cumulative-experience slope within archetype, is the operationalization of this strategy and the methodological bridge between the two literatures.</w:t>
      </w:r>
    </w:p>
    <w:bookmarkEnd w:id="76"/>
    <w:bookmarkEnd w:id="77"/>
    <w:bookmarkStart w:id="81" w:name="the-unjoined-seam-and-the-gap"/>
    <w:p>
      <w:pPr>
        <w:pStyle w:val="Heading2"/>
        <w:spacing w:line="480" w:lineRule="auto"/>
      </w:pPr>
      <w:r>
        <w:t xml:space="preserve">2.4 The Unjoined Seam and the Gap</w:t>
      </w:r>
    </w:p>
    <w:bookmarkStart w:id="78" w:name="why-the-two-literatures-do-not-meet"/>
    <w:p>
      <w:pPr>
        <w:pStyle w:val="Heading3"/>
        <w:spacing w:line="480" w:lineRule="auto"/>
      </w:pPr>
      <w:r>
        <w:t xml:space="preserve">2.4.1 Why the two literatures do not meet</w:t>
      </w:r>
    </w:p>
    <w:p>
      <w:pPr>
        <w:pStyle w:val="FirstParagraph"/>
        <w:spacing w:line="480" w:lineRule="auto"/>
      </w:pPr>
      <w:r>
        <w:t xml:space="preserve">For this operational, the question is narrower: the two literatures reviewed above are individually mature and mutually silent. Each ignores the other. The parametric instrument-cost literature models cost as a function of contemporaneous physical attributes, centers mass, validates its forms across multiple estimators, and embeds whatever experience effects exist in unestimated coefficients and reserves</w:t>
      </w:r>
      <w:r>
        <w:t xml:space="preserve"> </w:t>
      </w:r>
      <w:hyperlink w:anchor="ref-1">
        <w:r>
          <w:rPr>
            <w:rStyle w:val="Hyperlink"/>
          </w:rPr>
          <w:t xml:space="preserve">[1]</w:t>
        </w:r>
      </w:hyperlink>
      <w:r>
        <w:t xml:space="preserve">[4][5][6][7]. It does not carry a cumulative-experience term for an instrument archetype, and the architecture studies that consume its outputs inherit that silence</w:t>
      </w:r>
      <w:r>
        <w:t xml:space="preserve"> </w:t>
      </w:r>
      <w:hyperlink w:anchor="ref-1">
        <w:r>
          <w:rPr>
            <w:rStyle w:val="Hyperlink"/>
          </w:rPr>
          <w:t xml:space="preserve">[1]</w:t>
        </w:r>
      </w:hyperlink>
      <w:r>
        <w:t xml:space="preserve">. The cliometric experience-curve literature, as imported into the space economy, documents power-law cost decline at the sector scale, attributes it explicitly to accumulated production experience, and presents it as a system-level and sector-level phenomenon</w:t>
      </w:r>
      <w:r>
        <w:t xml:space="preserve"> </w:t>
      </w:r>
      <w:hyperlink w:anchor="ref-2">
        <w:r>
          <w:rPr>
            <w:rStyle w:val="Hyperlink"/>
          </w:rPr>
          <w:t xml:space="preserve">[2]</w:t>
        </w:r>
      </w:hyperlink>
      <w:r>
        <w:t xml:space="preserve">[3][8][10]. It does not descend to the instrument-archetype level, because its unit of analysis dissolves archetype identity into aggregates. The seam between them is the absent join. The parametric literature has the instrument-level resolution but assumes the experience effect away. The experience-curve literature has the experience effect but lacks the instrument-level resolution. For the evidence file, no retrieved source occupies the intersection, which would require both the archetype-level data and the cumulative-experience specification at once. For the evidence file, the result is that the experience effect at the instrument level is, in the strict sense, neither confirmed nor refuted in the literature: it is assumed present by the aggregate cost-curve evidence and assumed absent by parametric practice, and the two assumptions have never been confronted with each other on the same hardware.</w:t>
      </w:r>
    </w:p>
    <w:bookmarkEnd w:id="78"/>
    <w:bookmarkStart w:id="79" w:name="X512cf67c790ca829e3dc653cea54d2976b28f01"/>
    <w:p>
      <w:pPr>
        <w:pStyle w:val="Heading3"/>
        <w:spacing w:line="480" w:lineRule="auto"/>
      </w:pPr>
      <w:r>
        <w:t xml:space="preserve">2.4.2 What the companion empirical chapters establish and what they leave open</w:t>
      </w:r>
    </w:p>
    <w:p>
      <w:pPr>
        <w:pStyle w:val="FirstParagraph"/>
        <w:spacing w:line="480" w:lineRule="auto"/>
      </w:pPr>
      <w:r>
        <w:t xml:space="preserve">For this two, the empirical papers in this dissertation discharge part of the burden of joining the literatures but deliberately stop short of the join itself. The learning-curve paper assembles mass and modeled cost for twenty-eight heliophysics particle-and-fields instruments and recovers a cost-mass elasticity of 0.312, with a ninety-five percent confidence interval from 0.286 to 0.339 that excludes both zero and one, reproducing the exponent embedded in the NICM fields and particles relationships from an open, primary-source cross-section</w:t>
      </w:r>
      <w:r>
        <w:t xml:space="preserve"> </w:t>
      </w:r>
      <w:hyperlink w:anchor="ref-4">
        <w:r>
          <w:rPr>
            <w:rStyle w:val="Hyperlink"/>
          </w:rPr>
          <w:t xml:space="preserve">[4]</w:t>
        </w:r>
      </w:hyperlink>
      <w:r>
        <w:t xml:space="preserve">[5]. For the evidence file, that paper demonstrates that the instrument-archetype family is a tractable, well-documented population on which a log-log specification behaves, and it confirms the scale-economy reading of the parametric literature on independent data. For the evidence file, it does not, however, estimate the cumulative-experience slope, because its cross-sectional specification regresses cost on mass rather than on cumulative archetype units; its elasticity is a returns-to-size parameter, not a returns-to-repetition parameter.</w:t>
      </w:r>
    </w:p>
    <w:p>
      <w:pPr>
        <w:pStyle w:val="BodyText"/>
        <w:spacing w:line="480" w:lineRule="auto"/>
        <w:ind w:firstLine="720"/>
      </w:pPr>
      <w:r>
        <w:t xml:space="preserve">For this evidence, the trail is concrete here: the mission-level fixed-effects paper extends the estimate to the spacecraft scale, recovering a mass elasticity near 0.58 whose interval excludes one, and showing that instrument multiplicity and fleet size add no detectable cost signal once mass and programmatic class are controlled. The negative but insignificant fleet-size coefficient is, in the paper’s own reading, the mission-level shadow of a within-mission copy economy, partly offset by the cost of flying a formation, and the null on instrument count is the empirical signature of accumulated design heritage</w:t>
      </w:r>
      <w:r>
        <w:t xml:space="preserve"> </w:t>
      </w:r>
      <w:hyperlink w:anchor="ref-11">
        <w:r>
          <w:rPr>
            <w:rStyle w:val="Hyperlink"/>
          </w:rPr>
          <w:t xml:space="preserve">[11]</w:t>
        </w:r>
      </w:hyperlink>
      <w:r>
        <w:t xml:space="preserve">[12]. For the evidence file, these results make the experience effect more plausible still, because they show heritage manifestly operating in the cost structure, yet they cannot isolate it: the mission is the wrong unit for a learning curve, because within-mission repetition is partly absorbed into the mission total and confounded with operations cost. For the evidence file, the two papers for that reason bound the gap from both sides, instrument cross-section and mission cross-section, without closing it.</w:t>
      </w:r>
    </w:p>
    <w:bookmarkEnd w:id="79"/>
    <w:bookmarkStart w:id="80" w:name="X1545ca5b5e0b34f8c0d588a32d9ec128d86bc1b"/>
    <w:p>
      <w:pPr>
        <w:pStyle w:val="Heading3"/>
        <w:spacing w:line="480" w:lineRule="auto"/>
      </w:pPr>
      <w:r>
        <w:t xml:space="preserve">2.4.3 The falsifiable contribution that occupies the gap</w:t>
      </w:r>
    </w:p>
    <w:p>
      <w:pPr>
        <w:pStyle w:val="FirstParagraph"/>
        <w:spacing w:line="480" w:lineRule="auto"/>
      </w:pPr>
      <w:r>
        <w:t xml:space="preserve">For the program record, the gap the dissertation occupies is the instrument-archetype experience curve, identified net of mass. For the evidence file, the object is a single estimable parameter, the learning elasticity of recurring inflation-adjusted unit cost with respect to cumulative prior units of an instrument archetype, estimated within archetype and conditional on unit mass and a calendar-year trend. The null hypothesis is that this elasticity is zero, meaning that after conditioning on mass the cumulative-experience term adds nothing and the mass-driven parametric form of the Instrument Cost Model and the architecture studies is sufficient</w:t>
      </w:r>
      <w:r>
        <w:t xml:space="preserve"> </w:t>
      </w:r>
      <w:hyperlink w:anchor="ref-1">
        <w:r>
          <w:rPr>
            <w:rStyle w:val="Hyperlink"/>
          </w:rPr>
          <w:t xml:space="preserve">[1]</w:t>
        </w:r>
      </w:hyperlink>
      <w:r>
        <w:t xml:space="preserve">[4]. The alternative is that the elasticity is reliably negative, meaning recurring cost declines with cumulative archetype units in the manner the aggregate cost-curve evidence documents for space hardware at the sector scale</w:t>
      </w:r>
      <w:r>
        <w:t xml:space="preserve"> </w:t>
      </w:r>
      <w:hyperlink w:anchor="ref-2">
        <w:r>
          <w:rPr>
            <w:rStyle w:val="Hyperlink"/>
          </w:rPr>
          <w:t xml:space="preserve">[2]</w:t>
        </w:r>
      </w:hyperlink>
      <w:r>
        <w:t xml:space="preserve">[3]. For the evidence file, the claim is falsifiable in both directions: if the mass-controlled experience slope is statistically indistinguishable from zero, the parametric status quo is vindicated for this instrument class; if it is reliably negative and improves out-of-sample fit over the mass-only benchmark, the learning specification is preferred.</w:t>
      </w:r>
    </w:p>
    <w:p>
      <w:pPr>
        <w:pStyle w:val="BodyText"/>
        <w:spacing w:line="480" w:lineRule="auto"/>
        <w:ind w:firstLine="720"/>
      </w:pPr>
      <w:r>
        <w:t xml:space="preserve">This contribution sits exactly at the unjoined seam. For the evidence file, it borrows the instrument-archetype resolution and the mass conditioning from the parametric literature, and the cumulative-experience specification and the within-unit identification discipline from the cliometric experience-curve tradition, and it forces the two into a single horse race on the same hardware. The aggregate-sector evidence functions only as a motivating prior, not as a transported estimate, in keeping with the within-archetype identification strategy and the scoped external-validity claim</w:t>
      </w:r>
      <w:r>
        <w:t xml:space="preserve"> </w:t>
      </w:r>
      <w:hyperlink w:anchor="ref-2">
        <w:r>
          <w:rPr>
            <w:rStyle w:val="Hyperlink"/>
          </w:rPr>
          <w:t xml:space="preserve">[2]</w:t>
        </w:r>
      </w:hyperlink>
      <w:r>
        <w:t xml:space="preserve">[3]. For the evidence file, whether the experience effect is real, sizable, and separable from mass at the instrument-archetype level is the open empirical question that the parametric and cliometric literatures, individually, leave unanswered, and that this dissertation is constructed to answer.</w:t>
      </w:r>
    </w:p>
    <w:bookmarkEnd w:id="80"/>
    <w:bookmarkEnd w:id="81"/>
    <w:bookmarkStart w:id="82" w:name="X9b31842ba9af1b95a5fae6ec1edbb94cbf5dc7d"/>
    <w:p>
      <w:pPr>
        <w:pStyle w:val="Heading2"/>
        <w:spacing w:line="480" w:lineRule="auto"/>
      </w:pPr>
      <w:r>
        <w:t xml:space="preserve">2.5 Data Provenance and the Limits of the Existing Record</w:t>
      </w:r>
    </w:p>
    <w:p>
      <w:pPr>
        <w:pStyle w:val="FirstParagraph"/>
        <w:spacing w:line="480" w:lineRule="auto"/>
      </w:pPr>
      <w:r>
        <w:t xml:space="preserve">For the evidence file, a review of the two literatures would be incomplete without attention to the data infrastructure each relies on, because the feasibility of the join depends on it. The parametric instrument-cost models are built on proprietary, normalized cost-and-technical databases that are not released at the unit level, which is why the companion learning-curve paper models cost from the published cost-estimating relationships instead of asserting recovered contract figures, and states that modeling choice transparently</w:t>
      </w:r>
      <w:r>
        <w:t xml:space="preserve"> </w:t>
      </w:r>
      <w:hyperlink w:anchor="ref-4">
        <w:r>
          <w:rPr>
            <w:rStyle w:val="Hyperlink"/>
          </w:rPr>
          <w:t xml:space="preserve">[4]</w:t>
        </w:r>
      </w:hyperlink>
      <w:r>
        <w:t xml:space="preserve">[5]. For the evidence file, the mission-level paper, by contrast, assembles total cost from public press kits, agency and eoPortal mission pages, Planetary Society spending records, and Government Accountability Office fact sheets, anchoring older missions to specific documentary figures and flagging the single illustrative value plainly. For the evidence file, the asymmetry is instructive: mission-level cost is partially public, whereas instrument-level recurring cost is largely held in restricted repositories.</w:t>
      </w:r>
    </w:p>
    <w:p>
      <w:pPr>
        <w:pStyle w:val="BodyText"/>
        <w:spacing w:line="480" w:lineRule="auto"/>
        <w:ind w:firstLine="720"/>
      </w:pPr>
      <w:r>
        <w:t xml:space="preserve">For a replicator, the dissertation’s identification of an authoritative, requestable instrument-level source, the normalized mission and subsystem cost records held by the NASA Cost Analysis Division, is for that reason itself a contribution to closing the gap, since it supplies the archetype, recurring cost, mass, and flight-date fields that a within-archetype learning specification requires and that no aggregate cost-curve dataset carries</w:t>
      </w:r>
      <w:r>
        <w:t xml:space="preserve"> </w:t>
      </w:r>
      <w:hyperlink w:anchor="ref-2">
        <w:r>
          <w:rPr>
            <w:rStyle w:val="Hyperlink"/>
          </w:rPr>
          <w:t xml:space="preserve">[2]</w:t>
        </w:r>
      </w:hyperlink>
      <w:r>
        <w:t xml:space="preserve">[3]. The systems-engineering and mission-concept literature corroborates the technical parameters and heritage chains needed to code archetype assignment, drawn from the documented instrument complements of constellation, magnetospheric, and heliospheric concepts in the reference pool</w:t>
      </w:r>
      <w:r>
        <w:t xml:space="preserve"> </w:t>
      </w:r>
      <w:hyperlink w:anchor="ref-11">
        <w:r>
          <w:rPr>
            <w:rStyle w:val="Hyperlink"/>
          </w:rPr>
          <w:t xml:space="preserve">[11]</w:t>
        </w:r>
      </w:hyperlink>
      <w:r>
        <w:t xml:space="preserve">[12][21][22]. For the evidence file, the provenance discipline that the two empirical papers model, primary-source mass with per-row citation and transparent treatment of modeled versus observed cost, is the same discipline the join requires, and it is what distinguishes a credible instrument-archetype learning estimate from the unfalsifiable assertion that experience effects must be present because the aggregate evidence says they are somewhere.</w:t>
      </w:r>
    </w:p>
    <w:bookmarkEnd w:id="82"/>
    <w:bookmarkStart w:id="83" w:name="summary"/>
    <w:p>
      <w:pPr>
        <w:pStyle w:val="Heading2"/>
        <w:spacing w:line="480" w:lineRule="auto"/>
      </w:pPr>
      <w:r>
        <w:t xml:space="preserve">2.6 Summary</w:t>
      </w:r>
    </w:p>
    <w:p>
      <w:pPr>
        <w:pStyle w:val="FirstParagraph"/>
        <w:spacing w:line="480" w:lineRule="auto"/>
      </w:pPr>
      <w:r>
        <w:t xml:space="preserve">For this chapter, the treats this as an empirical claim: the literature divides into two mature and non-communicating traditions. The parametric cost-estimation literature, from the architecture studies through NASA’s Instrument Cost Model to the validation and structural-modeling work, estimates instrument and mission cost from contemporaneous physical attributes, centers mass, and embeds any experience effect in unestimated coefficients</w:t>
      </w:r>
      <w:r>
        <w:t xml:space="preserve"> </w:t>
      </w:r>
      <w:hyperlink w:anchor="ref-1">
        <w:r>
          <w:rPr>
            <w:rStyle w:val="Hyperlink"/>
          </w:rPr>
          <w:t xml:space="preserve">[1]</w:t>
        </w:r>
      </w:hyperlink>
      <w:r>
        <w:t xml:space="preserve">[4][5][6][7]. The cliometric experience-curve literature, as imported into the space economy, documents power-law cost decline driven by accumulated production experience but only at the launch-vehicle, satellite-bus, and sector aggregate scale</w:t>
      </w:r>
      <w:r>
        <w:t xml:space="preserve"> </w:t>
      </w:r>
      <w:hyperlink w:anchor="ref-2">
        <w:r>
          <w:rPr>
            <w:rStyle w:val="Hyperlink"/>
          </w:rPr>
          <w:t xml:space="preserve">[2]</w:t>
        </w:r>
      </w:hyperlink>
      <w:r>
        <w:t xml:space="preserve">[3][8][10]. The companion empirical chapters of this dissertation bound the gap from both the instrument cross-section and the mission cross-section, recovering sublinear cost-mass elasticities that confirm the scale-economy reading and reveal heritage operating in the cost structure, yet neither isolates the cumulative-experience parameter that defines a learning curve</w:t>
      </w:r>
      <w:r>
        <w:t xml:space="preserve"> </w:t>
      </w:r>
      <w:hyperlink w:anchor="ref-4">
        <w:r>
          <w:rPr>
            <w:rStyle w:val="Hyperlink"/>
          </w:rPr>
          <w:t xml:space="preserve">[4]</w:t>
        </w:r>
      </w:hyperlink>
      <w:r>
        <w:t xml:space="preserve">[5][11][12]. The unjoined seam is the instrument-archetype experience curve identified net of mass. For the evidence file, the aggregate evidence makes it plausible; the parametric practice assumes it away; the within-archetype identification strategy, applied to a real and requestable instrument-level cost record, is what allows the two literatures finally to be confronted on the same hardware. The remainder of the dissertation executes that confrontation as a single falsifiable test.</w:t>
      </w:r>
    </w:p>
    <w:bookmarkEnd w:id="83"/>
    <w:bookmarkEnd w:id="84"/>
    <w:bookmarkStart w:id="103" w:name="Xcfcc00a3ded59aed0c781c16bfc121f2a509603"/>
    <w:p>
      <w:pPr>
        <w:pStyle w:val="Heading1"/>
        <w:spacing w:line="480" w:lineRule="auto"/>
      </w:pPr>
      <w:r>
        <w:t xml:space="preserve">Chapter 3. Theoretical Framework and Hypotheses</w:t>
      </w:r>
    </w:p>
    <w:bookmarkStart w:id="85" w:name="purpose-and-position-of-the-chapter"/>
    <w:p>
      <w:pPr>
        <w:pStyle w:val="Heading2"/>
        <w:spacing w:line="480" w:lineRule="auto"/>
      </w:pPr>
      <w:r>
        <w:t xml:space="preserve">3.1 Purpose and Position of the Chapter</w:t>
      </w:r>
    </w:p>
    <w:p>
      <w:pPr>
        <w:pStyle w:val="FirstParagraph"/>
        <w:spacing w:line="480" w:lineRule="auto"/>
      </w:pPr>
      <w:r>
        <w:t xml:space="preserve">The evidence trail is concrete here: the preceding chapters established the empirical setting and the gap.</w:t>
      </w:r>
    </w:p>
    <w:p>
      <w:pPr>
        <w:pStyle w:val="BodyText"/>
        <w:spacing w:line="480" w:lineRule="auto"/>
        <w:ind w:firstLine="720"/>
      </w:pPr>
      <w:r>
        <w:t xml:space="preserve">For the evidence file, heliophysics in-situ science depends on a recurring family of instruments, electrostatic analyzers and time-of-flight sensors for plasma particles, and fluxgate and search-coil magnetometers for fields, that fly in recognizable form across solar-wind monitors, magnetospheric constellations, and heliospheric probes. Cost estimation for these instruments rests on a parametric tradition that regresses cost on contemporaneous physical attributes, most centrally mass</w:t>
      </w:r>
      <w:r>
        <w:t xml:space="preserve"> </w:t>
      </w:r>
      <w:hyperlink w:anchor="ref-4">
        <w:r>
          <w:rPr>
            <w:rStyle w:val="Hyperlink"/>
          </w:rPr>
          <w:t xml:space="preserve">[4]</w:t>
        </w:r>
      </w:hyperlink>
      <w:r>
        <w:t xml:space="preserve">[5][6]. For the evidence file, that tradition is internally coherent and predictively useful, but it carries a structural silence: it does not encode the accumulated production experience of the engineering organization that has built a given archetype several times before. The aggregate space-hardware literature treats that accumulated experience as a first-order driver of cost decline</w:t>
      </w:r>
      <w:r>
        <w:t xml:space="preserve"> </w:t>
      </w:r>
      <w:hyperlink w:anchor="ref-2">
        <w:r>
          <w:rPr>
            <w:rStyle w:val="Hyperlink"/>
          </w:rPr>
          <w:t xml:space="preserve">[2]</w:t>
        </w:r>
      </w:hyperlink>
      <w:r>
        <w:t xml:space="preserve">[3], yet it operates at the level of launch vehicles and satellite buses and never descends to the instrument archetype. For the evidence file, the chapter supplies the theoretical apparatus that joins the two literatures and converts the join into a single, falsifiable empirical claim.</w:t>
      </w:r>
    </w:p>
    <w:p>
      <w:pPr>
        <w:pStyle w:val="BodyText"/>
        <w:spacing w:line="480" w:lineRule="auto"/>
        <w:ind w:firstLine="720"/>
      </w:pPr>
      <w:r>
        <w:t xml:space="preserve">For this chapter, the proceeds in four movements. Section 3.2 states the theoretical mechanism, the experience effect, in its general form and in the specific form it must take for a scientific instrument archetype. Section 3.3 develops the causal logic, distinguishing the proposed mechanism from the two rival explanations, mass and secular technological trend, that could otherwise account for the same observed cost decline. Section 3.4 formalizes the estimable model and derives the two competing hypotheses, the null H0 and the alternative H1, from that model. Section 3.5 specifies the auxiliary conditions under which a rejection of H0 can be interpreted as evidence for the experience mechanism instead of for a confound. For the evidence file, the objective throughout is to make the eventual empirical test a genuine test, one whose outcome is informative in both directions, rather than a demonstration engineered to confirm a prior.</w:t>
      </w:r>
    </w:p>
    <w:bookmarkEnd w:id="85"/>
    <w:bookmarkStart w:id="88" w:name="X9f148d371153f03a18b805483f4412b5530dbb4"/>
    <w:p>
      <w:pPr>
        <w:pStyle w:val="Heading2"/>
        <w:spacing w:line="480" w:lineRule="auto"/>
      </w:pPr>
      <w:r>
        <w:t xml:space="preserve">3.2 The Theoretical Mechanism: The Experience Effect at the Archetype Level</w:t>
      </w:r>
    </w:p>
    <w:bookmarkStart w:id="86" w:name="Xdff92bc018e920170293b6130272289aca5a7c1"/>
    <w:p>
      <w:pPr>
        <w:pStyle w:val="Heading3"/>
        <w:spacing w:line="480" w:lineRule="auto"/>
      </w:pPr>
      <w:r>
        <w:t xml:space="preserve">3.2.1 The General Form of the Experience Effect</w:t>
      </w:r>
    </w:p>
    <w:p>
      <w:pPr>
        <w:pStyle w:val="FirstParagraph"/>
        <w:spacing w:line="480" w:lineRule="auto"/>
      </w:pPr>
      <w:r>
        <w:t xml:space="preserve">For this archival, the record matters here: the experience effect, sometimes called the learning curve or progress curve, is the empirical regularity that the real unit cost of producing a good declines by a roughly constant fraction with each doubling of cumulative output. For the evidence file, the relationship is multiplicative, which is to say it is linear in logarithms: the logarithm of recurring unit cost falls linearly in the logarithm of cumulative units produced. For the evidence file, the slope of that log-linear relationship is the learning elasticity, and its exponentiation into a per-doubling cost ratio yields the progress ratio that practitioners quote. For the evidence file, a progress ratio below unity is the signature of the effect; it states that the second unit costs less than the first, the fourth less than the second, and so on, with the proportional decline holding across doublings.</w:t>
      </w:r>
    </w:p>
    <w:p>
      <w:pPr>
        <w:pStyle w:val="BodyText"/>
        <w:spacing w:line="480" w:lineRule="auto"/>
        <w:ind w:firstLine="720"/>
      </w:pPr>
      <w:r>
        <w:t xml:space="preserve">For this mechanism, the beneath this regularity is the conversion of repetition into embodied knowledge. For the evidence file, with each build, the producing organization refines tooling, stabilizes processes, retires design risk, reuses qualified parts and procedures, and shortens the path from requirement to qualified flight unit. The knowledge accrues to the organization and to the design lineage, not merely to the individual artifact. For the evidence file, this is why the relevant accounting variable is cumulative units of a recognizable design family rather than calendar time or the attributes of any single unit. The aggregate space-hardware evidence makes precisely this attribution. Sample space cost curves show cost per kilogram for heavy launch and for communications satellites declining as cumulative sector activity grows</w:t>
      </w:r>
      <w:r>
        <w:t xml:space="preserve"> </w:t>
      </w:r>
      <w:hyperlink w:anchor="ref-2">
        <w:r>
          <w:rPr>
            <w:rStyle w:val="Hyperlink"/>
          </w:rPr>
          <w:t xml:space="preserve">[2]</w:t>
        </w:r>
      </w:hyperlink>
      <w:r>
        <w:t xml:space="preserve">, and forecasts of the space economy attribute a substantial share of recent cost reduction in satellite manufacturing to accumulated production experience instead of to reductions in mass</w:t>
      </w:r>
      <w:r>
        <w:t xml:space="preserve"> </w:t>
      </w:r>
      <w:hyperlink w:anchor="ref-3">
        <w:r>
          <w:rPr>
            <w:rStyle w:val="Hyperlink"/>
          </w:rPr>
          <w:t xml:space="preserve">[3]</w:t>
        </w:r>
      </w:hyperlink>
      <w:r>
        <w:t xml:space="preserve">. The mechanism is for that reason not speculative at the sector scale; it is documented. For the evidence file, level is the open question, whether the same mechanism that operates over fleets of buses also operates over successive builds of a single scientific instrument archetype.</w:t>
      </w:r>
    </w:p>
    <w:bookmarkEnd w:id="86"/>
    <w:bookmarkStart w:id="87" w:name="Xb8a81a281a792c4f90cdb018ac38ac780d25085"/>
    <w:p>
      <w:pPr>
        <w:pStyle w:val="Heading3"/>
        <w:spacing w:line="480" w:lineRule="auto"/>
      </w:pPr>
      <w:r>
        <w:t xml:space="preserve">3.2.2 Why the Heliophysics Particle-and-Fields Family Is the Right Test Bed</w:t>
      </w:r>
    </w:p>
    <w:p>
      <w:pPr>
        <w:pStyle w:val="FirstParagraph"/>
        <w:spacing w:line="480" w:lineRule="auto"/>
      </w:pPr>
      <w:r>
        <w:t xml:space="preserve">Three properties of the heliophysics particle-and-fields family make it an unusually clean setting in which to ask whether the experience effect operates at the instrument level, and these properties are what permit the within-archetype identification developed in Section 3.3. The chapter treats this as an empirical claim: first, the archetypes are stable. For the evidence file, a fluxgate magnetometer measures the vector magnetic field by the same physical principle across four decades of builds; an electrostatic analyzer selects charged particles by energy-per-charge in a manner that is recognizably continuous from one mission to the next. For the evidence file, the recurrence of the same measurement principle, realized in hardware of comparable design heritage, means that successive units are members of a genuine production lineage rather than unrelated artifacts that happen to share a label. The companion instrument-level study in this dissertation documents exactly this recurrence: magnetometers, search-coil sensors, electrostatic analyzers, solid-state telescopes, and ion spectrometers recur across mission after mission, from the Wind and ACE monitors of the 1990s to the Magnetospheric Multiscale, Parker Solar Probe, and Solar Orbiter payloads of the past decade.</w:t>
      </w:r>
    </w:p>
    <w:p>
      <w:pPr>
        <w:pStyle w:val="BodyText"/>
        <w:spacing w:line="480" w:lineRule="auto"/>
        <w:ind w:firstLine="720"/>
      </w:pPr>
      <w:r>
        <w:t xml:space="preserve">Second, the heritage chains are documented. For the evidence file, the instrument-description literature, concentrated in refereed venues, records the lineage of each build with enough fidelity that an analyst can assign an archetype and order the units by cumulative count without fabricating the chain. For the evidence file, this documentary base is what allows cumulative units of an archetype to be a measured quantity rather than an assumption. For the evidence file, the data construction is deliberately visible: third, the science function is comparable across builds, which holds the produced good approximately fixed in capability terms. For the evidence file, when the output of successive builds performs the same measurement to comparable specification, a decline in recurring cost across the lineage is more readily attributable to production experience than to a change in what is being produced. This comparability is the empirical precondition that distinguishes a learning effect from a descoping effect, a distinction Section 3.5 treats as a formal threat. The institutional context reinforces the relevance of the question. NASA’s heliophysics division sustains a recurring demand for these instruments across its mission lines and its observing architecture</w:t>
      </w:r>
      <w:r>
        <w:t xml:space="preserve"> </w:t>
      </w:r>
      <w:hyperlink w:anchor="ref-13">
        <w:r>
          <w:rPr>
            <w:rStyle w:val="Hyperlink"/>
          </w:rPr>
          <w:t xml:space="preserve">[13]</w:t>
        </w:r>
      </w:hyperlink>
      <w:r>
        <w:t xml:space="preserve">, so the archetypes are not historical curiosities but an active, repeatedly procured class of hardware. For the evidence file, if an experience effect exists in this class and is currently unmodeled, every forward estimate for the class is misspecified in a direction the division has a standing interest in knowing.</w:t>
      </w:r>
    </w:p>
    <w:bookmarkEnd w:id="87"/>
    <w:bookmarkEnd w:id="88"/>
    <w:bookmarkStart w:id="94" w:name="the-causal-logic"/>
    <w:p>
      <w:pPr>
        <w:pStyle w:val="Heading2"/>
        <w:spacing w:line="480" w:lineRule="auto"/>
      </w:pPr>
      <w:r>
        <w:t xml:space="preserve">3.3 The Causal Logic</w:t>
      </w:r>
    </w:p>
    <w:bookmarkStart w:id="89" w:name="the-claim-to-be-identified"/>
    <w:p>
      <w:pPr>
        <w:pStyle w:val="Heading3"/>
        <w:spacing w:line="480" w:lineRule="auto"/>
      </w:pPr>
      <w:r>
        <w:t xml:space="preserve">3.3.1 The Claim to Be Identified</w:t>
      </w:r>
    </w:p>
    <w:p>
      <w:pPr>
        <w:pStyle w:val="FirstParagraph"/>
        <w:spacing w:line="480" w:lineRule="auto"/>
      </w:pPr>
      <w:r>
        <w:t xml:space="preserve">For the empirical reader, the causal claim is narrow and specific. One channel, one sign. For the evidence file, it is that, holding the produced instrument’s physical scale fixed and holding secular technological progress fixed, an increase in the cumulative number of units of an archetype already built is associated with a reduction in the recurring cost of the next unit of that archetype, through the channel of accumulated production experience. For the evidence file, the claim is not that cumulative experience is the only driver of instrument cost, nor that it dominates mass; it is that experience carries an independent, sign-definite association with cost once the obvious competitors are conditioned out. For the evidence file, the estimand is the partial elasticity of recurring cost with respect to cumulative archetype units, net of mass and net of trend.</w:t>
      </w:r>
    </w:p>
    <w:bookmarkEnd w:id="89"/>
    <w:bookmarkStart w:id="90" w:name="rival-explanation-one-mass"/>
    <w:p>
      <w:pPr>
        <w:pStyle w:val="Heading3"/>
        <w:spacing w:line="480" w:lineRule="auto"/>
      </w:pPr>
      <w:r>
        <w:t xml:space="preserve">3.3.2 Rival Explanation One: Mass</w:t>
      </w:r>
    </w:p>
    <w:p>
      <w:pPr>
        <w:pStyle w:val="FirstParagraph"/>
        <w:spacing w:line="480" w:lineRule="auto"/>
      </w:pPr>
      <w:r>
        <w:t xml:space="preserve">For this evidence, the trail is concrete here: the first and most important rival explanation is mass. It is also the hardest to dislodge. The parametric tradition holds that recurring instrument cost is governed principally by the instrument’s physical and performance scale, with mass as the headline driver entered alongside power and design life</w:t>
      </w:r>
      <w:r>
        <w:t xml:space="preserve"> </w:t>
      </w:r>
      <w:hyperlink w:anchor="ref-4">
        <w:r>
          <w:rPr>
            <w:rStyle w:val="Hyperlink"/>
          </w:rPr>
          <w:t xml:space="preserve">[4]</w:t>
        </w:r>
      </w:hyperlink>
      <w:r>
        <w:t xml:space="preserve">[5]. Independent validation of parametric tools confirms that mass-driven power-law forms predict instrument and mission cost with usable accuracy</w:t>
      </w:r>
      <w:r>
        <w:t xml:space="preserve"> </w:t>
      </w:r>
      <w:hyperlink w:anchor="ref-6">
        <w:r>
          <w:rPr>
            <w:rStyle w:val="Hyperlink"/>
          </w:rPr>
          <w:t xml:space="preserve">[6]</w:t>
        </w:r>
      </w:hyperlink>
      <w:r>
        <w:t xml:space="preserve">. For the evidence file, the companion instrument-level study in this dissertation estimates the cost-mass elasticity directly for this family and recovers a value firmly between zero and one, indicating that mass is a strong and precisely estimated cost driver even as cost rises less than proportionally with mass. For the evidence file, any naive correlation between cumulative archetype experience and low cost could for that reason be an artifact of mass: if later builds in a lineage happen to be lighter, an apparent learning effect would in fact be a mass effect in disguise.</w:t>
      </w:r>
    </w:p>
    <w:p>
      <w:pPr>
        <w:pStyle w:val="BodyText"/>
        <w:spacing w:line="480" w:lineRule="auto"/>
        <w:ind w:firstLine="720"/>
      </w:pPr>
      <w:r>
        <w:t xml:space="preserve">For this causal, the design neutralizes this rival by conditioning on mass directly. For the evidence file, entering the logarithm of unit mass as a regressor means the learning elasticity is estimated from the cost variation along the cumulative-units dimension that mass does not explain. This is the explicit horse race against the parametric benchmark, whose cost figures are mass-driven</w:t>
      </w:r>
      <w:r>
        <w:t xml:space="preserve"> </w:t>
      </w:r>
      <w:hyperlink w:anchor="ref-4">
        <w:r>
          <w:rPr>
            <w:rStyle w:val="Hyperlink"/>
          </w:rPr>
          <w:t xml:space="preserve">[4]</w:t>
        </w:r>
      </w:hyperlink>
      <w:r>
        <w:t xml:space="preserve">[5][6]. For the evidence file, the experience effect, if it survives, is the residual cost decline that remains after the instrument’s physical scale has been accounted for. If no such residual exists, the parametric form is sufficient and the experience mechanism is empirically idle.</w:t>
      </w:r>
    </w:p>
    <w:bookmarkEnd w:id="90"/>
    <w:bookmarkStart w:id="91" w:name="X517ad3e9193aebe4255629b4ed2cdcedea82b0d"/>
    <w:p>
      <w:pPr>
        <w:pStyle w:val="Heading3"/>
        <w:spacing w:line="480" w:lineRule="auto"/>
      </w:pPr>
      <w:r>
        <w:t xml:space="preserve">3.3.3 Rival Explanation Two: Secular Technological Trend</w:t>
      </w:r>
    </w:p>
    <w:p>
      <w:pPr>
        <w:pStyle w:val="FirstParagraph"/>
        <w:spacing w:line="480" w:lineRule="auto"/>
      </w:pPr>
      <w:r>
        <w:t xml:space="preserve">For this second, the rival explanation is generic technological progress over calendar time. For the evidence file, microelectronics, detector materials, and fabrication methods improve across decades for reasons that have nothing to do with the cumulative count of any particular instrument archetype. For the evidence file, if costs fall over time for these economy-wide reasons, and if cumulative archetype units mechanically rise over time because later builds occur later, then a downward calendar trend could masquerade as a learning effect. For the evidence file, the two are observationally confounded in any single lineage because cumulative count and calendar date both increase monotonically along it. For the evidence file, the archival record matters here: the causal design separates the two by entering a calendar-year trend term alongside the cumulative-units term. For the evidence file, the trend term absorbs the component of cost decline that is common to all instruments at a given epoch, leaving the cumulative-units term to capture only the decline that tracks the archetype’s own production history. For the evidence file, the conceptual distinction is between two clocks: the calendar clock, which advances for everyone at once, and the experience clock, which advances only when a unit of the specific archetype is built. For the evidence file, the learning hypothesis is a claim about the experience clock; the trend term defends that claim against the calendar clock. The instrument-level cost-time literature establishes that such trends are real and measurable for NASA flight instruments</w:t>
      </w:r>
      <w:r>
        <w:t xml:space="preserve"> </w:t>
      </w:r>
      <w:hyperlink w:anchor="ref-5">
        <w:r>
          <w:rPr>
            <w:rStyle w:val="Hyperlink"/>
          </w:rPr>
          <w:t xml:space="preserve">[5]</w:t>
        </w:r>
      </w:hyperlink>
      <w:r>
        <w:t xml:space="preserve">, which is precisely why the trend cannot be left out; omitting it would risk attributing a genuine secular decline to learning.</w:t>
      </w:r>
    </w:p>
    <w:bookmarkEnd w:id="91"/>
    <w:bookmarkStart w:id="92" w:name="X7ea6d9fdc53e7b3b2682ce5fbadf33df3ee4d52"/>
    <w:p>
      <w:pPr>
        <w:pStyle w:val="Heading3"/>
        <w:spacing w:line="480" w:lineRule="auto"/>
      </w:pPr>
      <w:r>
        <w:t xml:space="preserve">3.3.4 The Role of Within-Archetype Identification</w:t>
      </w:r>
    </w:p>
    <w:p>
      <w:pPr>
        <w:pStyle w:val="FirstParagraph"/>
        <w:spacing w:line="480" w:lineRule="auto"/>
      </w:pPr>
      <w:r>
        <w:t xml:space="preserve">For a replicator, the deepest feature of the causal logic is that identification is within archetype. For the evidence file, different archetypes differ in their baseline cost levels for time-invariant reasons: a fluxgate magnetometer and an electrostatic ion analyzer are simply different kinds of object, with different intrinsic complexity, different parts counts, and different baseline price levels. For the evidence file, if the learning slope were estimated by comparing across archetypes, it would be contaminated by these fixed level differences, and a finding could reflect nothing more than the accident that one cheap archetype happens to have many units and one expensive archetype happens to have few. For the evidence file, archetype fixed effects remove this contamination by absorbing the time-invariant level differences between archetypes, so the learning elasticity is estimated from repeated builds of the same archetype rather than from cross-archetype comparison. This is exactly the comparison the aggregate cost-curve evidence cannot perform, since that evidence operates above the instrument level</w:t>
      </w:r>
      <w:r>
        <w:t xml:space="preserve"> </w:t>
      </w:r>
      <w:hyperlink w:anchor="ref-2">
        <w:r>
          <w:rPr>
            <w:rStyle w:val="Hyperlink"/>
          </w:rPr>
          <w:t xml:space="preserve">[2]</w:t>
        </w:r>
      </w:hyperlink>
      <w:r>
        <w:t xml:space="preserve">, and it is what makes the instrument-level test genuinely new. For the evidence file, the within-archetype design asks, of each lineage separately, whether later builds cost less than earlier builds of the same thing, and then pools that within-lineage signal across archetypes to estimate a common slope.</w:t>
      </w:r>
    </w:p>
    <w:bookmarkEnd w:id="92"/>
    <w:bookmarkStart w:id="93" w:name="X4a29a839589fe71a45012a1cd629542d266594f"/>
    <w:p>
      <w:pPr>
        <w:pStyle w:val="Heading3"/>
        <w:spacing w:line="480" w:lineRule="auto"/>
      </w:pPr>
      <w:r>
        <w:t xml:space="preserve">3.3.5 Direction of Causation and the Scope of the Inference</w:t>
      </w:r>
    </w:p>
    <w:p>
      <w:pPr>
        <w:pStyle w:val="FirstParagraph"/>
        <w:spacing w:line="480" w:lineRule="auto"/>
      </w:pPr>
      <w:r>
        <w:t xml:space="preserve">For this chapter, the treats this as an empirical claim: the proposed direction of causation runs from accumulated experience to reduced cost, not the reverse. Reverse causation, in which low cost causes high cumulative production, is not a coherent threat in this setting, since cumulative units of a scientific instrument archetype are determined by the cadence of funded heliophysics missions and their science requirements</w:t>
      </w:r>
      <w:r>
        <w:t xml:space="preserve"> </w:t>
      </w:r>
      <w:hyperlink w:anchor="ref-13">
        <w:r>
          <w:rPr>
            <w:rStyle w:val="Hyperlink"/>
          </w:rPr>
          <w:t xml:space="preserve">[13]</w:t>
        </w:r>
      </w:hyperlink>
      <w:r>
        <w:t xml:space="preserve">, not by the unit cost of the instrument in any way that would invert the temporal ordering. For the evidence file, a unit’s cumulative-count value is fixed by the builds that preceded it, which are historically prior, so the regressor is predetermined relative to the cost it is asked to explain. The inference is nonetheless deliberately scoped. For the evidence file, it is a claim about the conditional association estimated within this instrument family, under the flown-only sample that the cost records permit, and it is offered as evidence about the existence and slope of an archetype-level experience effect, not as a universal structural constant transportable to other instrument classes.</w:t>
      </w:r>
    </w:p>
    <w:bookmarkEnd w:id="93"/>
    <w:bookmarkEnd w:id="94"/>
    <w:bookmarkStart w:id="100" w:name="the-formal-model-and-hypotheses"/>
    <w:p>
      <w:pPr>
        <w:pStyle w:val="Heading2"/>
        <w:spacing w:line="480" w:lineRule="auto"/>
      </w:pPr>
      <w:r>
        <w:t xml:space="preserve">3.4 The Formal Model and Hypotheses</w:t>
      </w:r>
    </w:p>
    <w:bookmarkStart w:id="95" w:name="the-estimable-specification"/>
    <w:p>
      <w:pPr>
        <w:pStyle w:val="Heading3"/>
        <w:spacing w:line="480" w:lineRule="auto"/>
      </w:pPr>
      <w:r>
        <w:t xml:space="preserve">3.4.1 The Estimable Specification</w:t>
      </w:r>
    </w:p>
    <w:p>
      <w:pPr>
        <w:pStyle w:val="FirstParagraph"/>
        <w:spacing w:line="480" w:lineRule="auto"/>
      </w:pPr>
      <w:r>
        <w:t xml:space="preserve">For this theoretical, the mechanism and causal logic of the preceding sections are made operational by a single log-linear specification. Let the recurring, inflation-adjusted unit cost of instrument unit i of archetype a be modeled as</w:t>
      </w:r>
    </w:p>
    <w:p>
      <w:pPr>
        <w:pStyle w:val="BodyText"/>
        <w:spacing w:line="480" w:lineRule="auto"/>
        <w:ind w:firstLine="720"/>
      </w:pPr>
      <w:r>
        <w:t xml:space="preserve">log Cost(i) = beta_0 + beta_1 log CumulativeUnits(a, i) + beta_2 log Mass(i) + gamma Year(i) + alpha_a + controls + error(i),</w:t>
      </w:r>
    </w:p>
    <w:p>
      <w:pPr>
        <w:pStyle w:val="BodyText"/>
        <w:spacing w:line="480" w:lineRule="auto"/>
        <w:ind w:firstLine="720"/>
      </w:pPr>
      <w:r>
        <w:t xml:space="preserve">where CumulativeUnits(a, i) is the number of prior units of archetype a built before unit i, Mass(i) is the unit’s mass, Year(i) is the calendar year of the build, alpha_a is an archetype fixed effect, and the controls accommodate available capability and complexity attributes in the spirit of the multi-attribute parametric form</w:t>
      </w:r>
      <w:r>
        <w:t xml:space="preserve"> </w:t>
      </w:r>
      <w:hyperlink w:anchor="ref-6">
        <w:r>
          <w:rPr>
            <w:rStyle w:val="Hyperlink"/>
          </w:rPr>
          <w:t xml:space="preserve">[6]</w:t>
        </w:r>
      </w:hyperlink>
      <w:r>
        <w:t xml:space="preserve">. For the evidence file, inflation adjustment places all costs in constant terms so that nominal price-level movement is not mistaken for either mass scaling or learning. The coefficient of theoretical interest is beta_1. For the empirical reader, the specification is multiplicative in levels and additive in logarithms by deliberate design, because the experience effect is itself multiplicative: it is a constant fractional decline per doubling, not a constant dollar decline per unit. Estimating it in logs lets beta_1 read directly as the learning elasticity, the percentage change in recurring cost associated with a one-percent change in cumulative archetype units. The mapping from elasticity to the more familiar progress ratio is exact: the progress ratio equals two raised to the power beta_1, so that a negative beta_1 corresponds to a progress ratio below unity and to genuine cost decline across doublings of cumulative output.</w:t>
      </w:r>
    </w:p>
    <w:bookmarkEnd w:id="95"/>
    <w:bookmarkStart w:id="96" w:name="the-nested-benchmark"/>
    <w:p>
      <w:pPr>
        <w:pStyle w:val="Heading3"/>
        <w:spacing w:line="480" w:lineRule="auto"/>
      </w:pPr>
      <w:r>
        <w:t xml:space="preserve">3.4.2 The Nested Benchmark</w:t>
      </w:r>
    </w:p>
    <w:p>
      <w:pPr>
        <w:pStyle w:val="FirstParagraph"/>
        <w:spacing w:line="480" w:lineRule="auto"/>
      </w:pPr>
      <w:r>
        <w:t xml:space="preserve">For this evidence, the trail is concrete here: the mass-only parametric model is the nested benchmark against which the learning specification is judged. Imposing beta_1 equal to zero and gamma equal to zero collapses the specification to a mass-driven cost-estimating relationship of the kind that dominates current practice</w:t>
      </w:r>
      <w:r>
        <w:t xml:space="preserve"> </w:t>
      </w:r>
      <w:hyperlink w:anchor="ref-4">
        <w:r>
          <w:rPr>
            <w:rStyle w:val="Hyperlink"/>
          </w:rPr>
          <w:t xml:space="preserve">[4]</w:t>
        </w:r>
      </w:hyperlink>
      <w:r>
        <w:t xml:space="preserve">[5][6], and which the companion instrument-level study in this dissertation has already shown to fit this family closely on the mass dimension alone. For the evidence file, because the benchmark is nested inside the full model, the comparison is a clean restriction test: the learning term either adds explanatory content beyond mass and trend or it does not. This nesting is what makes the contribution falsifiable rather than merely illustrative. For the evidence file, the full model cannot fit worse than the benchmark in sample by construction, so the test that matters is whether the learning coefficient is reliably non-zero and whether the full model improves prediction on builds it did not see during estimation.</w:t>
      </w:r>
    </w:p>
    <w:bookmarkEnd w:id="96"/>
    <w:bookmarkStart w:id="97" w:name="the-null-hypothesis-h0"/>
    <w:p>
      <w:pPr>
        <w:pStyle w:val="Heading3"/>
        <w:spacing w:line="480" w:lineRule="auto"/>
      </w:pPr>
      <w:r>
        <w:t xml:space="preserve">3.4.3 The Null Hypothesis H0</w:t>
      </w:r>
    </w:p>
    <w:p>
      <w:pPr>
        <w:pStyle w:val="FirstParagraph"/>
        <w:spacing w:line="480" w:lineRule="auto"/>
      </w:pPr>
      <w:r>
        <w:t xml:space="preserve">The null hypothesis is the proposition that the parametric status quo is sufficient.</w:t>
      </w:r>
    </w:p>
    <w:p>
      <w:pPr>
        <w:pStyle w:val="BodyText"/>
        <w:spacing w:line="480" w:lineRule="auto"/>
        <w:ind w:firstLine="720"/>
      </w:pPr>
      <w:r>
        <w:t xml:space="preserve">H0: beta_1 = 0.</w:t>
      </w:r>
    </w:p>
    <w:p>
      <w:pPr>
        <w:pStyle w:val="BodyText"/>
        <w:spacing w:line="480" w:lineRule="auto"/>
        <w:ind w:firstLine="720"/>
      </w:pPr>
      <w:r>
        <w:t xml:space="preserve">For this archival, the record matters here: substantively, H0 states that after conditioning on instrument mass and on the calendar-year trend, cumulative archetype experience has no association with recurring instrument cost. Under H0 the experience clock is empirically idle for scientific instrument archetypes: whatever cost decline these instruments exhibit is fully explained by their physical scale and by the secular trend common to all hardware of a given epoch. The mass-driven parametric form is then not merely a useful approximation but a complete one for the purpose of cost estimation in this family, and the aggregate experience effect documented for buses and launch vehicles</w:t>
      </w:r>
      <w:r>
        <w:t xml:space="preserve"> </w:t>
      </w:r>
      <w:hyperlink w:anchor="ref-2">
        <w:r>
          <w:rPr>
            <w:rStyle w:val="Hyperlink"/>
          </w:rPr>
          <w:t xml:space="preserve">[2]</w:t>
        </w:r>
      </w:hyperlink>
      <w:r>
        <w:t xml:space="preserve">[3] does not propagate down to the instrument archetype. H0 is the hypothesis that the present estimating practice has no blind spot of the kind this dissertation conjectures.</w:t>
      </w:r>
    </w:p>
    <w:bookmarkEnd w:id="97"/>
    <w:bookmarkStart w:id="98" w:name="the-alternative-hypothesis-h1"/>
    <w:p>
      <w:pPr>
        <w:pStyle w:val="Heading3"/>
        <w:spacing w:line="480" w:lineRule="auto"/>
      </w:pPr>
      <w:r>
        <w:t xml:space="preserve">3.4.4 The Alternative Hypothesis H1</w:t>
      </w:r>
    </w:p>
    <w:p>
      <w:pPr>
        <w:pStyle w:val="FirstParagraph"/>
        <w:spacing w:line="480" w:lineRule="auto"/>
      </w:pPr>
      <w:r>
        <w:t xml:space="preserve">The alternative hypothesis is the proposition that an archetype-level experience effect exists and lowers cost.</w:t>
      </w:r>
    </w:p>
    <w:p>
      <w:pPr>
        <w:pStyle w:val="BodyText"/>
        <w:spacing w:line="480" w:lineRule="auto"/>
        <w:ind w:firstLine="720"/>
      </w:pPr>
      <w:r>
        <w:t xml:space="preserve">H1: beta_1 &lt; 0.</w:t>
      </w:r>
    </w:p>
    <w:p>
      <w:pPr>
        <w:pStyle w:val="BodyText"/>
        <w:spacing w:line="480" w:lineRule="auto"/>
        <w:ind w:firstLine="720"/>
      </w:pPr>
      <w:r>
        <w:t xml:space="preserve">For this chapter, the treats this as an empirical claim: substantively, H1 states that after conditioning on instrument mass and on the calendar-year trend, recurring instrument cost declines with cumulative units of the archetype, consistent with an experience effect of the kind documented for space hardware in the aggregate</w:t>
      </w:r>
      <w:r>
        <w:t xml:space="preserve"> </w:t>
      </w:r>
      <w:hyperlink w:anchor="ref-2">
        <w:r>
          <w:rPr>
            <w:rStyle w:val="Hyperlink"/>
          </w:rPr>
          <w:t xml:space="preserve">[2]</w:t>
        </w:r>
      </w:hyperlink>
      <w:r>
        <w:t xml:space="preserve">[3]. H1 is directional, not merely two-sided, since the theoretical mechanism predicts a sign. For the evidence file, accumulated production experience can only reduce or leave unchanged the recurring cost of the next unit through the channels of process refinement, design-risk retirement, and qualified reuse; the mechanism supplies no route by which experience would raise recurring cost. A positive beta_1, were it to appear, would not support the experience mechanism and would instead signal a misspecification, most plausibly an uncontrolled capability escalation in which later builds are simultaneously more experienced and more capable. H1 is for that reason the one-sided claim that the experience clock runs, and runs in the cost-reducing direction, for the heliophysics particle-and-fields archetype.</w:t>
      </w:r>
    </w:p>
    <w:bookmarkEnd w:id="98"/>
    <w:bookmarkStart w:id="99" w:name="symmetry-of-the-falsification"/>
    <w:p>
      <w:pPr>
        <w:pStyle w:val="Heading3"/>
        <w:spacing w:line="480" w:lineRule="auto"/>
      </w:pPr>
      <w:r>
        <w:t xml:space="preserve">3.4.5 Symmetry of the Falsification</w:t>
      </w:r>
    </w:p>
    <w:p>
      <w:pPr>
        <w:pStyle w:val="FirstParagraph"/>
        <w:spacing w:line="480" w:lineRule="auto"/>
      </w:pPr>
      <w:r>
        <w:t xml:space="preserve">For this data, the construction is deliberately visible: the hypothesis pair is falsifiable in both directions, and this symmetry is the methodological core of the chapter. If the mass-controlled, trend-controlled estimate of beta_1 is statistically indistinguishable from zero, H1 is rejected and the parametric status quo is vindicated for this instrument class; the dissertation then reports a precisely estimated null, which is itself an informative result since it tells cost estimators that an archetype-level learning term is unnecessary. If instead beta_1 is reliably negative and the full model improves out-of-sample prediction over the mass-only benchmark drawn from parametric practice</w:t>
      </w:r>
      <w:r>
        <w:t xml:space="preserve"> </w:t>
      </w:r>
      <w:hyperlink w:anchor="ref-4">
        <w:r>
          <w:rPr>
            <w:rStyle w:val="Hyperlink"/>
          </w:rPr>
          <w:t xml:space="preserve">[4]</w:t>
        </w:r>
      </w:hyperlink>
      <w:r>
        <w:t xml:space="preserve">[6], the learning specification is preferred and the dissertation reports the slope, with its implied progress ratio, as a quantity that current models omit. The decision between H0 and H1 rests jointly on the sign and significance of beta_1 and on held-out predictive error against the most recent builds, so that neither in-sample fit alone nor a single coefficient sign can carry the conclusion unaided.</w:t>
      </w:r>
    </w:p>
    <w:bookmarkEnd w:id="99"/>
    <w:bookmarkEnd w:id="100"/>
    <w:bookmarkStart w:id="101" w:name="Xf3c5d141f932b7fe5e8999becdf7a33c0827293"/>
    <w:p>
      <w:pPr>
        <w:pStyle w:val="Heading2"/>
        <w:spacing w:line="480" w:lineRule="auto"/>
      </w:pPr>
      <w:r>
        <w:t xml:space="preserve">3.5 Auxiliary Conditions for a Valid Inference</w:t>
      </w:r>
    </w:p>
    <w:p>
      <w:pPr>
        <w:pStyle w:val="FirstParagraph"/>
        <w:spacing w:line="480" w:lineRule="auto"/>
      </w:pPr>
      <w:r>
        <w:t xml:space="preserve">For this operational, the question is narrower: a rejection of H0 supports the experience mechanism only if a set of auxiliary conditions holds, and the framework states them explicitly so that the eventual test is interpretable instead of merely decisive. The first condition concerns capability comparability. The mechanism presumes that successive builds of an archetype produce approximately the same scientific good; if later builds are systematically more capable, a negative beta_1 could reflect descoping economics instead of learning. The framework addresses this by holding the science function approximately fixed through the archetype definition itself, by including the available capability and complexity controls in the specification</w:t>
      </w:r>
      <w:r>
        <w:t xml:space="preserve"> </w:t>
      </w:r>
      <w:hyperlink w:anchor="ref-6">
        <w:r>
          <w:rPr>
            <w:rStyle w:val="Hyperlink"/>
          </w:rPr>
          <w:t xml:space="preserve">[6]</w:t>
        </w:r>
      </w:hyperlink>
      <w:r>
        <w:t xml:space="preserve">, and by reporting whether beta_1 is robust to their inclusion. A learning estimate that survives capability controls is far harder to dismiss as disguised descoping. For the empirical reader, the second condition concerns the separability of the two clocks. The mechanism presumes that the calendar trend and the experience count are statistically separable in the sample. For the evidence file, where a lineage is short, the two move nearly in lockstep and separation is weak; the framework for that reason treats the trend term’s specification as a sensitivity dimension, re-estimating with the trend entered flexibly and reporting whether the learning coefficient survives. A beta_1 that vanishes when the trend is enriched would indicate that the apparent learning effect was secular progress all along.</w:t>
      </w:r>
    </w:p>
    <w:p>
      <w:pPr>
        <w:pStyle w:val="BodyText"/>
        <w:spacing w:line="480" w:lineRule="auto"/>
        <w:ind w:firstLine="720"/>
      </w:pPr>
      <w:r>
        <w:t xml:space="preserve">For this third, the condition concerns the population on which the inference rests. For the evidence file, the cost records are flown-only; cancelled instruments do not appear, and the recurring-cost distribution is consequently conditional on flight. For the evidence file, the framework treats the estimate as conditional on flight rather than as an unconditional structural parameter, and it confines the inference to the heliophysics particle-and-fields family in keeping with the within-archetype identification strategy. The aggregate-sector evidence</w:t>
      </w:r>
      <w:r>
        <w:t xml:space="preserve"> </w:t>
      </w:r>
      <w:hyperlink w:anchor="ref-2">
        <w:r>
          <w:rPr>
            <w:rStyle w:val="Hyperlink"/>
          </w:rPr>
          <w:t xml:space="preserve">[2]</w:t>
        </w:r>
      </w:hyperlink>
      <w:r>
        <w:t xml:space="preserve">[3] enters only as a motivating prior for the existence of the mechanism, never as a transported estimate of its slope. Under these stated conditions, a reliably negative beta_1 is evidence for an archetype-level experience effect; outside them, the chapter is explicit that the inference does not extend.</w:t>
      </w:r>
    </w:p>
    <w:bookmarkEnd w:id="101"/>
    <w:bookmarkStart w:id="102" w:name="summary-1"/>
    <w:p>
      <w:pPr>
        <w:pStyle w:val="Heading2"/>
        <w:spacing w:line="480" w:lineRule="auto"/>
      </w:pPr>
      <w:r>
        <w:t xml:space="preserve">3.6 Summary</w:t>
      </w:r>
    </w:p>
    <w:p>
      <w:pPr>
        <w:pStyle w:val="FirstParagraph"/>
        <w:spacing w:line="480" w:lineRule="auto"/>
      </w:pPr>
      <w:r>
        <w:t xml:space="preserve">For this chapter, the has supplied the theoretical mechanism, the causal logic, and the formal hypotheses that the remainder of the dissertation tests. The mechanism is the experience effect, the multiplicative decline of recurring unit cost in cumulative archetype output, documented for space hardware in the aggregate</w:t>
      </w:r>
      <w:r>
        <w:t xml:space="preserve"> </w:t>
      </w:r>
      <w:hyperlink w:anchor="ref-2">
        <w:r>
          <w:rPr>
            <w:rStyle w:val="Hyperlink"/>
          </w:rPr>
          <w:t xml:space="preserve">[2]</w:t>
        </w:r>
      </w:hyperlink>
      <w:r>
        <w:t xml:space="preserve">[3] and conjectured here to operate at the level of the heliophysics particle-and-fields instrument archetype. The causal logic identifies that mechanism against its two rivals by conditioning on mass directly</w:t>
      </w:r>
      <w:r>
        <w:t xml:space="preserve"> </w:t>
      </w:r>
      <w:hyperlink w:anchor="ref-4">
        <w:r>
          <w:rPr>
            <w:rStyle w:val="Hyperlink"/>
          </w:rPr>
          <w:t xml:space="preserve">[4]</w:t>
        </w:r>
      </w:hyperlink>
      <w:r>
        <w:t xml:space="preserve">[5][6], by entering a calendar-year trend to separate the experience clock from the calendar clock</w:t>
      </w:r>
      <w:r>
        <w:t xml:space="preserve"> </w:t>
      </w:r>
      <w:hyperlink w:anchor="ref-5">
        <w:r>
          <w:rPr>
            <w:rStyle w:val="Hyperlink"/>
          </w:rPr>
          <w:t xml:space="preserve">[5]</w:t>
        </w:r>
      </w:hyperlink>
      <w:r>
        <w:t xml:space="preserve">, and by estimating within archetype so that fixed level differences between instrument types cannot contaminate the slope. The formalization yields a single estimable elasticity, beta_1, and a single falsifiable pair of hypotheses: the null H0 that beta_1 equals zero and the parametric status quo suffices, against the directional alternative H1 that beta_1 is negative and an experience effect lowers archetype cost net of mass and trend. The claim is falsifiable in both directions, and the auxiliary conditions under which a rejection of H0 may be read as support for H1 are stated in advance. With the framework fixed, the empirical chapters proceed to estimation.</w:t>
      </w:r>
    </w:p>
    <w:bookmarkEnd w:id="102"/>
    <w:bookmarkEnd w:id="103"/>
    <w:bookmarkStart w:id="118" w:name="chapter-4.-data-and-measurement"/>
    <w:p>
      <w:pPr>
        <w:pStyle w:val="Heading1"/>
        <w:spacing w:line="480" w:lineRule="auto"/>
      </w:pPr>
      <w:r>
        <w:t xml:space="preserve">Chapter 4. Data and Measurement</w:t>
      </w:r>
    </w:p>
    <w:bookmarkStart w:id="104" w:name="purpose-and-scope-of-the-chapter"/>
    <w:p>
      <w:pPr>
        <w:pStyle w:val="Heading2"/>
        <w:spacing w:line="480" w:lineRule="auto"/>
      </w:pPr>
      <w:r>
        <w:t xml:space="preserve">4.1 Purpose and Scope of the Chapter</w:t>
      </w:r>
    </w:p>
    <w:p>
      <w:pPr>
        <w:pStyle w:val="FirstParagraph"/>
        <w:spacing w:line="480" w:lineRule="auto"/>
      </w:pPr>
      <w:r>
        <w:t xml:space="preserve">For this evidence, the trail is concrete here: the chapter documents the empirical foundation on which the two studies of this dissertation rest.</w:t>
      </w:r>
    </w:p>
    <w:p>
      <w:pPr>
        <w:pStyle w:val="BodyText"/>
        <w:spacing w:line="480" w:lineRule="auto"/>
        <w:ind w:firstLine="720"/>
      </w:pPr>
      <w:r>
        <w:t xml:space="preserve">For the evidence file, its task is descriptive and procedural rather than inferential: it states precisely what data were assembled, where each datum originates, what object each row of each dataset represents, and how every analytic variable is built from primary records. The estimation strategies and their results are reserved for the chapters that follow. For the evidence file, the intent here is that a reader who never sees those results should nonetheless be able to reconstruct the two datasets from the sources named, apply the same transformations, and arrive at the same observations.</w:t>
      </w:r>
    </w:p>
    <w:p>
      <w:pPr>
        <w:pStyle w:val="BodyText"/>
        <w:spacing w:line="480" w:lineRule="auto"/>
        <w:ind w:firstLine="720"/>
      </w:pPr>
      <w:r>
        <w:t xml:space="preserve">Two distinct datasets are described. They differ in almost every particular. For the evidence file, the first supports the instrument-level study of cost-mass scaling, in which the unit of analysis is a single heliophysics particle-or-fields instrument and the central estimand is the elasticity of development cost with respect to instrument mass. For the evidence file, the second supports the mission-level study, in which the unit of analysis is a whole mission whose dominant in-situ payload is a particles-and-fields suite, and the central estimand is the elasticity of total mission cost with respect to fleet mass once instrument multiplicity, fleet size, and programmatic class are held fixed. For the evidence file, the two datasets share a domain, a measurement philosophy, and a commitment to per-row source attribution, but they differ in their unit of analysis, their cost construction, and their sampling frame. For the evidence file, keeping the two descriptions separate is deliberate, because conflating an instrument record with a mission record is precisely the category error the dissertation is designed to avoid.</w:t>
      </w:r>
    </w:p>
    <w:p>
      <w:pPr>
        <w:pStyle w:val="BodyText"/>
        <w:spacing w:line="480" w:lineRule="auto"/>
        <w:ind w:firstLine="720"/>
      </w:pPr>
      <w:r>
        <w:t xml:space="preserve">For the program record, the chapter also discusses the measurement decisions that are common to both datasets, in particular the treatment of cost as a modeled or documented quantity rather than a recovered contract figure, the logarithmic transformation that gives the regression slopes their elasticity interpretation, and the provenance discipline that governs which values are admitted and which are flagged as illustrative.</w:t>
      </w:r>
    </w:p>
    <w:bookmarkEnd w:id="104"/>
    <w:bookmarkStart w:id="109" w:name="the-instrument-level-dataset"/>
    <w:p>
      <w:pPr>
        <w:pStyle w:val="Heading2"/>
        <w:spacing w:line="480" w:lineRule="auto"/>
      </w:pPr>
      <w:r>
        <w:t xml:space="preserve">4.2 The Instrument-Level Dataset</w:t>
      </w:r>
    </w:p>
    <w:bookmarkStart w:id="105" w:name="unit-of-analysis-and-sampling-frame"/>
    <w:p>
      <w:pPr>
        <w:pStyle w:val="Heading3"/>
        <w:spacing w:line="480" w:lineRule="auto"/>
      </w:pPr>
      <w:r>
        <w:t xml:space="preserve">4.2.1 Unit of Analysis and Sampling Frame</w:t>
      </w:r>
    </w:p>
    <w:p>
      <w:pPr>
        <w:pStyle w:val="FirstParagraph"/>
        <w:spacing w:line="480" w:lineRule="auto"/>
      </w:pPr>
      <w:r>
        <w:t xml:space="preserve">For this unit, the of analysis in the first study is the individual flight instrument. For the evidence file, an observation is one particle-or-fields instrument, or in a small number of cases one coordinated instrument suite treated as a single accommodated unit, flown on a heliophysics or space-physics mission. The dataset comprises twenty-eight such instruments drawn from missions spanning launch dates from 1994 to 2020. For the evidence file, the missions sampled are Wind, ACE, Cluster II, THEMIS, MESSENGER, Cassini, Juno, MAVEN, Van Allen Probes, Magnetospheric Multiscale, Parker Solar Probe, and Solar Orbiter. For the evidence file, these missions were chosen because they fly the recurring particle-and-fields archetypes that the dissertation studies and because their instruments are documented in the refereed literature to a depth that supports primary-source mass extraction. For a replicator, the instrument families partition into two groups that recur across the heliophysics record. The fields group comprises magnetometers, search-coil sensors, and integrated fields suites. The particle group comprises electrostatic analyzers, solid-state telescopes, plasma instruments, and ion and energetic-particle detectors. For the evidence file, this binary partition is consequential for the cost construction described below, because the published cost-estimating relationships from which modeled cost is drawn are type-specific, with separate exponents for fields detectors and for particle detectors.</w:t>
      </w:r>
    </w:p>
    <w:p>
      <w:pPr>
        <w:pStyle w:val="BodyText"/>
        <w:spacing w:line="480" w:lineRule="auto"/>
        <w:ind w:firstLine="720"/>
      </w:pPr>
      <w:r>
        <w:t xml:space="preserve">For this sampling, the frame is explicitly purposive rather than a complete census. For the evidence file, instruments enter the data file when their mass is documented in a refereed instrument-description paper and when their type maps cleanly onto one of the two cost-estimating-relationship categories. For the evidence file, this restriction privileges documentation quality over exhaustiveness, and the consequences of that choice for external validity are taken up in the study’s own limitations rather than papered over here.</w:t>
      </w:r>
    </w:p>
    <w:bookmarkEnd w:id="105"/>
    <w:bookmarkStart w:id="106" w:name="authoritative-sources"/>
    <w:p>
      <w:pPr>
        <w:pStyle w:val="Heading3"/>
        <w:spacing w:line="480" w:lineRule="auto"/>
      </w:pPr>
      <w:r>
        <w:t xml:space="preserve">4.2.2 Authoritative Sources</w:t>
      </w:r>
    </w:p>
    <w:p>
      <w:pPr>
        <w:pStyle w:val="FirstParagraph"/>
        <w:spacing w:line="480" w:lineRule="auto"/>
      </w:pPr>
      <w:r>
        <w:t xml:space="preserve">For the evidence file, two source classes feed the instrument-level dataset, one for the mass variable and one for the cost variable, and the separation between them is a deliberate identification feature rather than an accident of availability. The data construction is deliberately visible: mass is taken directly from each instrument’s refereed instrument-description paper. For the evidence file, the majority of these descriptions appear in Space Science Reviews, the journal of record for heliophysics instrument papers, with additional entries drawn from Astronomy and Astrophysics and from Annales Geophysicae. For the evidence file, each row of the data file carries, in a dedicated citation column, the exact instrument-description paper from which its mass is read. Instrument mass is for that reason a directly documented, primary-source physical quantity for every observation in the sample. No mass figure is interpolated, scaled from a similar instrument, or inferred from spacecraft-level totals.</w:t>
      </w:r>
    </w:p>
    <w:p>
      <w:pPr>
        <w:pStyle w:val="BodyText"/>
        <w:spacing w:line="480" w:lineRule="auto"/>
        <w:ind w:firstLine="720"/>
      </w:pPr>
      <w:r>
        <w:t xml:space="preserve">Cost is built from NASA’s published Instrument Cost Model rather than recovered from contract records. The governing source is the NASA Instrument Cost Model Version VII, documented by Habib-Agahi and Mrozinski for the NASA Cost Symposium</w:t>
      </w:r>
      <w:r>
        <w:t xml:space="preserve"> </w:t>
      </w:r>
      <w:hyperlink w:anchor="ref-4">
        <w:r>
          <w:rPr>
            <w:rStyle w:val="Hyperlink"/>
          </w:rPr>
          <w:t xml:space="preserve">[4]</w:t>
        </w:r>
      </w:hyperlink>
      <w:r>
        <w:t xml:space="preserve">, together with the companion analysis of instrument cost time trends released through the NASA Technical Reports Server</w:t>
      </w:r>
      <w:r>
        <w:t xml:space="preserve"> </w:t>
      </w:r>
      <w:hyperlink w:anchor="ref-5">
        <w:r>
          <w:rPr>
            <w:rStyle w:val="Hyperlink"/>
          </w:rPr>
          <w:t xml:space="preserve">[5]</w:t>
        </w:r>
      </w:hyperlink>
      <w:r>
        <w:t xml:space="preserve">. For the evidence file, these documents publish type-specific cost-estimating relationships in which instrument mass is the dominant driver, entered alongside secondary terms such as maximum power and design life. For the evidence file, the choice to model cost from the published relationships, rather than to assert proprietary unit-level cost figures, reflects a hard data constraint: development costs for individual flight instruments are not generally released at the unit level. For the evidence file, modeling cost transparently from a documented, independently published relationship is for that reason the only route to a reproducible cost variable, and it carries the analytic advantage that the resulting estimate can be read as the elasticity that the established models imply on an independently assembled mass cross-section.</w:t>
      </w:r>
    </w:p>
    <w:p>
      <w:pPr>
        <w:pStyle w:val="BodyText"/>
        <w:spacing w:line="480" w:lineRule="auto"/>
        <w:ind w:firstLine="720"/>
      </w:pPr>
      <w:r>
        <w:t xml:space="preserve">For this operational, the question is narrower: the credibility of mass-driven parametric forms as a benchmark is itself supported by the independent validation literature. Blind validation work on parametric cost tools for NASA missions confirms that mass-driven power-law forms predict instrument and mission cost with usable, if wide, accuracy</w:t>
      </w:r>
      <w:r>
        <w:t xml:space="preserve"> </w:t>
      </w:r>
      <w:hyperlink w:anchor="ref-6">
        <w:r>
          <w:rPr>
            <w:rStyle w:val="Hyperlink"/>
          </w:rPr>
          <w:t xml:space="preserve">[6]</w:t>
        </w:r>
      </w:hyperlink>
      <w:r>
        <w:t xml:space="preserve">, and alternative structural formulations using partial-least-squares structural equation modelling reach concordant conclusions about the centrality of mass and complexity</w:t>
      </w:r>
      <w:r>
        <w:t xml:space="preserve"> </w:t>
      </w:r>
      <w:hyperlink w:anchor="ref-7">
        <w:r>
          <w:rPr>
            <w:rStyle w:val="Hyperlink"/>
          </w:rPr>
          <w:t xml:space="preserve">[7]</w:t>
        </w:r>
      </w:hyperlink>
      <w:r>
        <w:t xml:space="preserve">. For the evidence file, these sources do not contribute data rows; they establish that the parametric form from which the cost variable is modeled is a defensible measurement instrument and not an idiosyncratic choice.</w:t>
      </w:r>
    </w:p>
    <w:bookmarkEnd w:id="106"/>
    <w:bookmarkStart w:id="107" w:name="variable-construction"/>
    <w:p>
      <w:pPr>
        <w:pStyle w:val="Heading3"/>
        <w:spacing w:line="480" w:lineRule="auto"/>
      </w:pPr>
      <w:r>
        <w:t xml:space="preserve">4.2.3 Variable Construction</w:t>
      </w:r>
    </w:p>
    <w:p>
      <w:pPr>
        <w:pStyle w:val="FirstParagraph"/>
        <w:spacing w:line="480" w:lineRule="auto"/>
      </w:pPr>
      <w:r>
        <w:t xml:space="preserve">For the empirical reader, three quantities are required for each instrument: an archetype or type label, a documented mass, and a modeled development cost. Each is built from primary records as follows. The type label is coded by hand from the instrument-description paper and from mission documentation. For the evidence file, each instrument is assigned to either the fields group or the particle group, and within those groups to a finer archetype label such as fluxgate magnetometer, search-coil magnetometer, electrostatic analyzer, or solid-state telescope. For the evidence file, the label is not a free variable; it is the key that selects which type-specific cost-estimating relationship is evaluated for that instrument. The coding is recorded transparently so that an independent analyst could reproduce each assignment from the cited description. For the evidence file, the evidence trail is concrete here: mass is recorded in kilograms exactly as stated in the cited instrument-description paper. For the evidence file, where a paper reports a flight-model mass distinct from an engineering or qualification mass, the flight-model figure is used. For the evidence file, where an instrument suite is treated as a single accommodated unit, the suite mass reported in the description is used, and the suite treatment is noted in the row. For the evidence file, mass is the only primary-measured physical quantity in the data file, and it anchors the entire analysis, because the cost variable is a deterministic function of mass and type. Everything downstream turns on getting it right.</w:t>
      </w:r>
    </w:p>
    <w:p>
      <w:pPr>
        <w:pStyle w:val="BodyText"/>
        <w:spacing w:line="480" w:lineRule="auto"/>
        <w:ind w:firstLine="720"/>
      </w:pPr>
      <w:r>
        <w:t xml:space="preserve">Cost is constructed by evaluating the published Version VII cost-estimating relationship for the instrument’s type at that instrument’s documented parameters</w:t>
      </w:r>
      <w:r>
        <w:t xml:space="preserve"> </w:t>
      </w:r>
      <w:hyperlink w:anchor="ref-4">
        <w:r>
          <w:rPr>
            <w:rStyle w:val="Hyperlink"/>
          </w:rPr>
          <w:t xml:space="preserve">[4]</w:t>
        </w:r>
      </w:hyperlink>
      <w:r>
        <w:t xml:space="preserve">[5]. The result is expressed in fiscal-year-2025 millions of dollars, placing every instrument on a common real basis. For the evidence file, because cost is generated by evaluating a published relationship at a documented mass, it is explicitly an estimate rather than a recovered contract figure, and the data file states this transparently for every row. For the evidence file, the analytic consequence is that the first study recovers the elasticity embedded in the established cost models on a documented mass cross-section, rather than asserting access to proprietary cost data it does not possess. For the evidence file, the final column of the data file cites the source for every row, and no row relies on an unsupported illustrative value.</w:t>
      </w:r>
    </w:p>
    <w:bookmarkEnd w:id="107"/>
    <w:bookmarkStart w:id="108" w:name="analytic-transformation"/>
    <w:p>
      <w:pPr>
        <w:pStyle w:val="Heading3"/>
        <w:spacing w:line="480" w:lineRule="auto"/>
      </w:pPr>
      <w:r>
        <w:t xml:space="preserve">4.2.4 Analytic Transformation</w:t>
      </w:r>
    </w:p>
    <w:p>
      <w:pPr>
        <w:pStyle w:val="FirstParagraph"/>
        <w:spacing w:line="480" w:lineRule="auto"/>
      </w:pPr>
      <w:r>
        <w:t xml:space="preserve">For estimation, cost and mass are each transformed to natural logarithms. In the multiplicative parametric form that the cost-modeling literature uses, cost is a coefficient times mass raised to a power times secondary drivers raised to their own powers; taking logarithms renders this linear, and the exponent on mass becomes the slope of a log-log regression. That slope is an elasticity, the percentage change in cost associated with a one-percent change in mass. For the evidence file, the logarithmic transformation is for that reason not a cosmetic rescaling but the operation that gives the central coefficient its economic meaning. For the evidence file, the implied progress ratio, defined as two raised to the slope, expresses the multiplicative change in cost for a doubling of mass and is reported alongside the elasticity as the scale-economy summary statistic.</w:t>
      </w:r>
    </w:p>
    <w:bookmarkEnd w:id="108"/>
    <w:bookmarkEnd w:id="109"/>
    <w:bookmarkStart w:id="114" w:name="the-mission-level-dataset"/>
    <w:p>
      <w:pPr>
        <w:pStyle w:val="Heading2"/>
        <w:spacing w:line="480" w:lineRule="auto"/>
      </w:pPr>
      <w:r>
        <w:t xml:space="preserve">4.3 The Mission-Level Dataset</w:t>
      </w:r>
    </w:p>
    <w:bookmarkStart w:id="110" w:name="unit-of-analysis-and-sampling-frame-1"/>
    <w:p>
      <w:pPr>
        <w:pStyle w:val="Heading3"/>
        <w:spacing w:line="480" w:lineRule="auto"/>
      </w:pPr>
      <w:r>
        <w:t xml:space="preserve">4.3.1 Unit of Analysis and Sampling Frame</w:t>
      </w:r>
    </w:p>
    <w:p>
      <w:pPr>
        <w:pStyle w:val="FirstParagraph"/>
        <w:spacing w:line="480" w:lineRule="auto"/>
      </w:pPr>
      <w:r>
        <w:t xml:space="preserve">For a replicator, in the second study the unit of analysis is the mission. An observation is one heliophysics or space-physics mission whose principal in-situ payload is a particles-and-fields suite. The dataset comprises twenty-four such missions launched between 1989 and 2025. This is a different object from the instrument record of Section 4.2: a single mission in this dataset may carry several of the instruments that would each be a separate row in the instrument-level dataset, and the mission-level cost aggregates across the whole flight system, not a single sensor. The sample is constructed to span the programmatic range of the heliophysics portfolio. For the evidence file, it includes the Explorer line, represented by THEMIS, IBEX, FAST, RHESSI, TRACE, IMAGE, TWINS, ICON, GOLD, PUNCH, and TRACERS. For the evidence file, it includes the Solar Terrestrial Probes and Living With a Star strategic lines together with directed planetary particles-and-fields missions, represented by MMS, Van Allen Probes, MAVEN, Parker Solar Probe, STEREO, and TIMED. For the evidence file, it includes flagship and agency-led international missions, represented by Solar Orbiter, Cluster II, Hinode, Cassini, Juno, Galileo, and Ulysses, which form the omitted base category against which the programmatic-class effects are measured. For the evidence file, the sample is a near-census of well-documented particles-and-fields missions rather than a random draw from a larger population, a feature that shapes the interpretation of the standard errors and is acknowledged plainly in the study.</w:t>
      </w:r>
    </w:p>
    <w:bookmarkEnd w:id="110"/>
    <w:bookmarkStart w:id="111" w:name="authoritative-sources-1"/>
    <w:p>
      <w:pPr>
        <w:pStyle w:val="Heading3"/>
        <w:spacing w:line="480" w:lineRule="auto"/>
      </w:pPr>
      <w:r>
        <w:t xml:space="preserve">4.3.2 Authoritative Sources</w:t>
      </w:r>
    </w:p>
    <w:p>
      <w:pPr>
        <w:pStyle w:val="FirstParagraph"/>
        <w:spacing w:line="480" w:lineRule="auto"/>
      </w:pPr>
      <w:r>
        <w:t xml:space="preserve">For this mission-level, the dataset draws on a wider and more heterogeneous set of primary records than the instrument-level dataset, because mission cost and mission mass are reported across a more varied documentary landscape than refereed instrument descriptions. For the evidence file, the data construction is deliberately visible: mass figures come directly from mission infoboxes and technical summaries that themselves cite agency primaries, specifically NASA mission documentation, the National Space Science Data Center Archive, and eoPortal. For the evidence file, these are the authoritative repositories for spacecraft launch mass, and each mass row in the data file records the primary it rests on.</w:t>
      </w:r>
    </w:p>
    <w:p>
      <w:pPr>
        <w:pStyle w:val="BodyText"/>
        <w:spacing w:line="480" w:lineRule="auto"/>
        <w:ind w:firstLine="720"/>
      </w:pPr>
      <w:r>
        <w:t xml:space="preserve">For the evidence file, cost figures come from mission press kits, NASA and eoPortal mission pages, Planetary Society spending records, and Government Accountability Office fact sheets. For the evidence file, these sources span the spectrum from contemporaneous program documentation to retrospective audit, and the data file records, per row, which of them supplies each cost figure. For the evidence file, three older missions are anchored to specific documentary figures rather than to a general mission page: the Transition Region and Coronal Explorer to its quoted full-mission figure of approximately thirty-five million dollars, the Fast Auroral Snapshot Explorer to the Small Explorer development cap under which it was built, and Ulysses to the NASA cost share reported in a Government Accountability Office fact sheet. For the evidence file, one observation, TWINS, retains an explicitly illustrative cost estimate, flagged plainly in the data file; it amounts to roughly four percent of the sample and falls within the dissertation’s stated tolerance for unobtainable values. Every remaining cost figure is documentary.</w:t>
      </w:r>
    </w:p>
    <w:p>
      <w:pPr>
        <w:pStyle w:val="BodyText"/>
        <w:spacing w:line="480" w:lineRule="auto"/>
        <w:ind w:firstLine="720"/>
      </w:pPr>
      <w:r>
        <w:t xml:space="preserve">For this operational, the question is narrower: the parametric and economic framing of the mission-level study is supported by, but does not draw rows from, several further sources. The mass-anchored parametric convention against which the study positions itself is documented in the parametric economic modelling of space architectures</w:t>
      </w:r>
      <w:r>
        <w:t xml:space="preserve"> </w:t>
      </w:r>
      <w:hyperlink w:anchor="ref-1">
        <w:r>
          <w:rPr>
            <w:rStyle w:val="Hyperlink"/>
          </w:rPr>
          <w:t xml:space="preserve">[1]</w:t>
        </w:r>
      </w:hyperlink>
      <w:r>
        <w:t xml:space="preserve">, whose asteroid-mining and resource-architecture applications inherit the same dry-mass convention. The portfolio-level motivation for separating physical from institutional cost drivers comes from the space-economy forecasting literature</w:t>
      </w:r>
      <w:r>
        <w:t xml:space="preserve"> </w:t>
      </w:r>
      <w:hyperlink w:anchor="ref-2">
        <w:r>
          <w:rPr>
            <w:rStyle w:val="Hyperlink"/>
          </w:rPr>
          <w:t xml:space="preserve">[2]</w:t>
        </w:r>
      </w:hyperlink>
      <w:r>
        <w:t xml:space="preserve">. The systems-engineering argument that integration, test, and fixed programmatic overhead absorb budget that does not scale with mass comes from the modelling of very-low-Earth-orbit satellite platforms</w:t>
      </w:r>
      <w:r>
        <w:t xml:space="preserve"> </w:t>
      </w:r>
      <w:hyperlink w:anchor="ref-3">
        <w:r>
          <w:rPr>
            <w:rStyle w:val="Hyperlink"/>
          </w:rPr>
          <w:t xml:space="preserve">[3]</w:t>
        </w:r>
      </w:hyperlink>
      <w:r>
        <w:t xml:space="preserve">, and the design-side observation that much of a constellation’s cost sits in the shared bus, ground segment, and formation architecture instead of in the marginal sensor comes from the intelligent-swarm magnetospheric mission-concept literature</w:t>
      </w:r>
      <w:r>
        <w:t xml:space="preserve"> </w:t>
      </w:r>
      <w:hyperlink w:anchor="ref-4">
        <w:r>
          <w:rPr>
            <w:rStyle w:val="Hyperlink"/>
          </w:rPr>
          <w:t xml:space="preserve">[4]</w:t>
        </w:r>
      </w:hyperlink>
      <w:r>
        <w:t xml:space="preserve">. These sources motivate the specification; they are not data.</w:t>
      </w:r>
    </w:p>
    <w:bookmarkEnd w:id="111"/>
    <w:bookmarkStart w:id="112" w:name="variable-construction-1"/>
    <w:p>
      <w:pPr>
        <w:pStyle w:val="Heading3"/>
        <w:spacing w:line="480" w:lineRule="auto"/>
      </w:pPr>
      <w:r>
        <w:t xml:space="preserve">4.3.3 Variable Construction</w:t>
      </w:r>
    </w:p>
    <w:p>
      <w:pPr>
        <w:pStyle w:val="FirstParagraph"/>
        <w:spacing w:line="480" w:lineRule="auto"/>
      </w:pPr>
      <w:r>
        <w:t xml:space="preserve">Seven quantities are recorded for each mission, each built from the primary records named above.</w:t>
      </w:r>
    </w:p>
    <w:p>
      <w:pPr>
        <w:pStyle w:val="BodyText"/>
        <w:spacing w:line="480" w:lineRule="auto"/>
        <w:ind w:firstLine="720"/>
      </w:pPr>
      <w:r>
        <w:t xml:space="preserve">Total cost is recorded in then-year United States dollars. For joint missions the figure entered is the NASA share, consistent with how agency budgets report international cooperation. For the evidence file, this convention has a known consequence, namely that it understates the full international cost of missions such as Solar Orbiter, Cluster II, and Ulysses and thereby compresses the upper tail of the cost distribution, and that consequence is carried forward as a stated limitation rather than silently absorbed. The evidence trail is concrete here: per-spacecraft launch mass is recorded in kilograms from the cited agency primary. For the evidence file, fleet mass is then constructed as per-spacecraft mass multiplied by the number of identical spacecraft in the mission, so that a four-spacecraft or five-spacecraft formation carries a fleet mass several times its per-copy mass. For the evidence file, fleet mass, not per-spacecraft mass, is the size driver entered into the regression, because the cost being modeled is the whole-mission cost of building and flying the entire set of copies.</w:t>
      </w:r>
    </w:p>
    <w:p>
      <w:pPr>
        <w:pStyle w:val="BodyText"/>
        <w:spacing w:line="480" w:lineRule="auto"/>
        <w:ind w:firstLine="720"/>
      </w:pPr>
      <w:r>
        <w:t xml:space="preserve">For this count, the of distinct particles-and-fields instrument suites carried per spacecraft is recorded as the instrument-multiplicity variable, ranging across the sample from a single magnetometer to eleven coordinated instruments. For the evidence file, the number of spacecraft is recorded separately as the fleet-size variable, because fleet size enters the cost story through identical-copy production economics rather than through accommodation. For the program record, programmatic class is encoded as two dummy variables, one for the Explorer line and one for the combined Solar Terrestrial Probes and Living With a Star line. For the evidence file, flagship and agency-led international missions are the omitted base category, so each class dummy reads as a cost difference relative to a flagship of equal mass. For the evidence file, class is assigned from the documented program line under which each mission was funded and managed, not inferred from cost or size.</w:t>
      </w:r>
    </w:p>
    <w:bookmarkEnd w:id="112"/>
    <w:bookmarkStart w:id="113" w:name="analytic-transformation-1"/>
    <w:p>
      <w:pPr>
        <w:pStyle w:val="Heading3"/>
        <w:spacing w:line="480" w:lineRule="auto"/>
      </w:pPr>
      <w:r>
        <w:t xml:space="preserve">4.3.4 Analytic Transformation</w:t>
      </w:r>
    </w:p>
    <w:p>
      <w:pPr>
        <w:pStyle w:val="FirstParagraph"/>
        <w:spacing w:line="480" w:lineRule="auto"/>
      </w:pPr>
      <w:r>
        <w:t xml:space="preserve">For this archival, the record matters here: cost and fleet mass are each entered in natural logarithms so that the coefficient on fleet mass reads directly as an elasticity, the percentage change in mission cost associated with a one-percent change in fleet mass. For the evidence file, the wide spread of the sample, from a thirty-seven-kilogram hosted instrument to a flagship of several thousand kilograms, and from a thirty-five-million-dollar Explorer to a multi-billion-dollar flagship, gives the log-log specification substantial leverage along the mass axis. For the evidence file, the instrument-count, fleet-size, and class variables enter in levels rather than logs, because they are counts and indicators rather than continuous size measures, and their coefficients are interpreted accordingly as semi-elasticities or as proportional cost differences via exponentiation.</w:t>
      </w:r>
    </w:p>
    <w:bookmarkEnd w:id="113"/>
    <w:bookmarkEnd w:id="114"/>
    <w:bookmarkStart w:id="115" w:name="cross-cutting-measurement-decisions"/>
    <w:p>
      <w:pPr>
        <w:pStyle w:val="Heading2"/>
        <w:spacing w:line="480" w:lineRule="auto"/>
      </w:pPr>
      <w:r>
        <w:t xml:space="preserve">4.4 Cross-Cutting Measurement Decisions</w:t>
      </w:r>
    </w:p>
    <w:p>
      <w:pPr>
        <w:pStyle w:val="FirstParagraph"/>
        <w:spacing w:line="480" w:lineRule="auto"/>
      </w:pPr>
      <w:r>
        <w:t xml:space="preserve">For a replicator, three measurement decisions span both datasets and merit explicit statement, because they govern how the numbers in later chapters should be read. The first concerns the status of cost as a measured quantity. In neither study is cost a recovered unit-level contract figure, because such figures are not publicly available at the resolution the estimate requires. In the instrument-level study cost is modeled by evaluating a published cost-estimating relationship at documented parameters</w:t>
      </w:r>
      <w:r>
        <w:t xml:space="preserve"> </w:t>
      </w:r>
      <w:hyperlink w:anchor="ref-4">
        <w:r>
          <w:rPr>
            <w:rStyle w:val="Hyperlink"/>
          </w:rPr>
          <w:t xml:space="preserve">[4]</w:t>
        </w:r>
      </w:hyperlink>
      <w:r>
        <w:t xml:space="preserve">[5]; in the mission-level study cost is documentary, drawn from press kits, agency pages, spending records, and audit fact sheets, with a single flagged illustrative exception. The two cost constructions are different in kind, and the dissertation does not treat them as interchangeable. For the evidence file, the instrument-level cost is an estimate that inherits the structure of the published model and for that reason recovers that model’s implied elasticity; the mission-level cost is an observed reported total subject to the then-year-dollar and NASA-share conventions described above. Naming this distinction plainly is part of the measurement contract.</w:t>
      </w:r>
    </w:p>
    <w:p>
      <w:pPr>
        <w:pStyle w:val="BodyText"/>
        <w:spacing w:line="480" w:lineRule="auto"/>
        <w:ind w:firstLine="720"/>
      </w:pPr>
      <w:r>
        <w:t xml:space="preserve">For this chapter, the treats this as an empirical claim: a second decision concerns inflation and the dollar basis. The instrument-level dataset places every cost on a common fiscal-year-2025 real basis, since its cost is modeled and can be evaluated on that basis directly. For the evidence file, the mission-level dataset retains then-year dollars, which mix vintages across a thirty-six-year span; this is a deliberate choice to keep each mission’s cost as its primary source reported it, with the understanding that an inflation-adjusted replication is a natural robustness check and is identified plainly in the study. For the evidence file, the two datasets thus differ in dollar basis, and that difference is a property of how their cost variables are constructed, not an oversight. The third concerns provenance discipline. For the evidence file, both datasets carry a dedicated source column whose entry, for every row, names the primary record behind that row’s key quantities. In the instrument-level dataset that column cites the instrument-description paper for mass and the cost-model relationship for cost. In the mission-level dataset it cites the agency or archive primary for mass and the documentary source for cost. For the evidence file, the standing rule, applied uniformly, is that no value enters either dataset without a citable source, and the single illustrative value in the mission sample is flagged rather than disguised. For the evidence file, this discipline is what allows the chapter to claim that the two datasets are reconstructible from public and requestable records rather than asserted.</w:t>
      </w:r>
    </w:p>
    <w:bookmarkEnd w:id="115"/>
    <w:bookmarkStart w:id="116" w:name="relation-between-the-two-datasets"/>
    <w:p>
      <w:pPr>
        <w:pStyle w:val="Heading2"/>
        <w:spacing w:line="480" w:lineRule="auto"/>
      </w:pPr>
      <w:r>
        <w:t xml:space="preserve">4.5 Relation Between the Two Datasets</w:t>
      </w:r>
    </w:p>
    <w:p>
      <w:pPr>
        <w:pStyle w:val="FirstParagraph"/>
        <w:spacing w:line="480" w:lineRule="auto"/>
      </w:pPr>
      <w:r>
        <w:t xml:space="preserve">For this instrument-level, the and mission-level datasets are complementary by construction, and their relationship is itself a measurement design choice rather than an afterthought. For the evidence file, the instrument-level dataset isolates a single sensor and asks how its modeled cost scales with its documented mass; the mission-level dataset aggregates to the whole flight system and asks how total cost scales with fleet mass once the institutional and architectural structure of the program is held fixed. For the evidence file, an instrument that appears as one row in the first dataset is, in the second dataset, one contribution to a mission’s instrument count and one component of a mission’s mass and cost. For the evidence file, the two units of analysis for that reason nest, but the analyses are kept separate so that the instrument-level scale economy and the mission-level scale economy are estimated on their own terms and neither is contaminated by the other’s aggregation. For the evidence file, the operational question is narrower: this separation is what allows the dissertation to speak to two audiences with one evidentiary base. For the evidence file, the instrument-level dataset speaks to the instrument designer weighing a heavier sensor against a budget line; the mission-level dataset speaks to the program office weighing fleet architecture and programmatic class against a mission cost cap. For the evidence file, because both rest on documented mass, transparently constructed cost, and per-row provenance, the two studies can be read as a single coherent measurement program rather than as two unrelated regressions that happen to share a domain.</w:t>
      </w:r>
    </w:p>
    <w:bookmarkEnd w:id="116"/>
    <w:bookmarkStart w:id="117" w:name="summary-2"/>
    <w:p>
      <w:pPr>
        <w:pStyle w:val="Heading2"/>
        <w:spacing w:line="480" w:lineRule="auto"/>
      </w:pPr>
      <w:r>
        <w:t xml:space="preserve">4.6 Summary</w:t>
      </w:r>
    </w:p>
    <w:p>
      <w:pPr>
        <w:pStyle w:val="FirstParagraph"/>
        <w:spacing w:line="480" w:lineRule="auto"/>
      </w:pPr>
      <w:r>
        <w:t xml:space="preserve">For the empirical reader, the chapter has specified the two datasets that carry the dissertation’s empirical weight. The instrument-level dataset comprises twenty-eight particle-and-fields instruments flown between 1994 and 2020, with mass read directly from refereed instrument-description papers in Space Science Reviews and allied journals and with cost modeled from the published NASA Instrument Cost Model Version VII relationships and its companion cost-trend analysis</w:t>
      </w:r>
      <w:r>
        <w:t xml:space="preserve"> </w:t>
      </w:r>
      <w:hyperlink w:anchor="ref-4">
        <w:r>
          <w:rPr>
            <w:rStyle w:val="Hyperlink"/>
          </w:rPr>
          <w:t xml:space="preserve">[4]</w:t>
        </w:r>
      </w:hyperlink>
      <w:r>
        <w:t xml:space="preserve">[5], placed on a fiscal-year-2025 basis and validated against the independent parametric-tool literature</w:t>
      </w:r>
      <w:r>
        <w:t xml:space="preserve"> </w:t>
      </w:r>
      <w:hyperlink w:anchor="ref-6">
        <w:r>
          <w:rPr>
            <w:rStyle w:val="Hyperlink"/>
          </w:rPr>
          <w:t xml:space="preserve">[6]</w:t>
        </w:r>
      </w:hyperlink>
      <w:r>
        <w:t xml:space="preserve">[7]. The mission-level dataset comprises twenty-four particles-and-fields missions launched between 1989 and 2025, with mass drawn from NASA, NSSDCA, and eoPortal primaries, cost drawn from press kits, agency pages, Planetary Society records, and Government Accountability Office fact sheets in then-year dollars at the NASA share, and the parametric and economic framing motivated by the documented mass-anchored convention</w:t>
      </w:r>
      <w:r>
        <w:t xml:space="preserve"> </w:t>
      </w:r>
      <w:hyperlink w:anchor="ref-1">
        <w:r>
          <w:rPr>
            <w:rStyle w:val="Hyperlink"/>
          </w:rPr>
          <w:t xml:space="preserve">[1]</w:t>
        </w:r>
      </w:hyperlink>
      <w:r>
        <w:t xml:space="preserve">, the space-economy forecasting literature</w:t>
      </w:r>
      <w:r>
        <w:t xml:space="preserve"> </w:t>
      </w:r>
      <w:hyperlink w:anchor="ref-2">
        <w:r>
          <w:rPr>
            <w:rStyle w:val="Hyperlink"/>
          </w:rPr>
          <w:t xml:space="preserve">[2]</w:t>
        </w:r>
      </w:hyperlink>
      <w:r>
        <w:t xml:space="preserve">, and the systems-engineering and mission-concept literature on fixed overhead and shared infrastructure</w:t>
      </w:r>
      <w:r>
        <w:t xml:space="preserve"> </w:t>
      </w:r>
      <w:hyperlink w:anchor="ref-3">
        <w:r>
          <w:rPr>
            <w:rStyle w:val="Hyperlink"/>
          </w:rPr>
          <w:t xml:space="preserve">[3]</w:t>
        </w:r>
      </w:hyperlink>
      <w:r>
        <w:t xml:space="preserve">[4]. For the evidence file, both datasets enforce per-row provenance, both transform their size and cost variables to logarithms so that the central coefficient reads as an elasticity, and both flag rather than conceal the single illustrative value and the modeling conventions on which their cost variables rest. The chapters that follow take these constructed variables as given and turn to estimation.</w:t>
      </w:r>
    </w:p>
    <w:bookmarkEnd w:id="117"/>
    <w:bookmarkEnd w:id="118"/>
    <w:bookmarkStart w:id="125" w:name="chapter-5.-methods-and-identification"/>
    <w:p>
      <w:pPr>
        <w:pStyle w:val="Heading1"/>
        <w:spacing w:line="480" w:lineRule="auto"/>
      </w:pPr>
      <w:r>
        <w:t xml:space="preserve">Chapter 5. Methods and Identification</w:t>
      </w:r>
    </w:p>
    <w:p>
      <w:pPr>
        <w:pStyle w:val="FirstParagraph"/>
        <w:spacing w:line="480" w:lineRule="auto"/>
      </w:pPr>
      <w:r>
        <w:t xml:space="preserve">The chapter specifies the empirical machinery that converts the two research questions of this dissertation into testable claims.</w:t>
      </w:r>
    </w:p>
    <w:p>
      <w:pPr>
        <w:pStyle w:val="BodyText"/>
        <w:spacing w:line="480" w:lineRule="auto"/>
        <w:ind w:firstLine="720"/>
      </w:pPr>
      <w:r>
        <w:t xml:space="preserve">For the evidence file, it states the estimators used in the instrument-level and mission-level studies, articulates the identification strategy that allows each estimated coefficient to carry the structural interpretation the dissertation assigns to it, and confronts the threats to that interpretation one by one, showing for each how the design bounds the threat rather than assuming it away. For the evidence file, the organizing principle throughout is that a cost coefficient is only as credible as the variation it is estimated from, and so the chapter is as concerned with what each regression holds fixed as with what it allows to vary.</w:t>
      </w:r>
    </w:p>
    <w:bookmarkStart w:id="119" w:name="X5589a2cfb50d9e281d48c359f1fa3223da018d6"/>
    <w:p>
      <w:pPr>
        <w:pStyle w:val="Heading2"/>
        <w:spacing w:line="480" w:lineRule="auto"/>
      </w:pPr>
      <w:r>
        <w:t xml:space="preserve">5.1 Estimands and the Choice of Functional Form</w:t>
      </w:r>
    </w:p>
    <w:p>
      <w:pPr>
        <w:pStyle w:val="FirstParagraph"/>
        <w:spacing w:line="480" w:lineRule="auto"/>
      </w:pPr>
      <w:r>
        <w:t xml:space="preserve">For this dissertation, the works in logarithms because the cost-estimating tradition it engages with is multiplicative at its core. Parametric cost models for spaceflight hardware write cost as a coefficient multiplied by mass raised to a power and by a small number of secondary drivers each raised to their own powers, and NASA’s instrument cost model formalizes exactly this practice for flight instruments, reporting type-specific relationships in which mass is the dominant driver entered alongside power and design life</w:t>
      </w:r>
      <w:r>
        <w:t xml:space="preserve"> </w:t>
      </w:r>
      <w:hyperlink w:anchor="ref-4">
        <w:r>
          <w:rPr>
            <w:rStyle w:val="Hyperlink"/>
          </w:rPr>
          <w:t xml:space="preserve">[4]</w:t>
        </w:r>
      </w:hyperlink>
      <w:r>
        <w:t xml:space="preserve">[5]. For the evidence file, taking logarithms of a multiplicative form yields a linear equation in which each exponent becomes a slope, and each slope is an elasticity, the percentage change in cost associated with a one-percent change in the driver. The log-log specification is therefore not a convenience but a faithful linearization of the estimating relationship that the field already uses, which means the estimands recovered here are directly comparable to the published exponents</w:t>
      </w:r>
      <w:r>
        <w:t xml:space="preserve"> </w:t>
      </w:r>
      <w:hyperlink w:anchor="ref-4">
        <w:r>
          <w:rPr>
            <w:rStyle w:val="Hyperlink"/>
          </w:rPr>
          <w:t xml:space="preserve">[4]</w:t>
        </w:r>
      </w:hyperlink>
      <w:r>
        <w:t xml:space="preserve">[5][6].</w:t>
      </w:r>
    </w:p>
    <w:p>
      <w:pPr>
        <w:pStyle w:val="BodyText"/>
        <w:spacing w:line="480" w:lineRule="auto"/>
        <w:ind w:firstLine="720"/>
      </w:pPr>
      <w:r>
        <w:t xml:space="preserve">For the program record, two estimands anchor the work. Both are elasticities. At the instrument level the estimand is the cost-mass elasticity, the exponent on mass in a log-log regression of modeled development cost on instrument mass for a cross-section of heliophysics particle and fields instruments. For the evidence file, an elasticity strictly between zero and one is the cost-side signature of decreasing returns to mass, equivalently a scale economy in which the marginal kilogram costs less than the average kilogram. At the mission level the estimand is the mass elasticity of total mission cost conditional on programmatic class and payload composition, recovered from a fixed-effects cost-estimating relationship in which the mass coefficient is read net of the institutional and accommodation structure that the controls absorb. For the evidence file, the mission study deliberately reframes the prospectus question: rather than estimate a cumulative-experience slope that the flown-instrument record cannot support with adequate degrees of freedom, it isolates the parametric and institutional structure of cost at first build, leaving repetition to be read indirectly through the fleet-size coefficient.</w:t>
      </w:r>
    </w:p>
    <w:p>
      <w:pPr>
        <w:pStyle w:val="BodyText"/>
        <w:spacing w:line="480" w:lineRule="auto"/>
        <w:ind w:firstLine="720"/>
      </w:pPr>
      <w:r>
        <w:t xml:space="preserve">For this decision, the to estimate elasticities rather than raw dollar coefficients is consequential for interpretation. For the evidence file, an elasticity is unit-free and scale-invariant, so it can be compared across instrument families, across model vintages, and against the externally published exponents without re-normalization. This is what permits the central validation move of the instrument study, in which a transparent one-line log-log fit on an independently assembled mass cross-section is checked against the exponent embedded in NASA’s proprietary cost model</w:t>
      </w:r>
      <w:r>
        <w:t xml:space="preserve"> </w:t>
      </w:r>
      <w:hyperlink w:anchor="ref-4">
        <w:r>
          <w:rPr>
            <w:rStyle w:val="Hyperlink"/>
          </w:rPr>
          <w:t xml:space="preserve">[4]</w:t>
        </w:r>
      </w:hyperlink>
      <w:r>
        <w:t xml:space="preserve">[5]. For the evidence file, agreement between the two is evidence that the estimated elasticity is a structural feature of the instrument family and not an artifact of a single dataset or a single model generation.</w:t>
      </w:r>
    </w:p>
    <w:bookmarkEnd w:id="119"/>
    <w:bookmarkStart w:id="120" w:name="the-instrument-level-estimator"/>
    <w:p>
      <w:pPr>
        <w:pStyle w:val="Heading2"/>
        <w:spacing w:line="480" w:lineRule="auto"/>
      </w:pPr>
      <w:r>
        <w:t xml:space="preserve">5.2 The Instrument-Level Estimator</w:t>
      </w:r>
    </w:p>
    <w:p>
      <w:pPr>
        <w:pStyle w:val="FirstParagraph"/>
        <w:spacing w:line="480" w:lineRule="auto"/>
      </w:pPr>
      <w:r>
        <w:t xml:space="preserve">For this instrument-level, the estimator is ordinary least squares applied to the log-log learning-curve specification. For the evidence file, natural-log development cost is regressed on natural-log instrument mass with a constant, and the slope coefficient is the cost-mass elasticity. The sample is twenty-eight heliophysics particle and fields instruments flown between 1994 and 2020, drawn from the Wind, ACE, Cluster II, THEMIS, MESSENGER, Cassini, Juno, MAVEN, Van Allen Probes, Magnetospheric Multiscale, Parker Solar Probe, and Solar Orbiter payloads. For the evidence file, mass for each instrument is a primary-source quantity taken from the refereed instrument-description paper, predominantly from Space Science Reviews, so that the regressor along which identification runs is documented rather than imputed. Development cost is expressed in constant fiscal-year-2025 dollars and modeled by evaluating the published instrument cost relationship at each instrument’s type and parameters</w:t>
      </w:r>
      <w:r>
        <w:t xml:space="preserve"> </w:t>
      </w:r>
      <w:hyperlink w:anchor="ref-4">
        <w:r>
          <w:rPr>
            <w:rStyle w:val="Hyperlink"/>
          </w:rPr>
          <w:t xml:space="preserve">[4]</w:t>
        </w:r>
      </w:hyperlink>
      <w:r>
        <w:t xml:space="preserve">[5]. For a replicator, standard errors are heteroskedasticity-robust throughout, because the spread of cost around the regression line is not constant across the mass range and the classical homoskedasticity assumption would understate uncertainty at the heavy end of the distribution. For the evidence file, the fit is summarized by three quantities that travel together: the coefficient of determination, the elasticity itself, and the implied progress ratio, defined as two raised to the slope, which expresses the multiplicative change in cost for a doubling of mass. For the evidence file, reporting the progress ratio alongside the elasticity translates the abstract exponent into the planning-relevant statement of how much a doubling of instrument size actually costs, which is the form in which a project office consumes the result.</w:t>
      </w:r>
    </w:p>
    <w:p>
      <w:pPr>
        <w:pStyle w:val="BodyText"/>
        <w:spacing w:line="480" w:lineRule="auto"/>
        <w:ind w:firstLine="720"/>
      </w:pPr>
      <w:r>
        <w:t xml:space="preserve">For this estimand, the here is interpreted as a scale economy rather than as a pure experience effect, and the chapter is explicit that the cross-sectional design recovers the elasticity that the established cost models imply on a documented mass cross-section. For the evidence file, the learning-curve and experience-curve logic supplies the mechanism, because repeated production and accumulated design heritage convert into falling unit cost and that heritage is partly embodied in the recurrence of the instrument family itself, but the cross-section cannot by itself separate cumulative experience from the static geometry of building larger hardware. This honesty about what the estimator does and does not isolate is carried forward into the threats analysis in Section 5.5.</w:t>
      </w:r>
    </w:p>
    <w:bookmarkEnd w:id="120"/>
    <w:bookmarkStart w:id="121" w:name="the-mission-level-estimator"/>
    <w:p>
      <w:pPr>
        <w:pStyle w:val="Heading2"/>
        <w:spacing w:line="480" w:lineRule="auto"/>
      </w:pPr>
      <w:r>
        <w:t xml:space="preserve">5.3 The Mission-Level Estimator</w:t>
      </w:r>
    </w:p>
    <w:p>
      <w:pPr>
        <w:pStyle w:val="FirstParagraph"/>
        <w:spacing w:line="480" w:lineRule="auto"/>
      </w:pPr>
      <w:r>
        <w:t xml:space="preserve">For this mission-level, the estimator is a fixed-effects cost-estimating relationship estimated by ordinary least squares on the logged cost equation with HC1 heteroskedasticity-robust standard errors. The unit of analysis is the mission, and the sample comprises twenty-four heliophysics and space-physics missions launched between 1989 and 2025 whose principal in-situ payload is a particles-and-fields suite. For the evidence file, log mission cost is regressed on log fleet mass, the count of distinct particles-and-fields instrument suites carried per spacecraft, the number of spacecraft, and two programmatic-class dummies, one for the Explorer line and one for the Solar Terrestrial Probes and Living With a Star line. For the evidence file, flagship and agency-led international missions form the omitted base category, so the two class coefficients read as cost differences relative to a flagship of equal mass. For the evidence file, the data construction is deliberately visible: the fixed-effects construction is the feature that separates this estimator from a pooled single-exponent mass model. For the evidence file, because the class dummies absorb fixed differences across program lines, the mass elasticity is identified from variation in mass within the institutional structure rather than from variation that conflates physical size with the institutional economics of running larger programs. For the evidence file, this matters because the portfolio mixes a thirty-seven-kilogram hosted payload with a five-tonne outer-planet flagship and a thirty-five-million-dollar Explorer with a multi-billion-dollar flagship, and a single mass exponent estimated without programmatic controls would charge the cost premium of flagship management into the mass coefficient. The parametric tradition that anchors production cost to dry mass</w:t>
      </w:r>
      <w:r>
        <w:t xml:space="preserve"> </w:t>
      </w:r>
      <w:hyperlink w:anchor="ref-1">
        <w:r>
          <w:rPr>
            <w:rStyle w:val="Hyperlink"/>
          </w:rPr>
          <w:t xml:space="preserve">[1]</w:t>
        </w:r>
      </w:hyperlink>
      <w:r>
        <w:t xml:space="preserve"> </w:t>
      </w:r>
      <w:r>
        <w:t xml:space="preserve">cannot make this separation; the fixed-effects relationship is precisely the device that does.</w:t>
      </w:r>
    </w:p>
    <w:p>
      <w:pPr>
        <w:pStyle w:val="BodyText"/>
        <w:spacing w:line="480" w:lineRule="auto"/>
        <w:ind w:firstLine="720"/>
      </w:pPr>
      <w:r>
        <w:t xml:space="preserve">For the evidence file, robust standard errors are again the default because cost dispersion plainly widens with mission scale, and the estimating design is estimated on all twenty-four complete observations through the dissertation’s shared empirical toolkit so that every reported figure is reproducible from the data file. For the evidence file, fleet mass and cost enter in natural logs so the mass coefficient reads directly as an elasticity, and the wide spread of the sample along the mass axis gives the log-log specification substantial leverage for the central interval test against the null of proportional scaling.</w:t>
      </w:r>
    </w:p>
    <w:bookmarkEnd w:id="121"/>
    <w:bookmarkStart w:id="122" w:name="identification-strategy"/>
    <w:p>
      <w:pPr>
        <w:pStyle w:val="Heading2"/>
        <w:spacing w:line="480" w:lineRule="auto"/>
      </w:pPr>
      <w:r>
        <w:t xml:space="preserve">5.4 Identification Strategy</w:t>
      </w:r>
    </w:p>
    <w:p>
      <w:pPr>
        <w:pStyle w:val="FirstParagraph"/>
        <w:spacing w:line="480" w:lineRule="auto"/>
      </w:pPr>
      <w:r>
        <w:t xml:space="preserve">For the evidence file, identification in both studies rests on the same principle: the coefficient of interest must be estimated from variation that the design has purged of its leading confounds. For the evidence file, the two studies pursue this principle along different axes because they ask different questions, but the logic is continuous.</w:t>
      </w:r>
    </w:p>
    <w:p>
      <w:pPr>
        <w:pStyle w:val="BodyText"/>
        <w:spacing w:line="480" w:lineRule="auto"/>
        <w:ind w:firstLine="720"/>
      </w:pPr>
      <w:r>
        <w:t xml:space="preserve">For the empirical reader, in the instrument study the identification target is the cost-mass elasticity, and the immediate identification problem is that mass is correlated with capability, vintage, and instrument type. For the evidence file, the cross-sectional log-log fit identifies the elasticity from the joint variation in mass and cost across the documented sample, and its credibility rests on the external benchmark. Because the published instrument cost relationships report type-specific mass exponents in a known band, the recovered elasticity can be validated against them instead of asserted on its own authority</w:t>
      </w:r>
      <w:r>
        <w:t xml:space="preserve"> </w:t>
      </w:r>
      <w:hyperlink w:anchor="ref-4">
        <w:r>
          <w:rPr>
            <w:rStyle w:val="Hyperlink"/>
          </w:rPr>
          <w:t xml:space="preserve">[4]</w:t>
        </w:r>
      </w:hyperlink>
      <w:r>
        <w:t xml:space="preserve">[5]. The substantive identifying claim is that if a transparent fit on an independently assembled mass cross-section reproduces the exponent embedded in the proprietary model, the elasticity is a stable structural parameter of the instrument family rather than a feature of any one model vintage</w:t>
      </w:r>
      <w:r>
        <w:t xml:space="preserve"> </w:t>
      </w:r>
      <w:hyperlink w:anchor="ref-4">
        <w:r>
          <w:rPr>
            <w:rStyle w:val="Hyperlink"/>
          </w:rPr>
          <w:t xml:space="preserve">[4]</w:t>
        </w:r>
      </w:hyperlink>
      <w:r>
        <w:t xml:space="preserve">[5][6]. For the evidence file, validation against an external standard substitutes here for the within-archetype repetition that the flown record is too thin to supply at the instrument level.</w:t>
      </w:r>
    </w:p>
    <w:p>
      <w:pPr>
        <w:pStyle w:val="BodyText"/>
        <w:spacing w:line="480" w:lineRule="auto"/>
        <w:ind w:firstLine="720"/>
      </w:pPr>
      <w:r>
        <w:t xml:space="preserve">In the mission study the identification target is the mass elasticity net of institutional structure, and the strategy is direct conditioning combined with fixed effects. Three design choices carry the identification. For the evidence file, first, the programmatic-class dummies absorb the difference between a capped, principal-investigator-managed Explorer mission and a directed flagship, so the mass coefficient is identified within class rather than across the institutional gradient. For the evidence file, second, the instrument-suite count and the spacecraft count enter as explicit regressors, so the mass elasticity is read net of payload accommodation and fleet composition rather than absorbing them. For the evidence file, third, fleet mass is constructed as per-spacecraft mass multiplied by the number of identical spacecraft, which keeps the physical-size axis distinct from the multiplicity axis and lets the spacecraft count carry the copy-economy signal separately. For the evidence file, the result is a mass elasticity identified from physical-size variation that the controls have stripped of its programmatic and compositional confounds. For the evidence file, the fleet-size coefficient then serves as the mission-level shadow of the instrument-level learning effect, expected to be negative because within-mission repetition lowers per-copy cost, but not cleanly signed because the cost of flying a formation offsets the copy economy.</w:t>
      </w:r>
    </w:p>
    <w:p>
      <w:pPr>
        <w:pStyle w:val="BodyText"/>
        <w:spacing w:line="480" w:lineRule="auto"/>
        <w:ind w:firstLine="720"/>
      </w:pPr>
      <w:r>
        <w:t xml:space="preserve">For this evidence, the trail is concrete here: across both studies the identifying restriction is that the controls are exogenous to the cost residual conditional on the included regressors. The chapter does not claim experimental variation; mission portfolios are not randomized. What it claims is that the structural confounds named by the cost-modeling and systems-engineering literatures, namely capability, institutional class, payload accommodation, and fixed programmatic overhead, are observed and conditioned upon, so that the residual variation along the mass axis is plausibly attributable to the physics of building larger hardware rather than to those confounds</w:t>
      </w:r>
      <w:r>
        <w:t xml:space="preserve"> </w:t>
      </w:r>
      <w:hyperlink w:anchor="ref-1">
        <w:r>
          <w:rPr>
            <w:rStyle w:val="Hyperlink"/>
          </w:rPr>
          <w:t xml:space="preserve">[1]</w:t>
        </w:r>
      </w:hyperlink>
      <w:r>
        <w:t xml:space="preserve">[3][4].</w:t>
      </w:r>
    </w:p>
    <w:bookmarkEnd w:id="122"/>
    <w:bookmarkStart w:id="123" w:name="threats-to-validity-and-their-bounds"/>
    <w:p>
      <w:pPr>
        <w:pStyle w:val="Heading2"/>
        <w:spacing w:line="480" w:lineRule="auto"/>
      </w:pPr>
      <w:r>
        <w:t xml:space="preserve">5.5 Threats to Validity and Their Bounds</w:t>
      </w:r>
    </w:p>
    <w:p>
      <w:pPr>
        <w:pStyle w:val="FirstParagraph"/>
        <w:spacing w:line="480" w:lineRule="auto"/>
      </w:pPr>
      <w:r>
        <w:t xml:space="preserve">For the program record, five threats bear on the inferences, and the design meets each so as to bound rather than eliminate it. Naming the residual exposure honestly is itself part of the method.</w:t>
      </w:r>
    </w:p>
    <w:p>
      <w:pPr>
        <w:pStyle w:val="BodyText"/>
        <w:spacing w:line="480" w:lineRule="auto"/>
        <w:ind w:firstLine="720"/>
      </w:pPr>
      <w:r>
        <w:t xml:space="preserve">For the evidence file,</w:t>
      </w:r>
      <w:r>
        <w:t xml:space="preserve"> </w:t>
      </w:r>
      <w:r>
        <w:rPr>
          <w:b/>
          <w:bCs/>
        </w:rPr>
        <w:t xml:space="preserve">Modeled rather than observed cost.</w:t>
      </w:r>
      <w:r>
        <w:t xml:space="preserve"> </w:t>
      </w:r>
      <w:r>
        <w:t xml:space="preserve">The instrument study uses modeled development cost because unit-level development costs for individual instruments are not generally released. For the evidence file, the consequence is that the instrument estimator recovers the elasticity that the established cost models imply on a documented mass cross-section; it does not independently re-estimate cost from released contract values. This threat is bounded in two ways. For the evidence file, first, the modeling choice is stated transparently and the mass regressor remains a primary-source quantity, so the documented half of the relationship is not contaminated by the modeling choice. Second, the recovery of an externally published exponent from an independently assembled dataset is direct corroboration that the modeled costs carry the structural elasticity faithfully, which is the strongest check available short of proprietary contract data</w:t>
      </w:r>
      <w:r>
        <w:t xml:space="preserve"> </w:t>
      </w:r>
      <w:hyperlink w:anchor="ref-4">
        <w:r>
          <w:rPr>
            <w:rStyle w:val="Hyperlink"/>
          </w:rPr>
          <w:t xml:space="preserve">[4]</w:t>
        </w:r>
      </w:hyperlink>
      <w:r>
        <w:t xml:space="preserve">[5][6]. At the mission level the analogous exposure is the single illustrative cost estimate retained for one observation, which is flagged plainly and amounts to roughly four percent of the sample, well within tolerance for unobtainable values; the remaining twenty-three missions carry documented cost figures sourced to press kits, agency mission pages, spending records, and accountability fact sheets.</w:t>
      </w:r>
    </w:p>
    <w:p>
      <w:pPr>
        <w:pStyle w:val="BodyText"/>
        <w:spacing w:line="480" w:lineRule="auto"/>
        <w:ind w:firstLine="720"/>
      </w:pPr>
      <w:r>
        <w:t xml:space="preserve">For this archival, the record matters here:</w:t>
      </w:r>
      <w:r>
        <w:t xml:space="preserve"> </w:t>
      </w:r>
      <w:r>
        <w:rPr>
          <w:b/>
          <w:bCs/>
        </w:rPr>
        <w:t xml:space="preserve">Trend-versus-experience confounding.</w:t>
      </w:r>
      <w:r>
        <w:t xml:space="preserve"> </w:t>
      </w:r>
      <w:r>
        <w:t xml:space="preserve">This is the subtlest of the five. For the evidence file, secular technological cost decline over calendar time could imitate a learning or scale effect, because later instruments are both cheaper and built later. The dissertation bounds this threat by scope and by sensitivity. For the evidence file, the instrument study interprets its cross-sectional elasticity as a scale economy in mass rather than as a pure cumulative-experience slope precisely because the cross-section cannot cleanly separate experience from a downward time trend, so it does not over-claim a learning interpretation the design cannot support. For the evidence file, where a temporal interpretation is entertained, the appropriate guard is a calendar-year trend term entered flexibly, and the reported inference is whatever survives that term. For the evidence file, the mission study sidesteps the confound for its primary claim because the mass elasticity is identified within programmatic class rather than along the time axis, though its use of then-year dollars across a thirty-six-year span remains a bounded limitation that an inflation-adjusted replication would test directly.</w:t>
      </w:r>
    </w:p>
    <w:p>
      <w:pPr>
        <w:pStyle w:val="BodyText"/>
        <w:spacing w:line="480" w:lineRule="auto"/>
        <w:ind w:firstLine="720"/>
      </w:pPr>
      <w:r>
        <w:t xml:space="preserve">For the evidence file,</w:t>
      </w:r>
      <w:r>
        <w:t xml:space="preserve"> </w:t>
      </w:r>
      <w:r>
        <w:rPr>
          <w:b/>
          <w:bCs/>
        </w:rPr>
        <w:t xml:space="preserve">Omitted capability and complexity.</w:t>
      </w:r>
      <w:r>
        <w:t xml:space="preserve"> </w:t>
      </w:r>
      <w:r>
        <w:t xml:space="preserve">If newer or heavier builds are simultaneously cheaper and more capable, a naive elasticity conflates experience or scale with descoping. The instrument study bounds this by pooling within the particle and fields families, whose science function is comparable across builds, and by reporting that the pooled elasticity lands inside the band of the type-specific published relationships, which themselves condition on power and design life</w:t>
      </w:r>
      <w:r>
        <w:t xml:space="preserve"> </w:t>
      </w:r>
      <w:hyperlink w:anchor="ref-4">
        <w:r>
          <w:rPr>
            <w:rStyle w:val="Hyperlink"/>
          </w:rPr>
          <w:t xml:space="preserve">[4]</w:t>
        </w:r>
      </w:hyperlink>
      <w:r>
        <w:t xml:space="preserve">[5]. For the evidence file, the mission study bounds it more directly by entering the instrument-suite count as a regressor, so that variation in payload richness is conditioned out of the mass coefficient rather than masquerading as a mass effect. The finding that instrument count carries no independent signal once mass is in the fitted specification is itself evidence that mature particles-and-fields instruments behave as a well-understood accommodation problem, the empirical signature of accumulated design heritage instead of of hidden descoping</w:t>
      </w:r>
      <w:r>
        <w:t xml:space="preserve"> </w:t>
      </w:r>
      <w:hyperlink w:anchor="ref-4">
        <w:r>
          <w:rPr>
            <w:rStyle w:val="Hyperlink"/>
          </w:rPr>
          <w:t xml:space="preserve">[4]</w:t>
        </w:r>
      </w:hyperlink>
      <w:r>
        <w:t xml:space="preserve">. For a replicator,</w:t>
      </w:r>
      <w:r>
        <w:t xml:space="preserve"> </w:t>
      </w:r>
      <w:r>
        <w:rPr>
          <w:b/>
          <w:bCs/>
        </w:rPr>
        <w:t xml:space="preserve">Small sample and degrees of freedom.</w:t>
      </w:r>
      <w:r>
        <w:t xml:space="preserve"> </w:t>
      </w:r>
      <w:r>
        <w:t xml:space="preserve">The flown population of heliophysics particle and fields hardware is modest, and fixed effects consume degrees of freedom. This constraint is real and cannot be wished away. This threat is bounded by purposive design rather than denied. For the evidence file, the instrument study pools the two closely related families into one regression where engineering heritage justifies it, accepting a blended elasticity in exchange for stable estimation, and reports the high coefficient of determination that the pooled log-space fit attains. For the evidence file, the mission study estimates a deliberately parsimonious specification on a near-census of well-documented missions and reports the programmatic-class coefficients as directionally informative even where they fall short of conventional significance, rather than discarding correctly signed evidence because the sample cannot power it to the conventional threshold. Standard errors are reported as describing sampling uncertainty within the documented population, not generalization beyond it.</w:t>
      </w:r>
    </w:p>
    <w:p>
      <w:pPr>
        <w:pStyle w:val="BodyText"/>
        <w:spacing w:line="480" w:lineRule="auto"/>
        <w:ind w:firstLine="720"/>
      </w:pPr>
      <w:r>
        <w:t xml:space="preserve">For the evidence file,</w:t>
      </w:r>
      <w:r>
        <w:t xml:space="preserve"> </w:t>
      </w:r>
      <w:r>
        <w:rPr>
          <w:b/>
          <w:bCs/>
        </w:rPr>
        <w:t xml:space="preserve">Selection, survivorship, and external validity.</w:t>
      </w:r>
      <w:r>
        <w:t xml:space="preserve"> </w:t>
      </w:r>
      <w:r>
        <w:t xml:space="preserve">Cancelled instruments and missions do not appear in flown-cost records, so both estimators are conditional on flight, and a learning or scale slope estimated for one instrument family need not transport to others. The dissertation bounds these threats by restriction and by scope discipline. For the evidence file, the flown-only restriction is documented and the estimates are interpreted as conditional on flight rather than as unconditional population parameters. The external-validity threat is bounded by deliberately scoping every structural claim to the heliophysics particle and fields family and by using the aggregate space-economy cost-curve evidence only as a motivating prior, never as a transported estimate</w:t>
      </w:r>
      <w:r>
        <w:t xml:space="preserve"> </w:t>
      </w:r>
      <w:hyperlink w:anchor="ref-2">
        <w:r>
          <w:rPr>
            <w:rStyle w:val="Hyperlink"/>
          </w:rPr>
          <w:t xml:space="preserve">[2]</w:t>
        </w:r>
      </w:hyperlink>
      <w:r>
        <w:t xml:space="preserve">[3]. Where that aggregate evidence appears, it establishes that power-law cost decline is a real sector-scale phenomenon</w:t>
      </w:r>
      <w:r>
        <w:t xml:space="preserve"> </w:t>
      </w:r>
      <w:hyperlink w:anchor="ref-2">
        <w:r>
          <w:rPr>
            <w:rStyle w:val="Hyperlink"/>
          </w:rPr>
          <w:t xml:space="preserve">[2]</w:t>
        </w:r>
      </w:hyperlink>
      <w:r>
        <w:t xml:space="preserve">[3], but the dissertation’s own coefficients are estimated entirely within the instrument and mission samples it documents, so no sector-level number is smuggled into an instrument-level inference.</w:t>
      </w:r>
    </w:p>
    <w:bookmarkEnd w:id="123"/>
    <w:bookmarkStart w:id="124" w:name="model-selection-and-reporting-discipline"/>
    <w:p>
      <w:pPr>
        <w:pStyle w:val="Heading2"/>
        <w:spacing w:line="480" w:lineRule="auto"/>
      </w:pPr>
      <w:r>
        <w:t xml:space="preserve">5.6 Model Selection and Reporting Discipline</w:t>
      </w:r>
    </w:p>
    <w:p>
      <w:pPr>
        <w:pStyle w:val="FirstParagraph"/>
        <w:spacing w:line="480" w:lineRule="auto"/>
      </w:pPr>
      <w:r>
        <w:t xml:space="preserve">For the evidence file, selection between the competing hypotheses follows a uniform rule across both studies: a structural claim is accepted only when the coefficient sign, its interval, and an external or out-of-sample check all agree. In the instrument study the elasticity must lie strictly between zero and one with an interval that excludes both bounds, and it must fall within the externally published exponent band, before the scale-economy reading is accepted</w:t>
      </w:r>
      <w:r>
        <w:t xml:space="preserve"> </w:t>
      </w:r>
      <w:hyperlink w:anchor="ref-4">
        <w:r>
          <w:rPr>
            <w:rStyle w:val="Hyperlink"/>
          </w:rPr>
          <w:t xml:space="preserve">[4]</w:t>
        </w:r>
      </w:hyperlink>
      <w:r>
        <w:t xml:space="preserve">[5]. In the mission study the mass elasticity must lie below one with its entire confidence interval below one, not merely at the point estimate, before the sublinear-scaling claim is treated as surviving interval testing instead of as a fragile point result; the contradiction with one-for-one mass scaling embedded in conventional parametric models</w:t>
      </w:r>
      <w:r>
        <w:t xml:space="preserve"> </w:t>
      </w:r>
      <w:hyperlink w:anchor="ref-1">
        <w:r>
          <w:rPr>
            <w:rStyle w:val="Hyperlink"/>
          </w:rPr>
          <w:t xml:space="preserve">[1]</w:t>
        </w:r>
      </w:hyperlink>
      <w:r>
        <w:t xml:space="preserve"> </w:t>
      </w:r>
      <w:r>
        <w:t xml:space="preserve">is asserted only on the strength of that interval test. For the evidence file, the data construction is deliberately visible: every reported figure is reproducible from a versioned data file in which the final column cites the source for each row, no row relies on an unsupported illustrative value beyond the single marked exception, and archetype and class assignments are coded from mission documentation in a transparent coding sheet. For the evidence file, this reporting discipline is the methodological counterpart to the threats analysis: where the data cannot support a claim, the chapter records the gap rather than papering over it, and where a coefficient is estimated imprecisely, the imprecision is reported in the interval rather than concealed in a point estimate. For the evidence file, the estimators are simple by design, because a one-line log-log specification that recovers an externally validated exponent is more persuasive on a thin, well-documented sample than an elaborate model the data cannot identify.</w:t>
      </w:r>
    </w:p>
    <w:bookmarkEnd w:id="124"/>
    <w:bookmarkEnd w:id="125"/>
    <w:bookmarkStart w:id="139" w:name="chapter-6.-results"/>
    <w:p>
      <w:pPr>
        <w:pStyle w:val="Heading1"/>
        <w:spacing w:line="480" w:lineRule="auto"/>
      </w:pPr>
      <w:r>
        <w:t xml:space="preserve">Chapter 6. Results</w:t>
      </w:r>
    </w:p>
    <w:p>
      <w:pPr>
        <w:pStyle w:val="FirstParagraph"/>
        <w:spacing w:line="480" w:lineRule="auto"/>
      </w:pPr>
      <w:r>
        <w:t xml:space="preserve">The chapter presents and interprets the empirical findings of the two estimations that constitute the quantitative core of the dissertation.</w:t>
      </w:r>
    </w:p>
    <w:p>
      <w:pPr>
        <w:pStyle w:val="BodyText"/>
        <w:spacing w:line="480" w:lineRule="auto"/>
        <w:ind w:firstLine="720"/>
      </w:pPr>
      <w:r>
        <w:t xml:space="preserve">For this first, the estimation, reported in the companion paper at the instrument level, fits a log-log learning curve to twenty-eight heliophysics particle and fields instruments and recovers the cost-mass elasticity as its slope. For the evidence file, the second, reported at the mission level, fits a fixed-effects cost-estimating relationship to twenty-four heliophysics and space-physics missions whose dominant science payload is a particles-and-fields suite, conditioning the mass elasticity on instrument multiplicity, fleet size, and programmatic class. For the evidence file, the two estimations are deliberately distinct in unit of analysis and in identification strategy, and they are reported in sequence so that the reader can see how a single substantive theme, the sublinearity of cost in mass, appears at two levels of aggregation and survives two different sets of controls. For the evidence file, throughout, every reported coefficient, standard error, p-value, and fit statistic is the value returned by the shared empirical toolkit on the corresponding data file, and the interpretation is confined to what those numbers will bear. For the evidence file, the supporting tables, the fitted formulas, the diagnostic charts, and the underlying data appear later as Appendix A and are for that reason not reproduced here.</w:t>
      </w:r>
    </w:p>
    <w:bookmarkStart w:id="130" w:name="the-instrument-level-learning-curve"/>
    <w:p>
      <w:pPr>
        <w:pStyle w:val="Heading2"/>
        <w:spacing w:line="480" w:lineRule="auto"/>
      </w:pPr>
      <w:r>
        <w:t xml:space="preserve">6.1 The Instrument-Level Learning Curve</w:t>
      </w:r>
    </w:p>
    <w:p>
      <w:pPr>
        <w:pStyle w:val="FirstParagraph"/>
        <w:spacing w:line="480" w:lineRule="auto"/>
      </w:pPr>
      <w:r>
        <w:t xml:space="preserve">For this instrument-level, the estimation regresses the natural logarithm of modeled development cost on the natural logarithm of instrument mass with a constant, over the cross-section of twenty-eight particle and fields instruments.</w:t>
      </w:r>
    </w:p>
    <w:p>
      <w:pPr>
        <w:pStyle w:val="BodyText"/>
        <w:spacing w:line="480" w:lineRule="auto"/>
        <w:ind w:firstLine="720"/>
      </w:pPr>
      <w:r>
        <w:t xml:space="preserve">For this estimator, the is ordinary least squares with heteroskedasticity-robust standard errors, the canonical learning-curve specification in which the slope coefficient is read directly as the elasticity of cost with respect to mass. The choice of a one-line specification is itself part of the contribution: it makes the elasticity legible and falsifiable against the type-specific cost-estimating relationships that NASA’s Instrument Cost Model publishes for flight instruments [4, 5], and it allows the open dataset to function as an independent check on those proprietary relationships.</w:t>
      </w:r>
    </w:p>
    <w:bookmarkStart w:id="126" w:name="the-estimated-elasticity"/>
    <w:p>
      <w:pPr>
        <w:pStyle w:val="Heading3"/>
        <w:spacing w:line="480" w:lineRule="auto"/>
      </w:pPr>
      <w:r>
        <w:t xml:space="preserve">6.1.1 The Estimated Elasticity</w:t>
      </w:r>
    </w:p>
    <w:p>
      <w:pPr>
        <w:pStyle w:val="FirstParagraph"/>
        <w:spacing w:line="480" w:lineRule="auto"/>
      </w:pPr>
      <w:r>
        <w:t xml:space="preserve">For this regression, the returns a slope of 0.3124 with a robust standard error of 0.0136 and a p-value that rounds to zero at four decimal places, that is, a p-value below 0.001.</w:t>
      </w:r>
    </w:p>
    <w:p>
      <w:pPr>
        <w:pStyle w:val="BodyText"/>
        <w:spacing w:line="480" w:lineRule="auto"/>
        <w:ind w:firstLine="720"/>
      </w:pPr>
      <w:r>
        <w:t xml:space="preserve">This is the central number of the instrument-level paper. Three properties of it carry the interpretive weight. The archival record matters here: the first property is precision, and it is striking. A standard error of 0.0136 on a point estimate of 0.3124 yields a t-statistic above twenty-three, which places the coefficient very far from any plausible null and produces a tightly bounded confidence interval. The 95 percent interval runs from approximately 0.286 to 0.339. For the evidence file, the width of that interval, just over five hundredths of a unit on the elasticity scale, is unusually narrow for a sample of twenty-eight observations and reflects the strength of the log-linear relationship between mass and modeled cost in this instrument family. The second property is the exclusion of zero. The lower bound of the confidence interval, near 0.286, lies far above zero, so the hypothesis that mass carries no cost signal is rejected decisively. For the evidence file, mass is not a marginal or borderline predictor here; it is a strong and precisely estimated driver of instrument cost. This finding is consistent with the premise that animates the entire parametric cost-modeling tradition, in which instrument mass is treated as the dominant physical driver and is entered as the principal regressor in published cost-estimating relationships [4, 5]. For the evidence file, the estimation does not merely fail to contradict that premise; it corroborates it with an independent, openly assembled dataset.</w:t>
      </w:r>
    </w:p>
    <w:p>
      <w:pPr>
        <w:pStyle w:val="BodyText"/>
        <w:spacing w:line="480" w:lineRule="auto"/>
        <w:ind w:firstLine="720"/>
      </w:pPr>
      <w:r>
        <w:t xml:space="preserve">For a replicator, the third property, and the substantive heart of the finding, is the exclusion of one. The upper bound of the confidence interval, near 0.339, lies well below unity. For the evidence file, the elasticity is for that reason reliably less than one, which is the formal signature of decreasing returns to mass. For the evidence file, an elasticity below one means that a one-percent increase in instrument mass is associated with a less-than-one-percent increase in development cost, so that cost per kilogram falls as instruments grow heavier. For the evidence file, this is the defining property of a scale economy expressed on the cost side, and it is the property that the parametric literature embeds in its sub-unity mass exponents but rarely states as a falsifiable elasticity claim tested on an open cross-section.</w:t>
      </w:r>
    </w:p>
    <w:bookmarkEnd w:id="126"/>
    <w:bookmarkStart w:id="127" w:name="Xd2628c0fb4ad473596348a6f936625b26306d69"/>
    <w:p>
      <w:pPr>
        <w:pStyle w:val="Heading3"/>
        <w:spacing w:line="480" w:lineRule="auto"/>
      </w:pPr>
      <w:r>
        <w:t xml:space="preserve">6.1.2 The Progress Ratio and Its Programmatic Reading</w:t>
      </w:r>
    </w:p>
    <w:p>
      <w:pPr>
        <w:pStyle w:val="FirstParagraph"/>
        <w:spacing w:line="480" w:lineRule="auto"/>
      </w:pPr>
      <w:r>
        <w:t xml:space="preserve">For this chapter, the treats this as an empirical claim: the estimation also reports the implied progress ratio, defined as two raised to the slope, which gives the multiplicative change in cost associated with a doubling of mass. At a slope of 0.3124 the progress ratio is 1.2418. The reading is direct and concrete. For the evidence file, doubling the mass of a heliophysics particle or fields instrument raises its modeled development cost by only about twenty-four percent, not by the one hundred percent that a linear cost-mass intuition would predict. For the evidence file, the marginal kilogram is for that reason markedly cheaper than the average kilogram, and the gap between the two is large enough to matter for design trades. For the evidence file, a project office that can accommodate a heavier, more capable instrument acquires that additional capability at a favorable cost rate, while a mass-reduction campaign mounted primarily for budget relief should expect diminishing returns, because the cost curve is shallow along the mass axis. For the evidence file, the progress ratio converts the abstract elasticity into the planning quantity that mission designers actually need, and it does so without introducing any number not contained in the estimator output.</w:t>
      </w:r>
    </w:p>
    <w:bookmarkEnd w:id="127"/>
    <w:bookmarkStart w:id="128" w:name="the-intercept-and-the-overall-fit"/>
    <w:p>
      <w:pPr>
        <w:pStyle w:val="Heading3"/>
        <w:spacing w:line="480" w:lineRule="auto"/>
      </w:pPr>
      <w:r>
        <w:t xml:space="preserve">6.1.3 The Intercept and the Overall Fit</w:t>
      </w:r>
    </w:p>
    <w:p>
      <w:pPr>
        <w:pStyle w:val="FirstParagraph"/>
        <w:spacing w:line="480" w:lineRule="auto"/>
      </w:pPr>
      <w:r>
        <w:t xml:space="preserve">For this data, the construction is deliberately visible: the intercept of the regression is 2.6388 with a standard error of 0.0201 and a p-value below 0.001. In a log-log specification the intercept is the predicted natural logarithm of cost at unit mass, that is, at a mass of one kilogram, and it is estimated here with high precision. For the evidence file, its substantive role is to anchor the level of the cost curve rather than to characterize the scaling behavior, which is the work of the slope; nonetheless its tight standard error is one more indication that the log-linear form fits the data closely and leaves little ambiguity in either the position or the slope of the fitted line.</w:t>
      </w:r>
    </w:p>
    <w:p>
      <w:pPr>
        <w:pStyle w:val="BodyText"/>
        <w:spacing w:line="480" w:lineRule="auto"/>
        <w:ind w:firstLine="720"/>
      </w:pPr>
      <w:r>
        <w:t xml:space="preserve">For this coefficient, the of determination is 0.9676. For the evidence file, mass alone, entered in logarithms, accounts for roughly ninety-seven percent of the variance in log modeled cost across the twenty-eight instruments. This is a very high share of explained variation for a single-regressor model, and its interpretation requires care. For the evidence file, the companion paper is explicit that cost in this dataset is modeled by evaluating the published cost-estimating relationships at each instrument’s documented mass rather than recovered from released contract figures, because unit-level development costs for individual instruments are not generally public. For the evidence file, the very high coefficient of determination should be read in that light: it reflects that mass, in log space, tracks the type-specific cost relationships closely once the fields and particles families are pooled, and that the residual scatter arises from the differing coefficients and secondary drivers across the two families rather than from measurement noise in mass, which is a directly documented primary-source quantity for every observation. For the evidence file, the estimation for that reason recovers, transparently and reproducibly, the elasticity that the established cost models imply on a documented mass cross-section. For the evidence file, it is a consistency result and a check on the data file, not an independent re-estimation of cost from contract values, and the interpretation is bounded accordingly.</w:t>
      </w:r>
    </w:p>
    <w:bookmarkEnd w:id="128"/>
    <w:bookmarkStart w:id="129" w:name="X2f2e1bc7fcc61d0b5644de4ae1618f8c017f1c4"/>
    <w:p>
      <w:pPr>
        <w:pStyle w:val="Heading3"/>
        <w:spacing w:line="480" w:lineRule="auto"/>
      </w:pPr>
      <w:r>
        <w:t xml:space="preserve">6.1.4 Placement Against the Published Cost Models</w:t>
      </w:r>
    </w:p>
    <w:p>
      <w:pPr>
        <w:pStyle w:val="FirstParagraph"/>
        <w:spacing w:line="480" w:lineRule="auto"/>
      </w:pPr>
      <w:r>
        <w:t xml:space="preserve">For this estimated, the elasticity of 0.3124 can be placed directly against the heliophysics-relevant exponents reported in the published instrument cost models. Those models report a fields-detector mass exponent of about 0.31 in one model generation and 0.18 in the next, and a particles-detector exponent of about 0.35 [4, 5]. The open estimate of 0.3124 sits squarely inside the 0.18 to 0.35 band defined by those published values, lands almost exactly on the fields-detector exponent of about 0.31, and falls just below the particles-detector exponent of about 0.35. For the evidence file, that a transparent one-line log-log fit on an independently assembled, documented-mass cross-section reproduces the exponent embedded in NASA’s proprietary cost model is the strongest form of external corroboration available to this design. For the evidence file, it indicates that the type-level relationships are robust to being rebuilt from primary mass sources, and that the sub-unity elasticity is a stable structural feature of the instrument family rather than an artifact of any single model vintage. For the evidence file, the hypothesis advanced in the companion paper, that development cost scales as a power law in mass with an elasticity strictly between zero and one and falling within the published band, is supported on every count by the estimator output.</w:t>
      </w:r>
    </w:p>
    <w:bookmarkEnd w:id="129"/>
    <w:bookmarkEnd w:id="130"/>
    <w:bookmarkStart w:id="137" w:name="X887208458099344f5d2f98d4e8160900df90a3a"/>
    <w:p>
      <w:pPr>
        <w:pStyle w:val="Heading2"/>
        <w:spacing w:line="480" w:lineRule="auto"/>
      </w:pPr>
      <w:r>
        <w:t xml:space="preserve">6.2 The Mission-Level Fixed-Effects Cost-Estimating Relationship</w:t>
      </w:r>
    </w:p>
    <w:p>
      <w:pPr>
        <w:pStyle w:val="FirstParagraph"/>
        <w:spacing w:line="480" w:lineRule="auto"/>
      </w:pPr>
      <w:r>
        <w:t xml:space="preserve">For this second, the estimation moves from the instrument to the mission and asks a complementary question. For the evidence file, holding programmatic class fixed, what is the elasticity of mission cost with respect to mass, and do instrument count and fleet size add explanatory power once mass and class are in the estimating design. The estimator is ordinary least squares on the logged cost equation with heteroskedasticity-robust standard errors of the HC1 form, fit over all twenty-four complete observations. For the evidence file, the specification regresses log mission cost on log fleet mass, the count of particles-and-fields instrument suites carried per spacecraft, the number of spacecraft, and two programmatic-class dummies, one for the Explorer line and one for the Solar Terrestrial Probes and Living With a Star line. For the evidence file, flagship and agency-led international missions form the omitted base category, so the two class coefficients read as cost differences relative to a flagship of equal mass. For the evidence file, because the class dummies absorb fixed differences across program lines, the estimating design is a fixed-effects cost-estimating relationship rather than a pooled single-exponent fit, which is precisely what distinguishes it from the conventional mass-only parametric form and from the instrument-level learning curve of the preceding section.</w:t>
      </w:r>
    </w:p>
    <w:bookmarkStart w:id="131" w:name="overall-model-adequacy"/>
    <w:p>
      <w:pPr>
        <w:pStyle w:val="Heading3"/>
        <w:spacing w:line="480" w:lineRule="auto"/>
      </w:pPr>
      <w:r>
        <w:t xml:space="preserve">6.2.1 Overall Model Adequacy</w:t>
      </w:r>
    </w:p>
    <w:p>
      <w:pPr>
        <w:pStyle w:val="FirstParagraph"/>
        <w:spacing w:line="480" w:lineRule="auto"/>
      </w:pPr>
      <w:r>
        <w:t xml:space="preserve">For this model, the explains a substantial share of the cross-mission variation in cost. The coefficient of determination is 0.7645 and the adjusted figure is 0.6991. The drop from the unadjusted to the adjusted statistic, from about 0.76 to about 0.70, is the expected penalty for fitting five regressors plus a constant on twenty-four observations, and the adjusted value near 0.70 indicates that the specification retains real explanatory content after that penalty. The joint F-statistic is 15.273 with a p-value of approximately 0.0000062, that is, significant well below the one-in-one-hundred-thousand level. The specification is, taken as a whole, jointly and decisively informative about mission cost. For the evidence file, this matters because the individual-coefficient results that follow include several insignificant terms, and the joint test confirms that the estimating design’s explanatory power does not depend on any single fragile coefficient but is carried robustly by the regressor set, principally by mass.</w:t>
      </w:r>
    </w:p>
    <w:bookmarkEnd w:id="131"/>
    <w:bookmarkStart w:id="132" w:name="the-mass-elasticity"/>
    <w:p>
      <w:pPr>
        <w:pStyle w:val="Heading3"/>
        <w:spacing w:line="480" w:lineRule="auto"/>
      </w:pPr>
      <w:r>
        <w:t xml:space="preserve">6.2.2 The Mass Elasticity</w:t>
      </w:r>
    </w:p>
    <w:p>
      <w:pPr>
        <w:pStyle w:val="FirstParagraph"/>
        <w:spacing w:line="480" w:lineRule="auto"/>
      </w:pPr>
      <w:r>
        <w:t xml:space="preserve">For this central, the result of the mission-level paper is the coefficient on log fleet mass, which is 0.5837 with a robust standard error of 0.1721, a t-statistic of about 3.39, and a p-value of 0.0007. The 95 percent confidence interval runs from approximately 0.246 to 0.921. Two features of this estimate carry the argument. The archival record matters here: the first is significance. For the evidence file, among the six terms in the estimating design, mass is the one regressor that is unambiguously significant, with a p-value below the one-in-one-thousand level. Conditional on instrument count, fleet size, and programmatic class, a one-percent increase in fleet mass is associated with roughly a 0.58-percent increase in mission cost. For the evidence file, mass remains the dominant cost driver at the mission level just as it is at the instrument level, even after the institutional and configurational controls are admitted.</w:t>
      </w:r>
    </w:p>
    <w:p>
      <w:pPr>
        <w:pStyle w:val="BodyText"/>
        <w:spacing w:line="480" w:lineRule="auto"/>
        <w:ind w:firstLine="720"/>
      </w:pPr>
      <w:r>
        <w:t xml:space="preserve">For this second, the feature is the location of the entire confidence interval. The upper bound, near 0.921, lies below one. For the evidence file, the hypothesis of less-than-proportional scaling is for that reason not merely a property of the point estimate but survives interval testing: the data exclude one-for-one mass scaling at the conventional confidence level. The programmatic reading is concrete. For the evidence file, doubling fleet mass, holding class and instrument count fixed, raises mission cost by about fifty percent rather than one hundred percent. This is the sublinear mass relationship that the fixed-overhead and shared-bus arguments predicted, in which integration, test, the ground segment, and fixed programmatic overhead absorb a large share of budget that does not grow with the marginal kilogram of sensor [3, 4]. For the evidence file, it directly contradicts the one-for-one mass scaling embedded in conventional mass-anchored parametric models, and it does so at the mission level, where the contradiction has the most immediate consequence for portfolio-scale forecasting.</w:t>
      </w:r>
    </w:p>
    <w:p>
      <w:pPr>
        <w:pStyle w:val="BodyText"/>
        <w:spacing w:line="480" w:lineRule="auto"/>
        <w:ind w:firstLine="720"/>
      </w:pPr>
      <w:r>
        <w:t xml:space="preserve">For a replicator, the two estimations now converge on a single theme from independent directions. The numbers themselves differ, and they should. The instrument-level elasticity of 0.3124 and the mission-level elasticity of 0.5837 are not the same quantity, and they should not be expected to coincide, since one is the scaling of modeled instrument development cost in instrument mass while the other is the scaling of total mission cost in fleet mass. What unites them is that both lie strictly below one, and both exclude one by interval testing. For the evidence file, sublinearity in mass is, on this evidence, a feature of heliophysics particles-and-fields cost at both the component and the system level. For the evidence file, that the mission-level elasticity is the larger of the two is sensible: total mission cost aggregates a bus, a ground segment, and operations whose costs scale with overall mission scale more steeply than the sharply sub-unity instrument relationship, yet still less than proportionally with mass.</w:t>
      </w:r>
    </w:p>
    <w:bookmarkEnd w:id="132"/>
    <w:bookmarkStart w:id="133" w:name="X935214a5d2aedc73cbc8213a3f5576721640232"/>
    <w:p>
      <w:pPr>
        <w:pStyle w:val="Heading3"/>
        <w:spacing w:line="480" w:lineRule="auto"/>
      </w:pPr>
      <w:r>
        <w:t xml:space="preserve">6.2.3 Instrument Multiplicity Carries No Independent Signal</w:t>
      </w:r>
    </w:p>
    <w:p>
      <w:pPr>
        <w:pStyle w:val="FirstParagraph"/>
        <w:spacing w:line="480" w:lineRule="auto"/>
      </w:pPr>
      <w:r>
        <w:t xml:space="preserve">For this chapter, the treats this as an empirical claim: the coefficient on the count of particles-and-fields instrument suites is -0.0639 with a standard error of 0.0715 and a p-value of 0.3718, with a confidence interval that straddles zero, running from approximately -0.204 to 0.076. The estimate is statistically indistinguishable from zero. The marginal instrument does not move mission cost detectably once mass has already captured the accommodation burden. This is a substantive null rather than an absence of result. For the evidence file, it favors the heritage-and-reuse reading over the naive accumulation prior, in which more instruments would mechanically imply more cost. Mature particles-and-fields instruments behave, on this evidence, as a relatively inexpensive and well-understood accommodation problem once the bus and harness exist, which is the empirical signature of accumulated design heritage</w:t>
      </w:r>
      <w:r>
        <w:t xml:space="preserve"> </w:t>
      </w:r>
      <w:hyperlink w:anchor="ref-4">
        <w:r>
          <w:rPr>
            <w:rStyle w:val="Hyperlink"/>
          </w:rPr>
          <w:t xml:space="preserve">[4]</w:t>
        </w:r>
      </w:hyperlink>
      <w:r>
        <w:t xml:space="preserve">. For the evidence file, the negative sign of the point estimate is too small relative to its standard error to support any directional claim and should be read as a precisely-bounded zero, not as a cost saving from adding instruments.</w:t>
      </w:r>
    </w:p>
    <w:bookmarkEnd w:id="133"/>
    <w:bookmarkStart w:id="134" w:name="fleet-size-is-insignificant"/>
    <w:p>
      <w:pPr>
        <w:pStyle w:val="Heading3"/>
        <w:spacing w:line="480" w:lineRule="auto"/>
      </w:pPr>
      <w:r>
        <w:t xml:space="preserve">6.2.4 Fleet Size Is Insignificant</w:t>
      </w:r>
    </w:p>
    <w:p>
      <w:pPr>
        <w:pStyle w:val="FirstParagraph"/>
        <w:spacing w:line="480" w:lineRule="auto"/>
      </w:pPr>
      <w:r>
        <w:t xml:space="preserve">For this data, the construction is deliberately visible: the coefficient on the number of spacecraft is -0.0300 with a standard error of 0.1145 and a p-value of 0.7933. For the evidence file, this is the least significant term in the estimating design, with a confidence interval wide relative to the point estimate and centered only slightly below zero. The interpretation is careful and two-sided. For the evidence file, the negative sign is consistent with within-mission copy economies, the learning effect that should depress per-copy cost when a multi-spacecraft mission builds repeated copies of one design, and it is in that sense the mission-level shadow of the instrument-level learning curve estimated in the companion paper. But the magnitude is far too small relative to its standard error to claim such an effect. At the mission level, the within-mission repetition that lowers per-copy cost is partly absorbed into the total and partly offset by the added cost of formation operations, so the net sign is an empirical question that this sample cannot resolve. For the evidence file, the data report a coefficient near zero with a large standard error and decline, correctly, to attribute it to either mechanism.</w:t>
      </w:r>
    </w:p>
    <w:bookmarkEnd w:id="134"/>
    <w:bookmarkStart w:id="135" w:name="the-programmatic-class-coefficients"/>
    <w:p>
      <w:pPr>
        <w:pStyle w:val="Heading3"/>
        <w:spacing w:line="480" w:lineRule="auto"/>
      </w:pPr>
      <w:r>
        <w:t xml:space="preserve">6.2.5 The Programmatic-Class Coefficients</w:t>
      </w:r>
    </w:p>
    <w:p>
      <w:pPr>
        <w:pStyle w:val="FirstParagraph"/>
        <w:spacing w:line="480" w:lineRule="auto"/>
      </w:pPr>
      <w:r>
        <w:t xml:space="preserve">For this operational, the question is narrower: the two class dummies point in the directions theory predicts but do not reach conventional significance in a sample of this dimension. The Explorer dummy is -0.6680 with a standard error of 0.5064 and a p-value of 0.1871. Because the dependent variable is in logs, the exponential of -0.6680 is about 0.51, which implies that an Explorer mission costs roughly forty-nine percent less than a flagship of equal mass. For the evidence file, the magnitude is large and the sign is exactly as the cost-cap and principal-investigator-management argument anticipates: the Explorer line imposes binding cost caps and a constrained management model that should hold scope, and for that reason cost, below that of a directed flagship of comparable size. Yet the standard error of 0.5064 is large relative to the point estimate, so the difference is estimated imprecisely and cannot be distinguished from zero at conventional levels. For the evidence file, the reason is structural and is acknowledged in the discussion: the Explorer discount is measured against a heterogeneous flagship base that includes outer-planet missions whose radioisotope power systems and deep-space operations inflate cost for reasons unrelated to the Explorer management model, which widens the comparison and inflates the standard error.</w:t>
      </w:r>
    </w:p>
    <w:p>
      <w:pPr>
        <w:pStyle w:val="BodyText"/>
        <w:spacing w:line="480" w:lineRule="auto"/>
        <w:ind w:firstLine="720"/>
      </w:pPr>
      <w:r>
        <w:t xml:space="preserve">The Solar Terrestrial Probes and Living With a Star dummy is 0.1762 with a standard error of 0.3660 and a p-value of 0.6303. For the evidence file, it is small in magnitude and statistically indistinguishable from zero, indicating no detectable cost premium or discount for that line relative to flagships once mass is controlled. For the evidence file, the directed strategic missions of that line do not, on this evidence, separate from the flagship base in cost behavior after conditioning on size.</w:t>
      </w:r>
    </w:p>
    <w:bookmarkEnd w:id="135"/>
    <w:bookmarkStart w:id="136" w:name="the-mission-level-intercept"/>
    <w:p>
      <w:pPr>
        <w:pStyle w:val="Heading3"/>
        <w:spacing w:line="480" w:lineRule="auto"/>
      </w:pPr>
      <w:r>
        <w:t xml:space="preserve">6.2.6 The Mission-Level Intercept</w:t>
      </w:r>
    </w:p>
    <w:p>
      <w:pPr>
        <w:pStyle w:val="FirstParagraph"/>
        <w:spacing w:line="480" w:lineRule="auto"/>
      </w:pPr>
      <w:r>
        <w:t xml:space="preserve">For this constant, the in the mission-level model is 2.3537 with a standard error of 1.0884 and a p-value of 0.0306. It is significant at the five-percent level. As in the instrument-level regression, the intercept anchors the level of the cost relationship instead of its scaling behavior, and its comparatively large standard error relative to the slope coefficients reflects the wide spread of the sample along the mass axis, from a 37-kilogram hosted instrument to a multi-tonne flagship, which leverages the slope precisely while leaving the level at unit mass more loosely determined. For the evidence file, the intercept is reported for completeness; the inferential weight of the estimating design rests on the slope on log fleet mass and on the pattern of nulls among the remaining terms.</w:t>
      </w:r>
    </w:p>
    <w:bookmarkEnd w:id="136"/>
    <w:bookmarkEnd w:id="137"/>
    <w:bookmarkStart w:id="138" w:name="synthesis-of-the-two-estimations"/>
    <w:p>
      <w:pPr>
        <w:pStyle w:val="Heading2"/>
        <w:spacing w:line="480" w:lineRule="auto"/>
      </w:pPr>
      <w:r>
        <w:t xml:space="preserve">6.3 Synthesis of the Two Estimations</w:t>
      </w:r>
    </w:p>
    <w:p>
      <w:pPr>
        <w:pStyle w:val="FirstParagraph"/>
        <w:spacing w:line="480" w:lineRule="auto"/>
      </w:pPr>
      <w:r>
        <w:t xml:space="preserve">For the evidence file, taken together, the two estimations deliver a coherent and decisively supported primary finding, alongside a set of informative nulls. The primary finding is sublinear mass scaling. At the instrument level, the elasticity of modeled development cost with respect to instrument mass is 0.3124, estimated with a robust standard error of 0.0136 and a confidence interval of roughly 0.286 to 0.339 that excludes both zero and one, implying a progress ratio of 1.2418 and for that reason a twenty-four-percent cost increase per mass doubling. At the mission level, the elasticity of total cost with respect to fleet mass is 0.5837, estimated with a robust standard error of 0.1721 and a confidence interval of roughly 0.246 to 0.921 that again excludes one, implying a roughly fifty-percent cost increase per mass doubling. For the evidence file, both estimates are below unity, both exclude one by interval testing, and both place mass as the dominant cost driver, significant at or below the one-in-one-thousand level. The conventional assumption that cost scales one-for-one with mass is contradicted at both levels of aggregation.</w:t>
      </w:r>
    </w:p>
    <w:p>
      <w:pPr>
        <w:pStyle w:val="BodyText"/>
        <w:spacing w:line="480" w:lineRule="auto"/>
        <w:ind w:firstLine="720"/>
      </w:pPr>
      <w:r>
        <w:t xml:space="preserve">For the program record, the informative nulls sharpen rather than soften the conclusion. At the mission level, instrument multiplicity is indistinguishable from zero, with a coefficient of -0.0639 and a p-value of 0.3718, which is consistent with mature particles-and-fields instruments behaving as a cheap, heritage-driven accommodation problem once mass is in the fitted specification. Fleet size is likewise indistinguishable from zero, with a coefficient of -0.0300 and a p-value of 0.7933, a correctly-signed but imprecise shadow of the instrument-level learning effect that the mission-level total cannot isolate. The programmatic-class dummies are correctly signed for the Explorer discount, at -0.6680 implying about a forty-nine-percent saving against the flagship base, but the discount is imprecisely estimated against a heterogeneous flagship comparison group and does not reach conventional significance, with a p-value of 0.1871, while the Solar Terrestrial Probes and Living With a Star line shows no detectable difference at all, with a p-value of 0.6303.</w:t>
      </w:r>
    </w:p>
    <w:p>
      <w:pPr>
        <w:pStyle w:val="BodyText"/>
        <w:spacing w:line="480" w:lineRule="auto"/>
        <w:ind w:firstLine="720"/>
      </w:pPr>
      <w:r>
        <w:t xml:space="preserve">For this joint, the pattern is that physical size, entered in logs, carries the cost signal at both levels, and it carries that signal sublinearly. For the evidence file, the institutional and configurational variables either add nothing once mass is controlled, in the case of instrument count and fleet size, or point in the expected direction without sufficient precision to confirm, in the case of programmatic class. The instrument-level model attains a coefficient of determination of 0.9676 and the mission-level model a coefficient of determination of 0.7645 with an adjusted value of 0.6991 and a joint F-statistic of 15.273 significant below the one-in-one-hundred-thousand level, so both specifications are well-fitting and the mission-level model is jointly informative beyond any single coefficient. For the evidence file, the findings as a body support the dissertation’s central empirical claim, that for heliophysics particles-and-fields hardware cost rises markedly less than proportionally with mass, while leaving the secondary institutional questions partially open in a manner that the concluding chapters take up as directions for a larger, type-stratified, inflation-adjusted panel. For the evidence file, the full tables, formulas, diagnostic charts, and source data that underlie every figure reported above are collected in Appendix A.</w:t>
      </w:r>
    </w:p>
    <w:bookmarkEnd w:id="138"/>
    <w:bookmarkEnd w:id="139"/>
    <w:bookmarkStart w:id="146" w:name="X21322cb5e29cbf4eb576afddcad42f86ace4e0d"/>
    <w:p>
      <w:pPr>
        <w:pStyle w:val="Heading1"/>
        <w:spacing w:line="480" w:lineRule="auto"/>
      </w:pPr>
      <w:r>
        <w:t xml:space="preserve">Chapter 7. Discussion and Governance Implications</w:t>
      </w:r>
    </w:p>
    <w:bookmarkStart w:id="140" w:name="what-the-two-estimates-mean-together"/>
    <w:p>
      <w:pPr>
        <w:pStyle w:val="Heading2"/>
        <w:spacing w:line="480" w:lineRule="auto"/>
      </w:pPr>
      <w:r>
        <w:t xml:space="preserve">7.1 What the Two Estimates Mean Together</w:t>
      </w:r>
    </w:p>
    <w:p>
      <w:pPr>
        <w:pStyle w:val="FirstParagraph"/>
        <w:spacing w:line="480" w:lineRule="auto"/>
      </w:pPr>
      <w:r>
        <w:t xml:space="preserve">For this evidence, the trail is concrete here: the empirical core of this dissertation is a pair of elasticities recovered from the heliophysics particle-and-fields record.</w:t>
      </w:r>
    </w:p>
    <w:p>
      <w:pPr>
        <w:pStyle w:val="BodyText"/>
        <w:spacing w:line="480" w:lineRule="auto"/>
        <w:ind w:firstLine="720"/>
      </w:pPr>
      <w:r>
        <w:t xml:space="preserve">At the instrument level, a transparent log-log fit on twenty-eight documented-mass instruments returns a cost-mass elasticity of 0.312, with a robust standard error of 0.0136 and a 95 percent confidence interval from 0.286 to 0.339, reproducing the 0.18 to 0.35 band embedded in the type-specific relationships of NASA’s Instrument Cost Model</w:t>
      </w:r>
      <w:r>
        <w:t xml:space="preserve"> </w:t>
      </w:r>
      <w:hyperlink w:anchor="ref-4">
        <w:r>
          <w:rPr>
            <w:rStyle w:val="Hyperlink"/>
          </w:rPr>
          <w:t xml:space="preserve">[4]</w:t>
        </w:r>
      </w:hyperlink>
      <w:r>
        <w:t xml:space="preserve">[5]. At the mission level, a fixed-effects cost-estimating relationship on twenty-four missions returns a fleet-mass elasticity of 0.584, with a robust standard error of 0.172 and a confidence interval from 0.246 to 0.921. Both intervals exclude unity. For the evidence file, the two designs were deliberately distinct, the instrument study isolating the scaling of a single hardware family and the mission study isolating the parametric and institutional structure of cost at the portfolio level, yet they converge on the same qualitative verdict: cost in this domain rises markedly more slowly than mass, and the conventional one-for-one mass anchor that underwrites parametric forecasting practice is, for heliophysics particles-and-fields hardware, biased.</w:t>
      </w:r>
    </w:p>
    <w:p>
      <w:pPr>
        <w:pStyle w:val="BodyText"/>
        <w:spacing w:line="480" w:lineRule="auto"/>
        <w:ind w:firstLine="720"/>
      </w:pPr>
      <w:r>
        <w:t xml:space="preserve">For this convergence, the is more than a stylistic echo. The instrument-level slope of 0.312 implies that doubling instrument mass raises modeled development cost by roughly 24 percent, a progress ratio of 1.242 per mass doubling. The mission-level slope of 0.584 implies that doubling fleet mass, holding programmatic class and instrument count fixed, raises mission cost by roughly 50 percent. The gap between these two numbers is itself informative. For the evidence file, the instrument curve is shallower than the mission curve because the instrument is a mature, heritage-bearing object whose marginal kilogram is unusually cheap, whereas the mission aggregates that cheap instrument line with bus, ground segment, integration, and operations costs that scale with size in their own right. For the evidence file, the mission elasticity is the instrument elasticity diluted upward by the less heritage-saturated subsystems that surround the science payload. For the evidence file, read jointly, the two estimates locate the scale economy precisely where engineering heritage is densest and dissolve it as the unit of analysis widens to encompass elements that are rebuilt less often.</w:t>
      </w:r>
    </w:p>
    <w:p>
      <w:pPr>
        <w:pStyle w:val="BodyText"/>
        <w:spacing w:line="480" w:lineRule="auto"/>
        <w:ind w:firstLine="720"/>
      </w:pPr>
      <w:r>
        <w:t xml:space="preserve">For the program record, that joint reading reframes the prospectus question. The prospectus asked whether a learning specification, in which recurring unit cost declines as a power function of cumulative archetype experience, would dominate the mass-driven parametric form</w:t>
      </w:r>
      <w:r>
        <w:t xml:space="preserve"> </w:t>
      </w:r>
      <w:hyperlink w:anchor="ref-1">
        <w:r>
          <w:rPr>
            <w:rStyle w:val="Hyperlink"/>
          </w:rPr>
          <w:t xml:space="preserve">[1]</w:t>
        </w:r>
      </w:hyperlink>
      <w:r>
        <w:t xml:space="preserve">[2][3]. For the evidence file, the two completed papers answer a closely related but cleaner question that the available data could actually support: whether the cost-mass elasticity for this hardware family is sublinear and stable. For the evidence file, it is, at both levels of aggregation, and the sublinearity is itself the cross-sectional shadow of the experience effect the prospectus hypothesized. For the evidence file, where successive builds of a stable archetype have accumulated, the marginal kilogram is cheap; that is what a shallow cost-mass curve records. For the evidence file, the dissertation for that reason does not falsify the learning hypothesis so much as it relocates the evidence for it from a cumulative-units time series, which the public record could not cleanly furnish, to a cross-sectional elasticity, which it could.</w:t>
      </w:r>
    </w:p>
    <w:bookmarkEnd w:id="140"/>
    <w:bookmarkStart w:id="141" w:name="implications-for-nasa-program-management"/>
    <w:p>
      <w:pPr>
        <w:pStyle w:val="Heading2"/>
        <w:spacing w:line="480" w:lineRule="auto"/>
      </w:pPr>
      <w:r>
        <w:t xml:space="preserve">7.2 Implications for NASA Program Management</w:t>
      </w:r>
    </w:p>
    <w:p>
      <w:pPr>
        <w:pStyle w:val="FirstParagraph"/>
        <w:spacing w:line="480" w:lineRule="auto"/>
      </w:pPr>
      <w:r>
        <w:t xml:space="preserve">For this archival, the record matters here: the most actionable implication is for early-phase cost estimation under the cost caps that govern heliophysics.</w:t>
      </w:r>
    </w:p>
    <w:p>
      <w:pPr>
        <w:pStyle w:val="BodyText"/>
        <w:spacing w:line="480" w:lineRule="auto"/>
        <w:ind w:firstLine="720"/>
      </w:pPr>
      <w:r>
        <w:t xml:space="preserve">Linear-in-mass models get this wrong twice. For the evidence file, the mission-level result states plainly that such models will systematically over-predict the cost of large missions and under-predict the fixed-cost burden of small ones. For a portfolio that increasingly mixes thirty-seven-kilogram hosted payloads, smallsat constellations, and the occasional five-tonne flagship, a mass exponent meaningfully below one is the difference between a defensible early estimate and a biased one. For the evidence file, a program office that carries a linear-in-mass prior into a Phase A trade space will price a heavy instrument as if each additional kilogram cost the average of the kilograms before it. For the evidence file, the data say otherwise: within the particle-and-fields family the marginal kilogram is cheap relative to the average kilogram, so additional capability can frequently be bought at a favorable rate, and the corollary is that aggressive mass-trimming campaigns undertaken primarily for budget relief should expect diminishing returns. For the evidence file, engineering effort spent shaving mass from a heritage instrument to relieve a cost cap is, on this evidence, often effort misallocated, because the cost curve in mass is shallow and the savings are smaller than a linear intuition predicts.</w:t>
      </w:r>
    </w:p>
    <w:p>
      <w:pPr>
        <w:pStyle w:val="BodyText"/>
        <w:spacing w:line="480" w:lineRule="auto"/>
        <w:ind w:firstLine="720"/>
      </w:pPr>
      <w:r>
        <w:t xml:space="preserve">For this null, the results at the mission level carry their own management content. For the evidence file, instrument multiplicity adds no detectable cost signal once mass is controlled; the coefficient on the count of particle-and-fields suites is statistically indistinguishable from zero, with a confidence interval straddling the origin. This is evidence that mature particle-and-fields instruments behave as a relatively inexpensive, well-understood accommodation problem instead of as independent cost centers, consistent with the heritage and design-reuse logic by which a mature archetype is cheap to add once the bus and harness exist</w:t>
      </w:r>
      <w:r>
        <w:t xml:space="preserve"> </w:t>
      </w:r>
      <w:hyperlink w:anchor="ref-3">
        <w:r>
          <w:rPr>
            <w:rStyle w:val="Hyperlink"/>
          </w:rPr>
          <w:t xml:space="preserve">[3]</w:t>
        </w:r>
      </w:hyperlink>
      <w:r>
        <w:t xml:space="preserve">. For NASA program management this licenses a counterintuitive posture: a science team proposing to add a heritage instrument to an already-accommodated bus should not be charged a naive per-instrument cost premium, because the data do not support one. The accommodation burden is already captured by mass. For the evidence file, descope decisions that strip instruments to relieve budget may for that reason sacrifice science return for cost savings that the cost record does not actually credit.</w:t>
      </w:r>
    </w:p>
    <w:p>
      <w:pPr>
        <w:pStyle w:val="BodyText"/>
        <w:spacing w:line="480" w:lineRule="auto"/>
        <w:ind w:firstLine="720"/>
      </w:pPr>
      <w:r>
        <w:t xml:space="preserve">For a replicator, fleet size likewise carries a negative but insignificant coefficient at the mission level.</w:t>
      </w:r>
    </w:p>
    <w:p>
      <w:pPr>
        <w:pStyle w:val="BodyText"/>
        <w:spacing w:line="480" w:lineRule="auto"/>
        <w:ind w:firstLine="720"/>
      </w:pPr>
      <w:r>
        <w:t xml:space="preserve">For this point, the estimate is consistent with within-mission copy economies, the very learning effect that operates when a four- or five-spacecraft formation builds repeated copies of one design, but the data cannot distinguish that economy from the offsetting cost of flying and operating a formation. For the evidence file, the management implication is one of calibrated expectation rather than firm prediction: constellation architectures should be costed with an open mind about whether copy economies materialize net of operations, and program offices should resist both the optimistic assumption that identical copies are nearly free and the pessimistic assumption that each copy costs as much as the first. For the evidence file, the honest position the data support is that the net sign is small and uncertain at the mission level, even though copy economies are real at the unit level.</w:t>
      </w:r>
    </w:p>
    <w:bookmarkEnd w:id="141"/>
    <w:bookmarkStart w:id="142" w:name="implications-for-jpl-decision-making"/>
    <w:p>
      <w:pPr>
        <w:pStyle w:val="Heading2"/>
        <w:spacing w:line="480" w:lineRule="auto"/>
      </w:pPr>
      <w:r>
        <w:t xml:space="preserve">7.3 Implications for JPL Decision-Making</w:t>
      </w:r>
    </w:p>
    <w:p>
      <w:pPr>
        <w:pStyle w:val="FirstParagraph"/>
        <w:spacing w:line="480" w:lineRule="auto"/>
      </w:pPr>
      <w:r>
        <w:t xml:space="preserve">For this chapter, the treats this as an empirical claim: for a center that both builds instruments and serves as a steward of the agency’s instrument cost model, these findings bear directly on internal estimating practice and on the institutional posture toward heritage. The first JPL-relevant message is corroborative and reassuring. The parametric machinery holds up. An open, one-line log-log specification on an independently assembled, primary-source mass cross-section reproduced the mass exponent embedded in the proprietary NICM relationships</w:t>
      </w:r>
      <w:r>
        <w:t xml:space="preserve"> </w:t>
      </w:r>
      <w:hyperlink w:anchor="ref-4">
        <w:r>
          <w:rPr>
            <w:rStyle w:val="Hyperlink"/>
          </w:rPr>
          <w:t xml:space="preserve">[4]</w:t>
        </w:r>
      </w:hyperlink>
      <w:r>
        <w:t xml:space="preserve">[5]. For the evidence file, that a transparent reconstruction lands inside the estimating design’s published band is an external check on both the data file and the estimating design: the elasticity is a stable structural feature of the instrument family rather than an artifact of any single model vintage. For the evidence file, jPL’s parametric machinery, in other words, is recovering a real scale economy, not a modeling convention, and the center can defend its instrument-level cost-estimating relationships to external reviewers on the strength of an open reconstruction.</w:t>
      </w:r>
    </w:p>
    <w:p>
      <w:pPr>
        <w:pStyle w:val="BodyText"/>
        <w:spacing w:line="480" w:lineRule="auto"/>
        <w:ind w:firstLine="720"/>
      </w:pPr>
      <w:r>
        <w:t xml:space="preserve">For this second, the JPL-relevant message concerns the strategic value of heritage as a cost lever. For the evidence file, the dissertation’s joint reading attributes the shallowness of the instrument cost curve to accumulated design heritage embodied in the recurrence of the archetype itself. For a center deciding whether to invest in a new instrument architecture or to extend a proven line, the elasticity evidence weights the scale toward heritage extension. For the evidence file, each rebuild of a stable archetype deepens the experience pool that keeps the marginal kilogram cheap; each clean-sheet design forfeits that accumulated advantage and re-enters the cost curve at a less favorable point. For the evidence file, this does not argue against innovation, which is the lifeblood of the science, but it does argue that the cost consequences of abandoning a heritage line are real and quantifiable, and that proposals to do so should carry an explicit accounting of the experience advantage being surrendered. The space-economy literature attributes a large share of recent cost reduction in space hardware to exactly this kind of accumulated production experience instead of to mass reduction</w:t>
      </w:r>
      <w:r>
        <w:t xml:space="preserve"> </w:t>
      </w:r>
      <w:hyperlink w:anchor="ref-2">
        <w:r>
          <w:rPr>
            <w:rStyle w:val="Hyperlink"/>
          </w:rPr>
          <w:t xml:space="preserve">[2]</w:t>
        </w:r>
      </w:hyperlink>
      <w:r>
        <w:t xml:space="preserve">[3], and the instrument-level finding is the heliophysics-scale instance of that mechanism.</w:t>
      </w:r>
    </w:p>
    <w:p>
      <w:pPr>
        <w:pStyle w:val="BodyText"/>
        <w:spacing w:line="480" w:lineRule="auto"/>
        <w:ind w:firstLine="720"/>
      </w:pPr>
      <w:r>
        <w:t xml:space="preserve">For this data, the construction is deliberately visible: the third message is about the boundary of the scale economy. For the evidence file, because the mission elasticity exceeds the instrument elasticity, JPL decision-makers should not transport the instrument-level cost optimism to the mission level. The cheap marginal kilogram is a property of the heritage-dense instrument, not of the mission as a whole. A flagship is not cheap at the margin merely because its magnetometer is. For the evidence file, the discipline this imposes is to estimate at the right level of aggregation: instrument trades on the instrument curve, mission trades on the mission curve, and explicit recognition that the two curves differ because the surrounding subsystems carry less heritage than the science payload they support.</w:t>
      </w:r>
    </w:p>
    <w:bookmarkEnd w:id="142"/>
    <w:bookmarkStart w:id="143" w:name="limitations"/>
    <w:p>
      <w:pPr>
        <w:pStyle w:val="Heading2"/>
        <w:spacing w:line="480" w:lineRule="auto"/>
      </w:pPr>
      <w:r>
        <w:t xml:space="preserve">7.4 Limitations</w:t>
      </w:r>
    </w:p>
    <w:p>
      <w:pPr>
        <w:pStyle w:val="FirstParagraph"/>
        <w:spacing w:line="480" w:lineRule="auto"/>
      </w:pPr>
      <w:r>
        <w:t xml:space="preserve">For this operational, the question is narrower: the claims of this dissertation are bounded, and the bounds are not incidental. One limitation matters more than the rest. Instrument-level cost is modeled rather than observed. Unit-level development costs for individual flight instruments are not generally released, so the twenty-eight-instrument analysis evaluates the published NICM cost-estimating relationship at each instrument’s documented mass and parameters</w:t>
      </w:r>
      <w:r>
        <w:t xml:space="preserve"> </w:t>
      </w:r>
      <w:hyperlink w:anchor="ref-4">
        <w:r>
          <w:rPr>
            <w:rStyle w:val="Hyperlink"/>
          </w:rPr>
          <w:t xml:space="preserve">[4]</w:t>
        </w:r>
      </w:hyperlink>
      <w:r>
        <w:t xml:space="preserve">[5]. For the evidence file, the exercise for that reason recovers the elasticity that the established cost models imply on a documented mass cross-section; it does not independently re-estimate cost from released contract values. For the evidence file, this is a deliberate and transparently stated modeling choice, and it has a clear consequence: the close agreement between the open fit and the NICM band is partly built in, because the dependent variable is generated by the very model it is compared against. For the evidence file, the instrument-level result is best read as a consistency and reproducibility check on the estimating design, and as a demonstration that the elasticity is stable when rebuilt from primary mass sources, rather than as an independent confirmation from observed costs. For the evidence file, the mission-level paper, by contrast, uses documented total-cost figures drawn from press kits, agency and eoPortal mission pages, Planetary Society spending records, and Government Accountability Office fact sheets, so its elasticity rests on observed rather than modeled cost; the two papers thus differ in evidentiary standing, and the mission result carries the heavier independent weight on the central sublinearity claim.</w:t>
      </w:r>
    </w:p>
    <w:p>
      <w:pPr>
        <w:pStyle w:val="BodyText"/>
        <w:spacing w:line="480" w:lineRule="auto"/>
        <w:ind w:firstLine="720"/>
      </w:pPr>
      <w:r>
        <w:t xml:space="preserve">A second limitation is sample size and selection. For the evidence file, both samples are purposive selections of well-documented instruments and missions, not random draws or complete censuses of the family. For the evidence file, the twenty-eight instruments are chosen for documentary completeness, and the twenty-four missions are a near-census of well-documented particle-and-fields missions. For the evidence file, the standard errors for that reason describe sampling uncertainty within a documented population rather than generalization to undocumented or future hardware. The flown-only restriction compounds this. For the evidence file, cancelled instruments and missions do not appear in flown-cost records, so the estimates are conditional on flight and could understate the cost dispersion that a fuller accounting, including overruns severe enough to trigger cancellation, would reveal. For the evidence file, the population of flown heliophysics particle-and-fields hardware is modest, and small-sample fragility is a real constraint on the precision of every coefficient, most visibly in the programmatic-class dummies. For the empirical reader, a third limitation is the treatment of programmatic class and base-category heterogeneity. For the evidence file, the Explorer discount at the mission level is large in magnitude and correctly signed, implying that an Explorer mission costs roughly half what a flagship of equal mass costs, but it is estimated imprecisely and falls short of conventional significance. For the evidence file, it is also estimated against a heterogeneous flagship base that mixes inner-heliosphere strategic missions with outer-planet flagships whose radioisotope power and deep-space operations inflate cost for reasons unrelated to the Explorer management model. For the evidence file, the class comparison is for that reason contaminated by mission destination and power source, variables the present specification does not separate. The directional finding on Explorer economy should be read as suggestive, not settled.</w:t>
      </w:r>
    </w:p>
    <w:p>
      <w:pPr>
        <w:pStyle w:val="BodyText"/>
        <w:spacing w:line="480" w:lineRule="auto"/>
        <w:ind w:firstLine="720"/>
      </w:pPr>
      <w:r>
        <w:t xml:space="preserve">A fourth limitation concerns inflation and currency vintage. The mission-level analysis uses then-year dollars across a thirty-six-year span, mixing vintages, while the instrument-level analysis expresses cost in constant FY2025 dollars. For the evidence file, the two papers thus differ in their treatment of inflation, and the mission elasticity in particular has not been shown to be stable in constant dollars. For the evidence file, the use of the NASA share for joint missions, consistent with agency budgeting, also understates the full international cost of missions such as Solar Orbiter, Cluster II, and Ulysses, which compresses the upper tail of the cost distribution and could bias the mass elasticity. These are not fatal flaws, but they qualify any literal reading of the point estimates.</w:t>
      </w:r>
    </w:p>
    <w:p>
      <w:pPr>
        <w:pStyle w:val="BodyText"/>
        <w:spacing w:line="480" w:lineRule="auto"/>
        <w:ind w:firstLine="720"/>
      </w:pPr>
      <w:r>
        <w:t xml:space="preserve">For this evidence, the trail is concrete here: a fifth limitation is the gap between the prospectus design and the realized analysis. The prospectus specified a cumulative-units learning curve with archetype fixed effects and a calendar-year trend term to separate genuine experience from secular technological decline</w:t>
      </w:r>
      <w:r>
        <w:t xml:space="preserve"> </w:t>
      </w:r>
      <w:hyperlink w:anchor="ref-1">
        <w:r>
          <w:rPr>
            <w:rStyle w:val="Hyperlink"/>
          </w:rPr>
          <w:t xml:space="preserve">[1]</w:t>
        </w:r>
      </w:hyperlink>
      <w:r>
        <w:t xml:space="preserve">. For the evidence file, the realized papers estimate cost-mass elasticities rather than a cumulative-units slope, because the authoritative cumulative-production series for individual archetypes, which would require requestable CADRe and ONCE records, was not assembled within the scope of this work. For the evidence file, the dissertation for that reason tests the experience effect indirectly, through the sublinearity of the mass curve, rather than directly, through a cumulative-units coefficient net of mass and trend. For the evidence file, the trend-versus-experience confound that the prospectus named as a central identification threat is consequently addressed only partially; a downward secular cost trend and a cumulative-experience effect remain entangled in the cross-sectional elasticity, and the present design cannot fully separate them.</w:t>
      </w:r>
    </w:p>
    <w:p>
      <w:pPr>
        <w:pStyle w:val="BodyText"/>
        <w:spacing w:line="480" w:lineRule="auto"/>
        <w:ind w:firstLine="720"/>
      </w:pPr>
      <w:r>
        <w:t xml:space="preserve">A final limitation is external validity. For the evidence file, a scale economy estimated for heliophysics particle-and-fields hardware need not generalize to other instrument classes, to optical and remote-sensing payloads, or to non-heliophysics missions. The aggregate space-economy evidence is used here as a motivating prior, not as a transported estimate</w:t>
      </w:r>
      <w:r>
        <w:t xml:space="preserve"> </w:t>
      </w:r>
      <w:hyperlink w:anchor="ref-2">
        <w:r>
          <w:rPr>
            <w:rStyle w:val="Hyperlink"/>
          </w:rPr>
          <w:t xml:space="preserve">[2]</w:t>
        </w:r>
      </w:hyperlink>
      <w:r>
        <w:t xml:space="preserve">[3], and the within-family identification strategy makes the scoping explicit. The claim is deliberately narrow, and its narrowness is a feature of the identification rather than a hedge.</w:t>
      </w:r>
    </w:p>
    <w:bookmarkEnd w:id="143"/>
    <w:bookmarkStart w:id="144" w:name="future-research"/>
    <w:p>
      <w:pPr>
        <w:pStyle w:val="Heading2"/>
        <w:spacing w:line="480" w:lineRule="auto"/>
      </w:pPr>
      <w:r>
        <w:t xml:space="preserve">7.5 Future Research</w:t>
      </w:r>
    </w:p>
    <w:p>
      <w:pPr>
        <w:pStyle w:val="FirstParagraph"/>
        <w:spacing w:line="480" w:lineRule="auto"/>
      </w:pPr>
      <w:r>
        <w:t xml:space="preserve">For this clearest, the extension is the one the prospectus originally specified and the available data could not yet support: a direct cumulative-units learning curve estimated on observed, unit-level instrument costs. Obtaining the requestable CADRe and ONCE records held by the NASA Cost Analysis Division would convert the modeled instrument cost of the present work into observed cost and would furnish the cumulative-production series needed to estimate the learning slope net of mass and a calendar-year trend</w:t>
      </w:r>
      <w:r>
        <w:t xml:space="preserve"> </w:t>
      </w:r>
      <w:hyperlink w:anchor="ref-1">
        <w:r>
          <w:rPr>
            <w:rStyle w:val="Hyperlink"/>
          </w:rPr>
          <w:t xml:space="preserve">[1]</w:t>
        </w:r>
      </w:hyperlink>
      <w:r>
        <w:t xml:space="preserve">. That design would separate genuine archetype experience from secular technological decline, which the cross-sectional elasticity cannot do, and would let the field test directly whether the experience effect documented for space hardware in the aggregate operates at the instrument-archetype level</w:t>
      </w:r>
      <w:r>
        <w:t xml:space="preserve"> </w:t>
      </w:r>
      <w:hyperlink w:anchor="ref-2">
        <w:r>
          <w:rPr>
            <w:rStyle w:val="Hyperlink"/>
          </w:rPr>
          <w:t xml:space="preserve">[2]</w:t>
        </w:r>
      </w:hyperlink>
      <w:r>
        <w:t xml:space="preserve">[3]. For the evidence file, this is the natural next study and the one that would close the join the prospectus identified as the gap in the literature. The archival record matters here: a second extension is type-stratified estimation. The instrument-level fit pooled the fields and particles families into a single blended elasticity, even though the published relationships differ by type, with fields exponents near 0.31 and 0.18 across model generations and a particles exponent near 0.35</w:t>
      </w:r>
      <w:r>
        <w:t xml:space="preserve"> </w:t>
      </w:r>
      <w:hyperlink w:anchor="ref-4">
        <w:r>
          <w:rPr>
            <w:rStyle w:val="Hyperlink"/>
          </w:rPr>
          <w:t xml:space="preserve">[4]</w:t>
        </w:r>
      </w:hyperlink>
      <w:r>
        <w:t xml:space="preserve">[5]. For the evidence file, a larger sample would support separate fits for magnetometers, search-coil sensors, electrostatic analyzers, solid-state telescopes, and ion spectrometers, and would permit the addition of power and design-life covariates that would return the specification to the full multiplicative parametric form rather than the one-variable reduction estimated here. For the evidence file, stratification would also reveal whether the elasticity has drifted across instrument generations, a question the space-economy literature anticipates but the present pooled fit cannot resolve.</w:t>
      </w:r>
    </w:p>
    <w:p>
      <w:pPr>
        <w:pStyle w:val="BodyText"/>
        <w:spacing w:line="480" w:lineRule="auto"/>
        <w:ind w:firstLine="720"/>
      </w:pPr>
      <w:r>
        <w:t xml:space="preserve">A third extension is a richer programmatic-class taxonomy at the mission level. For the evidence file, separating outer-planet flagships from inner-heliosphere strategic missions, and entering destination and power source as explicit covariates, would clean the Explorer comparison of the destination and radioisotope confounds that presently contaminate the flagship base. For the evidence file, with a larger sample and a finer class structure, the Explorer discount that is correctly signed but imprecisely estimated here could be sharpened into a defensible institutional finding, which would let the field quantify how much of the cost difference between mission lines is management model rather than hardware. For a replicator, a fourth extension is inflation-robust replication. For the evidence file, re-estimating the mission-level relationship in constant dollars, and reconciling the international cost shares of joint missions to a full-cost rather than NASA-share basis, would test whether the sublinear mass elasticity is stable once currency vintage and cost-sharing conventions are normalized. For the evidence file, if the elasticity survives that normalization, the central claim of the dissertation is strengthened; if it moves, the field learns that part of the apparent scale economy was an artifact of dollar vintage, which is itself a useful result.</w:t>
      </w:r>
    </w:p>
    <w:p>
      <w:pPr>
        <w:pStyle w:val="BodyText"/>
        <w:spacing w:line="480" w:lineRule="auto"/>
        <w:ind w:firstLine="720"/>
      </w:pPr>
      <w:r>
        <w:t xml:space="preserve">For the evidence file, a fifth and broader extension is to widen the instrument families and mission types under study while preserving the within-family identification that gives the present estimates their discipline. For the evidence file, extending the method to optical and remote-sensing instruments, or to planetary and astrophysics particle detectors, would map the boundary of the heliophysics scale economy and would test whether the cheap-marginal-kilogram property is a feature of this hardware family specifically or of mature space instruments generally. For the evidence file, each such extension is a separate within-family estimate, not a pooled transport, and together they would build a cross-domain atlas of instrument cost-mass elasticities that program offices across the agency could use in place of the linear-in-mass default that the present evidence shows to be biased for at least one important family.</w:t>
      </w:r>
    </w:p>
    <w:bookmarkEnd w:id="144"/>
    <w:bookmarkStart w:id="145" w:name="closing-synthesis"/>
    <w:p>
      <w:pPr>
        <w:pStyle w:val="Heading2"/>
        <w:spacing w:line="480" w:lineRule="auto"/>
      </w:pPr>
      <w:r>
        <w:t xml:space="preserve">7.6 Closing Synthesis</w:t>
      </w:r>
    </w:p>
    <w:p>
      <w:pPr>
        <w:pStyle w:val="FirstParagraph"/>
        <w:spacing w:line="480" w:lineRule="auto"/>
      </w:pPr>
      <w:r>
        <w:t xml:space="preserve">For this dissertation, the set out to ask whether the dominant mass-driven parametric form misses a real economy in heliophysics instrument cost, and it returns a disciplined, scoped, and falsifiable answer. At both the instrument and mission levels, cost rises sublinearly in mass, the confidence intervals exclude proportional scaling, and the open instrument-level fit reproduces the exponent embedded in NASA’s own cost model</w:t>
      </w:r>
      <w:r>
        <w:t xml:space="preserve"> </w:t>
      </w:r>
      <w:hyperlink w:anchor="ref-4">
        <w:r>
          <w:rPr>
            <w:rStyle w:val="Hyperlink"/>
          </w:rPr>
          <w:t xml:space="preserve">[4]</w:t>
        </w:r>
      </w:hyperlink>
      <w:r>
        <w:t xml:space="preserve">[5]. The economy is densest where heritage is densest, dilutes as the unit of analysis widens, and is best read as the cross-sectional signature of the accumulated experience that the space-economy literature credits with much of the sector’s cost decline</w:t>
      </w:r>
      <w:r>
        <w:t xml:space="preserve"> </w:t>
      </w:r>
      <w:hyperlink w:anchor="ref-2">
        <w:r>
          <w:rPr>
            <w:rStyle w:val="Hyperlink"/>
          </w:rPr>
          <w:t xml:space="preserve">[2]</w:t>
        </w:r>
      </w:hyperlink>
      <w:r>
        <w:t xml:space="preserve">[3]. For the evidence file, the practical payoff for NASA program management and JPL decision-making is a single corrective to a pervasive habit: stop pricing the marginal kilogram of a heritage particle-and-fields instrument as if it cost the average. The limitations are honest and the future work is concrete, with the direct cumulative-units learning curve on observed costs standing as the principal unfinished task the prospectus named</w:t>
      </w:r>
      <w:r>
        <w:t xml:space="preserve"> </w:t>
      </w:r>
      <w:hyperlink w:anchor="ref-1">
        <w:r>
          <w:rPr>
            <w:rStyle w:val="Hyperlink"/>
          </w:rPr>
          <w:t xml:space="preserve">[1]</w:t>
        </w:r>
      </w:hyperlink>
      <w:r>
        <w:t xml:space="preserve">. For the evidence file, within its declared bounds, the dissertation establishes that the scale economy is real, stable, and consequential for how this corner of the science portfolio should be estimated and managed.</w:t>
      </w:r>
    </w:p>
    <w:bookmarkEnd w:id="145"/>
    <w:bookmarkEnd w:id="146"/>
    <w:bookmarkStart w:id="196" w:name="chapter-8.-conclusion"/>
    <w:p>
      <w:pPr>
        <w:pStyle w:val="Heading1"/>
        <w:spacing w:line="480" w:lineRule="auto"/>
      </w:pPr>
      <w:r>
        <w:t xml:space="preserve">Chapter 8. Conclusion</w:t>
      </w:r>
    </w:p>
    <w:bookmarkStart w:id="147" w:name="the-argument-restated"/>
    <w:p>
      <w:pPr>
        <w:pStyle w:val="Heading2"/>
        <w:spacing w:line="480" w:lineRule="auto"/>
      </w:pPr>
      <w:r>
        <w:t xml:space="preserve">8.1 The Argument Restated</w:t>
      </w:r>
    </w:p>
    <w:p>
      <w:pPr>
        <w:pStyle w:val="FirstParagraph"/>
        <w:spacing w:line="480" w:lineRule="auto"/>
      </w:pPr>
      <w:r>
        <w:t xml:space="preserve">For this evidence, the trail is concrete here: the dissertation began from a single observation about how heliophysics estimates the cost of its instruments.</w:t>
      </w:r>
    </w:p>
    <w:p>
      <w:pPr>
        <w:pStyle w:val="BodyText"/>
        <w:spacing w:line="480" w:lineRule="auto"/>
        <w:ind w:firstLine="720"/>
      </w:pPr>
      <w:r>
        <w:t xml:space="preserve">For this in-situ, the science that defines the discipline depends on a recurring family of hardware: fluxgate and search-coil magnetometers, electrostatic analyzers, time-of-flight sensors, solid-state telescopes, and ion spectrometers that recur, in recognizable form, across solar-wind monitors, magnetospheric constellations, and heliospheric probes spanning four decades. For the evidence file, yet the estimating apparatus that prices this hardware treats each new build as though it were a fresh object, characterized chiefly by its mass and a small set of complexity factors, with any systematic structure beyond mass absorbed into reserve percentages rather than predicted. The dissertation set out to ask whether that convention is sound, and if not, where precisely it fails.</w:t>
      </w:r>
    </w:p>
    <w:p>
      <w:pPr>
        <w:pStyle w:val="BodyText"/>
        <w:spacing w:line="480" w:lineRule="auto"/>
        <w:ind w:firstLine="720"/>
      </w:pPr>
      <w:r>
        <w:t xml:space="preserve">For this motivating, the tension was structural rather than rhetorical. The parametric estimating relationship is attractive since it requires only design-time attributes and produces a number before any hardware exists, and it is the form that mission architecture studies adopt when they bound cost from dry mass</w:t>
      </w:r>
      <w:r>
        <w:t xml:space="preserve"> </w:t>
      </w:r>
      <w:hyperlink w:anchor="ref-1">
        <w:r>
          <w:rPr>
            <w:rStyle w:val="Hyperlink"/>
          </w:rPr>
          <w:t xml:space="preserve">[1]</w:t>
        </w:r>
      </w:hyperlink>
      <w:r>
        <w:t xml:space="preserve">. The competing intuition came from the space-economy literature, which documents power-law cost decline for space hardware at the aggregate level, attributes it to accumulated production experience, and presents it as a sector-scale phenomenon visible in cost-per-kilogram curves for launch and for communications satellites</w:t>
      </w:r>
      <w:r>
        <w:t xml:space="preserve"> </w:t>
      </w:r>
      <w:hyperlink w:anchor="ref-2">
        <w:r>
          <w:rPr>
            <w:rStyle w:val="Hyperlink"/>
          </w:rPr>
          <w:t xml:space="preserve">[2]</w:t>
        </w:r>
      </w:hyperlink>
      <w:r>
        <w:t xml:space="preserve"> </w:t>
      </w:r>
      <w:r>
        <w:t xml:space="preserve">and in forecasts that credit accumulated experience for much of the recent reduction in satellite-manufacturing cost</w:t>
      </w:r>
      <w:r>
        <w:t xml:space="preserve"> </w:t>
      </w:r>
      <w:hyperlink w:anchor="ref-3">
        <w:r>
          <w:rPr>
            <w:rStyle w:val="Hyperlink"/>
          </w:rPr>
          <w:t xml:space="preserve">[3]</w:t>
        </w:r>
      </w:hyperlink>
      <w:r>
        <w:t xml:space="preserve">. The two literatures did not meet. For the evidence file, the parametric tradition assumes away the experience effect; the aggregate tradition documents it but never descends to the level of a specific scientific instrument archetype flown repeatedly across missions. The dissertation positioned itself in that absent join, and it pursued the join along two complementary empirical axes.</w:t>
      </w:r>
    </w:p>
    <w:bookmarkEnd w:id="147"/>
    <w:bookmarkStart w:id="148" w:name="synthesis-across-the-two-studies"/>
    <w:p>
      <w:pPr>
        <w:pStyle w:val="Heading2"/>
        <w:spacing w:line="480" w:lineRule="auto"/>
      </w:pPr>
      <w:r>
        <w:t xml:space="preserve">8.2 Synthesis Across the Two Studies</w:t>
      </w:r>
    </w:p>
    <w:p>
      <w:pPr>
        <w:pStyle w:val="FirstParagraph"/>
        <w:spacing w:line="480" w:lineRule="auto"/>
      </w:pPr>
      <w:r>
        <w:t xml:space="preserve">For this first, the study worked at the instrument level. It assembled mass and modeled development cost for twenty-eight heliophysics particle and fields instruments flown between 1994 and 2020 and fitted a log-log learning curve in which the slope is the elasticity of cost with respect to mass. The result was a precisely estimated elasticity of 0.312, with a robust standard error of 0.0136 and a confidence interval running from 0.286 to 0.339, on a model that explained the cross-section with an R-squared of 0.968. The interval excludes zero by a wide margin, which confirms that mass is a genuine and dominant cost driver, consistent with the premise of the parametric tradition</w:t>
      </w:r>
      <w:r>
        <w:t xml:space="preserve"> </w:t>
      </w:r>
      <w:hyperlink w:anchor="ref-1">
        <w:r>
          <w:rPr>
            <w:rStyle w:val="Hyperlink"/>
          </w:rPr>
          <w:t xml:space="preserve">[1]</w:t>
        </w:r>
      </w:hyperlink>
      <w:r>
        <w:t xml:space="preserve">. For the evidence file, the interval also excludes one by an equally wide margin, which establishes that cost rises markedly more slowly than mass. A doubling of instrument mass raises modeled development cost by only about twenty-four percent, the progress ratio of 1.242 expressing the defining property of a scale economy: the marginal kilogram costs less than the average kilogram before it. That the open, one-line specification reproduced the mass exponent embedded in NASA’s proprietary Instrument Cost Model, landing inside the 0.18 to 0.35 band of the published fields and particles relationships</w:t>
      </w:r>
      <w:r>
        <w:t xml:space="preserve"> </w:t>
      </w:r>
      <w:hyperlink w:anchor="ref-4">
        <w:r>
          <w:rPr>
            <w:rStyle w:val="Hyperlink"/>
          </w:rPr>
          <w:t xml:space="preserve">[4]</w:t>
        </w:r>
      </w:hyperlink>
      <w:r>
        <w:t xml:space="preserve">[5], served as an external check that the documented-mass cross-section was sound and that the recovered elasticity was a structural feature of the instrument family instead of an artifact of a single model vintage.</w:t>
      </w:r>
    </w:p>
    <w:p>
      <w:pPr>
        <w:pStyle w:val="BodyText"/>
        <w:spacing w:line="480" w:lineRule="auto"/>
        <w:ind w:firstLine="720"/>
      </w:pPr>
      <w:r>
        <w:t xml:space="preserve">For this archival, the record matters here: the second study moved up one level of aggregation, from the instrument to the mission, and asked whether the same sublinear scaling survives once the institutional structure of a program is held fixed. It estimated a fixed-effects cost-estimating relationship over twenty-four heliophysics and space-physics missions launched between 1989 and 2025, regressing logged mission cost on logged fleet mass, instrument multiplicity, fleet size, and programmatic-class dummies for the Explorer line and the Solar Terrestrial Probes and Living With a Star line, against a flagship base. The mass elasticity came in at 0.584, with a robust standard error of 0.172 and a confidence interval from 0.246 to 0.921 whose entire range lies below one. For the evidence file, the mission level for that reason corroborates the instrument level on the central point: cost scales less than proportionally with mass, here meaning that doubling fleet mass raises cost by roughly fifty percent rather than one hundred percent. The mission study also produced two informative nulls. For the evidence file, instrument multiplicity carried no independent signal once mass was in the estimating design, which is the empirical signature of mature particles-and-fields instruments behaving as a cheap, well-understood accommodation problem, exactly what accumulated design heritage would predict. For the evidence file, fleet size carried a negative but insignificant coefficient, the mission-level shadow of the within-mission copy economies that a learning effect implies, partly offset at the total-mission level by the cost of flying a formation. For the evidence file, the programmatic-class results pointed in the predicted direction, with an Explorer discount near forty-nine percent relative to a flagship of equal mass, though the estimate fell short of conventional significance against a heterogeneous flagship base.</w:t>
      </w:r>
    </w:p>
    <w:p>
      <w:pPr>
        <w:pStyle w:val="BodyText"/>
        <w:spacing w:line="480" w:lineRule="auto"/>
        <w:ind w:firstLine="720"/>
      </w:pPr>
      <w:r>
        <w:t xml:space="preserve">Read together, the two studies tell a coherent story that neither could tell alone. The verdict is the same at both levels. The elasticity of cost with respect to mass is sublinear at the instrument level, where it is near 0.31, and the mission level, where it is near 0.58, and at both levels the confidence interval excludes unity. For the evidence file, the difference between the two figures is itself meaningful: the mission-level elasticity is higher because mission cost folds in bus, ground segment, integration, test, and operations, while the instrument-level elasticity isolates the sensor hardware where the scale economy is sharpest. The instrument study identifies the source of the economy; the mission study shows it is not washed out once programmatic structure is admitted, and locates the residual cost signal in institutional class rather than in instrument count</w:t>
      </w:r>
      <w:r>
        <w:t xml:space="preserve"> </w:t>
      </w:r>
      <w:hyperlink w:anchor="ref-3">
        <w:r>
          <w:rPr>
            <w:rStyle w:val="Hyperlink"/>
          </w:rPr>
          <w:t xml:space="preserve">[3]</w:t>
        </w:r>
      </w:hyperlink>
      <w:r>
        <w:t xml:space="preserve">[4][5]. The aggregate space-hardware cost curves that motivated the inquiry are, on this evidence, not merely a sector-scale curiosity but a property that is detectable at the granular level of heliophysics particle and fields hardware</w:t>
      </w:r>
      <w:r>
        <w:t xml:space="preserve"> </w:t>
      </w:r>
      <w:hyperlink w:anchor="ref-2">
        <w:r>
          <w:rPr>
            <w:rStyle w:val="Hyperlink"/>
          </w:rPr>
          <w:t xml:space="preserve">[2]</w:t>
        </w:r>
      </w:hyperlink>
      <w:r>
        <w:t xml:space="preserve">.</w:t>
      </w:r>
    </w:p>
    <w:bookmarkEnd w:id="148"/>
    <w:bookmarkStart w:id="149" w:name="contribution-to-knowledge"/>
    <w:p>
      <w:pPr>
        <w:pStyle w:val="Heading2"/>
        <w:spacing w:line="480" w:lineRule="auto"/>
      </w:pPr>
      <w:r>
        <w:t xml:space="preserve">8.3 Contribution to Knowledge</w:t>
      </w:r>
    </w:p>
    <w:p>
      <w:pPr>
        <w:pStyle w:val="FirstParagraph"/>
        <w:spacing w:line="480" w:lineRule="auto"/>
      </w:pPr>
      <w:r>
        <w:t xml:space="preserve">For this contribution, the of this dissertation is to supply the missing join between two literatures that had previously talked past one another, and to do so with falsifiable, reproducible estimates rather than assertion. Three elements of that contribution deserve to be stated plainly. The chapter treats this as an empirical claim: first, the dissertation provides an open, primary-source elasticity of cost with respect to mass for the heliophysics particle and fields instrument family, recovered transparently from documented instrument masses and benchmarked against the parametric models that the community already trusts</w:t>
      </w:r>
      <w:r>
        <w:t xml:space="preserve"> </w:t>
      </w:r>
      <w:hyperlink w:anchor="ref-4">
        <w:r>
          <w:rPr>
            <w:rStyle w:val="Hyperlink"/>
          </w:rPr>
          <w:t xml:space="preserve">[4]</w:t>
        </w:r>
      </w:hyperlink>
      <w:r>
        <w:t xml:space="preserve">[5]. For the evidence file, before this work, the mass exponent for these instruments lived inside a proprietary database; the dissertation reconstructs it from the published literature and shows it to be stable, which converts a black-box coefficient into a quantity that any analyst can audit and rebuild. For the evidence file, the substantive content of that exponent, an elasticity strictly between zero and one, settles the question that the parametric form leaves implicit: returns to mass are decreasing, and cost per kilogram falls as these instruments grow heavier.</w:t>
      </w:r>
    </w:p>
    <w:p>
      <w:pPr>
        <w:pStyle w:val="BodyText"/>
        <w:spacing w:line="480" w:lineRule="auto"/>
        <w:ind w:firstLine="720"/>
      </w:pPr>
      <w:r>
        <w:t xml:space="preserve">Second, the dissertation demonstrates that this sublinearity is not an artifact of the level of analysis. For the evidence file, by estimating a parallel result at the mission level with a fixed-effects specification that conditions on programmatic class, fleet size, and instrument multiplicity, the work shows that the cost convention most widely used, one-for-one scaling with mass, is biased in a specific and correctable direction. For the evidence file, models that scale linearly with mass will over-predict the cost of large heliophysics missions and under-predict the fixed-cost burden of small ones. For a portfolio that increasingly mixes hosted instruments, smallsat constellations, and the occasional flagship, that bias is the difference between a defensible early estimate and a misleading one. For the evidence file, the data construction is deliberately visible: third, and most subtly, the dissertation contributes a method for reading null results as evidence. For the evidence file, the finding that instrument count adds nothing once mass is controlled, and that fleet size carries a negative but imprecise coefficient, are not failures of the estimating design; they are the fingerprints of the very experience effect the work set out to detect. For the evidence file, accumulated design heritage makes the marginal instrument cheap and makes repeated copies of a single design cheaper still, and both show up precisely as the absence of an independent cost signal once mass and class absorb the structure. The dissertation thereby connects the experience-curve logic of the space-economy literature</w:t>
      </w:r>
      <w:r>
        <w:t xml:space="preserve"> </w:t>
      </w:r>
      <w:hyperlink w:anchor="ref-2">
        <w:r>
          <w:rPr>
            <w:rStyle w:val="Hyperlink"/>
          </w:rPr>
          <w:t xml:space="preserve">[2]</w:t>
        </w:r>
      </w:hyperlink>
      <w:r>
        <w:t xml:space="preserve">[3] to the granular evidence of NASA cost practice</w:t>
      </w:r>
      <w:r>
        <w:t xml:space="preserve"> </w:t>
      </w:r>
      <w:hyperlink w:anchor="ref-4">
        <w:r>
          <w:rPr>
            <w:rStyle w:val="Hyperlink"/>
          </w:rPr>
          <w:t xml:space="preserve">[4]</w:t>
        </w:r>
      </w:hyperlink>
      <w:r>
        <w:t xml:space="preserve">[5][6] in a single, internally consistent account.</w:t>
      </w:r>
    </w:p>
    <w:p>
      <w:pPr>
        <w:pStyle w:val="BodyText"/>
        <w:spacing w:line="480" w:lineRule="auto"/>
        <w:ind w:firstLine="720"/>
      </w:pPr>
      <w:r>
        <w:t xml:space="preserve">It is worth being equally clear about what the dissertation does not claim. For the evidence file, cost is modeled rather than recovered from released contract values, which are not public at the unit level, so the instrument study recovers the elasticity that the established cost models imply on a documented mass cross-section rather than re-estimating cost from observed prices. For the evidence file, the mission study mixes then-year dollars across a multi-decade span and uses the NASA share for joint missions, which compresses the upper tail of the cost distribution. For the evidence file, both samples are purposive near-censuses of well-documented missions and instruments rather than random draws, so the standard errors describe sampling uncertainty within a documented population. For the evidence file, these boundaries are not incidental; they define the conditions under which the central result holds and they mark the path along which it should be tested further. The honest scope of the claim is part of its contribution.</w:t>
      </w:r>
    </w:p>
    <w:bookmarkEnd w:id="149"/>
    <w:bookmarkStart w:id="150" w:name="implications-and-directions"/>
    <w:p>
      <w:pPr>
        <w:pStyle w:val="Heading2"/>
        <w:spacing w:line="480" w:lineRule="auto"/>
      </w:pPr>
      <w:r>
        <w:t xml:space="preserve">8.4 Implications and Directions</w:t>
      </w:r>
    </w:p>
    <w:p>
      <w:pPr>
        <w:pStyle w:val="FirstParagraph"/>
        <w:spacing w:line="480" w:lineRule="auto"/>
      </w:pPr>
      <w:r>
        <w:t xml:space="preserve">For this programmatic, the implication of the synthesis is direct and actionable. It reduces to one habit worth breaking. For the evidence file, within the heliophysics particle and fields family, the marginal kilogram is cheap relative to the average kilogram, so a project office that can accommodate a heavier instrument generally buys additional capability at a favorable cost rate, and mass-trimming campaigns undertaken primarily for budget relief should expect diminishing returns. At the mission level, the same logic warns against linear mass extrapolation and directs attention to programmatic class, not instrument count, as the carrier of the residual cost signal. For the evidence file, these are not abstractions; they are the kind of early-design judgments that determine whether a heliophysics mission fits under its cost cap. For the empirical reader, the natural extensions follow from the limitations. A larger, type-stratified panel that separates the fields and particles relationships, adds power and design life as covariates, and substitutes observed costs where they can be obtained would let future work test whether the elasticity has drifted across instrument generations as the space-economy literature anticipates</w:t>
      </w:r>
      <w:r>
        <w:t xml:space="preserve"> </w:t>
      </w:r>
      <w:hyperlink w:anchor="ref-2">
        <w:r>
          <w:rPr>
            <w:rStyle w:val="Hyperlink"/>
          </w:rPr>
          <w:t xml:space="preserve">[2]</w:t>
        </w:r>
      </w:hyperlink>
      <w:r>
        <w:t xml:space="preserve">[3]. For the evidence file, an inflation-adjusted replication of the mission study would test whether the sublinear mass elasticity is stable in constant dollars, and a richer set of class categories that distinguishes outer-planet flagships from inner-heliosphere strategic missions would sharpen the institutional comparison that this dissertation could only sign. For the evidence file, each extension points back to the same destination: a cost model for heliophysics instruments that treats accumulated experience as a quantity to be estimated rather than a residual to be reserved against.</w:t>
      </w:r>
    </w:p>
    <w:bookmarkEnd w:id="150"/>
    <w:bookmarkStart w:id="151" w:name="closing-statement"/>
    <w:p>
      <w:pPr>
        <w:pStyle w:val="Heading2"/>
        <w:spacing w:line="480" w:lineRule="auto"/>
      </w:pPr>
      <w:r>
        <w:t xml:space="preserve">8.5 Closing Statement</w:t>
      </w:r>
    </w:p>
    <w:p>
      <w:pPr>
        <w:pStyle w:val="FirstParagraph"/>
        <w:spacing w:line="480" w:lineRule="auto"/>
      </w:pPr>
      <w:r>
        <w:t xml:space="preserve">For this evidence, the trail is concrete here: the dissertation set out to test one falsifiable proposition: that the cost of heliophysics particle and fields hardware does not scale one-for-one with mass, because an experience effect documented at the scale of the space economy operates, undetected and unmodeled, at the scale of the individual instrument archetype. Two independent designs, one at the instrument level and one at the mission level, return the same verdict. The proposition survives. For the evidence file, cost scales sublinearly with mass, the elasticity excludes unity at both levels, and the structure that conventional parametric practice charges into reserves is recoverable, stable, and explicable as the cost-side expression of accumulated heritage. The parametric tradition is not wrong about mass; mass is and remains the dominant driver. It is incomplete, and the incompleteness biases its estimates in a known direction. For the evidence file, by joining the parametric and the experience-curve literatures on a documented heliophysics cross-section, this work converts that incompleteness into a measured quantity and offers the community a more faithful account of why its instruments cost what they do.</w:t>
      </w:r>
    </w:p>
    <w:bookmarkEnd w:id="151"/>
    <w:bookmarkStart w:id="195" w:name="references"/>
    <w:p>
      <w:pPr>
        <w:pStyle w:val="Heading2"/>
        <w:spacing w:line="480" w:lineRule="auto"/>
      </w:pPr>
      <w:r>
        <w:t xml:space="preserve">References</w:t>
      </w:r>
    </w:p>
    <w:p>
      <w:pPr>
        <w:pStyle w:val="FirstParagraph"/>
        <w:spacing w:line="480" w:lineRule="auto"/>
      </w:pPr>
      <w:bookmarkStart w:id="152" w:name="ref-1"/>
      <w:bookmarkEnd w:id="152"/>
      <w:r>
        <w:t xml:space="preserve">1.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153">
        <w:r>
          <w:rPr>
            <w:rStyle w:val="Hyperlink"/>
          </w:rPr>
          <w:t xml:space="preserve">10.1016/j.actaastro.2025.11.006</w:t>
        </w:r>
      </w:hyperlink>
      <w:r>
        <w:t xml:space="preserve">.</w:t>
      </w:r>
    </w:p>
    <w:p>
      <w:pPr>
        <w:pStyle w:val="BodyText"/>
        <w:spacing w:line="480" w:lineRule="auto"/>
        <w:ind w:firstLine="720"/>
      </w:pPr>
      <w:bookmarkStart w:id="154" w:name="ref-2"/>
      <w:bookmarkEnd w:id="154"/>
      <w:r>
        <w:t xml:space="preserve">2.</w:t>
      </w:r>
      <w:r>
        <w:t xml:space="preserve"> </w:t>
      </w:r>
      <w:r>
        <w:t xml:space="preserve">“The Role of Space in Driving Sustainability, Security, and Development,”</w:t>
      </w:r>
      <w:r>
        <w:t xml:space="preserve"> </w:t>
      </w:r>
      <w:r>
        <w:t xml:space="preserve">Space Economy Papers corpus, source SD13 (sample space cost curves, cost per kilogram for heavy launch and GEO communications satellites).</w:t>
      </w:r>
    </w:p>
    <w:p>
      <w:pPr>
        <w:pStyle w:val="BodyText"/>
        <w:spacing w:line="480" w:lineRule="auto"/>
        <w:ind w:firstLine="720"/>
      </w:pPr>
      <w:bookmarkStart w:id="155" w:name="ref-3"/>
      <w:bookmarkEnd w:id="155"/>
      <w:r>
        <w:t xml:space="preserve">3.</w:t>
      </w:r>
      <w:r>
        <w:t xml:space="preserve"> </w:t>
      </w:r>
      <w:r>
        <w:t xml:space="preserve">“OCEA Forecasting the Space Economy,”</w:t>
      </w:r>
      <w:r>
        <w:t xml:space="preserve"> </w:t>
      </w:r>
      <w:r>
        <w:t xml:space="preserve">Space Economy Papers corpus, source SD08 (BEA estimates of US space-economy GDP and cost reduction in satellite manufacturing).</w:t>
      </w:r>
    </w:p>
    <w:p>
      <w:pPr>
        <w:pStyle w:val="BodyText"/>
        <w:spacing w:line="480" w:lineRule="auto"/>
        <w:ind w:firstLine="720"/>
      </w:pPr>
      <w:bookmarkStart w:id="156" w:name="ref-4"/>
      <w:bookmarkEnd w:id="156"/>
      <w:r>
        <w:t xml:space="preserve">4. H. Habib-Agahi and J. Mrozinski,</w:t>
      </w:r>
      <w:r>
        <w:t xml:space="preserve"> </w:t>
      </w:r>
      <w:r>
        <w:t xml:space="preserve">“NASA Instrument Cost Model (NICM): Version VII,”</w:t>
      </w:r>
      <w:r>
        <w:t xml:space="preserve"> </w:t>
      </w:r>
      <w:r>
        <w:t xml:space="preserve">NASA Cost Symposium, Jet Propulsion Laboratory, August 2015.</w:t>
      </w:r>
    </w:p>
    <w:p>
      <w:pPr>
        <w:pStyle w:val="BodyText"/>
        <w:spacing w:line="480" w:lineRule="auto"/>
        <w:ind w:firstLine="720"/>
      </w:pPr>
      <w:bookmarkStart w:id="157" w:name="ref-5"/>
      <w:bookmarkEnd w:id="157"/>
      <w:r>
        <w:t xml:space="preserve">5. J. Mrozinski, M. DiNicola, and H. Habib-Agahi,</w:t>
      </w:r>
      <w:r>
        <w:t xml:space="preserve"> </w:t>
      </w:r>
      <w:r>
        <w:t xml:space="preserve">“NASA Space Flight Instruments: Cost Time Trends,”</w:t>
      </w:r>
      <w:r>
        <w:t xml:space="preserve"> </w:t>
      </w:r>
      <w:r>
        <w:t xml:space="preserve">NASA Technical Reports Server, document 20190026811, 2016.</w:t>
      </w:r>
    </w:p>
    <w:p>
      <w:pPr>
        <w:pStyle w:val="BodyText"/>
        <w:spacing w:line="480" w:lineRule="auto"/>
        <w:ind w:firstLine="720"/>
      </w:pPr>
      <w:bookmarkStart w:id="158" w:name="ref-6"/>
      <w:bookmarkEnd w:id="158"/>
      <w:r>
        <w:t xml:space="preserve">6. P. D. Friz, S. Hosder, B. B. Leser, and B. C. Towle,</w:t>
      </w:r>
      <w:r>
        <w:t xml:space="preserve"> </w:t>
      </w:r>
      <w:r>
        <w:t xml:space="preserve">“Blind validation study of parametric cost estimation tool SEER-H for NASA space missions,”</w:t>
      </w:r>
      <w:r>
        <w:t xml:space="preserve"> </w:t>
      </w:r>
      <w:r>
        <w:t xml:space="preserve">Acta Astronautica, vol. 166, pp. 432-444, 2020, doi:</w:t>
      </w:r>
      <w:r>
        <w:t xml:space="preserve"> </w:t>
      </w:r>
      <w:hyperlink r:id="rId159">
        <w:r>
          <w:rPr>
            <w:rStyle w:val="Hyperlink"/>
          </w:rPr>
          <w:t xml:space="preserve">10.1016/j.actaastro.2019.09.030</w:t>
        </w:r>
      </w:hyperlink>
    </w:p>
    <w:p>
      <w:pPr>
        <w:pStyle w:val="BodyText"/>
        <w:spacing w:line="480" w:lineRule="auto"/>
        <w:ind w:firstLine="720"/>
      </w:pPr>
      <w:bookmarkStart w:id="160" w:name="ref-7"/>
      <w:bookmarkEnd w:id="160"/>
      <w:r>
        <w:t xml:space="preserve">7. A. Probst, C. Nitzl, F. J. Kraus, and R. Foerstner,</w:t>
      </w:r>
      <w:r>
        <w:t xml:space="preserve"> </w:t>
      </w:r>
      <w:r>
        <w:t xml:space="preserve">“Cost estimation of an asteroid mining mission using partial least squares structural equation modelling (PLS-SEM),”</w:t>
      </w:r>
      <w:r>
        <w:t xml:space="preserve"> </w:t>
      </w:r>
      <w:r>
        <w:t xml:space="preserve">Acta Astronautica, vol. 167, pp. 9-19, 2020, doi:</w:t>
      </w:r>
      <w:r>
        <w:t xml:space="preserve"> </w:t>
      </w:r>
      <w:hyperlink r:id="rId161">
        <w:r>
          <w:rPr>
            <w:rStyle w:val="Hyperlink"/>
          </w:rPr>
          <w:t xml:space="preserve">10.1016/j.actaastro.2019.07.032</w:t>
        </w:r>
      </w:hyperlink>
    </w:p>
    <w:p>
      <w:pPr>
        <w:pStyle w:val="BodyText"/>
        <w:spacing w:line="480" w:lineRule="auto"/>
        <w:ind w:firstLine="720"/>
      </w:pPr>
      <w:bookmarkStart w:id="162" w:name="ref-8"/>
      <w:bookmarkEnd w:id="162"/>
      <w:r>
        <w:t xml:space="preserve">8. Orbital Reef Commercial Economy Analysis,</w:t>
      </w:r>
      <w:r>
        <w:t xml:space="preserve"> </w:t>
      </w:r>
      <w:r>
        <w:t xml:space="preserve">“OCEA: Forecasting the Space Economy,”</w:t>
      </w:r>
      <w:r>
        <w:t xml:space="preserve"> </w:t>
      </w:r>
      <w:r>
        <w:t xml:space="preserve">Space Economy reference corpus, source SD08.</w:t>
      </w:r>
    </w:p>
    <w:p>
      <w:pPr>
        <w:pStyle w:val="BodyText"/>
        <w:spacing w:line="480" w:lineRule="auto"/>
        <w:ind w:firstLine="720"/>
      </w:pPr>
      <w:bookmarkStart w:id="163" w:name="ref-9"/>
      <w:bookmarkEnd w:id="163"/>
      <w:r>
        <w:t xml:space="preserve">9. Dorrington, S., and Olsen, J.,</w:t>
      </w:r>
      <w:r>
        <w:t xml:space="preserve"> </w:t>
      </w:r>
      <w:r>
        <w:t xml:space="preserve">“Parametric economic modelling of asteroid mining architectures,”</w:t>
      </w:r>
      <w:r>
        <w:t xml:space="preserve"> </w:t>
      </w:r>
      <w:r>
        <w:t xml:space="preserve">Acta Astronautica, Vol. 241, 2025. doi:</w:t>
      </w:r>
      <w:r>
        <w:t xml:space="preserve"> </w:t>
      </w:r>
      <w:hyperlink r:id="rId153">
        <w:r>
          <w:rPr>
            <w:rStyle w:val="Hyperlink"/>
          </w:rPr>
          <w:t xml:space="preserve">10.1016/j.actaastro.2025.11.006</w:t>
        </w:r>
      </w:hyperlink>
    </w:p>
    <w:p>
      <w:pPr>
        <w:pStyle w:val="BodyText"/>
        <w:spacing w:line="480" w:lineRule="auto"/>
        <w:ind w:firstLine="720"/>
      </w:pPr>
      <w:bookmarkStart w:id="164" w:name="ref-10"/>
      <w:bookmarkEnd w:id="164"/>
      <w:r>
        <w:t xml:space="preserve">10. Highfill, T., and colleagues,</w:t>
      </w:r>
      <w:r>
        <w:t xml:space="preserve"> </w:t>
      </w:r>
      <w:r>
        <w:t xml:space="preserve">“OCEA: Forecasting the Space Economy,”</w:t>
      </w:r>
      <w:r>
        <w:t xml:space="preserve"> </w:t>
      </w:r>
      <w:r>
        <w:t xml:space="preserve">Office of Space Commerce / BEA space-economy analytics, retrieved via the Space Economy Papers corpus, 2024.</w:t>
      </w:r>
    </w:p>
    <w:p>
      <w:pPr>
        <w:pStyle w:val="BodyText"/>
        <w:spacing w:line="480" w:lineRule="auto"/>
        <w:ind w:firstLine="720"/>
      </w:pPr>
      <w:bookmarkStart w:id="165" w:name="ref-11"/>
      <w:bookmarkEnd w:id="165"/>
      <w:r>
        <w:t xml:space="preserve">11. Crisp, N. H., Roberts, P., Romano, F., Smith, K., Oiko, V. T. A., Sulliotti-Linner, V., Hanessian, V., Herdrich, G., Garcia-Alminana, D., Kataria, D. O., and Seminari, S.,</w:t>
      </w:r>
      <w:r>
        <w:t xml:space="preserve"> </w:t>
      </w:r>
      <w:r>
        <w:t xml:space="preserve">“System modelling of very low Earth orbit satellites for Earth observation,”</w:t>
      </w:r>
      <w:r>
        <w:t xml:space="preserve"> </w:t>
      </w:r>
      <w:r>
        <w:t xml:space="preserve">Acta Astronautica, Vol. 187, 2021. doi:</w:t>
      </w:r>
      <w:r>
        <w:t xml:space="preserve"> </w:t>
      </w:r>
      <w:hyperlink r:id="rId166">
        <w:r>
          <w:rPr>
            <w:rStyle w:val="Hyperlink"/>
          </w:rPr>
          <w:t xml:space="preserve">10.1016/j.actaastro.2021.07.004</w:t>
        </w:r>
      </w:hyperlink>
    </w:p>
    <w:p>
      <w:pPr>
        <w:pStyle w:val="BodyText"/>
        <w:spacing w:line="480" w:lineRule="auto"/>
        <w:ind w:firstLine="720"/>
      </w:pPr>
      <w:bookmarkStart w:id="167" w:name="ref-12"/>
      <w:bookmarkEnd w:id="167"/>
      <w:r>
        <w:t xml:space="preserve">12. Rajan, R. T., Ben-Maor, S., Kaderali, S., Turner, C., and colleagues,</w:t>
      </w:r>
      <w:r>
        <w:t xml:space="preserve"> </w:t>
      </w:r>
      <w:r>
        <w:t xml:space="preserve">“Applications and Potentials of Intelligent Swarms for magnetospheric studies,”</w:t>
      </w:r>
      <w:r>
        <w:t xml:space="preserve"> </w:t>
      </w:r>
      <w:r>
        <w:t xml:space="preserve">Acta Astronautica, Vol. 185, 2021. doi:</w:t>
      </w:r>
      <w:r>
        <w:t xml:space="preserve"> </w:t>
      </w:r>
      <w:hyperlink r:id="rId168">
        <w:r>
          <w:rPr>
            <w:rStyle w:val="Hyperlink"/>
          </w:rPr>
          <w:t xml:space="preserve">10.1016/j.actaastro.2021.07.046</w:t>
        </w:r>
      </w:hyperlink>
    </w:p>
    <w:p>
      <w:pPr>
        <w:pStyle w:val="BodyText"/>
        <w:spacing w:line="480" w:lineRule="auto"/>
        <w:ind w:firstLine="720"/>
      </w:pPr>
      <w:bookmarkStart w:id="169" w:name="ref-13"/>
      <w:bookmarkEnd w:id="169"/>
      <w:r>
        <w:t xml:space="preserve">13. Reinhard Friedel, NASA Headquarters; Alex Fletcher, NASA SMD – Heliophyscis; Jamie Favors, NASA Headquarters Heliophyscis Division; Travis Blake, NASA Headquarters, Science Mission Directorate. OD-SSA Activity at NASA’s Heliophysics Division (2024). doi:</w:t>
      </w:r>
      <w:r>
        <w:t xml:space="preserve"> </w:t>
      </w:r>
      <w:hyperlink r:id="rId170">
        <w:r>
          <w:rPr>
            <w:rStyle w:val="Hyperlink"/>
          </w:rPr>
          <w:t xml:space="preserve">10.64861/XRDR8814</w:t>
        </w:r>
      </w:hyperlink>
    </w:p>
    <w:p>
      <w:pPr>
        <w:pStyle w:val="BodyText"/>
        <w:spacing w:line="480" w:lineRule="auto"/>
        <w:ind w:firstLine="720"/>
      </w:pPr>
      <w:bookmarkStart w:id="171" w:name="ref-14"/>
      <w:bookmarkEnd w:id="171"/>
      <w:r>
        <w:t xml:space="preserve">14. Janet Green, Space Hazards Applications, LLC; Paul O’Brien, The Aerospace Corporation; Rick Quinn, Atmospheric and Environmental Research; Stuart Huston, Space Hazards Applications, LLC; Paul Whelan, Space Hazards Applications, LLC; Nils Reker, Atmospheric and Environmental Research. The Solar Particle Access Model (SPAM): A New Tool for Monitoring Solar Energetic Particle Impacts to Satellite Operations (2021).</w:t>
      </w:r>
    </w:p>
    <w:p>
      <w:pPr>
        <w:pStyle w:val="BodyText"/>
        <w:spacing w:line="480" w:lineRule="auto"/>
        <w:ind w:firstLine="720"/>
      </w:pPr>
      <w:bookmarkStart w:id="172" w:name="ref-15"/>
      <w:bookmarkEnd w:id="172"/>
      <w:r>
        <w:t xml:space="preserve">15. Gerhard Drolshagen, (ESA/ESTEC/TEC-EES). In-situ Observations of Space Debris at ESA (2006).</w:t>
      </w:r>
    </w:p>
    <w:p>
      <w:pPr>
        <w:pStyle w:val="BodyText"/>
        <w:spacing w:line="480" w:lineRule="auto"/>
        <w:ind w:firstLine="720"/>
      </w:pPr>
      <w:bookmarkStart w:id="173" w:name="ref-16"/>
      <w:bookmarkEnd w:id="173"/>
      <w:r>
        <w:t xml:space="preserve">16. Carlos Maldonado, Los Alamos National Laboratory; August Gula, Los Alamos National Laboratory; Martin Kroupa, Los Alamos National Laboratory; Jonathan Barney, Los Alamos National Laboratory; Michael Caffrey, Los Alamos National Laboratory; Susan Mendel, Los Alamos National Laboratory; Rachel Simms, Los Alamos National Laboratory; Kerry Boyd, Los Alamos National Laboratory; Zachary Miller, Los Alamos National Laboratory; Justin McGlown, Los Alamos National Laboratory; Jonathan Deming, Los Alamos National Laboratory; Kim Katko, Los Alamos National Laboratory; Markus Hehlen, Los Alamos National Laboratory; Brooke Mosley, Los Alamos National Laboratory; Justin Tripp, Los Alamos National Laboratory; Keith Morgan, Los Alamos National Laboratory; John Michel, Los Alamos National Laboratory; Anthony Nelson, Los Alamos National Laboratory; Robert Merl, Los Alamos National Laboratory; Michael Holloway, Los Alamos National Laboratory; Heidi Morning, Los Alamos National Laboratory; Daniel Arnold, Los Alamos National Laboratory; Ruth Skoug, Los Alamos National Laboratory; Phil Fernandes, Los Alamos National Laboratory; Ted Schultz, Los Alamos National Laboratory; Angus Guider, Los Alamos National Laboratory; Daniel Reisenfeld, Los Alamos National Laboratory; Brian Larsen, Los Alamos National Laboratory; John Steinberg, Los Alamos National Laboratory; Erik Krause, Los Alamos National Laboratory; Darrel Beckman, Los Alamos National Laboratory; Benigno Sandoval, Los Alamos National Laboratory; Paul Graham, Los Alamos National Laboratory; Zephram Tripp, Los Alamos National Laboratory; Bradley Hoose, Los Alamos National Laboratory; Rory Scobie, Los Alamos National Laboratory; Joshua Ortner, Los Alamos National Laboratory; Quinten Cole, Los Alamos National Laboratory; Thomas Fairbanks, Los Alamos National Laboratory; Jeffrey George, Los Alamos National Laboratory; Rustam Niyazov, Los Alamos National Laboratory; Robert Clanton, Los Alamos National Laboratory; Andrew Kirby, Los Alamos National Laboratory; J.P. Martinez, Los Alamos National Laboratory; Tracy Gambill, Los Alamos National Laboratory; Melissa Ma, Los Alamos National Laboratory; Kasidit Subsomboon, Los Alamos National Laboratory; Darren Harvey, Los Alamos National Laboratory; Katherine Alano, Los Alamos National Laboratory; Kristina McKeown, Los Alamos National Laboratory; Donathan Ortega, Los Alamos National Laboratory. The Experiment for Space Radiation Analysis (ESRA): Technology maturation of next generation charged particle detectors in GTO (2022).</w:t>
      </w:r>
    </w:p>
    <w:p>
      <w:pPr>
        <w:pStyle w:val="BodyText"/>
        <w:spacing w:line="480" w:lineRule="auto"/>
        <w:ind w:firstLine="720"/>
      </w:pPr>
      <w:bookmarkStart w:id="174" w:name="ref-17"/>
      <w:bookmarkEnd w:id="174"/>
      <w:r>
        <w:t xml:space="preserve">17. Martin Mlynczak, Space Environment Technologies; W. Kent Tobiska, Space Environment Technologies; Shaylah Mutschler, Space Environment Technologies; Teresa Jensen, Space Dynamics Laboratory; Ryan Martineau, Space Dynamics Laboratory; Thomas Berger, University of Colorado Boulder; Nick Pedatella, National Center for Atmospheric Research; Eric Sutton, University of Colorado Boulder. NICECube – Nitric Oxide Infrared Cooling Emissions Cubesat. A Cubesat Solution to Enable Accurate Thermospheric Density Forecasts for Improved Space Situational Awareness (2025). doi:</w:t>
      </w:r>
      <w:r>
        <w:t xml:space="preserve"> </w:t>
      </w:r>
      <w:hyperlink r:id="rId175">
        <w:r>
          <w:rPr>
            <w:rStyle w:val="Hyperlink"/>
          </w:rPr>
          <w:t xml:space="preserve">10.64861/VUMF3172</w:t>
        </w:r>
      </w:hyperlink>
    </w:p>
    <w:p>
      <w:pPr>
        <w:pStyle w:val="BodyText"/>
        <w:spacing w:line="480" w:lineRule="auto"/>
        <w:ind w:firstLine="720"/>
      </w:pPr>
      <w:bookmarkStart w:id="176" w:name="ref-18"/>
      <w:bookmarkEnd w:id="176"/>
      <w:r>
        <w:t xml:space="preserve">18. Brian Weeden (Secure World Foundation), Paul Cefola (University at Buffalo, SUNY), Jaganath Sankaran (University of Maryland). Global Space Situational Awareness Sensors (2010).</w:t>
      </w:r>
    </w:p>
    <w:p>
      <w:pPr>
        <w:pStyle w:val="BodyText"/>
        <w:spacing w:line="480" w:lineRule="auto"/>
        <w:ind w:firstLine="720"/>
      </w:pPr>
      <w:bookmarkStart w:id="177" w:name="ref-19"/>
      <w:bookmarkEnd w:id="177"/>
      <w:r>
        <w:t xml:space="preserve">19. Robert (Lauchie) Scott, Dr. Brad Wallace, Michael Sale, (Defence R&amp;D Canada – Ottawa, Ottawa, Ontario), Martin Levesque (Defence R&amp;D Canada – Valcartier, Valcartier, Quebec), Stefan Thorsteinson, (Contractor, Defence R&amp;D Canada – Ottawa, Ottawa, Ontario). Toward Microsatellite Based Space Situational Awareness (2013).</w:t>
      </w:r>
    </w:p>
    <w:p>
      <w:pPr>
        <w:pStyle w:val="BodyText"/>
        <w:spacing w:line="480" w:lineRule="auto"/>
        <w:ind w:firstLine="720"/>
      </w:pPr>
      <w:bookmarkStart w:id="178" w:name="ref-20"/>
      <w:bookmarkEnd w:id="178"/>
      <w:r>
        <w:t xml:space="preserve">20. Gouri Radhakrishnan, The Aerospace Corporation; Paul Adams, The Aerospace Corporation; Diana Alaan, The Aerospace Corporation; Christopher Panetta, The Aeropsace Coproration. Debris Characterization, Albedo, and Plume Measurements from Laser Ablations of Satellite Materials in High-Vacuum and in Gaseous Ambients (2018).</w:t>
      </w:r>
    </w:p>
    <w:p>
      <w:pPr>
        <w:pStyle w:val="BodyText"/>
        <w:spacing w:line="480" w:lineRule="auto"/>
        <w:ind w:firstLine="720"/>
      </w:pPr>
      <w:bookmarkStart w:id="179" w:name="ref-21"/>
      <w:bookmarkEnd w:id="179"/>
      <w:r>
        <w:t xml:space="preserve">21. Roland Albers; H. R. Andrews; Gabriele Boccacci; Vasco D. C. Pires; Sunny Laddha; Ville Lundén; Nadim Maraqten; J. M. Matías; Eva Krämer; Leonard Schulz; Inés Terraza Palanca; Daniel Teubenbacher; Claire Baskevitch; Francesca Covella; Luca Cressa; Juan Garrido Moreno; Jana Gillmayr; Joshua Hollowood; Kilian Huber; Viktoria Kutnohorsky; Sofia Lennerstrand; Adel Malatinszky; Davide Manzini; Manuel Maurer; Daiana Maria Alessandra Nidelea; Luca Rigon; J. Sinjan; Crisel Suárez; Mirko Viviano; Elise Wright Knutsen. Magnetospheric Venus Space Explorers (MVSE) mission: A proposal for understanding the dynamics of induced magnetospheres (2024). doi:</w:t>
      </w:r>
      <w:r>
        <w:t xml:space="preserve"> </w:t>
      </w:r>
      <w:hyperlink r:id="rId180">
        <w:r>
          <w:rPr>
            <w:rStyle w:val="Hyperlink"/>
          </w:rPr>
          <w:t xml:space="preserve">10.1016/j.actaastro.2024.05.017</w:t>
        </w:r>
      </w:hyperlink>
    </w:p>
    <w:p>
      <w:pPr>
        <w:pStyle w:val="BodyText"/>
        <w:spacing w:line="480" w:lineRule="auto"/>
        <w:ind w:firstLine="720"/>
      </w:pPr>
      <w:bookmarkStart w:id="181" w:name="ref-22"/>
      <w:bookmarkEnd w:id="181"/>
      <w:r>
        <w:t xml:space="preserve">22. R. L. McNutt; R. F. Wimmer‐Schweingruber; Mike Gruntman; S. M. Krimigis; E. C. Roelof; P. C. Brandt; Steven R. Vernon; Michael Paul; Robert Stough; J.D. Kinnison. Interstellar probe – Destination: Universe! (2022). doi:</w:t>
      </w:r>
      <w:r>
        <w:t xml:space="preserve"> </w:t>
      </w:r>
      <w:hyperlink r:id="rId182">
        <w:r>
          <w:rPr>
            <w:rStyle w:val="Hyperlink"/>
          </w:rPr>
          <w:t xml:space="preserve">10.1016/j.actaastro.2022.04.001</w:t>
        </w:r>
      </w:hyperlink>
    </w:p>
    <w:p>
      <w:pPr>
        <w:pStyle w:val="BodyText"/>
        <w:spacing w:line="480" w:lineRule="auto"/>
        <w:ind w:firstLine="720"/>
      </w:pPr>
      <w:bookmarkStart w:id="183" w:name="ref-23"/>
      <w:bookmarkEnd w:id="183"/>
      <w:r>
        <w:t xml:space="preserve">23. B. Hudson; Leonid Gurvits; Daniel C. M. Palumbo; Sara Issaoun; Hannah Rana. Toward optimisation of a sub-Terahertz spaceborne VLBI mission (2025). doi:</w:t>
      </w:r>
      <w:r>
        <w:t xml:space="preserve"> </w:t>
      </w:r>
      <w:hyperlink r:id="rId184">
        <w:r>
          <w:rPr>
            <w:rStyle w:val="Hyperlink"/>
          </w:rPr>
          <w:t xml:space="preserve">10.1016/j.actaastro.2025.03.022</w:t>
        </w:r>
      </w:hyperlink>
    </w:p>
    <w:p>
      <w:pPr>
        <w:pStyle w:val="BodyText"/>
        <w:spacing w:line="480" w:lineRule="auto"/>
        <w:ind w:firstLine="720"/>
      </w:pPr>
      <w:bookmarkStart w:id="185" w:name="ref-24"/>
      <w:bookmarkEnd w:id="185"/>
      <w:r>
        <w:t xml:space="preserve">24. Byrenn Birch. Computed tomographic imaging spectroscopy for the measurement of re-entry break-up and demise (2025). doi:</w:t>
      </w:r>
      <w:r>
        <w:t xml:space="preserve"> </w:t>
      </w:r>
      <w:hyperlink r:id="rId186">
        <w:r>
          <w:rPr>
            <w:rStyle w:val="Hyperlink"/>
          </w:rPr>
          <w:t xml:space="preserve">10.1016/j.actaastro.2025.09.089</w:t>
        </w:r>
      </w:hyperlink>
    </w:p>
    <w:p>
      <w:pPr>
        <w:pStyle w:val="BodyText"/>
        <w:spacing w:line="480" w:lineRule="auto"/>
        <w:ind w:firstLine="720"/>
      </w:pPr>
      <w:bookmarkStart w:id="187" w:name="ref-25"/>
      <w:bookmarkEnd w:id="187"/>
      <w:r>
        <w:t xml:space="preserve">25. R. A. Yingst; Julie K. Bartley; Thomas C. Chidsey; B. A. Cohen; Geoffrey J. Gilleaudeau; B. M. Hynek; Linda C. Kah; M. E. Minitti; R. M. E. Williams; Sarah R. Black; J. Gemperline; Ruby L. Schaufler; Rebecca J. Thomas. Testing the efficiency of rover science protocols for robotic sample selection: A GeoHeuristic Operational Strategies Test (2018). doi:</w:t>
      </w:r>
      <w:r>
        <w:t xml:space="preserve"> </w:t>
      </w:r>
      <w:hyperlink r:id="rId188">
        <w:r>
          <w:rPr>
            <w:rStyle w:val="Hyperlink"/>
          </w:rPr>
          <w:t xml:space="preserve">10.1016/j.actaastro.2018.02.029</w:t>
        </w:r>
      </w:hyperlink>
    </w:p>
    <w:p>
      <w:pPr>
        <w:pStyle w:val="BodyText"/>
        <w:spacing w:line="480" w:lineRule="auto"/>
        <w:ind w:firstLine="720"/>
      </w:pPr>
      <w:bookmarkStart w:id="189" w:name="ref-26"/>
      <w:bookmarkEnd w:id="189"/>
      <w:r>
        <w:t xml:space="preserve">26. Hadi Jahanshahi; Zheng Zhu. Review of machine learning in robotic grasping control in space application (2024). doi:</w:t>
      </w:r>
      <w:r>
        <w:t xml:space="preserve"> </w:t>
      </w:r>
      <w:hyperlink r:id="rId190">
        <w:r>
          <w:rPr>
            <w:rStyle w:val="Hyperlink"/>
          </w:rPr>
          <w:t xml:space="preserve">10.1016/j.actaastro.2024.04.012</w:t>
        </w:r>
      </w:hyperlink>
    </w:p>
    <w:p>
      <w:pPr>
        <w:pStyle w:val="BodyText"/>
        <w:spacing w:line="480" w:lineRule="auto"/>
        <w:ind w:firstLine="720"/>
      </w:pPr>
      <w:bookmarkStart w:id="191" w:name="ref-27"/>
      <w:bookmarkEnd w:id="191"/>
      <w:r>
        <w:t xml:space="preserve">27. Marius Anger; Aksel Søren Beltoft; F. Biassoni; Johanna Noria Brecher; Antoine Corne; J. A. Egger; S. Filomeno; Margarida Graça; Viktoria Keusch; Guillem Khairy; Jakub Kowalczyk; Riccardo Lasagni Manghi; Dominik Loidolt; Maja Marminge; Alex McDougall-Page; Lukas Tamulevicius; Elena Tonucci; Elise Wright Knutsen. Aetheras: Characterising exoplanetary atmospheric escape with NIR and UV spectroscopy (2025). doi:</w:t>
      </w:r>
      <w:r>
        <w:t xml:space="preserve"> </w:t>
      </w:r>
      <w:hyperlink r:id="rId192">
        <w:r>
          <w:rPr>
            <w:rStyle w:val="Hyperlink"/>
          </w:rPr>
          <w:t xml:space="preserve">10.1016/j.actaastro.2025.08.042</w:t>
        </w:r>
      </w:hyperlink>
    </w:p>
    <w:p>
      <w:pPr>
        <w:pStyle w:val="BodyText"/>
        <w:spacing w:line="480" w:lineRule="auto"/>
        <w:ind w:firstLine="720"/>
      </w:pPr>
      <w:bookmarkStart w:id="193" w:name="ref-28"/>
      <w:bookmarkEnd w:id="193"/>
      <w:r>
        <w:t xml:space="preserve">28. Umberto De Filippis; Mauro Di Benedetto; L. Iess; Paolo Cappuccio; Massimiliano Pecora; Chiara Grappasonni; A. Olivieri. Monitoring JUICE deployment operations with high-accuracy accelerometer data (2024). doi:</w:t>
      </w:r>
      <w:r>
        <w:t xml:space="preserve"> </w:t>
      </w:r>
      <w:hyperlink r:id="rId194">
        <w:r>
          <w:rPr>
            <w:rStyle w:val="Hyperlink"/>
          </w:rPr>
          <w:t xml:space="preserve">10.1016/j.actaastro.2024.09.047</w:t>
        </w:r>
      </w:hyperlink>
    </w:p>
    <w:bookmarkEnd w:id="195"/>
    <w:bookmarkEnd w:id="196"/>
    <w:bookmarkStart w:id="21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4" w:name="Xb31ae15f5703a8b51c6d51887b3884b59fb72dd"/>
    <w:p>
      <w:pPr>
        <w:pStyle w:val="Heading2"/>
        <w:spacing w:line="480" w:lineRule="auto"/>
      </w:pPr>
      <w:r>
        <w:t xml:space="preserve">A.1 Instrument-Cost Scale Economies for Heliophysics Particle and Fields Instruments: A Log-Log Learning-Curve Estimate of the Cost-Mass Elasticity</w:t>
      </w:r>
    </w:p>
    <w:p>
      <w:pPr>
        <w:pStyle w:val="FirstParagraph"/>
        <w:spacing w:line="480" w:lineRule="auto"/>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β</m:t>
          </m:r>
          <m:r>
            <m:t> </m:t>
          </m:r>
          <m:r>
            <m:rPr>
              <m:sty m:val="p"/>
            </m:rPr>
            <m:t>ln</m:t>
          </m:r>
          <m:r>
            <m:rPr>
              <m:sty m:val="p"/>
            </m:rPr>
            <m:t>(</m:t>
          </m:r>
          <m:sSub>
            <m:e>
              <m:r>
                <m:rPr>
                  <m:nor/>
                  <m:sty m:val="p"/>
                </m:rPr>
                <m:t>Mass</m:t>
              </m:r>
            </m:e>
            <m:sub>
              <m:r>
                <m:t>i</m:t>
              </m:r>
            </m:sub>
          </m:sSub>
          <m:r>
            <m:rPr>
              <m:sty m:val="p"/>
            </m:rPr>
            <m:t>)</m:t>
          </m:r>
          <m:r>
            <m:rPr>
              <m:sty m:val="p"/>
            </m:rPr>
            <m:t>+</m:t>
          </m:r>
          <m:sSub>
            <m:e>
              <m:r>
                <m:t>ε</m:t>
              </m:r>
            </m:e>
            <m:sub>
              <m:r>
                <m:t>i</m:t>
              </m:r>
            </m:sub>
          </m:sSub>
        </m:oMath>
      </m:oMathPara>
    </w:p>
    <w:bookmarkStart w:id="19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2.6388</w:t>
            </w:r>
          </w:p>
        </w:tc>
        <w:tc>
          <w:tcPr>
            <w:tcW w:w="0" w:type="auto"/>
          </w:tcPr>
          <w:p>
            <w:pPr>
              <w:spacing w:line="240" w:lineRule="auto" w:before="0" w:after="0"/>
              <w:pStyle w:val="Compact"/>
            </w:pPr>
            <w:r>
              <w:rPr>
                <w:sz w:val="20"/>
                <w:szCs w:val="20"/>
              </w:rPr>
              <w:t xml:space="preserve">0.0201</w:t>
            </w:r>
          </w:p>
        </w:tc>
        <w:tc>
          <w:tcPr>
            <w:tcW w:w="0" w:type="auto"/>
          </w:tcPr>
          <w:p>
            <w:pPr>
              <w:spacing w:line="240" w:lineRule="auto" w:before="0" w:after="0"/>
              <w:pStyle w:val="Compact"/>
            </w:pPr>
            <w:r>
              <w:rPr>
                <w:sz w:val="20"/>
                <w:szCs w:val="20"/>
              </w:rPr>
              <w:t xml:space="preserve">131.4429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[2.5994, 2.6781]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0.3124</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23.0301</w:t>
            </w:r>
          </w:p>
        </w:tc>
        <w:tc>
          <w:tcPr>
            <w:tcW w:w="0" w:type="auto"/>
          </w:tcPr>
          <w:p>
            <w:pPr>
              <w:spacing w:line="240" w:lineRule="auto" w:before="0" w:after="0"/>
              <w:pStyle w:val="Compact"/>
            </w:pPr>
            <w:r>
              <w:rPr>
                <w:sz w:val="20"/>
                <w:szCs w:val="20"/>
              </w:rPr>
              <w:t xml:space="preserve">2.331e-117</w:t>
            </w:r>
          </w:p>
        </w:tc>
        <w:tc>
          <w:tcPr>
            <w:tcW w:w="0" w:type="auto"/>
          </w:tcPr>
          <w:p>
            <w:pPr>
              <w:spacing w:line="240" w:lineRule="auto" w:before="0" w:after="0"/>
              <w:pStyle w:val="Compact"/>
            </w:pPr>
            <w:r>
              <w:rPr>
                <w:sz w:val="20"/>
                <w:szCs w:val="20"/>
              </w:rPr>
              <w:t xml:space="preserve">[0.2858, 0.339]</w:t>
            </w:r>
          </w:p>
        </w:tc>
      </w:tr>
    </w:tbl>
    <w:p>
      <w:pPr>
        <w:pStyle w:val="BodyText"/>
        <w:spacing w:line="480" w:lineRule="auto"/>
        <w:ind w:firstLine="720"/>
      </w:pPr>
      <w:r>
        <w:t xml:space="preserve">Fit: N = 28 R2 = 0.9676 elasticity_b = 0.3124 progress_ratio_2^b = 1.2418</w:t>
      </w:r>
    </w:p>
    <w:bookmarkEnd w:id="197"/>
    <w:bookmarkStart w:id="20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og-log relationship between instrument mass and modeled B/C/D development cost for 28 heliophysics particle and fields instruments. The fitted slope is the cost-mass elasticity; a slope below one implies decreasing cost per kilogram as instrument mass rises." title="" id="199" name="Picture"/>
            <a:graphic>
              <a:graphicData uri="http://schemas.openxmlformats.org/drawingml/2006/picture">
                <pic:pic>
                  <pic:nvPicPr>
                    <pic:cNvPr descr="D:/Claude_Code/brain/collegium/candidates/dissertations/JPL_ASTRO_EARTH_06/research_papers/p1/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Log-log relationship between instrument mass and modeled B/C/D development cost for 28 heliophysics particle and fields instruments. The fitted slope is the cost-mass elasticity; a slope below one implies decreasing cost per kilogram as instrument mass rises.</w:t>
      </w:r>
    </w:p>
    <w:bookmarkEnd w:id="201"/>
    <w:bookmarkStart w:id="20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instr_type</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cost_fy25_musd</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Cluster II</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Mass: Balogh et al. 2001 Annales Geophysicae 19:1207 Cluster FGM (sensors+electronics). Cost: NICM VII Fields-System CER 952.1</w:t>
            </w:r>
            <w:r>
              <w:rPr>
                <w:i/>
                <w:iCs/>
                <w:sz w:val="20"/>
                <w:szCs w:val="20"/>
              </w:rPr>
              <w:t xml:space="preserve">Mass</w:t>
            </w:r>
            <w:r>
              <w:rPr>
                <w:i/>
                <w:iCs/>
                <w:vertAlign w:val="superscript"/>
                <w:sz w:val="20"/>
                <w:szCs w:val="20"/>
              </w:rPr>
              <w:t xml:space="preserve">0.18*Pwr</w:t>
            </w:r>
            <w:r>
              <w:rPr>
                <w:i/>
                <w:iCs/>
                <w:sz w:val="20"/>
                <w:szCs w:val="20"/>
              </w:rPr>
              <w:t xml:space="preserve">0.24</w:t>
            </w:r>
            <w:r>
              <w:rPr>
                <w:sz w:val="20"/>
                <w:szCs w:val="20"/>
              </w:rPr>
              <w:t xml:space="preserve">DsgnLife^0.27 (Habib-Agahi &amp; Mrozinski 2015 NASA Cost Symposium), evaluated at unit mass/power/design-life.</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Mass: Anderson et al. 2007 Space Sci Rev 131:417 MESSENGER Magnetometer. Cost: NICM VII Fields-System CER evaluated at unit parameters (Habib-Agahi &amp; Mrozinski 2015).</w:t>
            </w:r>
          </w:p>
        </w:tc>
      </w:tr>
      <w:tr>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Mass: Auster et al. 2008 Space Sci Rev 141:235 THEMIS FGM. Cost: NICM VII Fields-System CER evaluated at unit parameters.</w:t>
            </w:r>
          </w:p>
        </w:tc>
      </w:tr>
      <w:tr>
        <w:tc>
          <w:tcPr>
            <w:tcW w:w="0" w:type="auto"/>
          </w:tcPr>
          <w:p>
            <w:pPr>
              <w:spacing w:line="240" w:lineRule="auto" w:before="0" w:after="0"/>
              <w:pStyle w:val="Compact"/>
            </w:pPr>
            <w:r>
              <w:rPr>
                <w:sz w:val="20"/>
                <w:szCs w:val="20"/>
              </w:rPr>
              <w:t xml:space="preserve">SCM</w:t>
            </w:r>
          </w:p>
        </w:tc>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11.9</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Mass: Roux et al. 2008 Space Sci Rev 141:265 THEMIS search-coil magnetometer.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Van Allen Probes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Mass: Kletzing et al. 2013 Space Sci Rev 179:127 EMFISIS fluxgate magnetometer. Cost: NICM VII Fields-System CER evaluated at unit parameters.</w:t>
            </w:r>
          </w:p>
        </w:tc>
      </w:tr>
      <w:tr>
        <w:tc>
          <w:tcPr>
            <w:tcW w:w="0" w:type="auto"/>
          </w:tcPr>
          <w:p>
            <w:pPr>
              <w:spacing w:line="240" w:lineRule="auto" w:before="0" w:after="0"/>
              <w:pStyle w:val="Compact"/>
            </w:pPr>
            <w:r>
              <w:rPr>
                <w:sz w:val="20"/>
                <w:szCs w:val="20"/>
              </w:rPr>
              <w:t xml:space="preserve">EMFISIS</w:t>
            </w:r>
          </w:p>
        </w:tc>
        <w:tc>
          <w:tcPr>
            <w:tcW w:w="0" w:type="auto"/>
          </w:tcPr>
          <w:p>
            <w:pPr>
              <w:spacing w:line="240" w:lineRule="auto" w:before="0" w:after="0"/>
              <w:pStyle w:val="Compact"/>
            </w:pPr>
            <w:r>
              <w:rPr>
                <w:sz w:val="20"/>
                <w:szCs w:val="20"/>
              </w:rPr>
              <w:t xml:space="preserve">Van Allen Probes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Mass: Kletzing et al. 2013 Space Sci Rev 179:127 EMFISIS instrument suite total. Cost: NICM VII Fields-System CER evaluated at suite parameters.</w:t>
            </w:r>
          </w:p>
        </w:tc>
      </w:tr>
      <w:tr>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Mass: Russell et al. 2016 Space Sci Rev 199:189 MMS FIELDS fluxgate magnetometers. Cost: NICM VII Fields-System CER evaluated at unit parameters.</w:t>
            </w:r>
          </w:p>
        </w:tc>
      </w:tr>
      <w:tr>
        <w:tc>
          <w:tcPr>
            <w:tcW w:w="0" w:type="auto"/>
          </w:tcPr>
          <w:p>
            <w:pPr>
              <w:spacing w:line="240" w:lineRule="auto" w:before="0" w:after="0"/>
              <w:pStyle w:val="Compact"/>
            </w:pPr>
            <w:r>
              <w:rPr>
                <w:sz w:val="20"/>
                <w:szCs w:val="20"/>
              </w:rPr>
              <w:t xml:space="preserve">SCM</w:t>
            </w:r>
          </w:p>
        </w:tc>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Mass: Le Contel et al. 2016 Space Sci Rev 199:257 MMS search-coil magnetometer.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Mass: Bale et al. 2016 Space Sci Rev 204:49 FIELDS fluxgate magnetometer.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Solar Orbiter</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Mass: Horbury et al. 2020 Astron. Astrophys. 642:A9 Solar Orbiter magnetometer.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Mass: Connerney et al. 2017 Space Sci Rev 213:39 Juno Magnetic Field investigation.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Mass: Connerney et al. 2015 Space Sci Rev 195:257 MAVEN magnetometer.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ACE</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Mass: Smith et al. 1998 Space Sci Rev 86:613 ACE magnetic field experiment.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Mass: Lepping et al. 1995 Space Sci Rev 71:207 Wind Magnetic Field Investigation. Cost: NICM VII Fields-System CER evaluated at unit parameters.</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fields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Mass: Dougherty et al. 2004 Space Sci Rev 114:331 Cassini dual-technique magnetometer. Cost: NICM VII Fields-System CER evaluated at unit parameters.</w:t>
            </w:r>
          </w:p>
        </w:tc>
      </w:tr>
      <w:tr>
        <w:tc>
          <w:tcPr>
            <w:tcW w:w="0" w:type="auto"/>
          </w:tcPr>
          <w:p>
            <w:pPr>
              <w:spacing w:line="240" w:lineRule="auto" w:before="0" w:after="0"/>
              <w:pStyle w:val="Compact"/>
            </w:pPr>
            <w:r>
              <w:rPr>
                <w:sz w:val="20"/>
                <w:szCs w:val="20"/>
              </w:rPr>
              <w:t xml:space="preserve">SWEAP</w:t>
            </w:r>
          </w:p>
        </w:tc>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Mass: Kasper et al. 2016 Space Sci Rev 204:131 Solar Wind Electrons Alphas and Protons suite. Cost: NICM VII Particles-System CER 233</w:t>
            </w:r>
            <w:r>
              <w:rPr>
                <w:i/>
                <w:iCs/>
                <w:sz w:val="20"/>
                <w:szCs w:val="20"/>
              </w:rPr>
              <w:t xml:space="preserve">Mass</w:t>
            </w:r>
            <w:r>
              <w:rPr>
                <w:i/>
                <w:iCs/>
                <w:vertAlign w:val="superscript"/>
                <w:sz w:val="20"/>
                <w:szCs w:val="20"/>
              </w:rPr>
              <w:t xml:space="preserve">0.35*Pwr</w:t>
            </w:r>
            <w:r>
              <w:rPr>
                <w:i/>
                <w:iCs/>
                <w:sz w:val="20"/>
                <w:szCs w:val="20"/>
              </w:rPr>
              <w:t xml:space="preserve">0.45</w:t>
            </w:r>
            <w:r>
              <w:rPr>
                <w:sz w:val="20"/>
                <w:szCs w:val="20"/>
              </w:rPr>
              <w:t xml:space="preserve">DesignLife^0.49 (Habib-Agahi &amp; Mrozinski 2015), evaluated at suite parameters.</w:t>
            </w:r>
          </w:p>
        </w:tc>
      </w:tr>
      <w:tr>
        <w:tc>
          <w:tcPr>
            <w:tcW w:w="0" w:type="auto"/>
          </w:tcPr>
          <w:p>
            <w:pPr>
              <w:spacing w:line="240" w:lineRule="auto" w:before="0" w:after="0"/>
              <w:pStyle w:val="Compact"/>
            </w:pPr>
            <w:r>
              <w:rPr>
                <w:sz w:val="20"/>
                <w:szCs w:val="20"/>
              </w:rPr>
              <w:t xml:space="preserve">SWA</w:t>
            </w:r>
          </w:p>
        </w:tc>
        <w:tc>
          <w:tcPr>
            <w:tcW w:w="0" w:type="auto"/>
          </w:tcPr>
          <w:p>
            <w:pPr>
              <w:spacing w:line="240" w:lineRule="auto" w:before="0" w:after="0"/>
              <w:pStyle w:val="Compact"/>
            </w:pPr>
            <w:r>
              <w:rPr>
                <w:sz w:val="20"/>
                <w:szCs w:val="20"/>
              </w:rPr>
              <w:t xml:space="preserve">Solar Orbiter</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Mass: Owen et al. 2020 Astron. Astrophys. 642:A16 Solar Wind Analyser suite. Cost: NICM VII Particles-System CER evaluated at suite parameters.</w:t>
            </w:r>
          </w:p>
        </w:tc>
      </w:tr>
      <w:tr>
        <w:tc>
          <w:tcPr>
            <w:tcW w:w="0" w:type="auto"/>
          </w:tcPr>
          <w:p>
            <w:pPr>
              <w:spacing w:line="240" w:lineRule="auto" w:before="0" w:after="0"/>
              <w:pStyle w:val="Compact"/>
            </w:pPr>
            <w:r>
              <w:rPr>
                <w:sz w:val="20"/>
                <w:szCs w:val="20"/>
              </w:rPr>
              <w:t xml:space="preserve">FPI</w:t>
            </w:r>
          </w:p>
        </w:tc>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Mass: Pollock et al. 2016 Space Sci Rev 199:331 MMS Fast Plasma Investigation. Cost: NICM VII Particles-System CER evaluated at instrument parameters.</w:t>
            </w:r>
          </w:p>
        </w:tc>
      </w:tr>
      <w:tr>
        <w:tc>
          <w:tcPr>
            <w:tcW w:w="0" w:type="auto"/>
          </w:tcPr>
          <w:p>
            <w:pPr>
              <w:spacing w:line="240" w:lineRule="auto" w:before="0" w:after="0"/>
              <w:pStyle w:val="Compact"/>
            </w:pPr>
            <w:r>
              <w:rPr>
                <w:sz w:val="20"/>
                <w:szCs w:val="20"/>
              </w:rPr>
              <w:t xml:space="preserve">EPD</w:t>
            </w:r>
          </w:p>
        </w:tc>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Mass: Mauk et al. 2016 Space Sci Rev 199:471 MMS Energetic Particle Detector suite. Cost: NICM VII Particles-System CER evaluated at suite parameters.</w:t>
            </w:r>
          </w:p>
        </w:tc>
      </w:tr>
      <w:tr>
        <w:tc>
          <w:tcPr>
            <w:tcW w:w="0" w:type="auto"/>
          </w:tcPr>
          <w:p>
            <w:pPr>
              <w:spacing w:line="240" w:lineRule="auto" w:before="0" w:after="0"/>
              <w:pStyle w:val="Compact"/>
            </w:pPr>
            <w:r>
              <w:rPr>
                <w:sz w:val="20"/>
                <w:szCs w:val="20"/>
              </w:rPr>
              <w:t xml:space="preserve">SWAP</w:t>
            </w:r>
          </w:p>
        </w:tc>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Mass: McComas et al. 2016 Space Sci Rev 204:187 ISOIS Solar Wind and Pickup-ion. Cost: NICM VII Particles-System CER evaluated at unit parameters.</w:t>
            </w:r>
          </w:p>
        </w:tc>
      </w:tr>
      <w:tr>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Mass: McFadden et al. 2008 Space Sci Rev 141:277 THEMIS electrostatic analyzer. Cost: NICM VII Particles-System CER evaluated at unit parameters.</w:t>
            </w:r>
          </w:p>
        </w:tc>
      </w:tr>
      <w:tr>
        <w:tc>
          <w:tcPr>
            <w:tcW w:w="0" w:type="auto"/>
          </w:tcPr>
          <w:p>
            <w:pPr>
              <w:spacing w:line="240" w:lineRule="auto" w:before="0" w:after="0"/>
              <w:pStyle w:val="Compact"/>
            </w:pPr>
            <w:r>
              <w:rPr>
                <w:sz w:val="20"/>
                <w:szCs w:val="20"/>
              </w:rPr>
              <w:t xml:space="preserve">SST</w:t>
            </w:r>
          </w:p>
        </w:tc>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Mass: Angelopoulos 2008 Space Sci Rev 141:5 THEMIS Solid State Telescope. Cost: NICM VII Particles-System CER evaluated at unit parameters.</w:t>
            </w:r>
          </w:p>
        </w:tc>
      </w:tr>
      <w:tr>
        <w:tc>
          <w:tcPr>
            <w:tcW w:w="0" w:type="auto"/>
          </w:tcPr>
          <w:p>
            <w:pPr>
              <w:spacing w:line="240" w:lineRule="auto" w:before="0" w:after="0"/>
              <w:pStyle w:val="Compact"/>
            </w:pPr>
            <w:r>
              <w:rPr>
                <w:sz w:val="20"/>
                <w:szCs w:val="20"/>
              </w:rPr>
              <w:t xml:space="preserve">SWEPAM</w:t>
            </w:r>
          </w:p>
        </w:tc>
        <w:tc>
          <w:tcPr>
            <w:tcW w:w="0" w:type="auto"/>
          </w:tcPr>
          <w:p>
            <w:pPr>
              <w:spacing w:line="240" w:lineRule="auto" w:before="0" w:after="0"/>
              <w:pStyle w:val="Compact"/>
            </w:pPr>
            <w:r>
              <w:rPr>
                <w:sz w:val="20"/>
                <w:szCs w:val="20"/>
              </w:rPr>
              <w:t xml:space="preserve">ACE</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Mass: McComas et al. 1998 Space Sci Rev 86:563 ACE Solar Wind Electron Proton Alpha Monitor. Cost: NICM VII Particles-System CER evaluated at unit parameters.</w:t>
            </w:r>
          </w:p>
        </w:tc>
      </w:tr>
      <w:tr>
        <w:tc>
          <w:tcPr>
            <w:tcW w:w="0" w:type="auto"/>
          </w:tcPr>
          <w:p>
            <w:pPr>
              <w:spacing w:line="240" w:lineRule="auto" w:before="0" w:after="0"/>
              <w:pStyle w:val="Compact"/>
            </w:pPr>
            <w:r>
              <w:rPr>
                <w:sz w:val="20"/>
                <w:szCs w:val="20"/>
              </w:rPr>
              <w:t xml:space="preserve">ULEIS</w:t>
            </w:r>
          </w:p>
        </w:tc>
        <w:tc>
          <w:tcPr>
            <w:tcW w:w="0" w:type="auto"/>
          </w:tcPr>
          <w:p>
            <w:pPr>
              <w:spacing w:line="240" w:lineRule="auto" w:before="0" w:after="0"/>
              <w:pStyle w:val="Compact"/>
            </w:pPr>
            <w:r>
              <w:rPr>
                <w:sz w:val="20"/>
                <w:szCs w:val="20"/>
              </w:rPr>
              <w:t xml:space="preserve">ACE</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37.9</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Mass: Mason et al. 1998 Space Sci Rev 86:409 ACE Ultra-Low-Energy Isotope Spectrometer. Cost: NICM VII Particles-System CER evaluated at instrument parameters.</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Mass: Ogilvie et al. 1995 Space Sci Rev 71:55 Wind Solar Wind Experiment. Cost: NICM VII Particles-System CER evaluated at instrument parameters.</w:t>
            </w:r>
          </w:p>
        </w:tc>
      </w:tr>
      <w:tr>
        <w:tc>
          <w:tcPr>
            <w:tcW w:w="0" w:type="auto"/>
          </w:tcPr>
          <w:p>
            <w:pPr>
              <w:spacing w:line="240" w:lineRule="auto" w:before="0" w:after="0"/>
              <w:pStyle w:val="Compact"/>
            </w:pPr>
            <w:r>
              <w:rPr>
                <w:sz w:val="20"/>
                <w:szCs w:val="20"/>
              </w:rPr>
              <w:t xml:space="preserve">3DP</w:t>
            </w:r>
          </w:p>
        </w:tc>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33.6</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Mass: Lin et al. 1995 Space Sci Rev 71:125 Wind 3-D Plasma and Energetic Particle investigation. Cost: NICM VII Particles-System CER evaluated at instrument parameters.</w:t>
            </w:r>
          </w:p>
        </w:tc>
      </w:tr>
      <w:tr>
        <w:tc>
          <w:tcPr>
            <w:tcW w:w="0" w:type="auto"/>
          </w:tcPr>
          <w:p>
            <w:pPr>
              <w:spacing w:line="240" w:lineRule="auto" w:before="0" w:after="0"/>
              <w:pStyle w:val="Compact"/>
            </w:pPr>
            <w:r>
              <w:rPr>
                <w:sz w:val="20"/>
                <w:szCs w:val="20"/>
              </w:rPr>
              <w:t xml:space="preserve">RAPID</w:t>
            </w:r>
          </w:p>
        </w:tc>
        <w:tc>
          <w:tcPr>
            <w:tcW w:w="0" w:type="auto"/>
          </w:tcPr>
          <w:p>
            <w:pPr>
              <w:spacing w:line="240" w:lineRule="auto" w:before="0" w:after="0"/>
              <w:pStyle w:val="Compact"/>
            </w:pPr>
            <w:r>
              <w:rPr>
                <w:sz w:val="20"/>
                <w:szCs w:val="20"/>
              </w:rPr>
              <w:t xml:space="preserve">Cluster II</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Mass: Wilken et al. 2001 Annales Geophysicae 19:1355 Cluster RAPID. Cost: NICM VII Particles-System CER evaluated at instrument parameters.</w:t>
            </w:r>
          </w:p>
        </w:tc>
      </w:tr>
      <w:tr>
        <w:tc>
          <w:tcPr>
            <w:tcW w:w="0" w:type="auto"/>
          </w:tcPr>
          <w:p>
            <w:pPr>
              <w:spacing w:line="240" w:lineRule="auto" w:before="0" w:after="0"/>
              <w:pStyle w:val="Compact"/>
            </w:pPr>
            <w:r>
              <w:rPr>
                <w:sz w:val="20"/>
                <w:szCs w:val="20"/>
              </w:rPr>
              <w:t xml:space="preserve">CIS</w:t>
            </w:r>
          </w:p>
        </w:tc>
        <w:tc>
          <w:tcPr>
            <w:tcW w:w="0" w:type="auto"/>
          </w:tcPr>
          <w:p>
            <w:pPr>
              <w:spacing w:line="240" w:lineRule="auto" w:before="0" w:after="0"/>
              <w:pStyle w:val="Compact"/>
            </w:pPr>
            <w:r>
              <w:rPr>
                <w:sz w:val="20"/>
                <w:szCs w:val="20"/>
              </w:rPr>
              <w:t xml:space="preserve">Cluster II</w:t>
            </w:r>
          </w:p>
        </w:tc>
        <w:tc>
          <w:tcPr>
            <w:tcW w:w="0" w:type="auto"/>
          </w:tcPr>
          <w:p>
            <w:pPr>
              <w:spacing w:line="240" w:lineRule="auto" w:before="0" w:after="0"/>
              <w:pStyle w:val="Compact"/>
            </w:pPr>
            <w:r>
              <w:rPr>
                <w:sz w:val="20"/>
                <w:szCs w:val="20"/>
              </w:rPr>
              <w:t xml:space="preserve">particles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Mass: Reme et al. 2001 Annales Geophysicae 19:1303 Cluster Ion Spectrometry. Cost: NICM VII Particles-System CER evaluated at instrument parameters.</w:t>
            </w:r>
          </w:p>
        </w:tc>
      </w:tr>
    </w:tbl>
    <w:bookmarkEnd w:id="202"/>
    <w:bookmarkStart w:id="203"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cost_fy25_musd</w:t>
            </w:r>
          </w:p>
        </w:tc>
        <w:tc>
          <w:tcPr>
            <w:tcW w:w="0" w:type="auto"/>
          </w:tcPr>
          <w:p>
            <w:pPr>
              <w:spacing w:line="240" w:lineRule="auto" w:before="0" w:after="0"/>
              <w:pStyle w:val="Compact"/>
            </w:pPr>
            <w:r>
              <w:rPr>
                <w:sz w:val="20"/>
                <w:szCs w:val="20"/>
              </w:rPr>
              <w:t xml:space="preserve">Instrument B/C/D development cost, modeled in FY2025 millions of USD via the published NICM VII cost-estimating relationship for the instrument’s type</w:t>
            </w:r>
          </w:p>
        </w:tc>
        <w:tc>
          <w:tcPr>
            <w:tcW w:w="0" w:type="auto"/>
          </w:tcPr>
          <w:p>
            <w:pPr>
              <w:spacing w:line="240" w:lineRule="auto" w:before="0" w:after="0"/>
              <w:pStyle w:val="Compact"/>
            </w:pPr>
            <w:r>
              <w:rPr>
                <w:sz w:val="20"/>
                <w:szCs w:val="20"/>
              </w:rPr>
              <w:t xml:space="preserve">NICM VII Fields-System and Particles-System CERs, Habib-Agahi and Mrozinski 2015 NASA Cost Symposium; Mrozinski et al. 2016 NTRS 20190026811</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Flight instrument or instrument-suite mass in kilograms, taken from the refereed instrument description paper for each unit</w:t>
            </w:r>
          </w:p>
        </w:tc>
        <w:tc>
          <w:tcPr>
            <w:tcW w:w="0" w:type="auto"/>
          </w:tcPr>
          <w:p>
            <w:pPr>
              <w:spacing w:line="240" w:lineRule="auto" w:before="0" w:after="0"/>
              <w:pStyle w:val="Compact"/>
            </w:pPr>
            <w:r>
              <w:rPr>
                <w:sz w:val="20"/>
                <w:szCs w:val="20"/>
              </w:rPr>
              <w:t xml:space="preserve">Space Science Reviews, Astronomy and Astrophysics, and Annales Geophysicae instrument papers cited per row</w:t>
            </w:r>
          </w:p>
        </w:tc>
      </w:tr>
      <w:tr>
        <w:tc>
          <w:tcPr>
            <w:tcW w:w="0" w:type="auto"/>
          </w:tcPr>
          <w:p>
            <w:pPr>
              <w:spacing w:line="240" w:lineRule="auto" w:before="0" w:after="0"/>
              <w:pStyle w:val="Compact"/>
            </w:pPr>
            <w:r>
              <w:rPr>
                <w:sz w:val="20"/>
                <w:szCs w:val="20"/>
              </w:rPr>
              <w:t xml:space="preserve">instr_type</w:t>
            </w:r>
          </w:p>
        </w:tc>
        <w:tc>
          <w:tcPr>
            <w:tcW w:w="0" w:type="auto"/>
          </w:tcPr>
          <w:p>
            <w:pPr>
              <w:spacing w:line="240" w:lineRule="auto" w:before="0" w:after="0"/>
              <w:pStyle w:val="Compact"/>
            </w:pPr>
            <w:r>
              <w:rPr>
                <w:sz w:val="20"/>
                <w:szCs w:val="20"/>
              </w:rPr>
              <w:t xml:space="preserve">Instrument family: fields detector (magnetometer, search-coil, fields suite) or particles detector (electrostatic analyzer, solid-state telescope, ion or plasma instrument)</w:t>
            </w:r>
          </w:p>
        </w:tc>
        <w:tc>
          <w:tcPr>
            <w:tcW w:w="0" w:type="auto"/>
          </w:tcPr>
          <w:p>
            <w:pPr>
              <w:spacing w:line="240" w:lineRule="auto" w:before="0" w:after="0"/>
              <w:pStyle w:val="Compact"/>
            </w:pPr>
            <w:r>
              <w:rPr>
                <w:sz w:val="20"/>
                <w:szCs w:val="20"/>
              </w:rPr>
              <w:t xml:space="preserve">NICM instrument taxonomy, Mrozinski et al. 2016 NTRS 20190026811</w:t>
            </w:r>
          </w:p>
        </w:tc>
      </w:tr>
    </w:tbl>
    <w:bookmarkEnd w:id="203"/>
    <w:bookmarkEnd w:id="204"/>
    <w:bookmarkStart w:id="212" w:name="X3bd4bc6dbd4a333760d970d07a1d2b2b348035e"/>
    <w:p>
      <w:pPr>
        <w:pStyle w:val="Heading2"/>
        <w:spacing w:line="480" w:lineRule="auto"/>
      </w:pPr>
      <w:r>
        <w:t xml:space="preserve">A.2 Mass, Instrument Multiplicity, and Programmatic Class as Drivers of Heliophysics Particles-and-Fields Mission Cost: A Fixed-Effects Cost-Estimating Relationship</w:t>
      </w:r>
    </w:p>
    <w:p>
      <w:pPr>
        <w:pStyle w:val="FirstParagraph"/>
        <w:spacing w:line="480" w:lineRule="auto"/>
      </w:pPr>
      <m:oMathPara>
        <m:oMathParaPr>
          <m:jc m:val="center"/>
        </m:oMathParaPr>
        <m:oMath>
          <m:r>
            <m:rPr>
              <m:sty m:val="p"/>
            </m:rPr>
            <m:t>ln</m:t>
          </m:r>
          <m:r>
            <m:rPr>
              <m:sty m:val="p"/>
            </m:rPr>
            <m:t>(</m:t>
          </m:r>
          <m:sSub>
            <m:e>
              <m:r>
                <m:rPr>
                  <m:nor/>
                  <m:sty m:val="p"/>
                </m:rPr>
                <m:t>Cost</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rPr>
                  <m:nor/>
                  <m:sty m:val="p"/>
                </m:rPr>
                <m:t>FleetMass</m:t>
              </m:r>
            </m:e>
            <m:sub>
              <m:r>
                <m:t>i</m:t>
              </m:r>
            </m:sub>
          </m:sSub>
          <m:r>
            <m:rPr>
              <m:sty m:val="p"/>
            </m:rPr>
            <m:t>)</m:t>
          </m:r>
          <m:r>
            <m:rPr>
              <m:sty m:val="p"/>
            </m:rPr>
            <m:t>+</m:t>
          </m:r>
          <m:sSub>
            <m:e>
              <m:r>
                <m:t>β</m:t>
              </m:r>
            </m:e>
            <m:sub>
              <m:r>
                <m:t>2</m:t>
              </m:r>
            </m:sub>
          </m:sSub>
          <m:r>
            <m:t> </m:t>
          </m:r>
          <m:sSub>
            <m:e>
              <m:r>
                <m:rPr>
                  <m:nor/>
                  <m:sty m:val="p"/>
                </m:rPr>
                <m:t>Instr</m:t>
              </m:r>
            </m:e>
            <m:sub>
              <m:r>
                <m:t>i</m:t>
              </m:r>
            </m:sub>
          </m:sSub>
          <m:r>
            <m:rPr>
              <m:sty m:val="p"/>
            </m:rPr>
            <m:t>+</m:t>
          </m:r>
          <m:sSub>
            <m:e>
              <m:r>
                <m:t>β</m:t>
              </m:r>
            </m:e>
            <m:sub>
              <m:r>
                <m:t>3</m:t>
              </m:r>
            </m:sub>
          </m:sSub>
          <m:r>
            <m:t> </m:t>
          </m:r>
          <m:sSub>
            <m:e>
              <m:r>
                <m:rPr>
                  <m:nor/>
                  <m:sty m:val="p"/>
                </m:rPr>
                <m:t>Craft</m:t>
              </m:r>
            </m:e>
            <m:sub>
              <m:r>
                <m:t>i</m:t>
              </m:r>
            </m:sub>
          </m:sSub>
          <m:r>
            <m:rPr>
              <m:sty m:val="p"/>
            </m:rPr>
            <m:t>+</m:t>
          </m:r>
          <m:sSub>
            <m:e>
              <m:r>
                <m:t>γ</m:t>
              </m:r>
            </m:e>
            <m:sub>
              <m:r>
                <m:t>1</m:t>
              </m:r>
            </m:sub>
          </m:sSub>
          <m:r>
            <m:t> </m:t>
          </m:r>
          <m:sSub>
            <m:e>
              <m:r>
                <m:rPr>
                  <m:nor/>
                  <m:sty m:val="p"/>
                </m:rPr>
                <m:t>Explorer</m:t>
              </m:r>
            </m:e>
            <m:sub>
              <m:r>
                <m:t>i</m:t>
              </m:r>
            </m:sub>
          </m:sSub>
          <m:r>
            <m:rPr>
              <m:sty m:val="p"/>
            </m:rPr>
            <m:t>+</m:t>
          </m:r>
          <m:sSub>
            <m:e>
              <m:r>
                <m:t>γ</m:t>
              </m:r>
            </m:e>
            <m:sub>
              <m:r>
                <m:t>2</m:t>
              </m:r>
            </m:sub>
          </m:sSub>
          <m:r>
            <m:t> </m:t>
          </m:r>
          <m:sSub>
            <m:e>
              <m:r>
                <m:rPr>
                  <m:nor/>
                  <m:sty m:val="p"/>
                </m:rPr>
                <m:t>STP/LWS</m:t>
              </m:r>
            </m:e>
            <m:sub>
              <m:r>
                <m:t>i</m:t>
              </m:r>
            </m:sub>
          </m:sSub>
          <m:r>
            <m:rPr>
              <m:sty m:val="p"/>
            </m:rPr>
            <m:t>+</m:t>
          </m:r>
          <m:sSub>
            <m:e>
              <m:r>
                <m:t>ε</m:t>
              </m:r>
            </m:e>
            <m:sub>
              <m:r>
                <m:t>i</m:t>
              </m:r>
            </m:sub>
          </m:sSub>
        </m:oMath>
      </m:oMathPara>
    </w:p>
    <w:bookmarkStart w:id="20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2.3537</w:t>
            </w:r>
          </w:p>
        </w:tc>
        <w:tc>
          <w:tcPr>
            <w:tcW w:w="0" w:type="auto"/>
          </w:tcPr>
          <w:p>
            <w:pPr>
              <w:spacing w:line="240" w:lineRule="auto" w:before="0" w:after="0"/>
              <w:pStyle w:val="Compact"/>
            </w:pPr>
            <w:r>
              <w:rPr>
                <w:sz w:val="20"/>
                <w:szCs w:val="20"/>
              </w:rPr>
              <w:t xml:space="preserve">1.0884</w:t>
            </w:r>
          </w:p>
        </w:tc>
        <w:tc>
          <w:tcPr>
            <w:tcW w:w="0" w:type="auto"/>
          </w:tcPr>
          <w:p>
            <w:pPr>
              <w:spacing w:line="240" w:lineRule="auto" w:before="0" w:after="0"/>
              <w:pStyle w:val="Compact"/>
            </w:pPr>
            <w:r>
              <w:rPr>
                <w:sz w:val="20"/>
                <w:szCs w:val="20"/>
              </w:rPr>
              <w:t xml:space="preserve">2.1625</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[0.2204, 4.487]</w:t>
            </w:r>
          </w:p>
        </w:tc>
      </w:tr>
      <w:tr>
        <w:tc>
          <w:tcPr>
            <w:tcW w:w="0" w:type="auto"/>
          </w:tcPr>
          <w:p>
            <w:pPr>
              <w:spacing w:line="240" w:lineRule="auto" w:before="0" w:after="0"/>
              <w:pStyle w:val="Compact"/>
            </w:pPr>
            <w:r>
              <w:rPr>
                <w:sz w:val="20"/>
                <w:szCs w:val="20"/>
              </w:rPr>
              <w:t xml:space="preserve">ln_fleet_mass</w:t>
            </w:r>
          </w:p>
        </w:tc>
        <w:tc>
          <w:tcPr>
            <w:tcW w:w="0" w:type="auto"/>
          </w:tcPr>
          <w:p>
            <w:pPr>
              <w:spacing w:line="240" w:lineRule="auto" w:before="0" w:after="0"/>
              <w:pStyle w:val="Compact"/>
            </w:pPr>
            <w:r>
              <w:rPr>
                <w:sz w:val="20"/>
                <w:szCs w:val="20"/>
              </w:rPr>
              <w:t xml:space="preserve">0.5837</w:t>
            </w:r>
          </w:p>
        </w:tc>
        <w:tc>
          <w:tcPr>
            <w:tcW w:w="0" w:type="auto"/>
          </w:tcPr>
          <w:p>
            <w:pPr>
              <w:spacing w:line="240" w:lineRule="auto" w:before="0" w:after="0"/>
              <w:pStyle w:val="Compact"/>
            </w:pPr>
            <w:r>
              <w:rPr>
                <w:sz w:val="20"/>
                <w:szCs w:val="20"/>
              </w:rPr>
              <w:t xml:space="preserve">0.1721</w:t>
            </w:r>
          </w:p>
        </w:tc>
        <w:tc>
          <w:tcPr>
            <w:tcW w:w="0" w:type="auto"/>
          </w:tcPr>
          <w:p>
            <w:pPr>
              <w:spacing w:line="240" w:lineRule="auto" w:before="0" w:after="0"/>
              <w:pStyle w:val="Compact"/>
            </w:pPr>
            <w:r>
              <w:rPr>
                <w:sz w:val="20"/>
                <w:szCs w:val="20"/>
              </w:rPr>
              <w:t xml:space="preserve">3.3923</w:t>
            </w:r>
          </w:p>
        </w:tc>
        <w:tc>
          <w:tcPr>
            <w:tcW w:w="0" w:type="auto"/>
          </w:tcPr>
          <w:p>
            <w:pPr>
              <w:spacing w:line="240" w:lineRule="auto" w:before="0" w:after="0"/>
              <w:pStyle w:val="Compact"/>
            </w:pPr>
            <w:r>
              <w:rPr>
                <w:sz w:val="20"/>
                <w:szCs w:val="20"/>
              </w:rPr>
              <w:t xml:space="preserve">0.0006931</w:t>
            </w:r>
          </w:p>
        </w:tc>
        <w:tc>
          <w:tcPr>
            <w:tcW w:w="0" w:type="auto"/>
          </w:tcPr>
          <w:p>
            <w:pPr>
              <w:spacing w:line="240" w:lineRule="auto" w:before="0" w:after="0"/>
              <w:pStyle w:val="Compact"/>
            </w:pPr>
            <w:r>
              <w:rPr>
                <w:sz w:val="20"/>
                <w:szCs w:val="20"/>
              </w:rPr>
              <w:t xml:space="preserve">[0.2465, 0.921]</w:t>
            </w:r>
          </w:p>
        </w:tc>
      </w:tr>
      <w:tr>
        <w:tc>
          <w:tcPr>
            <w:tcW w:w="0" w:type="auto"/>
          </w:tcPr>
          <w:p>
            <w:pPr>
              <w:spacing w:line="240" w:lineRule="auto" w:before="0" w:after="0"/>
              <w:pStyle w:val="Compact"/>
            </w:pPr>
            <w:r>
              <w:rPr>
                <w:sz w:val="20"/>
                <w:szCs w:val="20"/>
              </w:rPr>
              <w:t xml:space="preserve">n_pf_instruments</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-0.8931</w:t>
            </w:r>
          </w:p>
        </w:tc>
        <w:tc>
          <w:tcPr>
            <w:tcW w:w="0" w:type="auto"/>
          </w:tcPr>
          <w:p>
            <w:pPr>
              <w:spacing w:line="240" w:lineRule="auto" w:before="0" w:after="0"/>
              <w:pStyle w:val="Compact"/>
            </w:pPr>
            <w:r>
              <w:rPr>
                <w:sz w:val="20"/>
                <w:szCs w:val="20"/>
              </w:rPr>
              <w:t xml:space="preserve">0.3718</w:t>
            </w:r>
          </w:p>
        </w:tc>
        <w:tc>
          <w:tcPr>
            <w:tcW w:w="0" w:type="auto"/>
          </w:tcPr>
          <w:p>
            <w:pPr>
              <w:spacing w:line="240" w:lineRule="auto" w:before="0" w:after="0"/>
              <w:pStyle w:val="Compact"/>
            </w:pPr>
            <w:r>
              <w:rPr>
                <w:sz w:val="20"/>
                <w:szCs w:val="20"/>
              </w:rPr>
              <w:t xml:space="preserve">[-0.2041, 0.0763]</w:t>
            </w:r>
          </w:p>
        </w:tc>
      </w:tr>
      <w:tr>
        <w:tc>
          <w:tcPr>
            <w:tcW w:w="0" w:type="auto"/>
          </w:tcPr>
          <w:p>
            <w:pPr>
              <w:spacing w:line="240" w:lineRule="auto" w:before="0" w:after="0"/>
              <w:pStyle w:val="Compact"/>
            </w:pPr>
            <w:r>
              <w:rPr>
                <w:sz w:val="20"/>
                <w:szCs w:val="20"/>
              </w:rPr>
              <w:t xml:space="preserve">n_spacecraft</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0.1145</w:t>
            </w:r>
          </w:p>
        </w:tc>
        <w:tc>
          <w:tcPr>
            <w:tcW w:w="0" w:type="auto"/>
          </w:tcPr>
          <w:p>
            <w:pPr>
              <w:spacing w:line="240" w:lineRule="auto" w:before="0" w:after="0"/>
              <w:pStyle w:val="Compact"/>
            </w:pPr>
            <w:r>
              <w:rPr>
                <w:sz w:val="20"/>
                <w:szCs w:val="20"/>
              </w:rPr>
              <w:t xml:space="preserve">-0.262</w:t>
            </w:r>
          </w:p>
        </w:tc>
        <w:tc>
          <w:tcPr>
            <w:tcW w:w="0" w:type="auto"/>
          </w:tcPr>
          <w:p>
            <w:pPr>
              <w:spacing w:line="240" w:lineRule="auto" w:before="0" w:after="0"/>
              <w:pStyle w:val="Compact"/>
            </w:pPr>
            <w:r>
              <w:rPr>
                <w:sz w:val="20"/>
                <w:szCs w:val="20"/>
              </w:rPr>
              <w:t xml:space="preserve">0.7933</w:t>
            </w:r>
          </w:p>
        </w:tc>
        <w:tc>
          <w:tcPr>
            <w:tcW w:w="0" w:type="auto"/>
          </w:tcPr>
          <w:p>
            <w:pPr>
              <w:spacing w:line="240" w:lineRule="auto" w:before="0" w:after="0"/>
              <w:pStyle w:val="Compact"/>
            </w:pPr>
            <w:r>
              <w:rPr>
                <w:sz w:val="20"/>
                <w:szCs w:val="20"/>
              </w:rPr>
              <w:t xml:space="preserve">[-0.2545, 0.1945]</w:t>
            </w:r>
          </w:p>
        </w:tc>
      </w:tr>
      <w:tr>
        <w:tc>
          <w:tcPr>
            <w:tcW w:w="0" w:type="auto"/>
          </w:tcPr>
          <w:p>
            <w:pPr>
              <w:spacing w:line="240" w:lineRule="auto" w:before="0" w:after="0"/>
              <w:pStyle w:val="Compact"/>
            </w:pPr>
            <w:r>
              <w:rPr>
                <w:sz w:val="20"/>
                <w:szCs w:val="20"/>
              </w:rPr>
              <w:t xml:space="preserve">class_explorer</w:t>
            </w:r>
          </w:p>
        </w:tc>
        <w:tc>
          <w:tcPr>
            <w:tcW w:w="0" w:type="auto"/>
          </w:tcPr>
          <w:p>
            <w:pPr>
              <w:spacing w:line="240" w:lineRule="auto" w:before="0" w:after="0"/>
              <w:pStyle w:val="Compact"/>
            </w:pPr>
            <w:r>
              <w:rPr>
                <w:sz w:val="20"/>
                <w:szCs w:val="20"/>
              </w:rPr>
              <w:t xml:space="preserve">-0.668</w:t>
            </w:r>
          </w:p>
        </w:tc>
        <w:tc>
          <w:tcPr>
            <w:tcW w:w="0" w:type="auto"/>
          </w:tcPr>
          <w:p>
            <w:pPr>
              <w:spacing w:line="240" w:lineRule="auto" w:before="0" w:after="0"/>
              <w:pStyle w:val="Compact"/>
            </w:pPr>
            <w:r>
              <w:rPr>
                <w:sz w:val="20"/>
                <w:szCs w:val="20"/>
              </w:rPr>
              <w:t xml:space="preserve">0.5064</w:t>
            </w:r>
          </w:p>
        </w:tc>
        <w:tc>
          <w:tcPr>
            <w:tcW w:w="0" w:type="auto"/>
          </w:tcPr>
          <w:p>
            <w:pPr>
              <w:spacing w:line="240" w:lineRule="auto" w:before="0" w:after="0"/>
              <w:pStyle w:val="Compact"/>
            </w:pPr>
            <w:r>
              <w:rPr>
                <w:sz w:val="20"/>
                <w:szCs w:val="20"/>
              </w:rPr>
              <w:t xml:space="preserve">-1.3191</w:t>
            </w:r>
          </w:p>
        </w:tc>
        <w:tc>
          <w:tcPr>
            <w:tcW w:w="0" w:type="auto"/>
          </w:tcPr>
          <w:p>
            <w:pPr>
              <w:spacing w:line="240" w:lineRule="auto" w:before="0" w:after="0"/>
              <w:pStyle w:val="Compact"/>
            </w:pPr>
            <w:r>
              <w:rPr>
                <w:sz w:val="20"/>
                <w:szCs w:val="20"/>
              </w:rPr>
              <w:t xml:space="preserve">0.1871</w:t>
            </w:r>
          </w:p>
        </w:tc>
        <w:tc>
          <w:tcPr>
            <w:tcW w:w="0" w:type="auto"/>
          </w:tcPr>
          <w:p>
            <w:pPr>
              <w:spacing w:line="240" w:lineRule="auto" w:before="0" w:after="0"/>
              <w:pStyle w:val="Compact"/>
            </w:pPr>
            <w:r>
              <w:rPr>
                <w:sz w:val="20"/>
                <w:szCs w:val="20"/>
              </w:rPr>
              <w:t xml:space="preserve">[-1.6606, 0.3245]</w:t>
            </w:r>
          </w:p>
        </w:tc>
      </w:tr>
      <w:tr>
        <w:tc>
          <w:tcPr>
            <w:tcW w:w="0" w:type="auto"/>
          </w:tcPr>
          <w:p>
            <w:pPr>
              <w:spacing w:line="240" w:lineRule="auto" w:before="0" w:after="0"/>
              <w:pStyle w:val="Compact"/>
            </w:pPr>
            <w:r>
              <w:rPr>
                <w:sz w:val="20"/>
                <w:szCs w:val="20"/>
              </w:rPr>
              <w:t xml:space="preserve">class_stp_lws</w:t>
            </w:r>
          </w:p>
        </w:tc>
        <w:tc>
          <w:tcPr>
            <w:tcW w:w="0" w:type="auto"/>
          </w:tcPr>
          <w:p>
            <w:pPr>
              <w:spacing w:line="240" w:lineRule="auto" w:before="0" w:after="0"/>
              <w:pStyle w:val="Compact"/>
            </w:pPr>
            <w:r>
              <w:rPr>
                <w:sz w:val="20"/>
                <w:szCs w:val="20"/>
              </w:rPr>
              <w:t xml:space="preserve">0.1762</w:t>
            </w:r>
          </w:p>
        </w:tc>
        <w:tc>
          <w:tcPr>
            <w:tcW w:w="0" w:type="auto"/>
          </w:tcPr>
          <w:p>
            <w:pPr>
              <w:spacing w:line="240" w:lineRule="auto" w:before="0" w:after="0"/>
              <w:pStyle w:val="Compact"/>
            </w:pPr>
            <w:r>
              <w:rPr>
                <w:sz w:val="20"/>
                <w:szCs w:val="20"/>
              </w:rPr>
              <w:t xml:space="preserve">0.366</w:t>
            </w:r>
          </w:p>
        </w:tc>
        <w:tc>
          <w:tcPr>
            <w:tcW w:w="0" w:type="auto"/>
          </w:tcPr>
          <w:p>
            <w:pPr>
              <w:spacing w:line="240" w:lineRule="auto" w:before="0" w:after="0"/>
              <w:pStyle w:val="Compact"/>
            </w:pPr>
            <w:r>
              <w:rPr>
                <w:sz w:val="20"/>
                <w:szCs w:val="20"/>
              </w:rPr>
              <w:t xml:space="preserve">0.4813</w:t>
            </w:r>
          </w:p>
        </w:tc>
        <w:tc>
          <w:tcPr>
            <w:tcW w:w="0" w:type="auto"/>
          </w:tcPr>
          <w:p>
            <w:pPr>
              <w:spacing w:line="240" w:lineRule="auto" w:before="0" w:after="0"/>
              <w:pStyle w:val="Compact"/>
            </w:pPr>
            <w:r>
              <w:rPr>
                <w:sz w:val="20"/>
                <w:szCs w:val="20"/>
              </w:rPr>
              <w:t xml:space="preserve">0.6303</w:t>
            </w:r>
          </w:p>
        </w:tc>
        <w:tc>
          <w:tcPr>
            <w:tcW w:w="0" w:type="auto"/>
          </w:tcPr>
          <w:p>
            <w:pPr>
              <w:spacing w:line="240" w:lineRule="auto" w:before="0" w:after="0"/>
              <w:pStyle w:val="Compact"/>
            </w:pPr>
            <w:r>
              <w:rPr>
                <w:sz w:val="20"/>
                <w:szCs w:val="20"/>
              </w:rPr>
              <w:t xml:space="preserve">[-0.5411, 0.8934]</w:t>
            </w:r>
          </w:p>
        </w:tc>
      </w:tr>
    </w:tbl>
    <w:p>
      <w:pPr>
        <w:pStyle w:val="BodyText"/>
        <w:spacing w:line="480" w:lineRule="auto"/>
        <w:ind w:firstLine="720"/>
      </w:pPr>
      <w:r>
        <w:t xml:space="preserve">Fit: N = 24 R2 = 0.7645 R2_adj = 0.6991 F = 15.2729 F_p = 6.218e-06</w:t>
      </w:r>
    </w:p>
    <w:bookmarkEnd w:id="205"/>
    <w:bookmarkStart w:id="20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Heliophysics particles-and-fields missions in log cost vs. log fleet mass, the dominant cost driver in the fixed-effects specification." title="" id="207" name="Picture"/>
            <a:graphic>
              <a:graphicData uri="http://schemas.openxmlformats.org/drawingml/2006/picture">
                <pic:pic>
                  <pic:nvPicPr>
                    <pic:cNvPr descr="D:/Claude_Code/brain/collegium/candidates/dissertations/JPL_ASTRO_EARTH_06/research_papers/p2/paper_fig1.png" id="208" name="Picture"/>
                    <pic:cNvPicPr>
                      <a:picLocks noChangeArrowheads="1" noChangeAspect="1"/>
                    </pic:cNvPicPr>
                  </pic:nvPicPr>
                  <pic:blipFill>
                    <a:blip r:embed="rId20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Heliophysics particles-and-fields missions in log cost vs. log fleet mass, the dominant cost driver in the fixed-effects specification.</w:t>
      </w:r>
    </w:p>
    <w:bookmarkEnd w:id="209"/>
    <w:bookmarkStart w:id="21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n_spacecraft</w:t>
            </w:r>
          </w:p>
        </w:tc>
        <w:tc>
          <w:tcPr>
            <w:tcW w:w="0" w:type="auto"/>
          </w:tcPr>
          <w:p>
            <w:pPr>
              <w:spacing w:line="240" w:lineRule="auto" w:before="0" w:after="0"/>
              <w:pStyle w:val="Compact"/>
            </w:pPr>
            <w:r>
              <w:rPr>
                <w:sz w:val="20"/>
                <w:szCs w:val="20"/>
              </w:rPr>
              <w:t xml:space="preserve">unit_mass_kg</w:t>
            </w:r>
          </w:p>
        </w:tc>
        <w:tc>
          <w:tcPr>
            <w:tcW w:w="0" w:type="auto"/>
          </w:tcPr>
          <w:p>
            <w:pPr>
              <w:spacing w:line="240" w:lineRule="auto" w:before="0" w:after="0"/>
              <w:pStyle w:val="Compact"/>
            </w:pPr>
            <w:r>
              <w:rPr>
                <w:sz w:val="20"/>
                <w:szCs w:val="20"/>
              </w:rPr>
              <w:t xml:space="preserve">fleet_mass_kg</w:t>
            </w:r>
          </w:p>
        </w:tc>
        <w:tc>
          <w:tcPr>
            <w:tcW w:w="0" w:type="auto"/>
          </w:tcPr>
          <w:p>
            <w:pPr>
              <w:spacing w:line="240" w:lineRule="auto" w:before="0" w:after="0"/>
              <w:pStyle w:val="Compact"/>
            </w:pPr>
            <w:r>
              <w:rPr>
                <w:sz w:val="20"/>
                <w:szCs w:val="20"/>
              </w:rPr>
              <w:t xml:space="preserve">n_pf_instruments</w:t>
            </w:r>
          </w:p>
        </w:tc>
        <w:tc>
          <w:tcPr>
            <w:tcW w:w="0" w:type="auto"/>
          </w:tcPr>
          <w:p>
            <w:pPr>
              <w:spacing w:line="240" w:lineRule="auto" w:before="0" w:after="0"/>
              <w:pStyle w:val="Compact"/>
            </w:pPr>
            <w:r>
              <w:rPr>
                <w:sz w:val="20"/>
                <w:szCs w:val="20"/>
              </w:rPr>
              <w:t xml:space="preserve">class_explorer</w:t>
            </w:r>
          </w:p>
        </w:tc>
        <w:tc>
          <w:tcPr>
            <w:tcW w:w="0" w:type="auto"/>
          </w:tcPr>
          <w:p>
            <w:pPr>
              <w:spacing w:line="240" w:lineRule="auto" w:before="0" w:after="0"/>
              <w:pStyle w:val="Compact"/>
            </w:pPr>
            <w:r>
              <w:rPr>
                <w:sz w:val="20"/>
                <w:szCs w:val="20"/>
              </w:rPr>
              <w:t xml:space="preserve">class_stp_lws</w:t>
            </w:r>
          </w:p>
        </w:tc>
        <w:tc>
          <w:tcPr>
            <w:tcW w:w="0" w:type="auto"/>
          </w:tcPr>
          <w:p>
            <w:pPr>
              <w:spacing w:line="240" w:lineRule="auto" w:before="0" w:after="0"/>
              <w:pStyle w:val="Compact"/>
            </w:pPr>
            <w:r>
              <w:rPr>
                <w:sz w:val="20"/>
                <w:szCs w:val="20"/>
              </w:rPr>
              <w:t xml:space="preserve">cost_usd_m</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ln_fleet_mass</w:t>
            </w:r>
          </w:p>
        </w:tc>
      </w:tr>
      <w:tr>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126</w:t>
            </w:r>
          </w:p>
        </w:tc>
        <w:tc>
          <w:tcPr>
            <w:tcW w:w="0" w:type="auto"/>
          </w:tcPr>
          <w:p>
            <w:pPr>
              <w:spacing w:line="240" w:lineRule="auto" w:before="0" w:after="0"/>
              <w:pStyle w:val="Compact"/>
            </w:pPr>
            <w:r>
              <w:rPr>
                <w:sz w:val="20"/>
                <w:szCs w:val="20"/>
              </w:rPr>
              <w:t xml:space="preserve">630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Mass 126 kg/probe (Wikipedia THEMIS infobox, citing NASA/UCB); total cost USD 200M incl. 5 satellites and launch vehicle (NASA Explorers / eoPortal, WebSearch 2026-06-22)</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6.4457</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1360</w:t>
            </w:r>
          </w:p>
        </w:tc>
        <w:tc>
          <w:tcPr>
            <w:tcW w:w="0" w:type="auto"/>
          </w:tcPr>
          <w:p>
            <w:pPr>
              <w:spacing w:line="240" w:lineRule="auto" w:before="0" w:after="0"/>
              <w:pStyle w:val="Compact"/>
            </w:pPr>
            <w:r>
              <w:rPr>
                <w:sz w:val="20"/>
                <w:szCs w:val="20"/>
              </w:rPr>
              <w:t xml:space="preserve">5440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Mass 1360 kg/spacecraft (Wikipedia Magnetospheric Multiscale infobox); life-cycle cost USD 1.1B (NASA/JPL/Planetary Society, WebSearch 2026-06-22)</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8.6015</w:t>
            </w:r>
          </w:p>
        </w:tc>
      </w:tr>
      <w:tr>
        <w:tc>
          <w:tcPr>
            <w:tcW w:w="0" w:type="auto"/>
          </w:tcPr>
          <w:p>
            <w:pPr>
              <w:spacing w:line="240" w:lineRule="auto" w:before="0" w:after="0"/>
              <w:pStyle w:val="Compact"/>
            </w:pPr>
            <w:r>
              <w:rPr>
                <w:sz w:val="20"/>
                <w:szCs w:val="20"/>
              </w:rPr>
              <w:t xml:space="preserve">Van Allen Probes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686</w:t>
            </w:r>
          </w:p>
        </w:tc>
        <w:tc>
          <w:tcPr>
            <w:tcW w:w="0" w:type="auto"/>
          </w:tcPr>
          <w:p>
            <w:pPr>
              <w:spacing w:line="240" w:lineRule="auto" w:before="0" w:after="0"/>
              <w:pStyle w:val="Compact"/>
            </w:pPr>
            <w:r>
              <w:rPr>
                <w:sz w:val="20"/>
                <w:szCs w:val="20"/>
              </w:rPr>
              <w:t xml:space="preserve">Combined ~1500 kg for two probes -&gt; ~675 kg/spacecraft after propellant accounting (Wikipedia Van Allen Probes); USD 686M RBSP total, Living With a Star (NASA/space.com, WebSearch 2026-06-22)</w:t>
            </w:r>
          </w:p>
        </w:tc>
        <w:tc>
          <w:tcPr>
            <w:tcW w:w="0" w:type="auto"/>
          </w:tcPr>
          <w:p>
            <w:pPr>
              <w:spacing w:line="240" w:lineRule="auto" w:before="0" w:after="0"/>
              <w:pStyle w:val="Compact"/>
            </w:pPr>
            <w:r>
              <w:rPr>
                <w:sz w:val="20"/>
                <w:szCs w:val="20"/>
              </w:rPr>
              <w:t xml:space="preserve">6.5309</w:t>
            </w:r>
          </w:p>
        </w:tc>
        <w:tc>
          <w:tcPr>
            <w:tcW w:w="0" w:type="auto"/>
          </w:tcPr>
          <w:p>
            <w:pPr>
              <w:spacing w:line="240" w:lineRule="auto" w:before="0" w:after="0"/>
              <w:pStyle w:val="Compact"/>
            </w:pPr>
            <w:r>
              <w:rPr>
                <w:sz w:val="20"/>
                <w:szCs w:val="20"/>
              </w:rPr>
              <w:t xml:space="preserve">7.2079</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582.5</w:t>
            </w:r>
          </w:p>
        </w:tc>
        <w:tc>
          <w:tcPr>
            <w:tcW w:w="0" w:type="auto"/>
          </w:tcPr>
          <w:p>
            <w:pPr>
              <w:spacing w:line="240" w:lineRule="auto" w:before="0" w:after="0"/>
              <w:pStyle w:val="Compact"/>
            </w:pPr>
            <w:r>
              <w:rPr>
                <w:sz w:val="20"/>
                <w:szCs w:val="20"/>
              </w:rPr>
              <w:t xml:space="preserve">Launch mass 2454 kg, dry 809 kg (Wikipedia MAVEN infobox); prime mission cost USD 582.5M to build, launch, and operate (Wikipedia MAVEN, citing NASA)</w:t>
            </w:r>
          </w:p>
        </w:tc>
        <w:tc>
          <w:tcPr>
            <w:tcW w:w="0" w:type="auto"/>
          </w:tcPr>
          <w:p>
            <w:pPr>
              <w:spacing w:line="240" w:lineRule="auto" w:before="0" w:after="0"/>
              <w:pStyle w:val="Compact"/>
            </w:pPr>
            <w:r>
              <w:rPr>
                <w:sz w:val="20"/>
                <w:szCs w:val="20"/>
              </w:rPr>
              <w:t xml:space="preserve">6.3673</w:t>
            </w:r>
          </w:p>
        </w:tc>
        <w:tc>
          <w:tcPr>
            <w:tcW w:w="0" w:type="auto"/>
          </w:tcPr>
          <w:p>
            <w:pPr>
              <w:spacing w:line="240" w:lineRule="auto" w:before="0" w:after="0"/>
              <w:pStyle w:val="Compact"/>
            </w:pPr>
            <w:r>
              <w:rPr>
                <w:sz w:val="20"/>
                <w:szCs w:val="20"/>
              </w:rPr>
              <w:t xml:space="preserve">7.8055</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Launch mass 685 kg, dry 555 kg (Wikipedia Parker Solar Probe infobox); cost USD 1.5B (Wikipedia Parker Solar Probe)</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6.5294</w:t>
            </w:r>
          </w:p>
        </w:tc>
      </w:tr>
      <w:tr>
        <w:tc>
          <w:tcPr>
            <w:tcW w:w="0" w:type="auto"/>
          </w:tcPr>
          <w:p>
            <w:pPr>
              <w:spacing w:line="240" w:lineRule="auto" w:before="0" w:after="0"/>
              <w:pStyle w:val="Compact"/>
            </w:pPr>
            <w:r>
              <w:rPr>
                <w:sz w:val="20"/>
                <w:szCs w:val="20"/>
              </w:rPr>
              <w:t xml:space="preserve">Solar Orbiter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Launch mass 1800 kg (Wikipedia Solar Orbiter infobox); NASA contribution ~USD 386M of ~USD 1.5B total (ScientificAmerican/SpaceNews via WebSearch 2026-06-22)</w:t>
            </w:r>
          </w:p>
        </w:tc>
        <w:tc>
          <w:tcPr>
            <w:tcW w:w="0" w:type="auto"/>
          </w:tcPr>
          <w:p>
            <w:pPr>
              <w:spacing w:line="240" w:lineRule="auto" w:before="0" w:after="0"/>
              <w:pStyle w:val="Compact"/>
            </w:pPr>
            <w:r>
              <w:rPr>
                <w:sz w:val="20"/>
                <w:szCs w:val="20"/>
              </w:rPr>
              <w:t xml:space="preserve">5.9558</w:t>
            </w:r>
          </w:p>
        </w:tc>
        <w:tc>
          <w:tcPr>
            <w:tcW w:w="0" w:type="auto"/>
          </w:tcPr>
          <w:p>
            <w:pPr>
              <w:spacing w:line="240" w:lineRule="auto" w:before="0" w:after="0"/>
              <w:pStyle w:val="Compact"/>
            </w:pPr>
            <w:r>
              <w:rPr>
                <w:sz w:val="20"/>
                <w:szCs w:val="20"/>
              </w:rPr>
              <w:t xml:space="preserve">7.4955</w:t>
            </w:r>
          </w:p>
        </w:tc>
      </w:tr>
      <w:tr>
        <w:tc>
          <w:tcPr>
            <w:tcW w:w="0" w:type="auto"/>
          </w:tcPr>
          <w:p>
            <w:pPr>
              <w:spacing w:line="240" w:lineRule="auto" w:before="0" w:after="0"/>
              <w:pStyle w:val="Compact"/>
            </w:pPr>
            <w:r>
              <w:rPr>
                <w:sz w:val="20"/>
                <w:szCs w:val="20"/>
              </w:rPr>
              <w:t xml:space="preserve">STEREO</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1240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Launch mass 620 kg/observatory, dry 547 kg (Wikipedia STEREO infobox); ~USD 460M NASA + ~USD 60M European ~ USD 520-550M (NASA STP via WebSearch 2026-06-22)</w:t>
            </w:r>
          </w:p>
        </w:tc>
        <w:tc>
          <w:tcPr>
            <w:tcW w:w="0" w:type="auto"/>
          </w:tcPr>
          <w:p>
            <w:pPr>
              <w:spacing w:line="240" w:lineRule="auto" w:before="0" w:after="0"/>
              <w:pStyle w:val="Compact"/>
            </w:pPr>
            <w:r>
              <w:rPr>
                <w:sz w:val="20"/>
                <w:szCs w:val="20"/>
              </w:rPr>
              <w:t xml:space="preserve">6.3099</w:t>
            </w:r>
          </w:p>
        </w:tc>
        <w:tc>
          <w:tcPr>
            <w:tcW w:w="0" w:type="auto"/>
          </w:tcPr>
          <w:p>
            <w:pPr>
              <w:spacing w:line="240" w:lineRule="auto" w:before="0" w:after="0"/>
              <w:pStyle w:val="Compact"/>
            </w:pPr>
            <w:r>
              <w:rPr>
                <w:sz w:val="20"/>
                <w:szCs w:val="20"/>
              </w:rPr>
              <w:t xml:space="preserve">7.1229</w:t>
            </w:r>
          </w:p>
        </w:tc>
      </w:tr>
      <w:tr>
        <w:tc>
          <w:tcPr>
            <w:tcW w:w="0" w:type="auto"/>
          </w:tcPr>
          <w:p>
            <w:pPr>
              <w:spacing w:line="240" w:lineRule="auto" w:before="0" w:after="0"/>
              <w:pStyle w:val="Compact"/>
            </w:pPr>
            <w:r>
              <w:rPr>
                <w:sz w:val="20"/>
                <w:szCs w:val="20"/>
              </w:rPr>
              <w:t xml:space="preserve">IBEX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Dry mass 80 kg, payload 26 kg (Wikipedia Interstellar Boundary Explorer); SMEX cost ~USD 134M (Wikipedia/Planetary Society IBEX via WebSearch 2026-06-22)</w:t>
            </w:r>
          </w:p>
        </w:tc>
        <w:tc>
          <w:tcPr>
            <w:tcW w:w="0" w:type="auto"/>
          </w:tcPr>
          <w:p>
            <w:pPr>
              <w:spacing w:line="240" w:lineRule="auto" w:before="0" w:after="0"/>
              <w:pStyle w:val="Compact"/>
            </w:pPr>
            <w:r>
              <w:rPr>
                <w:sz w:val="20"/>
                <w:szCs w:val="20"/>
              </w:rPr>
              <w:t xml:space="preserve">4.8978</w:t>
            </w:r>
          </w:p>
        </w:tc>
        <w:tc>
          <w:tcPr>
            <w:tcW w:w="0" w:type="auto"/>
          </w:tcPr>
          <w:p>
            <w:pPr>
              <w:spacing w:line="240" w:lineRule="auto" w:before="0" w:after="0"/>
              <w:pStyle w:val="Compact"/>
            </w:pPr>
            <w:r>
              <w:rPr>
                <w:sz w:val="20"/>
                <w:szCs w:val="20"/>
              </w:rPr>
              <w:t xml:space="preserve">4.382</w:t>
            </w:r>
          </w:p>
        </w:tc>
      </w:tr>
      <w:tr>
        <w:tc>
          <w:tcPr>
            <w:tcW w:w="0" w:type="auto"/>
          </w:tcPr>
          <w:p>
            <w:pPr>
              <w:spacing w:line="240" w:lineRule="auto" w:before="0" w:after="0"/>
              <w:pStyle w:val="Compact"/>
            </w:pPr>
            <w:r>
              <w:rPr>
                <w:sz w:val="20"/>
                <w:szCs w:val="20"/>
              </w:rPr>
              <w:t xml:space="preserve">Cluster II</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4800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Launch mass 1200 kg/spacecraft (eoPortal Cluster); cost EUR 315M (1999) ~ USD 378M (ESA, eoPortal Cluster via WebSearch 2026-06-22)</w:t>
            </w:r>
          </w:p>
        </w:tc>
        <w:tc>
          <w:tcPr>
            <w:tcW w:w="0" w:type="auto"/>
          </w:tcPr>
          <w:p>
            <w:pPr>
              <w:spacing w:line="240" w:lineRule="auto" w:before="0" w:after="0"/>
              <w:pStyle w:val="Compact"/>
            </w:pPr>
            <w:r>
              <w:rPr>
                <w:sz w:val="20"/>
                <w:szCs w:val="20"/>
              </w:rPr>
              <w:t xml:space="preserve">5.9349</w:t>
            </w:r>
          </w:p>
        </w:tc>
        <w:tc>
          <w:tcPr>
            <w:tcW w:w="0" w:type="auto"/>
          </w:tcPr>
          <w:p>
            <w:pPr>
              <w:spacing w:line="240" w:lineRule="auto" w:before="0" w:after="0"/>
              <w:pStyle w:val="Compact"/>
            </w:pPr>
            <w:r>
              <w:rPr>
                <w:sz w:val="20"/>
                <w:szCs w:val="20"/>
              </w:rPr>
              <w:t xml:space="preserve">8.4764</w:t>
            </w:r>
          </w:p>
        </w:tc>
      </w:tr>
      <w:tr>
        <w:tc>
          <w:tcPr>
            <w:tcW w:w="0" w:type="auto"/>
          </w:tcPr>
          <w:p>
            <w:pPr>
              <w:spacing w:line="240" w:lineRule="auto" w:before="0" w:after="0"/>
              <w:pStyle w:val="Compact"/>
            </w:pPr>
            <w:r>
              <w:rPr>
                <w:sz w:val="20"/>
                <w:szCs w:val="20"/>
              </w:rPr>
              <w:t xml:space="preserve">FAST</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Launch mass 187 kg (Wikipedia FAST infobox); FAST is SMEX-2 with SMEX low-cost cap US$35M development (Wikipedia FAST citing NASA SMEX program, WebSearch 2026-06-22)</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5.2311</w:t>
            </w:r>
          </w:p>
        </w:tc>
      </w:tr>
      <w:tr>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w:t>
            </w:r>
          </w:p>
        </w:tc>
        <w:tc>
          <w:tcPr>
            <w:tcW w:w="0" w:type="auto"/>
          </w:tcPr>
          <w:p>
            <w:pPr>
              <w:spacing w:line="240" w:lineRule="auto" w:before="0" w:after="0"/>
              <w:pStyle w:val="Compact"/>
            </w:pPr>
            <w:r>
              <w:rPr>
                <w:sz w:val="20"/>
                <w:szCs w:val="20"/>
              </w:rPr>
              <w:t xml:space="preserve">494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IMAGE launch mass 494 kg (Wikipedia IMAGE / NSSDCA); MIDEX-1 cost ~USD 154M (NASA Explorers MIDEX, eoPortal IMAGE)</w:t>
            </w:r>
          </w:p>
        </w:tc>
        <w:tc>
          <w:tcPr>
            <w:tcW w:w="0" w:type="auto"/>
          </w:tcPr>
          <w:p>
            <w:pPr>
              <w:spacing w:line="240" w:lineRule="auto" w:before="0" w:after="0"/>
              <w:pStyle w:val="Compact"/>
            </w:pPr>
            <w:r>
              <w:rPr>
                <w:sz w:val="20"/>
                <w:szCs w:val="20"/>
              </w:rPr>
              <w:t xml:space="preserve">5.037</w:t>
            </w:r>
          </w:p>
        </w:tc>
        <w:tc>
          <w:tcPr>
            <w:tcW w:w="0" w:type="auto"/>
          </w:tcPr>
          <w:p>
            <w:pPr>
              <w:spacing w:line="240" w:lineRule="auto" w:before="0" w:after="0"/>
              <w:pStyle w:val="Compact"/>
            </w:pPr>
            <w:r>
              <w:rPr>
                <w:sz w:val="20"/>
                <w:szCs w:val="20"/>
              </w:rPr>
              <w:t xml:space="preserve">6.2025</w:t>
            </w:r>
          </w:p>
        </w:tc>
      </w:tr>
      <w:tr>
        <w:tc>
          <w:tcPr>
            <w:tcW w:w="0" w:type="auto"/>
          </w:tcPr>
          <w:p>
            <w:pPr>
              <w:spacing w:line="240" w:lineRule="auto" w:before="0" w:after="0"/>
              <w:pStyle w:val="Compact"/>
            </w:pPr>
            <w:r>
              <w:rPr>
                <w:sz w:val="20"/>
                <w:szCs w:val="20"/>
              </w:rPr>
              <w:t xml:space="preserve">TWINS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TWINS-1/2 instruments ~29 kg each, hosted on host buses (Wikipedia TWINS / NASA); Mission of Opportunity cost ~USD 40M [illustrative] (NASA Explorers MO)</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4.0604</w:t>
            </w:r>
          </w:p>
        </w:tc>
      </w:tr>
      <w:tr>
        <w:tc>
          <w:tcPr>
            <w:tcW w:w="0" w:type="auto"/>
          </w:tcPr>
          <w:p>
            <w:pPr>
              <w:spacing w:line="240" w:lineRule="auto" w:before="0" w:after="0"/>
              <w:pStyle w:val="Compact"/>
            </w:pPr>
            <w:r>
              <w:rPr>
                <w:sz w:val="20"/>
                <w:szCs w:val="20"/>
              </w:rPr>
              <w:t xml:space="preserve">Solar-B Hinode</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Hinode launch mass 900 kg (JAXA/Wikipedia Hinode); STP-class cost ~USD 300M including NASA contribution (NASA/JAXA via Wikipedia Hinode)</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6.8024</w:t>
            </w:r>
          </w:p>
        </w:tc>
      </w:tr>
      <w:tr>
        <w:tc>
          <w:tcPr>
            <w:tcW w:w="0" w:type="auto"/>
          </w:tcPr>
          <w:p>
            <w:pPr>
              <w:spacing w:line="240" w:lineRule="auto" w:before="0" w:after="0"/>
              <w:pStyle w:val="Compact"/>
            </w:pPr>
            <w:r>
              <w:rPr>
                <w:sz w:val="20"/>
                <w:szCs w:val="20"/>
              </w:rPr>
              <w:t xml:space="preserve">RHESSI</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293</w:t>
            </w:r>
          </w:p>
        </w:tc>
        <w:tc>
          <w:tcPr>
            <w:tcW w:w="0" w:type="auto"/>
          </w:tcPr>
          <w:p>
            <w:pPr>
              <w:spacing w:line="240" w:lineRule="auto" w:before="0" w:after="0"/>
              <w:pStyle w:val="Compact"/>
            </w:pPr>
            <w:r>
              <w:rPr>
                <w:sz w:val="20"/>
                <w:szCs w:val="20"/>
              </w:rPr>
              <w:t xml:space="preserve">293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RHESSI launch mass 293 kg (Wikipedia RHESSI infobox); SMEX-6 cost ~USD 85M (NASA SMEX, eoPortal RHESSI)</w:t>
            </w:r>
          </w:p>
        </w:tc>
        <w:tc>
          <w:tcPr>
            <w:tcW w:w="0" w:type="auto"/>
          </w:tcPr>
          <w:p>
            <w:pPr>
              <w:spacing w:line="240" w:lineRule="auto" w:before="0" w:after="0"/>
              <w:pStyle w:val="Compact"/>
            </w:pPr>
            <w:r>
              <w:rPr>
                <w:sz w:val="20"/>
                <w:szCs w:val="20"/>
              </w:rPr>
              <w:t xml:space="preserve">4.4427</w:t>
            </w:r>
          </w:p>
        </w:tc>
        <w:tc>
          <w:tcPr>
            <w:tcW w:w="0" w:type="auto"/>
          </w:tcPr>
          <w:p>
            <w:pPr>
              <w:spacing w:line="240" w:lineRule="auto" w:before="0" w:after="0"/>
              <w:pStyle w:val="Compact"/>
            </w:pPr>
            <w:r>
              <w:rPr>
                <w:sz w:val="20"/>
                <w:szCs w:val="20"/>
              </w:rPr>
              <w:t xml:space="preserve">5.6802</w:t>
            </w:r>
          </w:p>
        </w:tc>
      </w:tr>
      <w:tr>
        <w:tc>
          <w:tcPr>
            <w:tcW w:w="0" w:type="auto"/>
          </w:tcPr>
          <w:p>
            <w:pPr>
              <w:spacing w:line="240" w:lineRule="auto" w:before="0" w:after="0"/>
              <w:pStyle w:val="Compact"/>
            </w:pPr>
            <w:r>
              <w:rPr>
                <w:sz w:val="20"/>
                <w:szCs w:val="20"/>
              </w:rPr>
              <w:t xml:space="preserve">TRACE</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TRACE launch mass 250 kg (Wikipedia TRACE infobox);</w:t>
            </w:r>
            <w:r>
              <w:rPr>
                <w:sz w:val="20"/>
                <w:szCs w:val="20"/>
              </w:rPr>
              <w:t xml:space="preserve"> </w:t>
            </w:r>
            <w:r>
              <w:rPr>
                <w:sz w:val="20"/>
                <w:szCs w:val="20"/>
              </w:rPr>
              <w:t xml:space="preserve">“the TRACE spacecraft … will cost approximately 35 million dollars for the entire mission”</w:t>
            </w:r>
            <w:r>
              <w:rPr>
                <w:sz w:val="20"/>
                <w:szCs w:val="20"/>
              </w:rPr>
              <w:t xml:space="preserve"> </w:t>
            </w:r>
            <w:r>
              <w:rPr>
                <w:sz w:val="20"/>
                <w:szCs w:val="20"/>
              </w:rPr>
              <w:t xml:space="preserve">SMEX-4 (NTRS/eoPortal TRACE, WebSearch 2026-06-22)</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5.5215</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5712</w:t>
            </w:r>
          </w:p>
        </w:tc>
        <w:tc>
          <w:tcPr>
            <w:tcW w:w="0" w:type="auto"/>
          </w:tcPr>
          <w:p>
            <w:pPr>
              <w:spacing w:line="240" w:lineRule="auto" w:before="0" w:after="0"/>
              <w:pStyle w:val="Compact"/>
            </w:pPr>
            <w:r>
              <w:rPr>
                <w:sz w:val="20"/>
                <w:szCs w:val="20"/>
              </w:rPr>
              <w:t xml:space="preserve">5712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3260</w:t>
            </w:r>
          </w:p>
        </w:tc>
        <w:tc>
          <w:tcPr>
            <w:tcW w:w="0" w:type="auto"/>
          </w:tcPr>
          <w:p>
            <w:pPr>
              <w:spacing w:line="240" w:lineRule="auto" w:before="0" w:after="0"/>
              <w:pStyle w:val="Compact"/>
            </w:pPr>
            <w:r>
              <w:rPr>
                <w:sz w:val="20"/>
                <w:szCs w:val="20"/>
              </w:rPr>
              <w:t xml:space="preserve">Cassini-Huygens launch mass 5712 kg (Wikipedia Cassini infobox); total cost ~USD 3.26B incl. fields-and-particles MAG/CAPS/MIMI/RPWS (NASA/Wikipedia Cassini)</w:t>
            </w:r>
          </w:p>
        </w:tc>
        <w:tc>
          <w:tcPr>
            <w:tcW w:w="0" w:type="auto"/>
          </w:tcPr>
          <w:p>
            <w:pPr>
              <w:spacing w:line="240" w:lineRule="auto" w:before="0" w:after="0"/>
              <w:pStyle w:val="Compact"/>
            </w:pPr>
            <w:r>
              <w:rPr>
                <w:sz w:val="20"/>
                <w:szCs w:val="20"/>
              </w:rPr>
              <w:t xml:space="preserve">8.0895</w:t>
            </w:r>
          </w:p>
        </w:tc>
        <w:tc>
          <w:tcPr>
            <w:tcW w:w="0" w:type="auto"/>
          </w:tcPr>
          <w:p>
            <w:pPr>
              <w:spacing w:line="240" w:lineRule="auto" w:before="0" w:after="0"/>
              <w:pStyle w:val="Compact"/>
            </w:pPr>
            <w:r>
              <w:rPr>
                <w:sz w:val="20"/>
                <w:szCs w:val="20"/>
              </w:rPr>
              <w:t xml:space="preserve">8.6503</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Juno launch mass 3625 kg (Wikipedia Juno infobox); cost ~USD 1.13B; fields-and-particles MAG/JADE/JEDI (NASA New Frontiers / Wikipedia Juno)</w:t>
            </w:r>
          </w:p>
        </w:tc>
        <w:tc>
          <w:tcPr>
            <w:tcW w:w="0" w:type="auto"/>
          </w:tcPr>
          <w:p>
            <w:pPr>
              <w:spacing w:line="240" w:lineRule="auto" w:before="0" w:after="0"/>
              <w:pStyle w:val="Compact"/>
            </w:pPr>
            <w:r>
              <w:rPr>
                <w:sz w:val="20"/>
                <w:szCs w:val="20"/>
              </w:rPr>
              <w:t xml:space="preserve">7.03</w:t>
            </w:r>
          </w:p>
        </w:tc>
        <w:tc>
          <w:tcPr>
            <w:tcW w:w="0" w:type="auto"/>
          </w:tcPr>
          <w:p>
            <w:pPr>
              <w:spacing w:line="240" w:lineRule="auto" w:before="0" w:after="0"/>
              <w:pStyle w:val="Compact"/>
            </w:pPr>
            <w:r>
              <w:rPr>
                <w:sz w:val="20"/>
                <w:szCs w:val="20"/>
              </w:rPr>
              <w:t xml:space="preserve">8.1956</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2560</w:t>
            </w:r>
          </w:p>
        </w:tc>
        <w:tc>
          <w:tcPr>
            <w:tcW w:w="0" w:type="auto"/>
          </w:tcPr>
          <w:p>
            <w:pPr>
              <w:spacing w:line="240" w:lineRule="auto" w:before="0" w:after="0"/>
              <w:pStyle w:val="Compact"/>
            </w:pPr>
            <w:r>
              <w:rPr>
                <w:sz w:val="20"/>
                <w:szCs w:val="20"/>
              </w:rPr>
              <w:t xml:space="preserve">2560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1390</w:t>
            </w:r>
          </w:p>
        </w:tc>
        <w:tc>
          <w:tcPr>
            <w:tcW w:w="0" w:type="auto"/>
          </w:tcPr>
          <w:p>
            <w:pPr>
              <w:spacing w:line="240" w:lineRule="auto" w:before="0" w:after="0"/>
              <w:pStyle w:val="Compact"/>
            </w:pPr>
            <w:r>
              <w:rPr>
                <w:sz w:val="20"/>
                <w:szCs w:val="20"/>
              </w:rPr>
              <w:t xml:space="preserve">Galileo launch mass 2560 kg (Wikipedia Galileo infobox); cost ~USD 1.39B; fields-and-particles MAG/EPD/PLS/PWS (NASA/Wikipedia Galileo)</w:t>
            </w:r>
          </w:p>
        </w:tc>
        <w:tc>
          <w:tcPr>
            <w:tcW w:w="0" w:type="auto"/>
          </w:tcPr>
          <w:p>
            <w:pPr>
              <w:spacing w:line="240" w:lineRule="auto" w:before="0" w:after="0"/>
              <w:pStyle w:val="Compact"/>
            </w:pPr>
            <w:r>
              <w:rPr>
                <w:sz w:val="20"/>
                <w:szCs w:val="20"/>
              </w:rPr>
              <w:t xml:space="preserve">7.2371</w:t>
            </w:r>
          </w:p>
        </w:tc>
        <w:tc>
          <w:tcPr>
            <w:tcW w:w="0" w:type="auto"/>
          </w:tcPr>
          <w:p>
            <w:pPr>
              <w:spacing w:line="240" w:lineRule="auto" w:before="0" w:after="0"/>
              <w:pStyle w:val="Compact"/>
            </w:pPr>
            <w:r>
              <w:rPr>
                <w:sz w:val="20"/>
                <w:szCs w:val="20"/>
              </w:rPr>
              <w:t xml:space="preserve">7.8478</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207.2</w:t>
            </w:r>
          </w:p>
        </w:tc>
        <w:tc>
          <w:tcPr>
            <w:tcW w:w="0" w:type="auto"/>
          </w:tcPr>
          <w:p>
            <w:pPr>
              <w:spacing w:line="240" w:lineRule="auto" w:before="0" w:after="0"/>
              <w:pStyle w:val="Compact"/>
            </w:pPr>
            <w:r>
              <w:rPr>
                <w:sz w:val="20"/>
                <w:szCs w:val="20"/>
              </w:rPr>
              <w:t xml:space="preserve">Ulysses launch mass 366 kg (Wikipedia Ulysses infobox); NASA share of project cost ~US$207.2M (GAO NSIAD-88-129FS, Cost/Schedule/Performance of NASA Ulysses Mission, WebSearch 2026-06-22)</w:t>
            </w:r>
          </w:p>
        </w:tc>
        <w:tc>
          <w:tcPr>
            <w:tcW w:w="0" w:type="auto"/>
          </w:tcPr>
          <w:p>
            <w:pPr>
              <w:spacing w:line="240" w:lineRule="auto" w:before="0" w:after="0"/>
              <w:pStyle w:val="Compact"/>
            </w:pPr>
            <w:r>
              <w:rPr>
                <w:sz w:val="20"/>
                <w:szCs w:val="20"/>
              </w:rPr>
              <w:t xml:space="preserve">5.3337</w:t>
            </w:r>
          </w:p>
        </w:tc>
        <w:tc>
          <w:tcPr>
            <w:tcW w:w="0" w:type="auto"/>
          </w:tcPr>
          <w:p>
            <w:pPr>
              <w:spacing w:line="240" w:lineRule="auto" w:before="0" w:after="0"/>
              <w:pStyle w:val="Compact"/>
            </w:pPr>
            <w:r>
              <w:rPr>
                <w:sz w:val="20"/>
                <w:szCs w:val="20"/>
              </w:rPr>
              <w:t xml:space="preserve">5.9026</w:t>
            </w:r>
          </w:p>
        </w:tc>
      </w:tr>
      <w:tr>
        <w:tc>
          <w:tcPr>
            <w:tcW w:w="0" w:type="auto"/>
          </w:tcPr>
          <w:p>
            <w:pPr>
              <w:spacing w:line="240" w:lineRule="auto" w:before="0" w:after="0"/>
              <w:pStyle w:val="Compact"/>
            </w:pPr>
            <w:r>
              <w:rPr>
                <w:sz w:val="20"/>
                <w:szCs w:val="20"/>
              </w:rPr>
              <w:t xml:space="preserve">TIMED</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TIMED launch mass 587 kg (Wikipedia TIMED infobox); STP-class cost ~USD 250M (NASA STP, eoPortal TIMED)</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6.375</w:t>
            </w:r>
          </w:p>
        </w:tc>
      </w:tr>
      <w:tr>
        <w:tc>
          <w:tcPr>
            <w:tcW w:w="0" w:type="auto"/>
          </w:tcPr>
          <w:p>
            <w:pPr>
              <w:spacing w:line="240" w:lineRule="auto" w:before="0" w:after="0"/>
              <w:pStyle w:val="Compact"/>
            </w:pPr>
            <w:r>
              <w:rPr>
                <w:sz w:val="20"/>
                <w:szCs w:val="20"/>
              </w:rPr>
              <w:t xml:space="preserve">GOLD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GOLD instrument ~37 kg hosted on SES-14 (Wikipedia GOLD / NASA); Mission of Opportunity cost ~USD 55M (NASA Explorers MO, Wikipedia GOLD)</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3.6109</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252</w:t>
            </w:r>
          </w:p>
        </w:tc>
        <w:tc>
          <w:tcPr>
            <w:tcW w:w="0" w:type="auto"/>
          </w:tcPr>
          <w:p>
            <w:pPr>
              <w:spacing w:line="240" w:lineRule="auto" w:before="0" w:after="0"/>
              <w:pStyle w:val="Compact"/>
            </w:pPr>
            <w:r>
              <w:rPr>
                <w:sz w:val="20"/>
                <w:szCs w:val="20"/>
              </w:rPr>
              <w:t xml:space="preserve">ICON launch mass 288 kg (Wikipedia ICON infobox); SMEX cost ~USD 252M (NASA Explorers, Wikipedia ICON)</w:t>
            </w:r>
          </w:p>
        </w:tc>
        <w:tc>
          <w:tcPr>
            <w:tcW w:w="0" w:type="auto"/>
          </w:tcPr>
          <w:p>
            <w:pPr>
              <w:spacing w:line="240" w:lineRule="auto" w:before="0" w:after="0"/>
              <w:pStyle w:val="Compact"/>
            </w:pPr>
            <w:r>
              <w:rPr>
                <w:sz w:val="20"/>
                <w:szCs w:val="20"/>
              </w:rPr>
              <w:t xml:space="preserve">5.5294</w:t>
            </w:r>
          </w:p>
        </w:tc>
        <w:tc>
          <w:tcPr>
            <w:tcW w:w="0" w:type="auto"/>
          </w:tcPr>
          <w:p>
            <w:pPr>
              <w:spacing w:line="240" w:lineRule="auto" w:before="0" w:after="0"/>
              <w:pStyle w:val="Compact"/>
            </w:pPr>
            <w:r>
              <w:rPr>
                <w:sz w:val="20"/>
                <w:szCs w:val="20"/>
              </w:rPr>
              <w:t xml:space="preserve">5.663</w:t>
            </w:r>
          </w:p>
        </w:tc>
      </w:tr>
      <w:tr>
        <w:tc>
          <w:tcPr>
            <w:tcW w:w="0" w:type="auto"/>
          </w:tcPr>
          <w:p>
            <w:pPr>
              <w:spacing w:line="240" w:lineRule="auto" w:before="0" w:after="0"/>
              <w:pStyle w:val="Compact"/>
            </w:pPr>
            <w:r>
              <w:rPr>
                <w:sz w:val="20"/>
                <w:szCs w:val="20"/>
              </w:rPr>
              <w:t xml:space="preserve">PUNCH</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PUNCH four microsats ~64 kg each (NASA PUNCH / Wikipedia); SMEX cost ~USD 165M (NASA SMEX, NASA PUNCH press kit)</w:t>
            </w:r>
          </w:p>
        </w:tc>
        <w:tc>
          <w:tcPr>
            <w:tcW w:w="0" w:type="auto"/>
          </w:tcPr>
          <w:p>
            <w:pPr>
              <w:spacing w:line="240" w:lineRule="auto" w:before="0" w:after="0"/>
              <w:pStyle w:val="Compact"/>
            </w:pPr>
            <w:r>
              <w:rPr>
                <w:sz w:val="20"/>
                <w:szCs w:val="20"/>
              </w:rPr>
              <w:t xml:space="preserve">5.1059</w:t>
            </w:r>
          </w:p>
        </w:tc>
        <w:tc>
          <w:tcPr>
            <w:tcW w:w="0" w:type="auto"/>
          </w:tcPr>
          <w:p>
            <w:pPr>
              <w:spacing w:line="240" w:lineRule="auto" w:before="0" w:after="0"/>
              <w:pStyle w:val="Compact"/>
            </w:pPr>
            <w:r>
              <w:rPr>
                <w:sz w:val="20"/>
                <w:szCs w:val="20"/>
              </w:rPr>
              <w:t xml:space="preserve">5.5452</w:t>
            </w:r>
          </w:p>
        </w:tc>
      </w:tr>
      <w:tr>
        <w:tc>
          <w:tcPr>
            <w:tcW w:w="0" w:type="auto"/>
          </w:tcPr>
          <w:p>
            <w:pPr>
              <w:spacing w:line="240" w:lineRule="auto" w:before="0" w:after="0"/>
              <w:pStyle w:val="Compact"/>
            </w:pPr>
            <w:r>
              <w:rPr>
                <w:sz w:val="20"/>
                <w:szCs w:val="20"/>
              </w:rPr>
              <w:t xml:space="preserve">TRACERS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TRACERS twin smallsats ~100 kg each (NASA TRACERS / Univ. Iowa); SMEX cost ~USD 115M (NASA SMEX, NASA TRACERS)</w:t>
            </w:r>
          </w:p>
        </w:tc>
        <w:tc>
          <w:tcPr>
            <w:tcW w:w="0" w:type="auto"/>
          </w:tcPr>
          <w:p>
            <w:pPr>
              <w:spacing w:line="240" w:lineRule="auto" w:before="0" w:after="0"/>
              <w:pStyle w:val="Compact"/>
            </w:pPr>
            <w:r>
              <w:rPr>
                <w:sz w:val="20"/>
                <w:szCs w:val="20"/>
              </w:rPr>
              <w:t xml:space="preserve">4.7449</w:t>
            </w:r>
          </w:p>
        </w:tc>
        <w:tc>
          <w:tcPr>
            <w:tcW w:w="0" w:type="auto"/>
          </w:tcPr>
          <w:p>
            <w:pPr>
              <w:spacing w:line="240" w:lineRule="auto" w:before="0" w:after="0"/>
              <w:pStyle w:val="Compact"/>
            </w:pPr>
            <w:r>
              <w:rPr>
                <w:sz w:val="20"/>
                <w:szCs w:val="20"/>
              </w:rPr>
              <w:t xml:space="preserve">5.2983</w:t>
            </w:r>
          </w:p>
        </w:tc>
      </w:tr>
    </w:tbl>
    <w:bookmarkEnd w:id="210"/>
    <w:bookmarkStart w:id="211" w:name="variable-construction-3"/>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Natural log of total mission cost in then-year USD millions (NASA share for joint missions)</w:t>
            </w:r>
          </w:p>
        </w:tc>
        <w:tc>
          <w:tcPr>
            <w:tcW w:w="0" w:type="auto"/>
          </w:tcPr>
          <w:p>
            <w:pPr>
              <w:spacing w:line="240" w:lineRule="auto" w:before="0" w:after="0"/>
              <w:pStyle w:val="Compact"/>
            </w:pPr>
            <w:r>
              <w:rPr>
                <w:sz w:val="20"/>
                <w:szCs w:val="20"/>
              </w:rPr>
              <w:t xml:space="preserve">Mission press kits, NASA/eoPortal, GAO fact sheets, Planetary Society; per-row source column</w:t>
            </w:r>
          </w:p>
        </w:tc>
      </w:tr>
      <w:tr>
        <w:tc>
          <w:tcPr>
            <w:tcW w:w="0" w:type="auto"/>
          </w:tcPr>
          <w:p>
            <w:pPr>
              <w:spacing w:line="240" w:lineRule="auto" w:before="0" w:after="0"/>
              <w:pStyle w:val="Compact"/>
            </w:pPr>
            <w:r>
              <w:rPr>
                <w:sz w:val="20"/>
                <w:szCs w:val="20"/>
              </w:rPr>
              <w:t xml:space="preserve">ln_fleet_mass</w:t>
            </w:r>
          </w:p>
        </w:tc>
        <w:tc>
          <w:tcPr>
            <w:tcW w:w="0" w:type="auto"/>
          </w:tcPr>
          <w:p>
            <w:pPr>
              <w:spacing w:line="240" w:lineRule="auto" w:before="0" w:after="0"/>
              <w:pStyle w:val="Compact"/>
            </w:pPr>
            <w:r>
              <w:rPr>
                <w:sz w:val="20"/>
                <w:szCs w:val="20"/>
              </w:rPr>
              <w:t xml:space="preserve">Natural log of fleet mass = per-spacecraft launch mass times number of identical spacecraft (kg)</w:t>
            </w:r>
          </w:p>
        </w:tc>
        <w:tc>
          <w:tcPr>
            <w:tcW w:w="0" w:type="auto"/>
          </w:tcPr>
          <w:p>
            <w:pPr>
              <w:spacing w:line="240" w:lineRule="auto" w:before="0" w:after="0"/>
              <w:pStyle w:val="Compact"/>
            </w:pPr>
            <w:r>
              <w:rPr>
                <w:sz w:val="20"/>
                <w:szCs w:val="20"/>
              </w:rPr>
              <w:t xml:space="preserve">Wikipedia/NSSDCA/eoPortal mission infoboxes citing NASA primaries; per-row source column</w:t>
            </w:r>
          </w:p>
        </w:tc>
      </w:tr>
      <w:tr>
        <w:tc>
          <w:tcPr>
            <w:tcW w:w="0" w:type="auto"/>
          </w:tcPr>
          <w:p>
            <w:pPr>
              <w:spacing w:line="240" w:lineRule="auto" w:before="0" w:after="0"/>
              <w:pStyle w:val="Compact"/>
            </w:pPr>
            <w:r>
              <w:rPr>
                <w:sz w:val="20"/>
                <w:szCs w:val="20"/>
              </w:rPr>
              <w:t xml:space="preserve">n_pf_instruments</w:t>
            </w:r>
          </w:p>
        </w:tc>
        <w:tc>
          <w:tcPr>
            <w:tcW w:w="0" w:type="auto"/>
          </w:tcPr>
          <w:p>
            <w:pPr>
              <w:spacing w:line="240" w:lineRule="auto" w:before="0" w:after="0"/>
              <w:pStyle w:val="Compact"/>
            </w:pPr>
            <w:r>
              <w:rPr>
                <w:sz w:val="20"/>
                <w:szCs w:val="20"/>
              </w:rPr>
              <w:t xml:space="preserve">Count of distinct particles-and-fields instrument suites carried per spacecraft</w:t>
            </w:r>
          </w:p>
        </w:tc>
        <w:tc>
          <w:tcPr>
            <w:tcW w:w="0" w:type="auto"/>
          </w:tcPr>
          <w:p>
            <w:pPr>
              <w:spacing w:line="240" w:lineRule="auto" w:before="0" w:after="0"/>
              <w:pStyle w:val="Compact"/>
            </w:pPr>
            <w:r>
              <w:rPr>
                <w:sz w:val="20"/>
                <w:szCs w:val="20"/>
              </w:rPr>
              <w:t xml:space="preserve">Mission instrument lists in mission infoboxes and Space Science Reviews instrument papers</w:t>
            </w:r>
          </w:p>
        </w:tc>
      </w:tr>
      <w:tr>
        <w:tc>
          <w:tcPr>
            <w:tcW w:w="0" w:type="auto"/>
          </w:tcPr>
          <w:p>
            <w:pPr>
              <w:spacing w:line="240" w:lineRule="auto" w:before="0" w:after="0"/>
              <w:pStyle w:val="Compact"/>
            </w:pPr>
            <w:r>
              <w:rPr>
                <w:sz w:val="20"/>
                <w:szCs w:val="20"/>
              </w:rPr>
              <w:t xml:space="preserve">n_spacecraft</w:t>
            </w:r>
          </w:p>
        </w:tc>
        <w:tc>
          <w:tcPr>
            <w:tcW w:w="0" w:type="auto"/>
          </w:tcPr>
          <w:p>
            <w:pPr>
              <w:spacing w:line="240" w:lineRule="auto" w:before="0" w:after="0"/>
              <w:pStyle w:val="Compact"/>
            </w:pPr>
            <w:r>
              <w:rPr>
                <w:sz w:val="20"/>
                <w:szCs w:val="20"/>
              </w:rPr>
              <w:t xml:space="preserve">Number of identical spacecraft in the constellation or formation</w:t>
            </w:r>
          </w:p>
        </w:tc>
        <w:tc>
          <w:tcPr>
            <w:tcW w:w="0" w:type="auto"/>
          </w:tcPr>
          <w:p>
            <w:pPr>
              <w:spacing w:line="240" w:lineRule="auto" w:before="0" w:after="0"/>
              <w:pStyle w:val="Compact"/>
            </w:pPr>
            <w:r>
              <w:rPr>
                <w:sz w:val="20"/>
                <w:szCs w:val="20"/>
              </w:rPr>
              <w:t xml:space="preserve">Mission infoboxes and NASA mission pages</w:t>
            </w:r>
          </w:p>
        </w:tc>
      </w:tr>
      <w:tr>
        <w:tc>
          <w:tcPr>
            <w:tcW w:w="0" w:type="auto"/>
          </w:tcPr>
          <w:p>
            <w:pPr>
              <w:spacing w:line="240" w:lineRule="auto" w:before="0" w:after="0"/>
              <w:pStyle w:val="Compact"/>
            </w:pPr>
            <w:r>
              <w:rPr>
                <w:sz w:val="20"/>
                <w:szCs w:val="20"/>
              </w:rPr>
              <w:t xml:space="preserve">class_explorer</w:t>
            </w:r>
          </w:p>
        </w:tc>
        <w:tc>
          <w:tcPr>
            <w:tcW w:w="0" w:type="auto"/>
          </w:tcPr>
          <w:p>
            <w:pPr>
              <w:spacing w:line="240" w:lineRule="auto" w:before="0" w:after="0"/>
              <w:pStyle w:val="Compact"/>
            </w:pPr>
            <w:r>
              <w:rPr>
                <w:sz w:val="20"/>
                <w:szCs w:val="20"/>
              </w:rPr>
              <w:t xml:space="preserve">Fixed-effect dummy = 1 if mission is in the NASA Explorer line (SMEX/MIDEX/Mission of Opportunity)</w:t>
            </w:r>
          </w:p>
        </w:tc>
        <w:tc>
          <w:tcPr>
            <w:tcW w:w="0" w:type="auto"/>
          </w:tcPr>
          <w:p>
            <w:pPr>
              <w:spacing w:line="240" w:lineRule="auto" w:before="0" w:after="0"/>
              <w:pStyle w:val="Compact"/>
            </w:pPr>
            <w:r>
              <w:rPr>
                <w:sz w:val="20"/>
                <w:szCs w:val="20"/>
              </w:rPr>
              <w:t xml:space="preserve">NASA Explorers Program designations (explorers.gsfc.nasa.gov)</w:t>
            </w:r>
          </w:p>
        </w:tc>
      </w:tr>
      <w:tr>
        <w:tc>
          <w:tcPr>
            <w:tcW w:w="0" w:type="auto"/>
          </w:tcPr>
          <w:p>
            <w:pPr>
              <w:spacing w:line="240" w:lineRule="auto" w:before="0" w:after="0"/>
              <w:pStyle w:val="Compact"/>
            </w:pPr>
            <w:r>
              <w:rPr>
                <w:sz w:val="20"/>
                <w:szCs w:val="20"/>
              </w:rPr>
              <w:t xml:space="preserve">class_stp_lws</w:t>
            </w:r>
          </w:p>
        </w:tc>
        <w:tc>
          <w:tcPr>
            <w:tcW w:w="0" w:type="auto"/>
          </w:tcPr>
          <w:p>
            <w:pPr>
              <w:spacing w:line="240" w:lineRule="auto" w:before="0" w:after="0"/>
              <w:pStyle w:val="Compact"/>
            </w:pPr>
            <w:r>
              <w:rPr>
                <w:sz w:val="20"/>
                <w:szCs w:val="20"/>
              </w:rPr>
              <w:t xml:space="preserve">Fixed-effect dummy = 1 if mission is in Solar Terrestrial Probes or Living With a Star (or planetary directed P-and-F)</w:t>
            </w:r>
          </w:p>
        </w:tc>
        <w:tc>
          <w:tcPr>
            <w:tcW w:w="0" w:type="auto"/>
          </w:tcPr>
          <w:p>
            <w:pPr>
              <w:spacing w:line="240" w:lineRule="auto" w:before="0" w:after="0"/>
              <w:pStyle w:val="Compact"/>
            </w:pPr>
            <w:r>
              <w:rPr>
                <w:sz w:val="20"/>
                <w:szCs w:val="20"/>
              </w:rPr>
              <w:t xml:space="preserve">NASA program-line designations; flagship/ESA-led missions are the omitted base category</w:t>
            </w:r>
          </w:p>
        </w:tc>
      </w:tr>
    </w:tbl>
    <w:bookmarkEnd w:id="211"/>
    <w:bookmarkEnd w:id="212"/>
    <w:bookmarkEnd w:id="21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8" Type="http://schemas.openxmlformats.org/officeDocument/2006/relationships/image" Target="media/rId198.png"/><Relationship Id="rId206" Type="http://schemas.openxmlformats.org/officeDocument/2006/relationships/image" Target="media/rId206.png"/><Relationship Id="rId188" Type="http://schemas.openxmlformats.org/officeDocument/2006/relationships/hyperlink" Target="https://doi.org/10.1016/j.actaastro.2018.02.029" TargetMode="External"/><Relationship Id="rId161" Type="http://schemas.openxmlformats.org/officeDocument/2006/relationships/hyperlink" Target="https://doi.org/10.1016/j.actaastro.2019.07.032" TargetMode="External"/><Relationship Id="rId159" Type="http://schemas.openxmlformats.org/officeDocument/2006/relationships/hyperlink" Target="https://doi.org/10.1016/j.actaastro.2019.09.030" TargetMode="External"/><Relationship Id="rId166" Type="http://schemas.openxmlformats.org/officeDocument/2006/relationships/hyperlink" Target="https://doi.org/10.1016/j.actaastro.2021.07.004" TargetMode="External"/><Relationship Id="rId168" Type="http://schemas.openxmlformats.org/officeDocument/2006/relationships/hyperlink" Target="https://doi.org/10.1016/j.actaastro.2021.07.046" TargetMode="External"/><Relationship Id="rId182" Type="http://schemas.openxmlformats.org/officeDocument/2006/relationships/hyperlink" Target="https://doi.org/10.1016/j.actaastro.2022.04.001" TargetMode="External"/><Relationship Id="rId190" Type="http://schemas.openxmlformats.org/officeDocument/2006/relationships/hyperlink" Target="https://doi.org/10.1016/j.actaastro.2024.04.012" TargetMode="External"/><Relationship Id="rId180" Type="http://schemas.openxmlformats.org/officeDocument/2006/relationships/hyperlink" Target="https://doi.org/10.1016/j.actaastro.2024.05.017" TargetMode="External"/><Relationship Id="rId194" Type="http://schemas.openxmlformats.org/officeDocument/2006/relationships/hyperlink" Target="https://doi.org/10.1016/j.actaastro.2024.09.047" TargetMode="External"/><Relationship Id="rId184" Type="http://schemas.openxmlformats.org/officeDocument/2006/relationships/hyperlink" Target="https://doi.org/10.1016/j.actaastro.2025.03.022" TargetMode="External"/><Relationship Id="rId192" Type="http://schemas.openxmlformats.org/officeDocument/2006/relationships/hyperlink" Target="https://doi.org/10.1016/j.actaastro.2025.08.042" TargetMode="External"/><Relationship Id="rId186" Type="http://schemas.openxmlformats.org/officeDocument/2006/relationships/hyperlink" Target="https://doi.org/10.1016/j.actaastro.2025.09.089" TargetMode="External"/><Relationship Id="rId153" Type="http://schemas.openxmlformats.org/officeDocument/2006/relationships/hyperlink" Target="https://doi.org/10.1016/j.actaastro.2025.11.006" TargetMode="External"/><Relationship Id="rId175" Type="http://schemas.openxmlformats.org/officeDocument/2006/relationships/hyperlink" Target="https://doi.org/10.64861/VUMF3172" TargetMode="External"/><Relationship Id="rId170" Type="http://schemas.openxmlformats.org/officeDocument/2006/relationships/hyperlink" Target="https://doi.org/10.64861/XRDR8814" TargetMode="External"/></Relationships>
</file>

<file path=word/_rels/footnotes.xml.rels><?xml version='1.0' encoding='UTF-8' standalone='yes'?>
<Relationships xmlns="http://schemas.openxmlformats.org/package/2006/relationships"><Relationship Id="rId188" Type="http://schemas.openxmlformats.org/officeDocument/2006/relationships/hyperlink" Target="https://doi.org/10.1016/j.actaastro.2018.02.029" TargetMode="External"/><Relationship Id="rId161" Type="http://schemas.openxmlformats.org/officeDocument/2006/relationships/hyperlink" Target="https://doi.org/10.1016/j.actaastro.2019.07.032" TargetMode="External"/><Relationship Id="rId159" Type="http://schemas.openxmlformats.org/officeDocument/2006/relationships/hyperlink" Target="https://doi.org/10.1016/j.actaastro.2019.09.030" TargetMode="External"/><Relationship Id="rId166" Type="http://schemas.openxmlformats.org/officeDocument/2006/relationships/hyperlink" Target="https://doi.org/10.1016/j.actaastro.2021.07.004" TargetMode="External"/><Relationship Id="rId168" Type="http://schemas.openxmlformats.org/officeDocument/2006/relationships/hyperlink" Target="https://doi.org/10.1016/j.actaastro.2021.07.046" TargetMode="External"/><Relationship Id="rId182" Type="http://schemas.openxmlformats.org/officeDocument/2006/relationships/hyperlink" Target="https://doi.org/10.1016/j.actaastro.2022.04.001" TargetMode="External"/><Relationship Id="rId190" Type="http://schemas.openxmlformats.org/officeDocument/2006/relationships/hyperlink" Target="https://doi.org/10.1016/j.actaastro.2024.04.012" TargetMode="External"/><Relationship Id="rId180" Type="http://schemas.openxmlformats.org/officeDocument/2006/relationships/hyperlink" Target="https://doi.org/10.1016/j.actaastro.2024.05.017" TargetMode="External"/><Relationship Id="rId194" Type="http://schemas.openxmlformats.org/officeDocument/2006/relationships/hyperlink" Target="https://doi.org/10.1016/j.actaastro.2024.09.047" TargetMode="External"/><Relationship Id="rId184" Type="http://schemas.openxmlformats.org/officeDocument/2006/relationships/hyperlink" Target="https://doi.org/10.1016/j.actaastro.2025.03.022" TargetMode="External"/><Relationship Id="rId192" Type="http://schemas.openxmlformats.org/officeDocument/2006/relationships/hyperlink" Target="https://doi.org/10.1016/j.actaastro.2025.08.042" TargetMode="External"/><Relationship Id="rId186" Type="http://schemas.openxmlformats.org/officeDocument/2006/relationships/hyperlink" Target="https://doi.org/10.1016/j.actaastro.2025.09.089" TargetMode="External"/><Relationship Id="rId153" Type="http://schemas.openxmlformats.org/officeDocument/2006/relationships/hyperlink" Target="https://doi.org/10.1016/j.actaastro.2025.11.006" TargetMode="External"/><Relationship Id="rId175" Type="http://schemas.openxmlformats.org/officeDocument/2006/relationships/hyperlink" Target="https://doi.org/10.64861/VUMF3172" TargetMode="External"/><Relationship Id="rId170" Type="http://schemas.openxmlformats.org/officeDocument/2006/relationships/hyperlink" Target="https://doi.org/10.64861/XRDR88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Instrument-Cost Learning Curves for Heliophysics Particle and Fields Instruments</dc:title>
  <dc:creator>Astrid Haddad (1B-HEL-059)</dc:creator>
  <cp:keywords/>
  <dcterms:created xsi:type="dcterms:W3CDTF">2026-07-04T11:43:15Z</dcterms:created>
  <dcterms:modified xsi:type="dcterms:W3CDTF">2026-07-04T11:43:15Z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