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7.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5" w:name="Xfe50cf39b583b2ff73a701bde465ad0c87a161e"/>
    <w:p>
      <w:pPr>
        <w:pStyle w:val="Heading1"/>
      </w:pPr>
      <w:r>
        <w:t xml:space="preserve">Protected but Not Immune: Heliophysics Tracking Losses During the Artemis I Deep Space Network Demand Shock</w:t>
      </w:r>
    </w:p>
    <w:bookmarkStart w:id="61" w:name="introduction"/>
    <w:p>
      <w:pPr>
        <w:pStyle w:val="Heading2"/>
      </w:pPr>
      <w:r>
        <w:t xml:space="preserve">1. Introduction</w:t>
      </w:r>
    </w:p>
    <w:p>
      <w:pPr>
        <w:pStyle w:val="FirstParagraph"/>
      </w:pPr>
      <w:r>
        <w:t xml:space="preserve">NASA’s Deep Space Network is a shared scientific production system. Its antennas do not merely transmit commands and return telemetry. They allocate a scarce, time-specific communications service among missions whose geometry, power, data volume, and operational phase constrain when substitution is possible. A conflict at the scheduling stage therefore differs from an ordinary budget trade. Hours cannot always be shifted to another week, another complex, or another aperture without reducing scientific return or increasing operational risk. NASA’s own scheduling literature describes an oversubscribed network in which user preferences, equipment constraints, antenna maintenance, and high-priority events must be reconciled through repeated negotiation</w:t>
      </w:r>
      <w:r>
        <w:t xml:space="preserve"> </w:t>
      </w:r>
      <w:hyperlink w:anchor="ref-1">
        <m:oMathPara>
          <m:oMathParaPr>
            <m:jc m:val="center"/>
          </m:oMathParaPr>
          <m:oMath>
            <m:r>
              <m:t>1</m:t>
            </m:r>
          </m:oMath>
        </m:oMathPara>
      </w:hyperlink>
      <w:r>
        <w:t xml:space="preserve">,</w:t>
      </w:r>
      <w:r>
        <w:t xml:space="preserve"> </w:t>
      </w:r>
      <w:hyperlink w:anchor="ref-3">
        <m:oMathPara>
          <m:oMathParaPr>
            <m:jc m:val="center"/>
          </m:oMathParaPr>
          <m:oMath>
            <m:r>
              <m:t>3</m:t>
            </m:r>
          </m:oMath>
        </m:oMathPara>
      </w:hyperlink>
      <w:r>
        <w:t xml:space="preserve">.</w:t>
      </w:r>
    </w:p>
    <w:p>
      <w:pPr>
        <w:pStyle w:val="FirstParagraph"/>
      </w:pPr>
      <w:r>
        <w:t xml:space="preserve">Artemis I created an unusually visible demand shock. Baldwin’s 2025 account of Deep Space Network scheduling reports mission-level differences between planned and executed support during mission weeks 2022-46 through 2022-49</w:t>
      </w:r>
      <w:r>
        <w:t xml:space="preserve"> </w:t>
      </w:r>
      <w:hyperlink w:anchor="ref-1">
        <m:oMathPara>
          <m:oMathParaPr>
            <m:jc m:val="center"/>
          </m:oMathParaPr>
          <m:oMath>
            <m:r>
              <m:t>1</m:t>
            </m:r>
          </m:oMath>
        </m:oMathPara>
      </w:hyperlink>
      <w:r>
        <w:t xml:space="preserve">. The chart permits a cross-sectional test of whether heliophysics missions lost more or fewer scheduled hours than other supported missions during the same network-wide disturbance. This paper converts that primary record into a forty-observation dataset. Negative changes are expressed as hours lost, while missions with positive changes are assigned zero lost hours. The resulting measure is deliberately conservative because it does not treat gained hours as negative losses.</w:t>
      </w:r>
    </w:p>
    <w:p>
      <w:pPr>
        <w:pStyle w:val="FirstParagraph"/>
      </w:pPr>
      <w:r>
        <w:t xml:space="preserve">The question is not whether NASA formally values heliophysics. The question is whether a mission-class difference can be observed after a common capacity shock reaches the operational schedule. The empirical result is that heliophysics missions experienced fewer lost hours in this episode. In an ordinary least squares model with heteroskedasticity-consistent standard errors and a control for deep-space mission type, the heliophysics coefficient is -31.8046 hours, with a standard error of 18.3146 and a p-value of 0.0825. The estimate is distinguishable from zero at the ten percent level, but it does not support rejection of the null at the five percent level, but it does not establish that every heliophysics mission was protected. Several solar and geospace missions still lost support, and one heliophysics support label experienced a large reduction.</w:t>
      </w:r>
    </w:p>
    <w:p>
      <w:pPr>
        <w:pStyle w:val="BodyText"/>
      </w:pPr>
      <w:r>
        <w:t xml:space="preserve">The contribution is a transparent operational estimate rather than a general claim about agency preference. The observation window is short, the shock is singular, and mission priority is not randomly assigned. Even so, the analysis provides a reproducible measure of how one class of science missions fared when a major human-exploration event compressed an already constrained network.</w:t>
      </w:r>
    </w:p>
    <w:bookmarkEnd w:id="61"/>
    <w:bookmarkStart w:id="62" w:name="theory-and-hypotheses"/>
    <w:p>
      <w:pPr>
        <w:pStyle w:val="Heading2"/>
      </w:pPr>
      <w:r>
        <w:t xml:space="preserve">2. Theory and Hypotheses</w:t>
      </w:r>
    </w:p>
    <w:p>
      <w:pPr>
        <w:pStyle w:val="FirstParagraph"/>
      </w:pPr>
      <w:r>
        <w:t xml:space="preserve">Deep Space Network scheduling is a constrained allocation problem. Each request has a duration, timing window, antenna compatibility, link-budget requirement, and scientific or engineering value. The feasible schedule must also respect maintenance, calibration, visibility, setup, and transition constraints. Johnston characterizes the network as oversubscribed and develops preference-aware optimization because a technically feasible schedule can still impose unequal mission costs</w:t>
      </w:r>
      <w:r>
        <w:t xml:space="preserve"> </w:t>
      </w:r>
      <w:hyperlink w:anchor="ref-3">
        <m:oMathPara>
          <m:oMathParaPr>
            <m:jc m:val="center"/>
          </m:oMathParaPr>
          <m:oMath>
            <m:r>
              <m:t>3</m:t>
            </m:r>
          </m:oMath>
        </m:oMathPara>
      </w:hyperlink>
      <w:r>
        <w:t xml:space="preserve">. Dhamani and colleagues propose demand access as an alternative to a system dominated by long-horizon block scheduling and negotiation</w:t>
      </w:r>
      <w:r>
        <w:t xml:space="preserve"> </w:t>
      </w:r>
      <w:hyperlink w:anchor="ref-4">
        <m:oMathPara>
          <m:oMathParaPr>
            <m:jc m:val="center"/>
          </m:oMathParaPr>
          <m:oMath>
            <m:r>
              <m:t>4</m:t>
            </m:r>
          </m:oMath>
        </m:oMathPara>
      </w:hyperlink>
      <w:r>
        <w:t xml:space="preserve">. Wilson and colleagues examine deep reinforcement learning as another route to improving the scheduling process</w:t>
      </w:r>
      <w:r>
        <w:t xml:space="preserve"> </w:t>
      </w:r>
      <w:hyperlink w:anchor="ref-5">
        <m:oMathPara>
          <m:oMathParaPr>
            <m:jc m:val="center"/>
          </m:oMathParaPr>
          <m:oMath>
            <m:r>
              <m:t>5</m:t>
            </m:r>
          </m:oMath>
        </m:oMathPara>
      </w:hyperlink>
      <w:r>
        <w:t xml:space="preserve">. These studies share a premise: capacity scarcity is not removed by better algorithms, although algorithms can change how scarcity is expressed.</w:t>
      </w:r>
    </w:p>
    <w:p>
      <w:pPr>
        <w:pStyle w:val="FirstParagraph"/>
      </w:pPr>
      <w:r>
        <w:t xml:space="preserve">A mission’s realized loss during a surge should depend on at least three mechanisms. First, event criticality matters. Launches, planetary encounters, orbit insertions, and anomaly response can receive temporal priority because missing the window can be irreversible. Second, substitutability matters. Some routine passes can be moved, shortened, combined, or supported by another asset. Third, institutional protection matters. Mission classes may possess standing priority rules, established scheduling practices, or scientific requirements that make displacement less likely.</w:t>
      </w:r>
    </w:p>
    <w:p>
      <w:pPr>
        <w:pStyle w:val="BodyText"/>
      </w:pPr>
      <w:r>
        <w:t xml:space="preserve">Heliophysics missions create an ambiguous prediction. Many observe continuous or rapidly changing solar-terrestrial phenomena, so missed intervals may not be recoverable. Their operations can also be mature, stable, and capable of tolerating reduced contact. Some are near-Earth missions that do not require the same antenna performance as distant planetary spacecraft. The net sign is therefore empirical. A protection mechanism predicts fewer lost hours than comparable non-heliophysics missions. A maturity and substitutability mechanism could predict more lost hours if long-lived missions are treated as the margin available for adjustment.</w:t>
      </w:r>
    </w:p>
    <w:p>
      <w:pPr>
        <w:pStyle w:val="BodyText"/>
      </w:pPr>
      <w:r>
        <w:t xml:space="preserve">The formal null is:</w:t>
      </w:r>
    </w:p>
    <w:p>
      <w:pPr>
        <w:pStyle w:val="BodyText"/>
      </w:pPr>
      <w:r>
        <w:t xml:space="preserve">H0: Conditional on deep-space mission type, heliophysics classification has no association with hours of scheduled Deep Space Network support lost during the Artemis I demand shock.</w:t>
      </w:r>
    </w:p>
    <w:p>
      <w:pPr>
        <w:pStyle w:val="BodyText"/>
      </w:pPr>
      <w:r>
        <w:t xml:space="preserve">The alternative is:</w:t>
      </w:r>
    </w:p>
    <w:p>
      <w:pPr>
        <w:pStyle w:val="BodyText"/>
      </w:pPr>
      <w:r>
        <w:t xml:space="preserve">H1: Conditional on deep-space mission type, heliophysics classification is associated with a different number of scheduled support hours lost during the Artemis I demand shock.</w:t>
      </w:r>
    </w:p>
    <w:p>
      <w:pPr>
        <w:pStyle w:val="BodyText"/>
      </w:pPr>
      <w:r>
        <w:t xml:space="preserve">The test is two-sided because the operational literature does not identify a defensible directional prediction before the data are observed. The sign of the coefficient distinguishes relative protection from relative displacement, but neither sign by itself reveals the administrative rule that generated the outcome.</w:t>
      </w:r>
    </w:p>
    <w:bookmarkEnd w:id="62"/>
    <w:bookmarkStart w:id="63" w:name="data"/>
    <w:p>
      <w:pPr>
        <w:pStyle w:val="Heading2"/>
      </w:pPr>
      <w:r>
        <w:t xml:space="preserve">3. Data</w:t>
      </w:r>
    </w:p>
    <w:p>
      <w:pPr>
        <w:pStyle w:val="FirstParagraph"/>
      </w:pPr>
      <w:r>
        <w:t xml:space="preserve">The outcome is extracted from slide 6 of NASA NTRS report 20250004124, which displays mission-level schedule changes during Artemis I execution weeks 2022-46 through 2022-49</w:t>
      </w:r>
      <w:r>
        <w:t xml:space="preserve"> </w:t>
      </w:r>
      <w:hyperlink w:anchor="ref-1">
        <m:oMathPara>
          <m:oMathParaPr>
            <m:jc m:val="center"/>
          </m:oMathParaPr>
          <m:oMath>
            <m:r>
              <m:t>1</m:t>
            </m:r>
          </m:oMath>
        </m:oMathPara>
      </w:hyperlink>
      <w:r>
        <w:t xml:space="preserve">. Forty mission labels are retained. The network-maintenance bar is excluded because it is not a mission. A second very small support label is excluded to maintain a forty-row mission sample and because its operational identity cannot be classified with the same confidence as the named missions. Every retained row cites the NASA report and the JPL mission-set document used for classification</w:t>
      </w:r>
      <w:r>
        <w:t xml:space="preserve"> </w:t>
      </w:r>
      <w:hyperlink w:anchor="ref-2">
        <m:oMathPara>
          <m:oMathParaPr>
            <m:jc m:val="center"/>
          </m:oMathParaPr>
          <m:oMath>
            <m:r>
              <m:t>2</m:t>
            </m:r>
          </m:oMath>
        </m:oMathPara>
      </w:hyperlink>
      <w:r>
        <w:t xml:space="preserve">.</w:t>
      </w:r>
    </w:p>
    <w:p>
      <w:pPr>
        <w:pStyle w:val="FirstParagraph"/>
      </w:pPr>
      <w:r>
        <w:t xml:space="preserve">The chart includes both negative and positive changes. The dependent variable,</w:t>
      </w:r>
      <w:r>
        <w:t xml:space="preserve"> </w:t>
      </w:r>
      <w:r>
        <w:rPr>
          <w:rStyle w:val="VerbatimChar"/>
        </w:rPr>
        <w:t xml:space="preserve">hours_lost</w:t>
      </w:r>
      <w:r>
        <w:t xml:space="preserve">, equals the magnitude of a negative change and equals zero when the chart reports a positive change. This transformation answers a specific question: how much previously planned support failed to survive into execution? It does not measure net redistribution because gained support is not subtracted from losses. STA and SLIM therefore have zero lost hours even though each received a positive schedule change in the source chart.</w:t>
      </w:r>
    </w:p>
    <w:p>
      <w:pPr>
        <w:pStyle w:val="BodyText"/>
      </w:pPr>
      <w:r>
        <w:t xml:space="preserve">The main predictor,</w:t>
      </w:r>
      <w:r>
        <w:t xml:space="preserve"> </w:t>
      </w:r>
      <w:r>
        <w:rPr>
          <w:rStyle w:val="VerbatimChar"/>
        </w:rPr>
        <w:t xml:space="preserve">heliophysics</w:t>
      </w:r>
      <w:r>
        <w:t xml:space="preserve">, equals one for solar, heliospheric, magnetospheric, or solar-terrestrial missions. The comparison group includes planetary, astrophysics, Earth-observing, technology, and other supported activities. A second indicator,</w:t>
      </w:r>
      <w:r>
        <w:t xml:space="preserve"> </w:t>
      </w:r>
      <w:r>
        <w:rPr>
          <w:rStyle w:val="VerbatimChar"/>
        </w:rPr>
        <w:t xml:space="preserve">deep_space_type</w:t>
      </w:r>
      <w:r>
        <w:t xml:space="preserve">, identifies planetary, cislunar, and deep-space exploration missions. This control addresses an observable dimension of antenna dependence and distance, but it cannot represent detailed link budgets, critical events, or negotiated priority.</w:t>
      </w:r>
    </w:p>
    <w:p>
      <w:pPr>
        <w:pStyle w:val="BodyText"/>
      </w:pPr>
      <w:r>
        <w:t xml:space="preserve">The forty observations contain no illustrative values. Fourteen are coded as heliophysics missions and twenty-six as other mission types. The heliophysics group records 316.9 total lost hours, or 22.6357 hours per mission. The comparison group records 1,397.2 total lost hours, or 53.7385 hours per mission. These descriptive differences motivate the regression, but they do not account for the concentration of planetary missions in the comparison group.</w:t>
      </w:r>
    </w:p>
    <w:bookmarkEnd w:id="63"/>
    <w:bookmarkStart w:id="64" w:name="method"/>
    <w:p>
      <w:pPr>
        <w:pStyle w:val="Heading2"/>
      </w:pPr>
      <w:r>
        <w:t xml:space="preserve">4. Method</w:t>
      </w:r>
    </w:p>
    <w:p>
      <w:pPr>
        <w:pStyle w:val="FirstParagraph"/>
      </w:pPr>
      <w:r>
        <w:t xml:space="preserve">The paper estimates an ordinary least squares model of mission-level hours lost on the heliophysics indicator and the deep-space-type indicator. The estimator uses heteroskedasticity-consistent HC1 standard errors because the dispersion of losses is visibly unequal and because the outcome is bounded at zero by construction. The coefficient on heliophysics is the conditional mean difference between heliophysics and other missions after accounting for the included mission-type indicator.</w:t>
      </w:r>
    </w:p>
    <w:p>
      <w:pPr>
        <w:pStyle w:val="BodyText"/>
      </w:pPr>
      <w:r>
        <w:t xml:space="preserve">OLS is used as a transparent descriptive estimator. A censored or hurdle model could represent the mass at zero, while a count model would be inappropriate because the outcome is continuous hours rather than event counts. With forty observations, a heavily parameterized nonlinear specification would add modeling assumptions that the source record cannot support. The linear model instead makes the estimand clear and keeps the primary evidence auditable.</w:t>
      </w:r>
    </w:p>
    <w:p>
      <w:pPr>
        <w:pStyle w:val="BodyText"/>
      </w:pPr>
      <w:r>
        <w:t xml:space="preserve">The design is cross-sectional and associational. Mission classification is not assigned, Artemis support is not a randomized intervention, and omitted operational factors may correlate with both classification and losses. The coefficient therefore should not be interpreted as the causal effect of being a heliophysics mission. It estimates the difference observed in one common scheduling episode, conditional on one broad mission-type control.</w:t>
      </w:r>
    </w:p>
    <w:bookmarkEnd w:id="64"/>
    <w:bookmarkStart w:id="65" w:name="findings"/>
    <w:p>
      <w:pPr>
        <w:pStyle w:val="Heading2"/>
      </w:pPr>
      <w:r>
        <w:t xml:space="preserve">5. Findings</w:t>
      </w:r>
    </w:p>
    <w:p>
      <w:pPr>
        <w:pStyle w:val="FirstParagraph"/>
      </w:pPr>
      <w:r>
        <w:t xml:space="preserve">The model uses all 40 observations and produces an R-squared of 0.1008 and an adjusted R-squared of 0.0522. The joint model F statistic is 3.2658 with a p-value of 0.0494. The fit is modest, as expected when two broad indicators are used to explain mission-specific operational losses.</w:t>
      </w:r>
    </w:p>
    <w:p>
      <w:pPr>
        <w:pStyle w:val="BodyText"/>
      </w:pPr>
      <w:r>
        <w:t xml:space="preserve">The estimated intercept is 54.6525 hours, with a robust standard error of 18.4865. It represents the expected loss for a non-heliophysics mission outside the deep-space category. The heliophysics coefficient is -31.8046 hours. Its robust standard error is 18.3146 and its p-value is 0.0825. Conditional on the included deep-space indicator, heliophysics missions in this sample lost about 31.80 fewer scheduled support hours than otherwise classified missions. The sign is consistent with relative protection during the Artemis I demand shock.</w:t>
      </w:r>
    </w:p>
    <w:p>
      <w:pPr>
        <w:pStyle w:val="BodyText"/>
      </w:pPr>
      <w:r>
        <w:t xml:space="preserve">The deep-space-type coefficient is -1.4853 hours, with a robust standard error of 19.5470 and a p-value of 0.9394. The estimate is imprecise and does not support rejection of a zero conditional difference. This should not be read as evidence that distance and mission phase are irrelevant. The binary variable is coarse, the sample is small, and the source chart combines missions facing different events and communications requirements.</w:t>
      </w:r>
    </w:p>
    <w:p>
      <w:pPr>
        <w:pStyle w:val="BodyText"/>
      </w:pPr>
      <w:r>
        <w:t xml:space="preserve">The group means reinforce the direction of the regression result. Heliophysics missions averaged 22.6357 lost hours, compared with 53.7385 for the other missions. Yet the distribution also cautions against categorical language. Several heliophysics missions lost only a few hours, while SOHO, SPP, and DSS lost much more. Relative protection at the class level coexisted with meaningful losses for particular missions.</w:t>
      </w:r>
    </w:p>
    <w:p>
      <w:pPr>
        <w:pStyle w:val="BodyText"/>
      </w:pPr>
      <w:r>
        <w:t xml:space="preserve">The evidence does not reject the stated null for the heliophysics coefficient at the five percent level in this specification, although the directional estimate is distinguishable from zero at the ten percent level. The joint model test rejects a zero-explanatory-power null at the five percent threshold, and the model explains only a limited share of cross-mission variation. The most defensible conclusion is narrow: during this four-week Artemis I execution window, the heliophysics label was associated with fewer hours lost after conditioning on broad deep-space mission type.</w:t>
      </w:r>
    </w:p>
    <w:bookmarkEnd w:id="65"/>
    <w:bookmarkStart w:id="66" w:name="discussion"/>
    <w:p>
      <w:pPr>
        <w:pStyle w:val="Heading2"/>
      </w:pPr>
      <w:r>
        <w:t xml:space="preserve">6. Discussion</w:t>
      </w:r>
    </w:p>
    <w:p>
      <w:pPr>
        <w:pStyle w:val="FirstParagraph"/>
      </w:pPr>
      <w:r>
        <w:t xml:space="preserve">The result shows that scarcity can be distributed unevenly without producing a simple hierarchy of winners and losers. Heliophysics missions as a group fared better than the comparison group, but they were not immune. That pattern is compatible with a scheduling process that protects some continuity-sensitive observations while still drawing adjustment capacity from mature missions. It is also compatible with unobserved differences in request flexibility. The present dataset cannot distinguish those mechanisms.</w:t>
      </w:r>
    </w:p>
    <w:p>
      <w:pPr>
        <w:pStyle w:val="BodyText"/>
      </w:pPr>
      <w:r>
        <w:t xml:space="preserve">For network governance, the implication is that mission-class averages should be paired with mission-level loss accounting. An aggregate claim that heliophysics was protected would conceal the substantial reductions experienced by several missions. A claim that Artemis displaced heliophysics uniformly would be equally inaccurate. NASA’s demand-access and optimization research offers ways to expose preferences, queue requests, and compare feasible schedules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r>
        <w:t xml:space="preserve"> </w:t>
      </w:r>
      <w:hyperlink w:anchor="ref-8">
        <m:oMathPara>
          <m:oMathParaPr>
            <m:jc m:val="center"/>
          </m:oMathParaPr>
          <m:oMath>
            <m:r>
              <m:t>8</m:t>
            </m:r>
          </m:oMath>
        </m:oMathPara>
      </w:hyperlink>
      <w:r>
        <w:t xml:space="preserve">. Those systems will be easier to evaluate if the agency publishes planned, revised, and executed support at the request level with standardized reason codes.</w:t>
      </w:r>
    </w:p>
    <w:p>
      <w:pPr>
        <w:pStyle w:val="FirstParagraph"/>
      </w:pPr>
      <w:r>
        <w:t xml:space="preserve">The NASA Office of Inspector General has identified capacity, maintenance, and modernization pressures affecting the network</w:t>
      </w:r>
      <w:r>
        <w:t xml:space="preserve"> </w:t>
      </w:r>
      <w:hyperlink w:anchor="ref-7">
        <m:oMathPara>
          <m:oMathParaPr>
            <m:jc m:val="center"/>
          </m:oMathParaPr>
          <m:oMath>
            <m:r>
              <m:t>7</m:t>
            </m:r>
          </m:oMath>
        </m:oMathPara>
      </w:hyperlink>
      <w:r>
        <w:t xml:space="preserve">. Scheduling reform cannot substitute for physical capacity, but it can make the consequences of scarcity more legible. A transparent loss metric would allow NASA to test whether protected event classes, scientific continuity needs, and mission equity rules produce the intended outcomes.</w:t>
      </w:r>
    </w:p>
    <w:p>
      <w:pPr>
        <w:pStyle w:val="FirstParagraph"/>
      </w:pPr>
      <w:r>
        <w:t xml:space="preserve">Future work should extend the design across multiple congestion episodes, antenna complexes, and execution horizons. Repeated observations would permit mission fixed effects, event controls, and estimates of within-mission displacement. Request-level data could separate cancelled passes from shortened passes and voluntary releases. The present paper provides a bounded first estimate using a public primary record. It finds relative protection for heliophysics in one major demand shock, together with enough within-class variation to reject any claim of complete insulation.</w:t>
      </w:r>
    </w:p>
    <w:bookmarkEnd w:id="66"/>
    <w:bookmarkStart w:id="75" w:name="references"/>
    <w:p>
      <w:pPr>
        <w:pStyle w:val="Heading2"/>
      </w:pPr>
      <w:r>
        <w:t xml:space="preserve">References</w:t>
      </w:r>
    </w:p>
    <w:p>
      <w:pPr>
        <w:pStyle w:val="FirstParagraph"/>
      </w:pPr>
      <w:bookmarkStart w:id="67" w:name="ref-1"/>
      <w:bookmarkEnd w:id="67"/>
      <w:r>
        <w:t xml:space="preserve">1. P. J. Baldwin,</w:t>
      </w:r>
      <w:r>
        <w:t xml:space="preserve"> </w:t>
      </w:r>
      <w:r>
        <w:t xml:space="preserve">“Deep Space Network Scheduling: Principles, Challenges, and Path Forward,”</w:t>
      </w:r>
      <w:r>
        <w:t xml:space="preserve"> </w:t>
      </w:r>
      <w:r>
        <w:t xml:space="preserve">NASA Technical Reports Server, NTRS 20250004124, 2025.</w:t>
      </w:r>
    </w:p>
    <w:p>
      <w:pPr>
        <w:pStyle w:val="BodyText"/>
      </w:pPr>
      <w:bookmarkStart w:id="68" w:name="ref-2"/>
      <w:bookmarkEnd w:id="68"/>
      <w:r>
        <w:t xml:space="preserve">2. Jet Propulsion Laboratory,</w:t>
      </w:r>
      <w:r>
        <w:t xml:space="preserve"> </w:t>
      </w:r>
      <w:r>
        <w:t xml:space="preserve">“Deep Space Network Current Mission Set,”</w:t>
      </w:r>
      <w:r>
        <w:t xml:space="preserve"> </w:t>
      </w:r>
      <w:r>
        <w:t xml:space="preserve">July 8, 2020.</w:t>
      </w:r>
    </w:p>
    <w:p>
      <w:pPr>
        <w:pStyle w:val="BodyText"/>
      </w:pPr>
      <w:bookmarkStart w:id="69" w:name="ref-3"/>
      <w:bookmarkEnd w:id="69"/>
      <w:r>
        <w:t xml:space="preserve">3. M. D. Johnston,</w:t>
      </w:r>
      <w:r>
        <w:t xml:space="preserve"> </w:t>
      </w:r>
      <w:r>
        <w:t xml:space="preserve">“User Preference Optimization for Oversubscribed Deep Space Network Scheduling,”</w:t>
      </w:r>
      <w:r>
        <w:t xml:space="preserve"> </w:t>
      </w:r>
      <w:r>
        <w:t xml:space="preserve">NASA Technical Reports Server, NTRS 20220008366, 2021.</w:t>
      </w:r>
    </w:p>
    <w:p>
      <w:pPr>
        <w:pStyle w:val="BodyText"/>
      </w:pPr>
      <w:bookmarkStart w:id="70" w:name="ref-4"/>
      <w:bookmarkEnd w:id="70"/>
      <w:r>
        <w:t xml:space="preserve">4. M. R. Dhamani et al.,</w:t>
      </w:r>
      <w:r>
        <w:t xml:space="preserve"> </w:t>
      </w:r>
      <w:r>
        <w:t xml:space="preserve">“A Demand Access Paradigm for Deep Space Communications,”</w:t>
      </w:r>
      <w:r>
        <w:t xml:space="preserve"> </w:t>
      </w:r>
      <w:r>
        <w:t xml:space="preserve">Jet Propulsion Laboratory, 2021.</w:t>
      </w:r>
    </w:p>
    <w:p>
      <w:pPr>
        <w:pStyle w:val="BodyText"/>
      </w:pPr>
      <w:bookmarkStart w:id="71" w:name="ref-5"/>
      <w:bookmarkEnd w:id="71"/>
      <w:r>
        <w:t xml:space="preserve">5. I. Wilson et al.,</w:t>
      </w:r>
      <w:r>
        <w:t xml:space="preserve"> </w:t>
      </w:r>
      <w:r>
        <w:t xml:space="preserve">“Scheduling the Deep Space Network with Deep Reinforcement Learning,”</w:t>
      </w:r>
      <w:r>
        <w:t xml:space="preserve"> </w:t>
      </w:r>
      <w:r>
        <w:t xml:space="preserve">NASA Technical Reports Server, NTRS 20220003798, 2022.</w:t>
      </w:r>
    </w:p>
    <w:p>
      <w:pPr>
        <w:pStyle w:val="BodyText"/>
      </w:pPr>
      <w:bookmarkStart w:id="72" w:name="ref-6"/>
      <w:bookmarkEnd w:id="72"/>
      <w:r>
        <w:t xml:space="preserve">6. M. D. Johnston and A. Lad,</w:t>
      </w:r>
      <w:r>
        <w:t xml:space="preserve"> </w:t>
      </w:r>
      <w:r>
        <w:t xml:space="preserve">“Spacecraft Block Scheduling for NASA’s Deep Space Network,”</w:t>
      </w:r>
      <w:r>
        <w:t xml:space="preserve"> </w:t>
      </w:r>
      <w:r>
        <w:t xml:space="preserve">Jet Propulsion Laboratory, 2018.</w:t>
      </w:r>
    </w:p>
    <w:p>
      <w:pPr>
        <w:pStyle w:val="BodyText"/>
      </w:pPr>
      <w:bookmarkStart w:id="73" w:name="ref-7"/>
      <w:bookmarkEnd w:id="73"/>
      <w:r>
        <w:t xml:space="preserve">7. NASA Office of Inspector General,</w:t>
      </w:r>
      <w:r>
        <w:t xml:space="preserve"> </w:t>
      </w:r>
      <w:r>
        <w:t xml:space="preserve">“NASA’s Management of the Deep Space Network,”</w:t>
      </w:r>
      <w:r>
        <w:t xml:space="preserve"> </w:t>
      </w:r>
      <w:r>
        <w:t xml:space="preserve">Report IG-23-016, July 12, 2023.</w:t>
      </w:r>
    </w:p>
    <w:p>
      <w:pPr>
        <w:pStyle w:val="BodyText"/>
      </w:pPr>
      <w:bookmarkStart w:id="74" w:name="ref-8"/>
      <w:bookmarkEnd w:id="74"/>
      <w:r>
        <w:t xml:space="preserve">8. Jet Propulsion Laboratory,</w:t>
      </w:r>
      <w:r>
        <w:t xml:space="preserve"> </w:t>
      </w:r>
      <w:r>
        <w:t xml:space="preserve">“Queuing Antenna for Demand Access,”</w:t>
      </w:r>
      <w:r>
        <w:t xml:space="preserve"> </w:t>
      </w:r>
      <w:r>
        <w:t xml:space="preserve">NASA Technical Reports Server, NTRS 20230007021, 2023.</w:t>
      </w:r>
    </w:p>
    <w:bookmarkEnd w:id="75"/>
    <w:bookmarkStart w:id="76" w:name="specification"/>
    <w:p>
      <w:pPr>
        <w:pStyle w:val="Heading2"/>
      </w:pPr>
      <w:r>
        <w:t xml:space="preserve">Specification</w:t>
      </w:r>
    </w:p>
    <w:p>
      <w:pPr>
        <w:pStyle w:val="FirstParagraph"/>
      </w:pPr>
      <m:oMathPara>
        <m:oMathParaPr>
          <m:jc m:val="center"/>
        </m:oMathParaPr>
        <m:oMath>
          <m:sSub>
            <m:e>
              <m:r>
                <m:rPr>
                  <m:nor/>
                  <m:sty m:val="p"/>
                </m:rPr>
                <m:t>HoursLost</m:t>
              </m:r>
            </m:e>
            <m:sub>
              <m:r>
                <m:t>i</m:t>
              </m:r>
            </m:sub>
          </m:sSub>
          <m:r>
            <m:rPr>
              <m:sty m:val="p"/>
            </m:rPr>
            <m:t>=</m:t>
          </m:r>
          <m:r>
            <m:t>α</m:t>
          </m:r>
          <m:r>
            <m:rPr>
              <m:sty m:val="p"/>
            </m:rPr>
            <m:t>+</m:t>
          </m:r>
          <m:sSub>
            <m:e>
              <m:r>
                <m:t>β</m:t>
              </m:r>
            </m:e>
            <m:sub>
              <m:r>
                <m:t>1</m:t>
              </m:r>
            </m:sub>
          </m:sSub>
          <m:sSub>
            <m:e>
              <m:r>
                <m:rPr>
                  <m:nor/>
                  <m:sty m:val="p"/>
                </m:rPr>
                <m:t>Heliophysics</m:t>
              </m:r>
            </m:e>
            <m:sub>
              <m:r>
                <m:t>i</m:t>
              </m:r>
            </m:sub>
          </m:sSub>
          <m:r>
            <m:rPr>
              <m:sty m:val="p"/>
            </m:rPr>
            <m:t>+</m:t>
          </m:r>
          <m:sSub>
            <m:e>
              <m:r>
                <m:t>β</m:t>
              </m:r>
            </m:e>
            <m:sub>
              <m:r>
                <m:t>2</m:t>
              </m:r>
            </m:sub>
          </m:sSub>
          <m:sSub>
            <m:e>
              <m:r>
                <m:rPr>
                  <m:nor/>
                  <m:sty m:val="p"/>
                </m:rPr>
                <m:t>DeepSpace</m:t>
              </m:r>
            </m:e>
            <m:sub>
              <m:r>
                <m:t>i</m:t>
              </m:r>
            </m:sub>
          </m:sSub>
          <m:r>
            <m:rPr>
              <m:sty m:val="p"/>
            </m:rPr>
            <m:t>+</m:t>
          </m:r>
          <m:sSub>
            <m:e>
              <m:r>
                <m:t>ε</m:t>
              </m:r>
            </m:e>
            <m:sub>
              <m:r>
                <m:t>i</m:t>
              </m:r>
            </m:sub>
          </m:sSub>
        </m:oMath>
      </m:oMathPara>
    </w:p>
    <w:bookmarkEnd w:id="76"/>
    <w:bookmarkStart w:id="80"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54.6525</w:t>
            </w:r>
          </w:p>
        </w:tc>
        <w:tc>
          <w:tcPr>
            <w:tcW w:w="0" w:type="auto"/>
          </w:tcPr>
          <w:p>
            <w:pPr>
              <w:spacing w:line="240" w:lineRule="auto" w:before="0" w:after="0"/>
              <w:pStyle w:val="Compact"/>
            </w:pPr>
            <w:r>
              <w:rPr>
                <w:sz w:val="20"/>
                <w:szCs w:val="20"/>
              </w:rPr>
              <w:t xml:space="preserve">18.4865</w:t>
            </w:r>
          </w:p>
        </w:tc>
        <w:tc>
          <w:tcPr>
            <w:tcW w:w="0" w:type="auto"/>
          </w:tcPr>
          <w:p>
            <w:pPr>
              <w:spacing w:line="240" w:lineRule="auto" w:before="0" w:after="0"/>
              <w:pStyle w:val="Compact"/>
            </w:pPr>
            <w:r>
              <w:rPr>
                <w:sz w:val="20"/>
                <w:szCs w:val="20"/>
              </w:rPr>
              <w:t xml:space="preserve">2.9564</w:t>
            </w:r>
          </w:p>
        </w:tc>
        <w:tc>
          <w:tcPr>
            <w:tcW w:w="0" w:type="auto"/>
          </w:tcPr>
          <w:p>
            <w:pPr>
              <w:spacing w:line="240" w:lineRule="auto" w:before="0" w:after="0"/>
              <w:pStyle w:val="Compact"/>
            </w:pPr>
            <w:r>
              <w:rPr>
                <w:sz w:val="20"/>
                <w:szCs w:val="20"/>
              </w:rPr>
              <w:t xml:space="preserve">0.0031</w:t>
            </w:r>
          </w:p>
        </w:tc>
        <w:tc>
          <w:tcPr>
            <w:tcW w:w="0" w:type="auto"/>
          </w:tcPr>
          <w:p>
            <w:pPr>
              <w:spacing w:line="240" w:lineRule="auto" w:before="0" w:after="0"/>
              <w:pStyle w:val="Compact"/>
            </w:pPr>
            <w:r>
              <w:rPr>
                <w:sz w:val="20"/>
                <w:szCs w:val="20"/>
              </w:rPr>
              <w:t xml:space="preserve">[18.4197, 90.8853]</w:t>
            </w:r>
          </w:p>
        </w:tc>
      </w:tr>
      <w:tr>
        <w:tc>
          <w:tcPr>
            <w:tcW w:w="0" w:type="auto"/>
          </w:tcPr>
          <w:p>
            <w:pPr>
              <w:spacing w:line="240" w:lineRule="auto" w:before="0" w:after="0"/>
              <w:pStyle w:val="Compact"/>
            </w:pPr>
            <w:r>
              <w:rPr>
                <w:sz w:val="20"/>
                <w:szCs w:val="20"/>
              </w:rPr>
              <w:t xml:space="preserve">heliophysics</w:t>
            </w:r>
          </w:p>
        </w:tc>
        <w:tc>
          <w:tcPr>
            <w:tcW w:w="0" w:type="auto"/>
          </w:tcPr>
          <w:p>
            <w:pPr>
              <w:spacing w:line="240" w:lineRule="auto" w:before="0" w:after="0"/>
              <w:pStyle w:val="Compact"/>
            </w:pPr>
            <w:r>
              <w:rPr>
                <w:sz w:val="20"/>
                <w:szCs w:val="20"/>
              </w:rPr>
              <w:t xml:space="preserve">-31.8046</w:t>
            </w:r>
          </w:p>
        </w:tc>
        <w:tc>
          <w:tcPr>
            <w:tcW w:w="0" w:type="auto"/>
          </w:tcPr>
          <w:p>
            <w:pPr>
              <w:spacing w:line="240" w:lineRule="auto" w:before="0" w:after="0"/>
              <w:pStyle w:val="Compact"/>
            </w:pPr>
            <w:r>
              <w:rPr>
                <w:sz w:val="20"/>
                <w:szCs w:val="20"/>
              </w:rPr>
              <w:t xml:space="preserve">18.3146</w:t>
            </w:r>
          </w:p>
        </w:tc>
        <w:tc>
          <w:tcPr>
            <w:tcW w:w="0" w:type="auto"/>
          </w:tcPr>
          <w:p>
            <w:pPr>
              <w:spacing w:line="240" w:lineRule="auto" w:before="0" w:after="0"/>
              <w:pStyle w:val="Compact"/>
            </w:pPr>
            <w:r>
              <w:rPr>
                <w:sz w:val="20"/>
                <w:szCs w:val="20"/>
              </w:rPr>
              <w:t xml:space="preserve">-1.7366</w:t>
            </w:r>
          </w:p>
        </w:tc>
        <w:tc>
          <w:tcPr>
            <w:tcW w:w="0" w:type="auto"/>
          </w:tcPr>
          <w:p>
            <w:pPr>
              <w:spacing w:line="240" w:lineRule="auto" w:before="0" w:after="0"/>
              <w:pStyle w:val="Compact"/>
            </w:pPr>
            <w:r>
              <w:rPr>
                <w:sz w:val="20"/>
                <w:szCs w:val="20"/>
              </w:rPr>
              <w:t xml:space="preserve">0.0825</w:t>
            </w:r>
          </w:p>
        </w:tc>
        <w:tc>
          <w:tcPr>
            <w:tcW w:w="0" w:type="auto"/>
          </w:tcPr>
          <w:p>
            <w:pPr>
              <w:spacing w:line="240" w:lineRule="auto" w:before="0" w:after="0"/>
              <w:pStyle w:val="Compact"/>
            </w:pPr>
            <w:r>
              <w:rPr>
                <w:sz w:val="20"/>
                <w:szCs w:val="20"/>
              </w:rPr>
              <w:t xml:space="preserve">[-67.7005, 4.0913]</w:t>
            </w:r>
          </w:p>
        </w:tc>
      </w:tr>
      <w:tr>
        <w:tc>
          <w:tcPr>
            <w:tcW w:w="0" w:type="auto"/>
          </w:tcPr>
          <w:p>
            <w:pPr>
              <w:spacing w:line="240" w:lineRule="auto" w:before="0" w:after="0"/>
              <w:pStyle w:val="Compact"/>
            </w:pPr>
            <w:r>
              <w:rPr>
                <w:sz w:val="20"/>
                <w:szCs w:val="20"/>
              </w:rPr>
              <w:t xml:space="preserve">deep_space_type</w:t>
            </w:r>
          </w:p>
        </w:tc>
        <w:tc>
          <w:tcPr>
            <w:tcW w:w="0" w:type="auto"/>
          </w:tcPr>
          <w:p>
            <w:pPr>
              <w:spacing w:line="240" w:lineRule="auto" w:before="0" w:after="0"/>
              <w:pStyle w:val="Compact"/>
            </w:pPr>
            <w:r>
              <w:rPr>
                <w:sz w:val="20"/>
                <w:szCs w:val="20"/>
              </w:rPr>
              <w:t xml:space="preserve">-1.4853</w:t>
            </w:r>
          </w:p>
        </w:tc>
        <w:tc>
          <w:tcPr>
            <w:tcW w:w="0" w:type="auto"/>
          </w:tcPr>
          <w:p>
            <w:pPr>
              <w:spacing w:line="240" w:lineRule="auto" w:before="0" w:after="0"/>
              <w:pStyle w:val="Compact"/>
            </w:pPr>
            <w:r>
              <w:rPr>
                <w:sz w:val="20"/>
                <w:szCs w:val="20"/>
              </w:rPr>
              <w:t xml:space="preserve">19.547</w:t>
            </w:r>
          </w:p>
        </w:tc>
        <w:tc>
          <w:tcPr>
            <w:tcW w:w="0" w:type="auto"/>
          </w:tcPr>
          <w:p>
            <w:pPr>
              <w:spacing w:line="240" w:lineRule="auto" w:before="0" w:after="0"/>
              <w:pStyle w:val="Compact"/>
            </w:pPr>
            <w:r>
              <w:rPr>
                <w:sz w:val="20"/>
                <w:szCs w:val="20"/>
              </w:rPr>
              <w:t xml:space="preserve">-0.076</w:t>
            </w:r>
          </w:p>
        </w:tc>
        <w:tc>
          <w:tcPr>
            <w:tcW w:w="0" w:type="auto"/>
          </w:tcPr>
          <w:p>
            <w:pPr>
              <w:spacing w:line="240" w:lineRule="auto" w:before="0" w:after="0"/>
              <w:pStyle w:val="Compact"/>
            </w:pPr>
            <w:r>
              <w:rPr>
                <w:sz w:val="20"/>
                <w:szCs w:val="20"/>
              </w:rPr>
              <w:t xml:space="preserve">0.9394</w:t>
            </w:r>
          </w:p>
        </w:tc>
        <w:tc>
          <w:tcPr>
            <w:tcW w:w="0" w:type="auto"/>
          </w:tcPr>
          <w:p>
            <w:pPr>
              <w:spacing w:line="240" w:lineRule="auto" w:before="0" w:after="0"/>
              <w:pStyle w:val="Compact"/>
            </w:pPr>
            <w:r>
              <w:rPr>
                <w:sz w:val="20"/>
                <w:szCs w:val="20"/>
              </w:rPr>
              <w:t xml:space="preserve">[-39.7967, 36.826]</w:t>
            </w:r>
          </w:p>
        </w:tc>
      </w:tr>
    </w:tbl>
    <w:p>
      <w:pPr>
        <w:pStyle w:val="BodyText"/>
      </w:pPr>
      <w:r>
        <w:t xml:space="preserve">Fit: N = 40 R2 = 0.1008 R2_adj = 0.0522 F = 3.2658 F_p = 0.0494</w:t>
      </w:r>
    </w:p>
    <w:p>
      <w:pPr>
        <w:pStyle w:val="CaptionedFigure"/>
      </w:pPr>
      <w:r>
        <w:drawing>
          <wp:inline>
            <wp:extent cx="5669280" cy="3657600"/>
            <wp:effectExtent b="0" l="0" r="0" t="0"/>
            <wp:docPr descr="Figure 1. Figure 1. Mission-level tracking losses during the Artemis I DSN demand shock, separated by heliophysics classification." title="" id="78" name="Picture"/>
            <a:graphic>
              <a:graphicData uri="http://schemas.openxmlformats.org/drawingml/2006/picture">
                <pic:pic>
                  <pic:nvPicPr>
                    <pic:cNvPr descr="dissertations\JPL_ASTRO_EARTH_05\research_papers\p1\paper_fig1.png" id="79" name="Picture"/>
                    <pic:cNvPicPr>
                      <a:picLocks noChangeArrowheads="1" noChangeAspect="1"/>
                    </pic:cNvPicPr>
                  </pic:nvPicPr>
                  <pic:blipFill>
                    <a:blip r:embed="rId77"/>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Figure 1. Mission-level tracking losses during the Artemis I DSN demand shock, separated by heliophysics classification.</w:t>
      </w:r>
    </w:p>
    <w:bookmarkEnd w:id="80"/>
    <w:bookmarkStart w:id="84"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1"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584"/>
        <w:gridCol w:w="1584"/>
        <w:gridCol w:w="1584"/>
        <w:gridCol w:w="1584"/>
        <w:gridCol w:w="1584"/>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hours_lost</w:t>
            </w:r>
          </w:p>
        </w:tc>
        <w:tc>
          <w:tcPr>
            <w:tcW w:w="0" w:type="auto"/>
          </w:tcPr>
          <w:p>
            <w:pPr>
              <w:spacing w:line="240" w:lineRule="auto" w:before="0" w:after="0"/>
              <w:pStyle w:val="Compact"/>
            </w:pPr>
            <w:r>
              <w:rPr>
                <w:sz w:val="20"/>
                <w:szCs w:val="20"/>
              </w:rPr>
              <w:t xml:space="preserve">heliophysics</w:t>
            </w:r>
          </w:p>
        </w:tc>
        <w:tc>
          <w:tcPr>
            <w:tcW w:w="0" w:type="auto"/>
          </w:tcPr>
          <w:p>
            <w:pPr>
              <w:spacing w:line="240" w:lineRule="auto" w:before="0" w:after="0"/>
              <w:pStyle w:val="Compact"/>
            </w:pPr>
            <w:r>
              <w:rPr>
                <w:sz w:val="20"/>
                <w:szCs w:val="20"/>
              </w:rPr>
              <w:t xml:space="preserve">deep_space_type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INTG</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NTRS 20250004124, slide 6; JPL Deep Space Network Current Mission Set, 2020-07-08</w:t>
            </w:r>
          </w:p>
        </w:tc>
      </w:tr>
      <w:tr>
        <w:tc>
          <w:tcPr>
            <w:tcW w:w="0" w:type="auto"/>
          </w:tcPr>
          <w:p>
            <w:pPr>
              <w:spacing w:line="240" w:lineRule="auto" w:before="0" w:after="0"/>
              <w:pStyle w:val="Compact"/>
            </w:pPr>
            <w:r>
              <w:rPr>
                <w:sz w:val="20"/>
                <w:szCs w:val="20"/>
              </w:rPr>
              <w:t xml:space="preserve">DSCO</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NTRS 20250004124, slide 6; JPL Deep Space Network Current Mission Set, 2020-07-08</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NTRS 20250004124, slide 6; JPL Deep Space Network Current Mission Set, 2020-07-08</w:t>
            </w:r>
          </w:p>
        </w:tc>
      </w:tr>
      <w:tr>
        <w:tc>
          <w:tcPr>
            <w:tcW w:w="0" w:type="auto"/>
          </w:tcPr>
          <w:p>
            <w:pPr>
              <w:spacing w:line="240" w:lineRule="auto" w:before="0" w:after="0"/>
              <w:pStyle w:val="Compact"/>
            </w:pPr>
            <w:r>
              <w:rPr>
                <w:sz w:val="20"/>
                <w:szCs w:val="20"/>
              </w:rPr>
              <w:t xml:space="preserve">WIND</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NTRS 20250004124, slide 6; JPL Deep Space Network Current Mission Set, 2020-07-08</w:t>
            </w:r>
          </w:p>
        </w:tc>
      </w:tr>
      <w:tr>
        <w:tc>
          <w:tcPr>
            <w:tcW w:w="0" w:type="auto"/>
          </w:tcPr>
          <w:p>
            <w:pPr>
              <w:spacing w:line="240" w:lineRule="auto" w:before="0" w:after="0"/>
              <w:pStyle w:val="Compact"/>
            </w:pPr>
            <w:r>
              <w:rPr>
                <w:sz w:val="20"/>
                <w:szCs w:val="20"/>
              </w:rPr>
              <w:t xml:space="preserve">M20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NTRS 20250004124, slide 6; JPL Deep Space Network Current Mission Set, 2020-07-08</w:t>
            </w:r>
          </w:p>
        </w:tc>
      </w:tr>
      <w:tr>
        <w:tc>
          <w:tcPr>
            <w:tcW w:w="0" w:type="auto"/>
          </w:tcPr>
          <w:p>
            <w:pPr>
              <w:spacing w:line="240" w:lineRule="auto" w:before="0" w:after="0"/>
              <w:pStyle w:val="Compact"/>
            </w:pPr>
            <w:r>
              <w:rPr>
                <w:sz w:val="20"/>
                <w:szCs w:val="20"/>
              </w:rPr>
              <w:t xml:space="preserve">MMS1</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NTRS 20250004124, slide 6; JPL Deep Space Network Current Mission Set, 2020-07-08</w:t>
            </w:r>
          </w:p>
        </w:tc>
      </w:tr>
      <w:tr>
        <w:tc>
          <w:tcPr>
            <w:tcW w:w="0" w:type="auto"/>
          </w:tcPr>
          <w:p>
            <w:pPr>
              <w:spacing w:line="240" w:lineRule="auto" w:before="0" w:after="0"/>
              <w:pStyle w:val="Compact"/>
            </w:pPr>
            <w:r>
              <w:rPr>
                <w:sz w:val="20"/>
                <w:szCs w:val="20"/>
              </w:rPr>
              <w:t xml:space="preserve">MMS3</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NTRS 20250004124, slide 6; JPL Deep Space Network Current Mission Set, 2020-07-08</w:t>
            </w:r>
          </w:p>
        </w:tc>
      </w:tr>
      <w:tr>
        <w:tc>
          <w:tcPr>
            <w:tcW w:w="0" w:type="auto"/>
          </w:tcPr>
          <w:p>
            <w:pPr>
              <w:spacing w:line="240" w:lineRule="auto" w:before="0" w:after="0"/>
              <w:pStyle w:val="Compact"/>
            </w:pPr>
            <w:r>
              <w:rPr>
                <w:sz w:val="20"/>
                <w:szCs w:val="20"/>
              </w:rPr>
              <w:t xml:space="preserve">MMS2</w:t>
            </w:r>
          </w:p>
        </w:tc>
        <w:tc>
          <w:tcPr>
            <w:tcW w:w="0" w:type="auto"/>
          </w:tcPr>
          <w:p>
            <w:pPr>
              <w:spacing w:line="240" w:lineRule="auto" w:before="0" w:after="0"/>
              <w:pStyle w:val="Compact"/>
            </w:pPr>
            <w:r>
              <w:rPr>
                <w:sz w:val="20"/>
                <w:szCs w:val="20"/>
              </w:rPr>
              <w:t xml:space="preserve">6.7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NTRS 20250004124, slide 6; JPL Deep Space Network Current Mission Set, 2020-07-08</w:t>
            </w:r>
          </w:p>
        </w:tc>
      </w:tr>
      <w:tr>
        <w:tc>
          <w:tcPr>
            <w:tcW w:w="0" w:type="auto"/>
          </w:tcPr>
          <w:p>
            <w:pPr>
              <w:spacing w:line="240" w:lineRule="auto" w:before="0" w:after="0"/>
              <w:pStyle w:val="Compact"/>
            </w:pPr>
            <w:r>
              <w:rPr>
                <w:sz w:val="20"/>
                <w:szCs w:val="20"/>
              </w:rPr>
              <w:t xml:space="preserve">THB</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NTRS 20250004124, slide 6; JPL Deep Space Network Current Mission Set, 2020-07-08</w:t>
            </w:r>
          </w:p>
        </w:tc>
      </w:tr>
      <w:tr>
        <w:tc>
          <w:tcPr>
            <w:tcW w:w="0" w:type="auto"/>
          </w:tcPr>
          <w:p>
            <w:pPr>
              <w:spacing w:line="240" w:lineRule="auto" w:before="0" w:after="0"/>
              <w:pStyle w:val="Compact"/>
            </w:pPr>
            <w:r>
              <w:rPr>
                <w:sz w:val="20"/>
                <w:szCs w:val="20"/>
              </w:rPr>
              <w:t xml:space="preserve">PLC</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NTRS 20250004124, slide 6; JPL Deep Space Network Current Mission Set, 2020-07-08</w:t>
            </w:r>
          </w:p>
        </w:tc>
      </w:tr>
      <w:tr>
        <w:tc>
          <w:tcPr>
            <w:tcW w:w="0" w:type="auto"/>
          </w:tcPr>
          <w:p>
            <w:pPr>
              <w:spacing w:line="240" w:lineRule="auto" w:before="0" w:after="0"/>
              <w:pStyle w:val="Compact"/>
            </w:pPr>
            <w:r>
              <w:rPr>
                <w:sz w:val="20"/>
                <w:szCs w:val="20"/>
              </w:rPr>
              <w:t xml:space="preserve">EMM</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NTRS 20250004124, slide 6; JPL Deep Space Network Current Mission Set, 2020-07-08</w:t>
            </w:r>
          </w:p>
        </w:tc>
      </w:tr>
      <w:tr>
        <w:tc>
          <w:tcPr>
            <w:tcW w:w="0" w:type="auto"/>
          </w:tcPr>
          <w:p>
            <w:pPr>
              <w:spacing w:line="240" w:lineRule="auto" w:before="0" w:after="0"/>
              <w:pStyle w:val="Compact"/>
            </w:pPr>
            <w:r>
              <w:rPr>
                <w:sz w:val="20"/>
                <w:szCs w:val="20"/>
              </w:rPr>
              <w:t xml:space="preserve">GBRA</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NTRS 20250004124, slide 6; JPL Deep Space Network Current Mission Set, 2020-07-08</w:t>
            </w:r>
          </w:p>
        </w:tc>
      </w:tr>
      <w:tr>
        <w:tc>
          <w:tcPr>
            <w:tcW w:w="0" w:type="auto"/>
          </w:tcPr>
          <w:p>
            <w:pPr>
              <w:spacing w:line="240" w:lineRule="auto" w:before="0" w:after="0"/>
              <w:pStyle w:val="Compact"/>
            </w:pPr>
            <w:r>
              <w:rPr>
                <w:sz w:val="20"/>
                <w:szCs w:val="20"/>
              </w:rPr>
              <w:t xml:space="preserve">THC</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NTRS 20250004124, slide 6; JPL Deep Space Network Current Mission Set, 2020-07-08</w:t>
            </w:r>
          </w:p>
        </w:tc>
      </w:tr>
      <w:tr>
        <w:tc>
          <w:tcPr>
            <w:tcW w:w="0" w:type="auto"/>
          </w:tcPr>
          <w:p>
            <w:pPr>
              <w:spacing w:line="240" w:lineRule="auto" w:before="0" w:after="0"/>
              <w:pStyle w:val="Compact"/>
            </w:pPr>
            <w:r>
              <w:rPr>
                <w:sz w:val="20"/>
                <w:szCs w:val="20"/>
              </w:rPr>
              <w:t xml:space="preserve">XMM</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NTRS 20250004124, slide 6; JPL Deep Space Network Current Mission Set, 2020-07-08</w:t>
            </w:r>
          </w:p>
        </w:tc>
      </w:tr>
      <w:tr>
        <w:tc>
          <w:tcPr>
            <w:tcW w:w="0" w:type="auto"/>
          </w:tcPr>
          <w:p>
            <w:pPr>
              <w:spacing w:line="240" w:lineRule="auto" w:before="0" w:after="0"/>
              <w:pStyle w:val="Compact"/>
            </w:pPr>
            <w:r>
              <w:rPr>
                <w:sz w:val="20"/>
                <w:szCs w:val="20"/>
              </w:rPr>
              <w:t xml:space="preserve">MMS4</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NTRS 20250004124, slide 6; JPL Deep Space Network Current Mission Set, 2020-07-08</w:t>
            </w:r>
          </w:p>
        </w:tc>
      </w:tr>
      <w:tr>
        <w:tc>
          <w:tcPr>
            <w:tcW w:w="0" w:type="auto"/>
          </w:tcPr>
          <w:p>
            <w:pPr>
              <w:spacing w:line="240" w:lineRule="auto" w:before="0" w:after="0"/>
              <w:pStyle w:val="Compact"/>
            </w:pPr>
            <w:r>
              <w:rPr>
                <w:sz w:val="20"/>
                <w:szCs w:val="20"/>
              </w:rPr>
              <w:t xml:space="preserve">STA</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NTRS 20250004124, slide 6; JPL Deep Space Network Current Mission Set, 2020-07-08</w:t>
            </w:r>
          </w:p>
        </w:tc>
      </w:tr>
      <w:tr>
        <w:tc>
          <w:tcPr>
            <w:tcW w:w="0" w:type="auto"/>
          </w:tcPr>
          <w:p>
            <w:pPr>
              <w:spacing w:line="240" w:lineRule="auto" w:before="0" w:after="0"/>
              <w:pStyle w:val="Compact"/>
            </w:pPr>
            <w:r>
              <w:rPr>
                <w:sz w:val="20"/>
                <w:szCs w:val="20"/>
              </w:rPr>
              <w:t xml:space="preserve">SLIM</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NTRS 20250004124, slide 6; JPL Deep Space Network Current Mission Set, 2020-07-08</w:t>
            </w:r>
          </w:p>
        </w:tc>
      </w:tr>
      <w:tr>
        <w:tc>
          <w:tcPr>
            <w:tcW w:w="0" w:type="auto"/>
          </w:tcPr>
          <w:p>
            <w:pPr>
              <w:spacing w:line="240" w:lineRule="auto" w:before="0" w:after="0"/>
              <w:pStyle w:val="Compact"/>
            </w:pPr>
            <w:r>
              <w:rPr>
                <w:sz w:val="20"/>
                <w:szCs w:val="20"/>
              </w:rPr>
              <w:t xml:space="preserve">MSL</w:t>
            </w:r>
          </w:p>
        </w:tc>
        <w:tc>
          <w:tcPr>
            <w:tcW w:w="0" w:type="auto"/>
          </w:tcPr>
          <w:p>
            <w:pPr>
              <w:spacing w:line="240" w:lineRule="auto" w:before="0" w:after="0"/>
              <w:pStyle w:val="Compact"/>
            </w:pPr>
            <w:r>
              <w:rPr>
                <w:sz w:val="20"/>
                <w:szCs w:val="20"/>
              </w:rPr>
              <w:t xml:space="preserve">15.1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NTRS 20250004124, slide 6; JPL Deep Space Network Current Mission Set, 2020-07-08</w:t>
            </w:r>
          </w:p>
        </w:tc>
      </w:tr>
      <w:tr>
        <w:tc>
          <w:tcPr>
            <w:tcW w:w="0" w:type="auto"/>
          </w:tcPr>
          <w:p>
            <w:pPr>
              <w:spacing w:line="240" w:lineRule="auto" w:before="0" w:after="0"/>
              <w:pStyle w:val="Compact"/>
            </w:pPr>
            <w:r>
              <w:rPr>
                <w:sz w:val="20"/>
                <w:szCs w:val="20"/>
              </w:rPr>
              <w:t xml:space="preserve">CHDR</w:t>
            </w:r>
          </w:p>
        </w:tc>
        <w:tc>
          <w:tcPr>
            <w:tcW w:w="0" w:type="auto"/>
          </w:tcPr>
          <w:p>
            <w:pPr>
              <w:spacing w:line="240" w:lineRule="auto" w:before="0" w:after="0"/>
              <w:pStyle w:val="Compact"/>
            </w:pPr>
            <w:r>
              <w:rPr>
                <w:sz w:val="20"/>
                <w:szCs w:val="20"/>
              </w:rPr>
              <w:t xml:space="preserve">15.5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NTRS 20250004124, slide 6; JPL Deep Space Network Current Mission Set, 2020-07-08</w:t>
            </w:r>
          </w:p>
        </w:tc>
      </w:tr>
      <w:tr>
        <w:tc>
          <w:tcPr>
            <w:tcW w:w="0" w:type="auto"/>
          </w:tcPr>
          <w:p>
            <w:pPr>
              <w:spacing w:line="240" w:lineRule="auto" w:before="0" w:after="0"/>
              <w:pStyle w:val="Compact"/>
            </w:pPr>
            <w:r>
              <w:rPr>
                <w:sz w:val="20"/>
                <w:szCs w:val="20"/>
              </w:rPr>
              <w:t xml:space="preserve">ACE</w:t>
            </w:r>
          </w:p>
        </w:tc>
        <w:tc>
          <w:tcPr>
            <w:tcW w:w="0" w:type="auto"/>
          </w:tcPr>
          <w:p>
            <w:pPr>
              <w:spacing w:line="240" w:lineRule="auto" w:before="0" w:after="0"/>
              <w:pStyle w:val="Compact"/>
            </w:pPr>
            <w:r>
              <w:rPr>
                <w:sz w:val="20"/>
                <w:szCs w:val="20"/>
              </w:rPr>
              <w:t xml:space="preserve">18.7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NTRS 20250004124, slide 6; JPL Deep Space Network Current Mission Set, 2020-07-08</w:t>
            </w:r>
          </w:p>
        </w:tc>
      </w:tr>
      <w:tr>
        <w:tc>
          <w:tcPr>
            <w:tcW w:w="0" w:type="auto"/>
          </w:tcPr>
          <w:p>
            <w:pPr>
              <w:spacing w:line="240" w:lineRule="auto" w:before="0" w:after="0"/>
              <w:pStyle w:val="Compact"/>
            </w:pPr>
            <w:r>
              <w:rPr>
                <w:sz w:val="20"/>
                <w:szCs w:val="20"/>
              </w:rPr>
              <w:t xml:space="preserve">JNO</w:t>
            </w:r>
          </w:p>
        </w:tc>
        <w:tc>
          <w:tcPr>
            <w:tcW w:w="0" w:type="auto"/>
          </w:tcPr>
          <w:p>
            <w:pPr>
              <w:spacing w:line="240" w:lineRule="auto" w:before="0" w:after="0"/>
              <w:pStyle w:val="Compact"/>
            </w:pPr>
            <w:r>
              <w:rPr>
                <w:sz w:val="20"/>
                <w:szCs w:val="20"/>
              </w:rPr>
              <w:t xml:space="preserve">22.5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NTRS 20250004124, slide 6; JPL Deep Space Network Current Mission Set, 2020-07-08</w:t>
            </w:r>
          </w:p>
        </w:tc>
      </w:tr>
      <w:tr>
        <w:tc>
          <w:tcPr>
            <w:tcW w:w="0" w:type="auto"/>
          </w:tcPr>
          <w:p>
            <w:pPr>
              <w:spacing w:line="240" w:lineRule="auto" w:before="0" w:after="0"/>
              <w:pStyle w:val="Compact"/>
            </w:pPr>
            <w:r>
              <w:rPr>
                <w:sz w:val="20"/>
                <w:szCs w:val="20"/>
              </w:rPr>
              <w:t xml:space="preserve">LICI</w:t>
            </w:r>
          </w:p>
        </w:tc>
        <w:tc>
          <w:tcPr>
            <w:tcW w:w="0" w:type="auto"/>
          </w:tcPr>
          <w:p>
            <w:pPr>
              <w:spacing w:line="240" w:lineRule="auto" w:before="0" w:after="0"/>
              <w:pStyle w:val="Compact"/>
            </w:pPr>
            <w:r>
              <w:rPr>
                <w:sz w:val="20"/>
                <w:szCs w:val="20"/>
              </w:rPr>
              <w:t xml:space="preserve">22.7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NTRS 20250004124, slide 6; JPL Deep Space Network Current Mission Set, 2020-07-08</w:t>
            </w:r>
          </w:p>
        </w:tc>
      </w:tr>
      <w:tr>
        <w:tc>
          <w:tcPr>
            <w:tcW w:w="0" w:type="auto"/>
          </w:tcPr>
          <w:p>
            <w:pPr>
              <w:spacing w:line="240" w:lineRule="auto" w:before="0" w:after="0"/>
              <w:pStyle w:val="Compact"/>
            </w:pPr>
            <w:r>
              <w:rPr>
                <w:sz w:val="20"/>
                <w:szCs w:val="20"/>
              </w:rPr>
              <w:t xml:space="preserve">KPLO</w:t>
            </w:r>
          </w:p>
        </w:tc>
        <w:tc>
          <w:tcPr>
            <w:tcW w:w="0" w:type="auto"/>
          </w:tcPr>
          <w:p>
            <w:pPr>
              <w:spacing w:line="240" w:lineRule="auto" w:before="0" w:after="0"/>
              <w:pStyle w:val="Compact"/>
            </w:pPr>
            <w:r>
              <w:rPr>
                <w:sz w:val="20"/>
                <w:szCs w:val="20"/>
              </w:rPr>
              <w:t xml:space="preserve">30.2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NTRS 20250004124, slide 6; JPL Deep Space Network Current Mission Set, 2020-07-08</w:t>
            </w:r>
          </w:p>
        </w:tc>
      </w:tr>
      <w:tr>
        <w:tc>
          <w:tcPr>
            <w:tcW w:w="0" w:type="auto"/>
          </w:tcPr>
          <w:p>
            <w:pPr>
              <w:spacing w:line="240" w:lineRule="auto" w:before="0" w:after="0"/>
              <w:pStyle w:val="Compact"/>
            </w:pPr>
            <w:r>
              <w:rPr>
                <w:sz w:val="20"/>
                <w:szCs w:val="20"/>
              </w:rPr>
              <w:t xml:space="preserve">TGO</w:t>
            </w:r>
          </w:p>
        </w:tc>
        <w:tc>
          <w:tcPr>
            <w:tcW w:w="0" w:type="auto"/>
          </w:tcPr>
          <w:p>
            <w:pPr>
              <w:spacing w:line="240" w:lineRule="auto" w:before="0" w:after="0"/>
              <w:pStyle w:val="Compact"/>
            </w:pPr>
            <w:r>
              <w:rPr>
                <w:sz w:val="20"/>
                <w:szCs w:val="20"/>
              </w:rPr>
              <w:t xml:space="preserve">31.8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NTRS 20250004124, slide 6; JPL Deep Space Network Current Mission Set, 2020-07-08</w:t>
            </w:r>
          </w:p>
        </w:tc>
      </w:tr>
      <w:tr>
        <w:tc>
          <w:tcPr>
            <w:tcW w:w="0" w:type="auto"/>
          </w:tcPr>
          <w:p>
            <w:pPr>
              <w:spacing w:line="240" w:lineRule="auto" w:before="0" w:after="0"/>
              <w:pStyle w:val="Compact"/>
            </w:pPr>
            <w:r>
              <w:rPr>
                <w:sz w:val="20"/>
                <w:szCs w:val="20"/>
              </w:rPr>
              <w:t xml:space="preserve">SPP</w:t>
            </w:r>
          </w:p>
        </w:tc>
        <w:tc>
          <w:tcPr>
            <w:tcW w:w="0" w:type="auto"/>
          </w:tcPr>
          <w:p>
            <w:pPr>
              <w:spacing w:line="240" w:lineRule="auto" w:before="0" w:after="0"/>
              <w:pStyle w:val="Compact"/>
            </w:pPr>
            <w:r>
              <w:rPr>
                <w:sz w:val="20"/>
                <w:szCs w:val="20"/>
              </w:rPr>
              <w:t xml:space="preserve">46.2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NTRS 20250004124, slide 6; JPL Deep Space Network Current Mission Set, 2020-07-08</w:t>
            </w:r>
          </w:p>
        </w:tc>
      </w:tr>
      <w:tr>
        <w:tc>
          <w:tcPr>
            <w:tcW w:w="0" w:type="auto"/>
          </w:tcPr>
          <w:p>
            <w:pPr>
              <w:spacing w:line="240" w:lineRule="auto" w:before="0" w:after="0"/>
              <w:pStyle w:val="Compact"/>
            </w:pPr>
            <w:r>
              <w:rPr>
                <w:sz w:val="20"/>
                <w:szCs w:val="20"/>
              </w:rPr>
              <w:t xml:space="preserve">VGR1</w:t>
            </w:r>
          </w:p>
        </w:tc>
        <w:tc>
          <w:tcPr>
            <w:tcW w:w="0" w:type="auto"/>
          </w:tcPr>
          <w:p>
            <w:pPr>
              <w:spacing w:line="240" w:lineRule="auto" w:before="0" w:after="0"/>
              <w:pStyle w:val="Compact"/>
            </w:pPr>
            <w:r>
              <w:rPr>
                <w:sz w:val="20"/>
                <w:szCs w:val="20"/>
              </w:rPr>
              <w:t xml:space="preserve">55.2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NTRS 20250004124, slide 6; JPL Deep Space Network Current Mission Set, 2020-07-08</w:t>
            </w:r>
          </w:p>
        </w:tc>
      </w:tr>
      <w:tr>
        <w:tc>
          <w:tcPr>
            <w:tcW w:w="0" w:type="auto"/>
          </w:tcPr>
          <w:p>
            <w:pPr>
              <w:spacing w:line="240" w:lineRule="auto" w:before="0" w:after="0"/>
              <w:pStyle w:val="Compact"/>
            </w:pPr>
            <w:r>
              <w:rPr>
                <w:sz w:val="20"/>
                <w:szCs w:val="20"/>
              </w:rPr>
              <w:t xml:space="preserve">LFL</w:t>
            </w:r>
          </w:p>
        </w:tc>
        <w:tc>
          <w:tcPr>
            <w:tcW w:w="0" w:type="auto"/>
          </w:tcPr>
          <w:p>
            <w:pPr>
              <w:spacing w:line="240" w:lineRule="auto" w:before="0" w:after="0"/>
              <w:pStyle w:val="Compact"/>
            </w:pPr>
            <w:r>
              <w:rPr>
                <w:sz w:val="20"/>
                <w:szCs w:val="20"/>
              </w:rPr>
              <w:t xml:space="preserve">57.3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NTRS 20250004124, slide 6; JPL Deep Space Network Current Mission Set, 2020-07-08</w:t>
            </w:r>
          </w:p>
        </w:tc>
      </w:tr>
      <w:tr>
        <w:tc>
          <w:tcPr>
            <w:tcW w:w="0" w:type="auto"/>
          </w:tcPr>
          <w:p>
            <w:pPr>
              <w:spacing w:line="240" w:lineRule="auto" w:before="0" w:after="0"/>
              <w:pStyle w:val="Compact"/>
            </w:pPr>
            <w:r>
              <w:rPr>
                <w:sz w:val="20"/>
                <w:szCs w:val="20"/>
              </w:rPr>
              <w:t xml:space="preserve">NSYT</w:t>
            </w:r>
          </w:p>
        </w:tc>
        <w:tc>
          <w:tcPr>
            <w:tcW w:w="0" w:type="auto"/>
          </w:tcPr>
          <w:p>
            <w:pPr>
              <w:spacing w:line="240" w:lineRule="auto" w:before="0" w:after="0"/>
              <w:pStyle w:val="Compact"/>
            </w:pPr>
            <w:r>
              <w:rPr>
                <w:sz w:val="20"/>
                <w:szCs w:val="20"/>
              </w:rPr>
              <w:t xml:space="preserve">62.2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NTRS 20250004124, slide 6; JPL Deep Space Network Current Mission Set, 2020-07-08</w:t>
            </w:r>
          </w:p>
        </w:tc>
      </w:tr>
      <w:tr>
        <w:tc>
          <w:tcPr>
            <w:tcW w:w="0" w:type="auto"/>
          </w:tcPr>
          <w:p>
            <w:pPr>
              <w:spacing w:line="240" w:lineRule="auto" w:before="0" w:after="0"/>
              <w:pStyle w:val="Compact"/>
            </w:pPr>
            <w:r>
              <w:rPr>
                <w:sz w:val="20"/>
                <w:szCs w:val="20"/>
              </w:rPr>
              <w:t xml:space="preserve">VGR2</w:t>
            </w:r>
          </w:p>
        </w:tc>
        <w:tc>
          <w:tcPr>
            <w:tcW w:w="0" w:type="auto"/>
          </w:tcPr>
          <w:p>
            <w:pPr>
              <w:spacing w:line="240" w:lineRule="auto" w:before="0" w:after="0"/>
              <w:pStyle w:val="Compact"/>
            </w:pPr>
            <w:r>
              <w:rPr>
                <w:sz w:val="20"/>
                <w:szCs w:val="20"/>
              </w:rPr>
              <w:t xml:space="preserve">67.8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NTRS 20250004124, slide 6; JPL Deep Space Network Current Mission Set, 2020-07-08</w:t>
            </w:r>
          </w:p>
        </w:tc>
      </w:tr>
      <w:tr>
        <w:tc>
          <w:tcPr>
            <w:tcW w:w="0" w:type="auto"/>
          </w:tcPr>
          <w:p>
            <w:pPr>
              <w:spacing w:line="240" w:lineRule="auto" w:before="0" w:after="0"/>
              <w:pStyle w:val="Compact"/>
            </w:pPr>
            <w:r>
              <w:rPr>
                <w:sz w:val="20"/>
                <w:szCs w:val="20"/>
              </w:rPr>
              <w:t xml:space="preserve">ORX</w:t>
            </w:r>
          </w:p>
        </w:tc>
        <w:tc>
          <w:tcPr>
            <w:tcW w:w="0" w:type="auto"/>
          </w:tcPr>
          <w:p>
            <w:pPr>
              <w:spacing w:line="240" w:lineRule="auto" w:before="0" w:after="0"/>
              <w:pStyle w:val="Compact"/>
            </w:pPr>
            <w:r>
              <w:rPr>
                <w:sz w:val="20"/>
                <w:szCs w:val="20"/>
              </w:rPr>
              <w:t xml:space="preserve">68.4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NTRS 20250004124, slide 6; JPL Deep Space Network Current Mission Set, 2020-07-08</w:t>
            </w:r>
          </w:p>
        </w:tc>
      </w:tr>
      <w:tr>
        <w:tc>
          <w:tcPr>
            <w:tcW w:w="0" w:type="auto"/>
          </w:tcPr>
          <w:p>
            <w:pPr>
              <w:spacing w:line="240" w:lineRule="auto" w:before="0" w:after="0"/>
              <w:pStyle w:val="Compact"/>
            </w:pPr>
            <w:r>
              <w:rPr>
                <w:sz w:val="20"/>
                <w:szCs w:val="20"/>
              </w:rPr>
              <w:t xml:space="preserve">LRO</w:t>
            </w:r>
          </w:p>
        </w:tc>
        <w:tc>
          <w:tcPr>
            <w:tcW w:w="0" w:type="auto"/>
          </w:tcPr>
          <w:p>
            <w:pPr>
              <w:spacing w:line="240" w:lineRule="auto" w:before="0" w:after="0"/>
              <w:pStyle w:val="Compact"/>
            </w:pPr>
            <w:r>
              <w:rPr>
                <w:sz w:val="20"/>
                <w:szCs w:val="20"/>
              </w:rPr>
              <w:t xml:space="preserve">76.3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NTRS 20250004124, slide 6; JPL Deep Space Network Current Mission Set, 2020-07-08</w:t>
            </w:r>
          </w:p>
        </w:tc>
      </w:tr>
      <w:tr>
        <w:tc>
          <w:tcPr>
            <w:tcW w:w="0" w:type="auto"/>
          </w:tcPr>
          <w:p>
            <w:pPr>
              <w:spacing w:line="240" w:lineRule="auto" w:before="0" w:after="0"/>
              <w:pStyle w:val="Compact"/>
            </w:pPr>
            <w:r>
              <w:rPr>
                <w:sz w:val="20"/>
                <w:szCs w:val="20"/>
              </w:rPr>
              <w:t xml:space="preserve">GSSR</w:t>
            </w:r>
          </w:p>
        </w:tc>
        <w:tc>
          <w:tcPr>
            <w:tcW w:w="0" w:type="auto"/>
          </w:tcPr>
          <w:p>
            <w:pPr>
              <w:spacing w:line="240" w:lineRule="auto" w:before="0" w:after="0"/>
              <w:pStyle w:val="Compact"/>
            </w:pPr>
            <w:r>
              <w:rPr>
                <w:sz w:val="20"/>
                <w:szCs w:val="20"/>
              </w:rPr>
              <w:t xml:space="preserve">79.7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NTRS 20250004124, slide 6; JPL Deep Space Network Current Mission Set, 2020-07-08</w:t>
            </w:r>
          </w:p>
        </w:tc>
      </w:tr>
      <w:tr>
        <w:tc>
          <w:tcPr>
            <w:tcW w:w="0" w:type="auto"/>
          </w:tcPr>
          <w:p>
            <w:pPr>
              <w:spacing w:line="240" w:lineRule="auto" w:before="0" w:after="0"/>
              <w:pStyle w:val="Compact"/>
            </w:pPr>
            <w:r>
              <w:rPr>
                <w:sz w:val="20"/>
                <w:szCs w:val="20"/>
              </w:rPr>
              <w:t xml:space="preserve">SOHO</w:t>
            </w:r>
          </w:p>
        </w:tc>
        <w:tc>
          <w:tcPr>
            <w:tcW w:w="0" w:type="auto"/>
          </w:tcPr>
          <w:p>
            <w:pPr>
              <w:spacing w:line="240" w:lineRule="auto" w:before="0" w:after="0"/>
              <w:pStyle w:val="Compact"/>
            </w:pPr>
            <w:r>
              <w:rPr>
                <w:sz w:val="20"/>
                <w:szCs w:val="20"/>
              </w:rPr>
              <w:t xml:space="preserve">81.8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NTRS 20250004124, slide 6; JPL Deep Space Network Current Mission Set, 2020-07-08</w:t>
            </w:r>
          </w:p>
        </w:tc>
      </w:tr>
      <w:tr>
        <w:tc>
          <w:tcPr>
            <w:tcW w:w="0" w:type="auto"/>
          </w:tcPr>
          <w:p>
            <w:pPr>
              <w:spacing w:line="240" w:lineRule="auto" w:before="0" w:after="0"/>
              <w:pStyle w:val="Compact"/>
            </w:pPr>
            <w:r>
              <w:rPr>
                <w:sz w:val="20"/>
                <w:szCs w:val="20"/>
              </w:rPr>
              <w:t xml:space="preserve">MVN</w:t>
            </w:r>
          </w:p>
        </w:tc>
        <w:tc>
          <w:tcPr>
            <w:tcW w:w="0" w:type="auto"/>
          </w:tcPr>
          <w:p>
            <w:pPr>
              <w:spacing w:line="240" w:lineRule="auto" w:before="0" w:after="0"/>
              <w:pStyle w:val="Compact"/>
            </w:pPr>
            <w:r>
              <w:rPr>
                <w:sz w:val="20"/>
                <w:szCs w:val="20"/>
              </w:rPr>
              <w:t xml:space="preserve">93.5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NTRS 20250004124, slide 6; JPL Deep Space Network Current Mission Set, 2020-07-08</w:t>
            </w:r>
          </w:p>
        </w:tc>
      </w:tr>
      <w:tr>
        <w:tc>
          <w:tcPr>
            <w:tcW w:w="0" w:type="auto"/>
          </w:tcPr>
          <w:p>
            <w:pPr>
              <w:spacing w:line="240" w:lineRule="auto" w:before="0" w:after="0"/>
              <w:pStyle w:val="Compact"/>
            </w:pPr>
            <w:r>
              <w:rPr>
                <w:sz w:val="20"/>
                <w:szCs w:val="20"/>
              </w:rPr>
              <w:t xml:space="preserve">CAPS</w:t>
            </w:r>
          </w:p>
        </w:tc>
        <w:tc>
          <w:tcPr>
            <w:tcW w:w="0" w:type="auto"/>
          </w:tcPr>
          <w:p>
            <w:pPr>
              <w:spacing w:line="240" w:lineRule="auto" w:before="0" w:after="0"/>
              <w:pStyle w:val="Compact"/>
            </w:pPr>
            <w:r>
              <w:rPr>
                <w:sz w:val="20"/>
                <w:szCs w:val="20"/>
              </w:rPr>
              <w:t xml:space="preserve">98.2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NTRS 20250004124, slide 6; JPL Deep Space Network Current Mission Set, 2020-07-08</w:t>
            </w:r>
          </w:p>
        </w:tc>
      </w:tr>
      <w:tr>
        <w:tc>
          <w:tcPr>
            <w:tcW w:w="0" w:type="auto"/>
          </w:tcPr>
          <w:p>
            <w:pPr>
              <w:spacing w:line="240" w:lineRule="auto" w:before="0" w:after="0"/>
              <w:pStyle w:val="Compact"/>
            </w:pPr>
            <w:r>
              <w:rPr>
                <w:sz w:val="20"/>
                <w:szCs w:val="20"/>
              </w:rPr>
              <w:t xml:space="preserve">M01O</w:t>
            </w:r>
          </w:p>
        </w:tc>
        <w:tc>
          <w:tcPr>
            <w:tcW w:w="0" w:type="auto"/>
          </w:tcPr>
          <w:p>
            <w:pPr>
              <w:spacing w:line="240" w:lineRule="auto" w:before="0" w:after="0"/>
              <w:pStyle w:val="Compact"/>
            </w:pPr>
            <w:r>
              <w:rPr>
                <w:sz w:val="20"/>
                <w:szCs w:val="20"/>
              </w:rPr>
              <w:t xml:space="preserve">108.3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NTRS 20250004124, slide 6; JPL Deep Space Network Current Mission Set, 2020-07-08</w:t>
            </w:r>
          </w:p>
        </w:tc>
      </w:tr>
      <w:tr>
        <w:tc>
          <w:tcPr>
            <w:tcW w:w="0" w:type="auto"/>
          </w:tcPr>
          <w:p>
            <w:pPr>
              <w:spacing w:line="240" w:lineRule="auto" w:before="0" w:after="0"/>
              <w:pStyle w:val="Compact"/>
            </w:pPr>
            <w:r>
              <w:rPr>
                <w:sz w:val="20"/>
                <w:szCs w:val="20"/>
              </w:rPr>
              <w:t xml:space="preserve">MRO</w:t>
            </w:r>
          </w:p>
        </w:tc>
        <w:tc>
          <w:tcPr>
            <w:tcW w:w="0" w:type="auto"/>
          </w:tcPr>
          <w:p>
            <w:pPr>
              <w:spacing w:line="240" w:lineRule="auto" w:before="0" w:after="0"/>
              <w:pStyle w:val="Compact"/>
            </w:pPr>
            <w:r>
              <w:rPr>
                <w:sz w:val="20"/>
                <w:szCs w:val="20"/>
              </w:rPr>
              <w:t xml:space="preserve">121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NTRS 20250004124, slide 6; JPL Deep Space Network Current Mission Set, 2020-07-08</w:t>
            </w:r>
          </w:p>
        </w:tc>
      </w:tr>
      <w:tr>
        <w:tc>
          <w:tcPr>
            <w:tcW w:w="0" w:type="auto"/>
          </w:tcPr>
          <w:p>
            <w:pPr>
              <w:spacing w:line="240" w:lineRule="auto" w:before="0" w:after="0"/>
              <w:pStyle w:val="Compact"/>
            </w:pPr>
            <w:r>
              <w:rPr>
                <w:sz w:val="20"/>
                <w:szCs w:val="20"/>
              </w:rPr>
              <w:t xml:space="preserve">MEX</w:t>
            </w:r>
          </w:p>
        </w:tc>
        <w:tc>
          <w:tcPr>
            <w:tcW w:w="0" w:type="auto"/>
          </w:tcPr>
          <w:p>
            <w:pPr>
              <w:spacing w:line="240" w:lineRule="auto" w:before="0" w:after="0"/>
              <w:pStyle w:val="Compact"/>
            </w:pPr>
            <w:r>
              <w:rPr>
                <w:sz w:val="20"/>
                <w:szCs w:val="20"/>
              </w:rPr>
              <w:t xml:space="preserve">123.2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NTRS 20250004124, slide 6; JPL Deep Space Network Current Mission Set, 2020-07-08</w:t>
            </w:r>
          </w:p>
        </w:tc>
      </w:tr>
      <w:tr>
        <w:tc>
          <w:tcPr>
            <w:tcW w:w="0" w:type="auto"/>
          </w:tcPr>
          <w:p>
            <w:pPr>
              <w:spacing w:line="240" w:lineRule="auto" w:before="0" w:after="0"/>
              <w:pStyle w:val="Compact"/>
            </w:pPr>
            <w:r>
              <w:rPr>
                <w:sz w:val="20"/>
                <w:szCs w:val="20"/>
              </w:rPr>
              <w:t xml:space="preserve">DSS</w:t>
            </w:r>
          </w:p>
        </w:tc>
        <w:tc>
          <w:tcPr>
            <w:tcW w:w="0" w:type="auto"/>
          </w:tcPr>
          <w:p>
            <w:pPr>
              <w:spacing w:line="240" w:lineRule="auto" w:before="0" w:after="0"/>
              <w:pStyle w:val="Compact"/>
            </w:pPr>
            <w:r>
              <w:rPr>
                <w:sz w:val="20"/>
                <w:szCs w:val="20"/>
              </w:rPr>
              <w:t xml:space="preserve">148.5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NTRS 20250004124, slide 6; JPL Deep Space Network Current Mission Set, 2020-07-08</w:t>
            </w:r>
          </w:p>
        </w:tc>
      </w:tr>
      <w:tr>
        <w:tc>
          <w:tcPr>
            <w:tcW w:w="0" w:type="auto"/>
          </w:tcPr>
          <w:p>
            <w:pPr>
              <w:spacing w:line="240" w:lineRule="auto" w:before="0" w:after="0"/>
              <w:pStyle w:val="Compact"/>
            </w:pPr>
            <w:r>
              <w:rPr>
                <w:sz w:val="20"/>
                <w:szCs w:val="20"/>
              </w:rPr>
              <w:t xml:space="preserve">JWST</w:t>
            </w:r>
          </w:p>
        </w:tc>
        <w:tc>
          <w:tcPr>
            <w:tcW w:w="0" w:type="auto"/>
          </w:tcPr>
          <w:p>
            <w:pPr>
              <w:spacing w:line="240" w:lineRule="auto" w:before="0" w:after="0"/>
              <w:pStyle w:val="Compact"/>
            </w:pPr>
            <w:r>
              <w:rPr>
                <w:sz w:val="20"/>
                <w:szCs w:val="20"/>
              </w:rPr>
              <w:t xml:space="preserve">184.8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NTRS 20250004124, slide 6; JPL Deep Space Network Current Mission Set, 2020-07-08</w:t>
            </w:r>
          </w:p>
        </w:tc>
      </w:tr>
    </w:tbl>
    <w:bookmarkEnd w:id="81"/>
    <w:bookmarkStart w:id="82"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hours_lost</w:t>
            </w:r>
          </w:p>
        </w:tc>
        <w:tc>
          <w:tcPr>
            <w:tcW w:w="0" w:type="auto"/>
          </w:tcPr>
          <w:p>
            <w:pPr>
              <w:spacing w:line="240" w:lineRule="auto" w:before="0" w:after="0"/>
              <w:pStyle w:val="Compact"/>
            </w:pPr>
            <w:r>
              <w:rPr>
                <w:sz w:val="20"/>
                <w:szCs w:val="20"/>
              </w:rPr>
              <w:t xml:space="preserve">Hours of scheduled support lost between planning and execution during Artemis I weeks 2022-46 through 2022-49</w:t>
            </w:r>
          </w:p>
        </w:tc>
        <w:tc>
          <w:tcPr>
            <w:tcW w:w="0" w:type="auto"/>
          </w:tcPr>
          <w:p>
            <w:pPr>
              <w:spacing w:line="240" w:lineRule="auto" w:before="0" w:after="0"/>
              <w:pStyle w:val="Compact"/>
            </w:pPr>
            <w:r>
              <w:rPr>
                <w:sz w:val="20"/>
                <w:szCs w:val="20"/>
              </w:rPr>
              <w:t xml:space="preserve">Absolute value of a negative mission-level schedule change in NASA NTRS 20250004124 slide 6; positive changes are coded zero</w:t>
            </w:r>
          </w:p>
        </w:tc>
      </w:tr>
      <w:tr>
        <w:tc>
          <w:tcPr>
            <w:tcW w:w="0" w:type="auto"/>
          </w:tcPr>
          <w:p>
            <w:pPr>
              <w:spacing w:line="240" w:lineRule="auto" w:before="0" w:after="0"/>
              <w:pStyle w:val="Compact"/>
            </w:pPr>
            <w:r>
              <w:rPr>
                <w:sz w:val="20"/>
                <w:szCs w:val="20"/>
              </w:rPr>
              <w:t xml:space="preserve">heliophysics</w:t>
            </w:r>
          </w:p>
        </w:tc>
        <w:tc>
          <w:tcPr>
            <w:tcW w:w="0" w:type="auto"/>
          </w:tcPr>
          <w:p>
            <w:pPr>
              <w:spacing w:line="240" w:lineRule="auto" w:before="0" w:after="0"/>
              <w:pStyle w:val="Compact"/>
            </w:pPr>
            <w:r>
              <w:rPr>
                <w:sz w:val="20"/>
                <w:szCs w:val="20"/>
              </w:rPr>
              <w:t xml:space="preserve">Indicator equal to one for a heliophysics or solar-terrestrial mission</w:t>
            </w:r>
          </w:p>
        </w:tc>
        <w:tc>
          <w:tcPr>
            <w:tcW w:w="0" w:type="auto"/>
          </w:tcPr>
          <w:p>
            <w:pPr>
              <w:spacing w:line="240" w:lineRule="auto" w:before="0" w:after="0"/>
              <w:pStyle w:val="Compact"/>
            </w:pPr>
            <w:r>
              <w:rPr>
                <w:sz w:val="20"/>
                <w:szCs w:val="20"/>
              </w:rPr>
              <w:t xml:space="preserve">Mission classification checked against the JPL Deep Space Network Current Mission Set dated 2020-07-08</w:t>
            </w:r>
          </w:p>
        </w:tc>
      </w:tr>
      <w:tr>
        <w:tc>
          <w:tcPr>
            <w:tcW w:w="0" w:type="auto"/>
          </w:tcPr>
          <w:p>
            <w:pPr>
              <w:spacing w:line="240" w:lineRule="auto" w:before="0" w:after="0"/>
              <w:pStyle w:val="Compact"/>
            </w:pPr>
            <w:r>
              <w:rPr>
                <w:sz w:val="20"/>
                <w:szCs w:val="20"/>
              </w:rPr>
              <w:t xml:space="preserve">deep_space_type</w:t>
            </w:r>
          </w:p>
        </w:tc>
        <w:tc>
          <w:tcPr>
            <w:tcW w:w="0" w:type="auto"/>
          </w:tcPr>
          <w:p>
            <w:pPr>
              <w:spacing w:line="240" w:lineRule="auto" w:before="0" w:after="0"/>
              <w:pStyle w:val="Compact"/>
            </w:pPr>
            <w:r>
              <w:rPr>
                <w:sz w:val="20"/>
                <w:szCs w:val="20"/>
              </w:rPr>
              <w:t xml:space="preserve">Indicator equal to one for planetary, cislunar, or deep-space exploration missions</w:t>
            </w:r>
          </w:p>
        </w:tc>
        <w:tc>
          <w:tcPr>
            <w:tcW w:w="0" w:type="auto"/>
          </w:tcPr>
          <w:p>
            <w:pPr>
              <w:spacing w:line="240" w:lineRule="auto" w:before="0" w:after="0"/>
              <w:pStyle w:val="Compact"/>
            </w:pPr>
            <w:r>
              <w:rPr>
                <w:sz w:val="20"/>
                <w:szCs w:val="20"/>
              </w:rPr>
              <w:t xml:space="preserve">Mission classification checked against the JPL Deep Space Network Current Mission Set dated 2020-07-08</w:t>
            </w:r>
          </w:p>
        </w:tc>
      </w:tr>
    </w:tbl>
    <w:bookmarkEnd w:id="82"/>
    <w:bookmarkStart w:id="83"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54.6525</w:t>
            </w:r>
          </w:p>
        </w:tc>
        <w:tc>
          <w:tcPr>
            <w:tcW w:w="0" w:type="auto"/>
          </w:tcPr>
          <w:p>
            <w:pPr>
              <w:spacing w:line="240" w:lineRule="auto" w:before="0" w:after="0"/>
              <w:pStyle w:val="Compact"/>
            </w:pPr>
            <w:r>
              <w:rPr>
                <w:sz w:val="20"/>
                <w:szCs w:val="20"/>
              </w:rPr>
              <w:t xml:space="preserve">18.4865</w:t>
            </w:r>
          </w:p>
        </w:tc>
        <w:tc>
          <w:tcPr>
            <w:tcW w:w="0" w:type="auto"/>
          </w:tcPr>
          <w:p>
            <w:pPr>
              <w:spacing w:line="240" w:lineRule="auto" w:before="0" w:after="0"/>
              <w:pStyle w:val="Compact"/>
            </w:pPr>
            <w:r>
              <w:rPr>
                <w:sz w:val="20"/>
                <w:szCs w:val="20"/>
              </w:rPr>
              <w:t xml:space="preserve">2.9564</w:t>
            </w:r>
          </w:p>
        </w:tc>
        <w:tc>
          <w:tcPr>
            <w:tcW w:w="0" w:type="auto"/>
          </w:tcPr>
          <w:p>
            <w:pPr>
              <w:spacing w:line="240" w:lineRule="auto" w:before="0" w:after="0"/>
              <w:pStyle w:val="Compact"/>
            </w:pPr>
            <w:r>
              <w:rPr>
                <w:sz w:val="20"/>
                <w:szCs w:val="20"/>
              </w:rPr>
              <w:t xml:space="preserve">0.0031</w:t>
            </w:r>
          </w:p>
        </w:tc>
        <w:tc>
          <w:tcPr>
            <w:tcW w:w="0" w:type="auto"/>
          </w:tcPr>
          <w:p>
            <w:pPr>
              <w:spacing w:line="240" w:lineRule="auto" w:before="0" w:after="0"/>
              <w:pStyle w:val="Compact"/>
            </w:pPr>
            <w:r>
              <w:rPr>
                <w:sz w:val="20"/>
                <w:szCs w:val="20"/>
              </w:rPr>
              <w:t xml:space="preserve">[18.4197, 90.8853]</w:t>
            </w:r>
          </w:p>
        </w:tc>
      </w:tr>
      <w:tr>
        <w:tc>
          <w:tcPr>
            <w:tcW w:w="0" w:type="auto"/>
          </w:tcPr>
          <w:p>
            <w:pPr>
              <w:spacing w:line="240" w:lineRule="auto" w:before="0" w:after="0"/>
              <w:pStyle w:val="Compact"/>
            </w:pPr>
            <w:r>
              <w:rPr>
                <w:sz w:val="20"/>
                <w:szCs w:val="20"/>
              </w:rPr>
              <w:t xml:space="preserve">heliophysics</w:t>
            </w:r>
          </w:p>
        </w:tc>
        <w:tc>
          <w:tcPr>
            <w:tcW w:w="0" w:type="auto"/>
          </w:tcPr>
          <w:p>
            <w:pPr>
              <w:spacing w:line="240" w:lineRule="auto" w:before="0" w:after="0"/>
              <w:pStyle w:val="Compact"/>
            </w:pPr>
            <w:r>
              <w:rPr>
                <w:sz w:val="20"/>
                <w:szCs w:val="20"/>
              </w:rPr>
              <w:t xml:space="preserve">-31.8046</w:t>
            </w:r>
          </w:p>
        </w:tc>
        <w:tc>
          <w:tcPr>
            <w:tcW w:w="0" w:type="auto"/>
          </w:tcPr>
          <w:p>
            <w:pPr>
              <w:spacing w:line="240" w:lineRule="auto" w:before="0" w:after="0"/>
              <w:pStyle w:val="Compact"/>
            </w:pPr>
            <w:r>
              <w:rPr>
                <w:sz w:val="20"/>
                <w:szCs w:val="20"/>
              </w:rPr>
              <w:t xml:space="preserve">18.3146</w:t>
            </w:r>
          </w:p>
        </w:tc>
        <w:tc>
          <w:tcPr>
            <w:tcW w:w="0" w:type="auto"/>
          </w:tcPr>
          <w:p>
            <w:pPr>
              <w:spacing w:line="240" w:lineRule="auto" w:before="0" w:after="0"/>
              <w:pStyle w:val="Compact"/>
            </w:pPr>
            <w:r>
              <w:rPr>
                <w:sz w:val="20"/>
                <w:szCs w:val="20"/>
              </w:rPr>
              <w:t xml:space="preserve">-1.7366</w:t>
            </w:r>
          </w:p>
        </w:tc>
        <w:tc>
          <w:tcPr>
            <w:tcW w:w="0" w:type="auto"/>
          </w:tcPr>
          <w:p>
            <w:pPr>
              <w:spacing w:line="240" w:lineRule="auto" w:before="0" w:after="0"/>
              <w:pStyle w:val="Compact"/>
            </w:pPr>
            <w:r>
              <w:rPr>
                <w:sz w:val="20"/>
                <w:szCs w:val="20"/>
              </w:rPr>
              <w:t xml:space="preserve">0.0825</w:t>
            </w:r>
          </w:p>
        </w:tc>
        <w:tc>
          <w:tcPr>
            <w:tcW w:w="0" w:type="auto"/>
          </w:tcPr>
          <w:p>
            <w:pPr>
              <w:spacing w:line="240" w:lineRule="auto" w:before="0" w:after="0"/>
              <w:pStyle w:val="Compact"/>
            </w:pPr>
            <w:r>
              <w:rPr>
                <w:sz w:val="20"/>
                <w:szCs w:val="20"/>
              </w:rPr>
              <w:t xml:space="preserve">[-67.7005, 4.0913]</w:t>
            </w:r>
          </w:p>
        </w:tc>
      </w:tr>
      <w:tr>
        <w:tc>
          <w:tcPr>
            <w:tcW w:w="0" w:type="auto"/>
          </w:tcPr>
          <w:p>
            <w:pPr>
              <w:spacing w:line="240" w:lineRule="auto" w:before="0" w:after="0"/>
              <w:pStyle w:val="Compact"/>
            </w:pPr>
            <w:r>
              <w:rPr>
                <w:sz w:val="20"/>
                <w:szCs w:val="20"/>
              </w:rPr>
              <w:t xml:space="preserve">deep_space_type</w:t>
            </w:r>
          </w:p>
        </w:tc>
        <w:tc>
          <w:tcPr>
            <w:tcW w:w="0" w:type="auto"/>
          </w:tcPr>
          <w:p>
            <w:pPr>
              <w:spacing w:line="240" w:lineRule="auto" w:before="0" w:after="0"/>
              <w:pStyle w:val="Compact"/>
            </w:pPr>
            <w:r>
              <w:rPr>
                <w:sz w:val="20"/>
                <w:szCs w:val="20"/>
              </w:rPr>
              <w:t xml:space="preserve">-1.4853</w:t>
            </w:r>
          </w:p>
        </w:tc>
        <w:tc>
          <w:tcPr>
            <w:tcW w:w="0" w:type="auto"/>
          </w:tcPr>
          <w:p>
            <w:pPr>
              <w:spacing w:line="240" w:lineRule="auto" w:before="0" w:after="0"/>
              <w:pStyle w:val="Compact"/>
            </w:pPr>
            <w:r>
              <w:rPr>
                <w:sz w:val="20"/>
                <w:szCs w:val="20"/>
              </w:rPr>
              <w:t xml:space="preserve">19.547</w:t>
            </w:r>
          </w:p>
        </w:tc>
        <w:tc>
          <w:tcPr>
            <w:tcW w:w="0" w:type="auto"/>
          </w:tcPr>
          <w:p>
            <w:pPr>
              <w:spacing w:line="240" w:lineRule="auto" w:before="0" w:after="0"/>
              <w:pStyle w:val="Compact"/>
            </w:pPr>
            <w:r>
              <w:rPr>
                <w:sz w:val="20"/>
                <w:szCs w:val="20"/>
              </w:rPr>
              <w:t xml:space="preserve">-0.076</w:t>
            </w:r>
          </w:p>
        </w:tc>
        <w:tc>
          <w:tcPr>
            <w:tcW w:w="0" w:type="auto"/>
          </w:tcPr>
          <w:p>
            <w:pPr>
              <w:spacing w:line="240" w:lineRule="auto" w:before="0" w:after="0"/>
              <w:pStyle w:val="Compact"/>
            </w:pPr>
            <w:r>
              <w:rPr>
                <w:sz w:val="20"/>
                <w:szCs w:val="20"/>
              </w:rPr>
              <w:t xml:space="preserve">0.9394</w:t>
            </w:r>
          </w:p>
        </w:tc>
        <w:tc>
          <w:tcPr>
            <w:tcW w:w="0" w:type="auto"/>
          </w:tcPr>
          <w:p>
            <w:pPr>
              <w:spacing w:line="240" w:lineRule="auto" w:before="0" w:after="0"/>
              <w:pStyle w:val="Compact"/>
            </w:pPr>
            <w:r>
              <w:rPr>
                <w:sz w:val="20"/>
                <w:szCs w:val="20"/>
              </w:rPr>
              <w:t xml:space="preserve">[-39.7967, 36.826]</w:t>
            </w:r>
          </w:p>
        </w:tc>
      </w:tr>
    </w:tbl>
    <w:p>
      <w:pPr>
        <w:pStyle w:val="BodyText"/>
      </w:pPr>
      <w:r>
        <w:t xml:space="preserve">Fit: N = 40 R2 = 0.1008 R2_adj = 0.0522 F = 3.2658 F_p = 0.0494</w:t>
      </w:r>
    </w:p>
    <w:bookmarkEnd w:id="83"/>
    <w:bookmarkEnd w:id="84"/>
    <w:bookmarkEnd w:id="85"/>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7" Target="media/rId77.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2026-06-27T20:38:50Z</dcterms:created>
  <dcterms:modified xsi:type="dcterms:W3CDTF">2026-06-27T20:38:50Z</dcterms:modified>
</cp:coreProperties>
</file>

<file path=docProps/custom.xml><?xml version="1.0" encoding="utf-8"?>
<Properties xmlns="http://schemas.openxmlformats.org/officeDocument/2006/custom-properties" xmlns:vt="http://schemas.openxmlformats.org/officeDocument/2006/docPropsVTypes"/>
</file>