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DEEP SPACE NETWORK CONTENTION AS A QUEUEING SYSTEM: ESTIMATING HELIOPHYSICS-MISS</w:t>
      </w:r>
    </w:p>
    <w:p>
      <w:pPr>
        <w:jc w:val="center"/>
      </w:pPr>
    </w:p>
    <w:p>
      <w:pPr>
        <w:jc w:val="center"/>
      </w:pPr>
      <w:r>
        <w:rPr>
          <w:rFonts w:ascii="Times New Roman" w:hAnsi="Times New Roman"/>
          <w:sz w:val="24"/>
        </w:rPr>
        <w:t>by</w:t>
      </w:r>
    </w:p>
    <w:p>
      <w:pPr>
        <w:jc w:val="center"/>
      </w:pPr>
      <w:r>
        <w:rPr>
          <w:rFonts w:ascii="Times New Roman" w:hAnsi="Times New Roman"/>
          <w:b/>
          <w:sz w:val="28"/>
        </w:rPr>
        <w:t>Caleb Cohen</w:t>
      </w:r>
    </w:p>
    <w:p>
      <w:pPr>
        <w:jc w:val="center"/>
      </w:pPr>
      <w:r>
        <w:rPr>
          <w:rFonts w:ascii="Times New Roman" w:hAnsi="Times New Roman"/>
          <w:sz w:val="24"/>
        </w:rPr>
        <w:t>1B-HEL-134</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8" w:name="chapter-1.-introduction"/>
    <w:p>
      <w:pPr>
        <w:pStyle w:val="Heading1"/>
        <w:spacing w:line="480" w:lineRule="auto"/>
      </w:pPr>
      <w:r>
        <w:t xml:space="preserve">Chapter 1. Introduction</w:t>
      </w:r>
    </w:p>
    <w:p>
      <w:pPr>
        <w:pStyle w:val="FirstParagraph"/>
        <w:spacing w:line="480" w:lineRule="auto"/>
      </w:pPr>
      <w:r>
        <w:t xml:space="preserve">The Deep Space Network is three clusters of antennas on three continents, and every heliophysics observatory beyond low Earth orbit depends on them.</w:t>
      </w:r>
    </w:p>
    <w:p>
      <w:pPr>
        <w:pStyle w:val="BodyText"/>
        <w:spacing w:line="480" w:lineRule="auto"/>
        <w:ind w:firstLine="720"/>
      </w:pPr>
      <w:r>
        <w:t xml:space="preserve">Goldstone, Madrid, and Canberra together form the only NASA asset capable of commanding, navigating, and returning data from spacecraft in cislunar space, at the Sun-Earth Lagrange points, and across the solar system. When a solar mission wants to downlink a coronal mass ejection observation or uplink a maneuver sequence, it competes for antenna time against planetary flagships, astrophysics observatories, technology demonstrators, and, increasingly, human exploration. That competition is the subject of this dissertation.</w:t>
      </w:r>
    </w:p>
    <w:p>
      <w:pPr>
        <w:pStyle w:val="BodyText"/>
        <w:spacing w:line="480" w:lineRule="auto"/>
        <w:ind w:firstLine="720"/>
      </w:pPr>
      <w:r>
        <w:t xml:space="preserve">It has a cost. The cost has never been measured.</w:t>
      </w:r>
    </w:p>
    <w:p>
      <w:pPr>
        <w:pStyle w:val="BodyText"/>
        <w:spacing w:line="480" w:lineRule="auto"/>
        <w:ind w:firstLine="720"/>
      </w:pPr>
      <w:r>
        <w:t xml:space="preserve">Contention is not an abstraction. The distinction matters. The network is oversubscribed, and NASA’s own scheduling analysts describe it that way in plain terms</w:t>
      </w:r>
      <w:r>
        <w:t xml:space="preserve"> </w:t>
      </w:r>
      <w:hyperlink w:anchor="ref-9">
        <w:r>
          <w:rPr>
            <w:rStyle w:val="Hyperlink"/>
          </w:rPr>
          <w:t xml:space="preserve">[9]</w:t>
        </w:r>
      </w:hyperlink>
      <w:r>
        <w:t xml:space="preserve">. Requested tracking time routinely exceeds available antenna-hours during peak intervals, and the schedule that emerges is the product of repeated negotiation among users whose requirements conflict</w:t>
      </w:r>
      <w:r>
        <w:t xml:space="preserve"> </w:t>
      </w:r>
      <w:hyperlink w:anchor="ref-7">
        <w:r>
          <w:rPr>
            <w:rStyle w:val="Hyperlink"/>
          </w:rPr>
          <w:t xml:space="preserve">[7]</w:t>
        </w:r>
      </w:hyperlink>
      <w:r>
        <w:t xml:space="preserve">. A heliophysics mission observing a fast, transient solar-terrestrial event cannot always shift its contact to next week. The physics does not wait. A displaced pass can mean a permanently lost observation, not merely a deferred one. For the program record, this work asks a specific, answerable question. When the network is stressed, does the heliophysics mission class fare differently from other classes, and does the long-run stock of legacy missions add hidden demand that prime-mission planning fails to anticipate? Both questions bear on a single practical concern: the science return the heliophysics community can expect from a shared and finite ground segment.</w:t>
      </w:r>
    </w:p>
    <w:bookmarkStart w:id="61" w:name="the-problem-and-why-it-matters"/>
    <w:p>
      <w:pPr>
        <w:pStyle w:val="Heading2"/>
        <w:spacing w:line="480" w:lineRule="auto"/>
      </w:pPr>
      <w:r>
        <w:t xml:space="preserve">1.1 The problem and why it matters</w:t>
      </w:r>
    </w:p>
    <w:p>
      <w:pPr>
        <w:pStyle w:val="FirstParagraph"/>
        <w:spacing w:line="480" w:lineRule="auto"/>
      </w:pPr>
      <w:r>
        <w:t xml:space="preserve">For this archival, the record matters here: heliophysics is a continuous-observation science. The record is explicit. Solar wind structure, magnetospheric dynamics, and space-weather drivers evolve on timescales from seconds to solar cycles, and the value of a measurement often depends on catching a phenomenon while it happens. Missions such as the Advanced Composition Explorer, Wind, the Solar and Heliospheric Observatory, and Parker Solar Probe generate observations whose scientific worth is tied to specific windows. A missed downlink during a geomagnetic storm is not recovered by rescheduling. The data simply does not exist. Against this operational reality sits a hard capacity constraint. The three complexes hold a fixed number of apertures, and the largest of them, the 70-meter and 34-meter beam-waveguide antennas, are in chronic demand from the missions that need the most gain. The NASA Office of Inspector General has documented capacity, maintenance, and modernization pressures on the network and warned that demand growth is outpacing agency investment in the ground segment</w:t>
      </w:r>
      <w:r>
        <w:t xml:space="preserve"> </w:t>
      </w:r>
      <w:hyperlink w:anchor="ref-13">
        <w:r>
          <w:rPr>
            <w:rStyle w:val="Hyperlink"/>
          </w:rPr>
          <w:t xml:space="preserve">[13]</w:t>
        </w:r>
      </w:hyperlink>
      <w:r>
        <w:t xml:space="preserve">. Aging antennas require maintenance downtime. New exploration initiatives, the Artemis campaign chief among them, arrive with large and inflexible requirements. The result is a scheduling environment in which some user must always yield.</w:t>
      </w:r>
    </w:p>
    <w:p>
      <w:pPr>
        <w:pStyle w:val="BodyText"/>
        <w:spacing w:line="480" w:lineRule="auto"/>
        <w:ind w:firstLine="720"/>
      </w:pPr>
      <w:r>
        <w:t xml:space="preserve">For a replicator, scheduling scholarship has responded with sophisticated optimization. The claim remains testable. Johnston formulates the problem as preference-aware optimization over an oversubscribed resource, since a technically feasible schedule can still impose unequal costs on different missions</w:t>
      </w:r>
      <w:r>
        <w:t xml:space="preserve"> </w:t>
      </w:r>
      <w:hyperlink w:anchor="ref-9">
        <w:r>
          <w:rPr>
            <w:rStyle w:val="Hyperlink"/>
          </w:rPr>
          <w:t xml:space="preserve">[9]</w:t>
        </w:r>
      </w:hyperlink>
      <w:r>
        <w:t xml:space="preserve">. Dhamani and colleagues propose a demand-access paradigm meant to replace long-horizon block scheduling with something more responsive</w:t>
      </w:r>
      <w:r>
        <w:t xml:space="preserve"> </w:t>
      </w:r>
      <w:hyperlink w:anchor="ref-10">
        <w:r>
          <w:rPr>
            <w:rStyle w:val="Hyperlink"/>
          </w:rPr>
          <w:t xml:space="preserve">[10]</w:t>
        </w:r>
      </w:hyperlink>
      <w:r>
        <w:t xml:space="preserve">. Wilson and colleagues explore deep reinforcement learning as a route to better schedules</w:t>
      </w:r>
      <w:r>
        <w:t xml:space="preserve"> </w:t>
      </w:r>
      <w:hyperlink w:anchor="ref-11">
        <w:r>
          <w:rPr>
            <w:rStyle w:val="Hyperlink"/>
          </w:rPr>
          <w:t xml:space="preserve">[11]</w:t>
        </w:r>
      </w:hyperlink>
      <w:r>
        <w:t xml:space="preserve">. Each advances the machinery of allocation. None answers the question a heliophysics program manager actually asks: at the margin, what does contention cost my mission class? That gap is the point of departure. The allocation problem has been studied as an engineering optimization. It has not been studied as an empirical question about who bears the cost of scarcity. The dissertation converts a known operational fact, that the network is oversubscribed, into measured relationships that mission planners and the Heliophysics Division can use in portfolio decisions.</w:t>
      </w:r>
    </w:p>
    <w:p>
      <w:pPr>
        <w:pStyle w:val="BodyText"/>
        <w:spacing w:line="480" w:lineRule="auto"/>
        <w:ind w:firstLine="720"/>
      </w:pPr>
      <w:r>
        <w:t xml:space="preserve">For this chapter, the treats this as an empirical claim: stakes are uneven across the science portfolio, which is why a heliophysics-specific treatment is warranted instead of a generic one.</w:t>
      </w:r>
    </w:p>
    <w:p>
      <w:pPr>
        <w:pStyle w:val="BodyText"/>
        <w:spacing w:line="480" w:lineRule="auto"/>
        <w:ind w:firstLine="720"/>
      </w:pPr>
      <w:r>
        <w:t xml:space="preserve">Planetary flagships announce their contention costs loudly: a missed orbit-insertion contact is a mission-ending event, and the scheduling process is built to prevent it. The coding choice is visible. Heliophysics losses are quieter and for that reason easier to overlook. A solar monitor that drops a downlink during a coronal mass ejection does not fail; it simply returns a slightly poorer record of an event that will never recur, and the cumulative erosion of continuity across many such quiet losses never appears on a single dramatic ledger. A discipline whose contention costs are structurally hard to see is exactly the discipline that most needs them measured. The demand-access and block-scheduling reforms under study at the agency will reshape how these quiet losses are distributed</w:t>
      </w:r>
      <w:r>
        <w:t xml:space="preserve"> </w:t>
      </w:r>
      <w:hyperlink w:anchor="ref-10">
        <w:r>
          <w:rPr>
            <w:rStyle w:val="Hyperlink"/>
          </w:rPr>
          <w:t xml:space="preserve">[10]</w:t>
        </w:r>
      </w:hyperlink>
      <w:r>
        <w:t xml:space="preserve"> </w:t>
      </w:r>
      <w:hyperlink w:anchor="ref-12">
        <w:r>
          <w:rPr>
            <w:rStyle w:val="Hyperlink"/>
          </w:rPr>
          <w:t xml:space="preserve">[12]</w:t>
        </w:r>
      </w:hyperlink>
      <w:r>
        <w:t xml:space="preserve">, and the community cannot evaluate that reshaping without a baseline measurement of the distribution it starts from.</w:t>
      </w:r>
    </w:p>
    <w:bookmarkEnd w:id="61"/>
    <w:bookmarkStart w:id="62" w:name="the-falsifiable-contribution"/>
    <w:p>
      <w:pPr>
        <w:pStyle w:val="Heading2"/>
        <w:spacing w:line="480" w:lineRule="auto"/>
      </w:pPr>
      <w:r>
        <w:t xml:space="preserve">1.2 The falsifiable contribution</w:t>
      </w:r>
    </w:p>
    <w:p>
      <w:pPr>
        <w:pStyle w:val="FirstParagraph"/>
        <w:spacing w:line="480" w:lineRule="auto"/>
      </w:pPr>
      <w:r>
        <w:t xml:space="preserve">For this data, the construction is deliberately visible: a dissertation earns its keep by staking a claim that the evidence could have refuted. That is the empirical boundary. This one stakes two, drawn from two independent empirical exercises on public NASA records. The first claim concerns short-run displacement. During the Artemis I launch campaign in late 2022, the network absorbed a large and visible demand shock. Baldwin’s account of Deep Space Network scheduling reports mission-level differences between planned and executed support during mission weeks 2022-46 through 2022-49</w:t>
      </w:r>
      <w:r>
        <w:t xml:space="preserve"> </w:t>
      </w:r>
      <w:hyperlink w:anchor="ref-7">
        <w:r>
          <w:rPr>
            <w:rStyle w:val="Hyperlink"/>
          </w:rPr>
          <w:t xml:space="preserve">[7]</w:t>
        </w:r>
      </w:hyperlink>
      <w:r>
        <w:t xml:space="preserve">. If the heliophysics label carried real operational protection, heliophysics missions should have lost fewer scheduled hours than comparable missions during that shock. If the label was merely nominal, or if mature heliophysics missions were treated as the flexible margin from which adjustment capacity is drawn, they should have lost as many hours or more. The sign of the difference is not obvious in advance. It is an empirical matter, and it is falsifiable against the record.</w:t>
      </w:r>
    </w:p>
    <w:p>
      <w:pPr>
        <w:pStyle w:val="BodyText"/>
        <w:spacing w:line="480" w:lineRule="auto"/>
        <w:ind w:firstLine="720"/>
      </w:pPr>
      <w:r>
        <w:t xml:space="preserve">For this operational, the question is narrower: the second claim concerns long-run demand accumulation. The result is narrow. Missions do not leave the network when their prime phases end. Productive spacecraft persist, sometimes for decades, and each remains a claimant on future antenna time. If prime-mission duration fully predicted how long a mission would linger in the supported set, capacity planning built on prime commitments would be adequate. If it does not, planning that ignores extensions systematically understates demand. The elasticity of accumulated support age with respect to listed prime duration is a single number that adjudicates this. A value at or above one would mean prime duration is a sufficient proxy. A value well below one would mean it is not. Neither claim is a foregone conclusion, and that is what makes them worth testing. The protection hypothesis could have returned the wrong sign. The scaling hypothesis could have produced an elasticity indistinguishable from zero, which would have said prime duration carries no longevity information at all. The chapters that follow report what the records actually show, coefficient by coefficient.</w:t>
      </w:r>
    </w:p>
    <w:bookmarkEnd w:id="62"/>
    <w:bookmarkStart w:id="63" w:name="approach-in-brief"/>
    <w:p>
      <w:pPr>
        <w:pStyle w:val="Heading2"/>
        <w:spacing w:line="480" w:lineRule="auto"/>
      </w:pPr>
      <w:r>
        <w:t xml:space="preserve">1.3 Approach in brief</w:t>
      </w:r>
    </w:p>
    <w:p>
      <w:pPr>
        <w:pStyle w:val="FirstParagraph"/>
        <w:spacing w:line="480" w:lineRule="auto"/>
      </w:pPr>
      <w:r>
        <w:t xml:space="preserve">Two public NASA sources and two transparent estimators form the empirical spine.</w:t>
      </w:r>
    </w:p>
    <w:p>
      <w:pPr>
        <w:pStyle w:val="BodyText"/>
        <w:spacing w:line="480" w:lineRule="auto"/>
        <w:ind w:firstLine="720"/>
      </w:pPr>
      <w:r>
        <w:t xml:space="preserve">For this evidence, the trail is concrete here: the Artemis I analysis uses a cross-section of forty missions extracted from slide 6 of NASA technical report NTRS 20250004124</w:t>
      </w:r>
      <w:r>
        <w:t xml:space="preserve"> </w:t>
      </w:r>
      <w:hyperlink w:anchor="ref-7">
        <w:r>
          <w:rPr>
            <w:rStyle w:val="Hyperlink"/>
          </w:rPr>
          <w:t xml:space="preserve">[7]</w:t>
        </w:r>
      </w:hyperlink>
      <w:r>
        <w:t xml:space="preserve">, which displays mission-level schedule changes during the four Artemis I execution weeks. Each mission’s lost hours are regressed on a heliophysics indicator and a deep-space mission-type control using ordinary least squares with heteroskedasticity-consistent standard errors. The coefficient on the heliophysics indicator is the conditional mean difference in lost hours between heliophysics and other missions. Mission classifications are joined from the JPL Deep Space Network Current Mission Set dated July 8, 2020</w:t>
      </w:r>
      <w:r>
        <w:t xml:space="preserve"> </w:t>
      </w:r>
      <w:hyperlink w:anchor="ref-8">
        <w:r>
          <w:rPr>
            <w:rStyle w:val="Hyperlink"/>
          </w:rPr>
          <w:t xml:space="preserve">[8]</w:t>
        </w:r>
      </w:hyperlink>
      <w:r>
        <w:t xml:space="preserve">. The longevity analysis uses twenty-eight missions from that same JPL mission set</w:t>
      </w:r>
      <w:r>
        <w:t xml:space="preserve"> </w:t>
      </w:r>
      <w:hyperlink w:anchor="ref-8">
        <w:r>
          <w:rPr>
            <w:rStyle w:val="Hyperlink"/>
          </w:rPr>
          <w:t xml:space="preserve">[8]</w:t>
        </w:r>
      </w:hyperlink>
      <w:r>
        <w:t xml:space="preserve">, for which both a launch date and a listed prime-mission completion date can be transcribed without interpolation. A log-log regression relates accumulated support age to listed prime duration; the slope is an elasticity. Because both durations are built from published dates, every value is reproducible from the primary document.</w:t>
      </w:r>
    </w:p>
    <w:p>
      <w:pPr>
        <w:pStyle w:val="BodyText"/>
        <w:spacing w:line="480" w:lineRule="auto"/>
        <w:ind w:firstLine="720"/>
      </w:pPr>
      <w:r>
        <w:t xml:space="preserve">For the program record, both designs are cross-sectional and associational, and neither claims a causal effect. The distinction matters. Mission classification is not randomly assigned, and Artemis support was not a randomized intervention. The estimates describe differences observed in the record, conditioned on the available controls. That modesty is deliberate. The evidence is a bounded first measurement of contention costs, built on records anyone can audit, not a structural model of the agency’s scheduling apparatus.</w:t>
      </w:r>
    </w:p>
    <w:bookmarkEnd w:id="63"/>
    <w:bookmarkStart w:id="64" w:name="situating-the-contribution"/>
    <w:p>
      <w:pPr>
        <w:pStyle w:val="Heading2"/>
        <w:spacing w:line="480" w:lineRule="auto"/>
      </w:pPr>
      <w:r>
        <w:t xml:space="preserve">1.4 Situating the contribution</w:t>
      </w:r>
    </w:p>
    <w:p>
      <w:pPr>
        <w:pStyle w:val="FirstParagraph"/>
        <w:spacing w:line="480" w:lineRule="auto"/>
      </w:pPr>
      <w:r>
        <w:t xml:space="preserve">For this archival, the record matters here: this neighborhood is crowded yet leaves the specific estimand vacant. The record is explicit. Ground-segment scheduling has been formalized for imaging missions across multiple satellites and stations</w:t>
      </w:r>
      <w:r>
        <w:t xml:space="preserve"> </w:t>
      </w:r>
      <w:hyperlink w:anchor="ref-2">
        <w:r>
          <w:rPr>
            <w:rStyle w:val="Hyperlink"/>
          </w:rPr>
          <w:t xml:space="preserve">[2]</w:t>
        </w:r>
      </w:hyperlink>
      <w:r>
        <w:t xml:space="preserve">. Artificial-intelligence and replanning techniques have been developed for surveillance-network contact scheduling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Broader treatments of agent-based and AI-powered space-system management survey the coordination challenges across mission classes</w:t>
      </w:r>
      <w:r>
        <w:t xml:space="preserve"> </w:t>
      </w:r>
      <w:hyperlink w:anchor="ref-3">
        <w:r>
          <w:rPr>
            <w:rStyle w:val="Hyperlink"/>
          </w:rPr>
          <w:t xml:space="preserve">[3]</w:t>
        </w:r>
      </w:hyperlink>
      <w:r>
        <w:t xml:space="preserve"> </w:t>
      </w:r>
      <w:hyperlink w:anchor="ref-4">
        <w:r>
          <w:rPr>
            <w:rStyle w:val="Hyperlink"/>
          </w:rPr>
          <w:t xml:space="preserve">[4]</w:t>
        </w:r>
      </w:hyperlink>
      <w:r>
        <w:t xml:space="preserve">. Operations papers on space-environment observatories acknowledge that weather and scheduling conflicts displace planned passes</w:t>
      </w:r>
      <w:r>
        <w:t xml:space="preserve"> </w:t>
      </w:r>
      <w:hyperlink w:anchor="ref-1">
        <w:r>
          <w:rPr>
            <w:rStyle w:val="Hyperlink"/>
          </w:rPr>
          <w:t xml:space="preserve">[1]</w:t>
        </w:r>
      </w:hyperlink>
      <w:r>
        <w:t xml:space="preserve">. What none produces is a mission-class-aware, DSN-calibrated estimate of the science-return penalty that contention imposes on heliophysics. The dissertation supplies two such estimates and connects them. The connection matters since the two findings describe different faces of the same constraint. Short-run shocks determine which already-scheduled hours survive contact with execution. Long-run persistence determines how many missions crowd the queue in the first place. A heliophysics governance regime that addresses only surges will be surprised by accumulating legacy demand; one that forecasts only the stock will be caught flat-footed by the next Artemis-scale event. Both dimensions must enter the same planning conversation, and the empirical results give each a measured anchor.</w:t>
      </w:r>
    </w:p>
    <w:p>
      <w:pPr>
        <w:pStyle w:val="BodyText"/>
        <w:spacing w:line="480" w:lineRule="auto"/>
        <w:ind w:firstLine="720"/>
      </w:pPr>
      <w:r>
        <w:t xml:space="preserve">For a replicator, the choice to study a single agency’s ground segment, instead of the broader landscape of commercial and international deep-space communications, is deliberate and bounds the claim usefully. The claim remains testable. The Deep Space Network is a distinct institution with its own priority rules, its own oversight, and its own published records, and heliophysics missions depend on it in a way they do not depend on any commercial alternative for the deep-space geometries this work concerns. Confining the estimate to the DSN keeps the estimand well-defined and the records auditable. It also means the findings speak directly to the one institution whose governance the heliophysics community can actually influence, through the Heliophysics Division’s participation in ground-segment coordination</w:t>
      </w:r>
      <w:r>
        <w:t xml:space="preserve"> </w:t>
      </w:r>
      <w:hyperlink w:anchor="ref-20">
        <w:r>
          <w:rPr>
            <w:rStyle w:val="Hyperlink"/>
          </w:rPr>
          <w:t xml:space="preserve">[20]</w:t>
        </w:r>
      </w:hyperlink>
      <w:r>
        <w:t xml:space="preserve">, instead of to a diffuse market over which no single stakeholder holds sway. There is also a governance argument embedded in the choice of records. Both sources are public. The Artemis I loss data come from a NASA technical report</w:t>
      </w:r>
      <w:r>
        <w:t xml:space="preserve"> </w:t>
      </w:r>
      <w:hyperlink w:anchor="ref-7">
        <w:r>
          <w:rPr>
            <w:rStyle w:val="Hyperlink"/>
          </w:rPr>
          <w:t xml:space="preserve">[7]</w:t>
        </w:r>
      </w:hyperlink>
      <w:r>
        <w:t xml:space="preserve">, and the longevity data come from a published JPL mission set</w:t>
      </w:r>
      <w:r>
        <w:t xml:space="preserve"> </w:t>
      </w:r>
      <w:hyperlink w:anchor="ref-8">
        <w:r>
          <w:rPr>
            <w:rStyle w:val="Hyperlink"/>
          </w:rPr>
          <w:t xml:space="preserve">[8]</w:t>
        </w:r>
      </w:hyperlink>
      <w:r>
        <w:t xml:space="preserve">. A claim built on public records can be checked by the community it concerns. That property is not incidental. If the heliophysics community is to reason about the marginal cost of each additional non-heliophysics user of the network, it needs metrics that survive scrutiny, and it needs them in a form that the Office of Inspector General, the Heliophysics Division, and individual mission teams can all interrogate</w:t>
      </w:r>
      <w:r>
        <w:t xml:space="preserve"> </w:t>
      </w:r>
      <w:hyperlink w:anchor="ref-13">
        <w:r>
          <w:rPr>
            <w:rStyle w:val="Hyperlink"/>
          </w:rPr>
          <w:t xml:space="preserve">[13]</w:t>
        </w:r>
      </w:hyperlink>
      <w:r>
        <w:t xml:space="preserve">.</w:t>
      </w:r>
    </w:p>
    <w:bookmarkEnd w:id="64"/>
    <w:bookmarkStart w:id="65" w:name="the-queueing-lens"/>
    <w:p>
      <w:pPr>
        <w:pStyle w:val="Heading2"/>
        <w:spacing w:line="480" w:lineRule="auto"/>
      </w:pPr>
      <w:r>
        <w:t xml:space="preserve">1.5 The queueing lens</w:t>
      </w:r>
    </w:p>
    <w:p>
      <w:pPr>
        <w:pStyle w:val="FirstParagraph"/>
        <w:spacing w:line="480" w:lineRule="auto"/>
      </w:pPr>
      <w:r>
        <w:t xml:space="preserve">A word on the conceptual apparatus that organizes both exercises. The coding choice is visible. This work views the Deep Space Network as a multi-class priority queue. Requests arrive from missions of different classes, each carrying a duration, a timing window, and an implicit priority; the three complexes serve them under a discipline that reflects mission-class rules and pre-scheduled commitments; and when arrivals exceed service capacity, some requests are denied, displaced, or truncated. This is not merely a metaphor. It is the standard analytical frame for a contended resource, and it is the frame within which miss probability, the chance that a request fails to be served as requested, becomes a well-defined function of arrival intensity and the priority discipline. Discrete-event simulation has been applied to large space-sensor networks in precisely this spirit</w:t>
      </w:r>
      <w:r>
        <w:t xml:space="preserve"> </w:t>
      </w:r>
      <w:hyperlink w:anchor="ref-18">
        <w:r>
          <w:rPr>
            <w:rStyle w:val="Hyperlink"/>
          </w:rPr>
          <w:t xml:space="preserve">[18]</w:t>
        </w:r>
      </w:hyperlink>
      <w:r>
        <w:t xml:space="preserve">, and agent-based treatments of distributed mission management adopt the same queueing intuition</w:t>
      </w:r>
      <w:r>
        <w:t xml:space="preserve"> </w:t>
      </w:r>
      <w:hyperlink w:anchor="ref-3">
        <w:r>
          <w:rPr>
            <w:rStyle w:val="Hyperlink"/>
          </w:rPr>
          <w:t xml:space="preserve">[3]</w:t>
        </w:r>
      </w:hyperlink>
      <w:r>
        <w:t xml:space="preserve">. The data construction is deliberately visible: the lens matters since it turns two otherwise separate empirical facts into readings of one system. The Artemis I displacement is a snapshot of the queue under a sudden surge in high-priority arrivals: human-exploration requests flooded the service nodes, and the discipline decided whose lower-priority requests would be denied or truncated. The longevity accumulation is a description of the queue’s arrival process over time: missions that persist past their prime phases keep submitting requests, so the arrival stream carries a heavy tail of legacy demand that a launch-cadence view would miss. Seen through the queue, the surge and the stock are the transient and the steady-state faces of the same contention. The regressions in the empirical chapters are reduced-form summaries; the queue is what gives their coefficients structural meaning, and it is what defines the discrete-event simulation named as future work.</w:t>
      </w:r>
    </w:p>
    <w:bookmarkEnd w:id="65"/>
    <w:bookmarkStart w:id="66" w:name="roadmap"/>
    <w:p>
      <w:pPr>
        <w:pStyle w:val="Heading2"/>
        <w:spacing w:line="480" w:lineRule="auto"/>
      </w:pPr>
      <w:r>
        <w:t xml:space="preserve">1.6 Roadmap</w:t>
      </w:r>
    </w:p>
    <w:p>
      <w:pPr>
        <w:pStyle w:val="FirstParagraph"/>
        <w:spacing w:line="480" w:lineRule="auto"/>
      </w:pPr>
      <w:r>
        <w:t xml:space="preserve">For this operational, the question is narrower: the dissertation proceeds in eight chapters. That is the empirical boundary. Chapter 2 situates the work against the scheduling, queueing, and mission-operations literature, drawing on the reference pool to show where prior treatments stop short of a heliophysics-specific estimand. Chapter 3 develops the theory: the mechanisms of event criticality, substitutability, and institutional protection that could generate a mission-class difference in loss, and the sequential decision structure that predicts a subunitary longevity elasticity. It states the testable hypotheses. Chapter 4 sets out the methodology and identification strategy, explaining why ordinary least squares with robust standard errors is the appropriate estimator for the Artemis I cross-section and why a log-log specification recovers an interpretable elasticity for the longevity test. Chapter 5 documents the data and measurement in full: the source records, the variable constructions, the classification joins, and the sample sizes. Chapter 6 reports the results exactly as the estimators produced them, including coefficients, standard errors, p-values, and model fit, and interprets the signs and magnitudes.</w:t>
      </w:r>
    </w:p>
    <w:p>
      <w:pPr>
        <w:pStyle w:val="BodyText"/>
        <w:spacing w:line="480" w:lineRule="auto"/>
        <w:ind w:firstLine="720"/>
      </w:pPr>
      <w:r>
        <w:t xml:space="preserve">For the empirical reader, chapter 7 discusses what the findings mean and confronts the threats to validity: the post-negotiation nature of the schedule record, the coarseness of a binary mission label, the structural break introduced by evolving scheduling tools, and the non-random removal of antenna-hours by weather and outages. Chapter 8 draws the contribution together, states its relevance for network governance and the Heliophysics Division, and sets out the future work, principally the request-level, multi-episode panel that would let these bounded first estimates mature into a structural account of contention. The argument throughout is narrow by design. Two public records, two transparent estimators, two falsifiable claims. The value is not in the sophistication of the machinery but in the discipline of measuring something the operational community has long known qualitatively and never before pinned to a number.</w:t>
      </w:r>
    </w:p>
    <w:bookmarkEnd w:id="66"/>
    <w:bookmarkStart w:id="67" w:name="X035dd69ae1d785ee34026c62ba9d116cf7ed4cf"/>
    <w:p>
      <w:pPr>
        <w:pStyle w:val="Heading2"/>
        <w:spacing w:line="480" w:lineRule="auto"/>
      </w:pPr>
      <w:r>
        <w:t xml:space="preserve">1.7 A note on scope and what this dissertation is not</w:t>
      </w:r>
    </w:p>
    <w:p>
      <w:pPr>
        <w:pStyle w:val="FirstParagraph"/>
        <w:spacing w:line="480" w:lineRule="auto"/>
      </w:pPr>
      <w:r>
        <w:t xml:space="preserve">It helps to say clearly what this work does not attempt, since the boundaries are as important as the claims. The result is narrow. This is not a redesign of the Deep Space Network scheduler. The optimization and reinforcement-learning literature contains proposals for better schedulers</w:t>
      </w:r>
      <w:r>
        <w:t xml:space="preserve"> </w:t>
      </w:r>
      <w:hyperlink w:anchor="ref-9">
        <w:r>
          <w:rPr>
            <w:rStyle w:val="Hyperlink"/>
          </w:rPr>
          <w:t xml:space="preserve">[9]</w:t>
        </w:r>
      </w:hyperlink>
      <w:r>
        <w:t xml:space="preserve"> </w:t>
      </w:r>
      <w:hyperlink w:anchor="ref-11">
        <w:r>
          <w:rPr>
            <w:rStyle w:val="Hyperlink"/>
          </w:rPr>
          <w:t xml:space="preserve">[11]</w:t>
        </w:r>
      </w:hyperlink>
      <w:r>
        <w:t xml:space="preserve">, and nothing here competes with them; the aim is to measure outcomes, not to prescribe algorithms. Neither is this a queueing-theory contribution in the mathematical sense. The queueing frame organizes the interpretation and defines the future simulation, but the estimates themselves are regressions, chosen for transparency over structural fidelity. A reader looking for a closed-form miss-probability formula derived from arrival and service rates will not find one here; that formula is the object the future discrete-event work would calibrate.</w:t>
      </w:r>
    </w:p>
    <w:p>
      <w:pPr>
        <w:pStyle w:val="BodyText"/>
        <w:spacing w:line="480" w:lineRule="auto"/>
        <w:ind w:firstLine="720"/>
      </w:pPr>
      <w:r>
        <w:t xml:space="preserve">For the program record, nor is this a causal-inference study in disguise. The distinction matters. Both designs are frankly associational, and the dissertation refuses the causal language that a reader accustomed to natural experiments might expect. There is no instrument, no discontinuity, no randomization, and the text is careful never to claim that reclassifying a mission or lengthening its prime plan would change its fate. What the work offers instead is descriptive measurement of high quality: two carefully constructed quantities, reported to the decimal, bound to public records, and interpreted within honestly stated limits. In a domain where the contention question has gone unmeasured for want of accessible data, a rigorous description is itself a contribution, and it is the contribution this dissertation makes. The chapters that follow hold to that scope without apology, and they earn their length by the depth of engagement with the two records instead of by any expansion of the claims those records can support</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67"/>
    <w:bookmarkEnd w:id="68"/>
    <w:bookmarkStart w:id="78" w:name="chapter-2.-literature-review"/>
    <w:p>
      <w:pPr>
        <w:pStyle w:val="Heading1"/>
        <w:spacing w:line="480" w:lineRule="auto"/>
      </w:pPr>
      <w:r>
        <w:t xml:space="preserve">Chapter 2. Literature Review</w:t>
      </w:r>
    </w:p>
    <w:p>
      <w:pPr>
        <w:pStyle w:val="FirstParagraph"/>
        <w:spacing w:line="480" w:lineRule="auto"/>
      </w:pPr>
      <w:r>
        <w:t xml:space="preserve">The study of shared ground-segment allocation sits at the intersection of three research communities that rarely cite one another.</w:t>
      </w:r>
    </w:p>
    <w:p>
      <w:pPr>
        <w:pStyle w:val="BodyText"/>
        <w:spacing w:line="480" w:lineRule="auto"/>
        <w:ind w:firstLine="720"/>
      </w:pPr>
      <w:r>
        <w:t xml:space="preserve">Operations researchers formulate scheduling as constrained optimization. The record is explicit. Mission-operations engineers describe the network as a lived system of negotiation and reform. Space-domain analysts model contact scheduling for surveillance and tracking networks that resemble the Deep Space Network in structure but differ in mission mix. The chapter reads across all three to establish what is known, and to locate precisely the estimand that none of them supplies.</w:t>
      </w:r>
    </w:p>
    <w:bookmarkStart w:id="69" w:name="Xf4c8596657cf82abcefd4cfa453517be8cc51ff"/>
    <w:p>
      <w:pPr>
        <w:pStyle w:val="Heading2"/>
        <w:spacing w:line="480" w:lineRule="auto"/>
      </w:pPr>
      <w:r>
        <w:t xml:space="preserve">2.1 The network as an oversubscribed optimization problem</w:t>
      </w:r>
    </w:p>
    <w:p>
      <w:pPr>
        <w:pStyle w:val="FirstParagraph"/>
        <w:spacing w:line="480" w:lineRule="auto"/>
      </w:pPr>
      <w:r>
        <w:t xml:space="preserve">For this dominant, the frame treats the Deep Space Network as a resource whose requested use exceeds its capacity, and asks how to allocate it well.</w:t>
      </w:r>
    </w:p>
    <w:p>
      <w:pPr>
        <w:pStyle w:val="BodyText"/>
        <w:spacing w:line="480" w:lineRule="auto"/>
        <w:ind w:firstLine="720"/>
      </w:pPr>
      <w:r>
        <w:t xml:space="preserve">Johnston’s work on user-preference optimization is the anchor</w:t>
      </w:r>
      <w:r>
        <w:t xml:space="preserve"> </w:t>
      </w:r>
      <w:hyperlink w:anchor="ref-9">
        <w:r>
          <w:rPr>
            <w:rStyle w:val="Hyperlink"/>
          </w:rPr>
          <w:t xml:space="preserve">[9]</w:t>
        </w:r>
      </w:hyperlink>
      <w:r>
        <w:t xml:space="preserve">. His central observation is that a schedule can be technically feasible, satisfying every hard constraint of visibility, antenna compatibility, setup, and maintenance, while still distributing costs unequally among users. Feasibility is not fairness. A preference-aware optimizer surfaces this by letting missions express how much they value particular windows, then searching for allocations that respect the aggregate preference structure instead of merely the physical constraints. This reframing is important for the present work since it establishes, from inside NASA’s own analysis, that mission-class outcomes under contention are a legitimate object of study instead of an artifact of poor scheduling.</w:t>
      </w:r>
    </w:p>
    <w:p>
      <w:pPr>
        <w:pStyle w:val="BodyText"/>
        <w:spacing w:line="480" w:lineRule="auto"/>
        <w:ind w:firstLine="720"/>
      </w:pPr>
      <w:r>
        <w:t xml:space="preserve">For the program record, block scheduling is the practical regime this optimization sits atop.</w:t>
      </w:r>
    </w:p>
    <w:p>
      <w:pPr>
        <w:pStyle w:val="BodyText"/>
        <w:spacing w:line="480" w:lineRule="auto"/>
        <w:ind w:firstLine="720"/>
      </w:pPr>
      <w:r>
        <w:t xml:space="preserve">Johnston and Lad describe spacecraft block scheduling as the method by which the network commits large, coordinated allocations over long horizons</w:t>
      </w:r>
      <w:r>
        <w:t xml:space="preserve"> </w:t>
      </w:r>
      <w:hyperlink w:anchor="ref-12">
        <w:r>
          <w:rPr>
            <w:rStyle w:val="Hyperlink"/>
          </w:rPr>
          <w:t xml:space="preserve">[12]</w:t>
        </w:r>
      </w:hyperlink>
      <w:r>
        <w:t xml:space="preserve">. Blocks reduce the combinatorial burden of scheduling by grouping a mission’s requests, but they also introduce rigidity. A block committed months in advance is hard to unwind when a demand shock arrives, which means the flexibility to absorb a surge must come from somewhere else in the schedule. That structural fact motivates the central empirical question of this dissertation: when a surge like Artemis I arrives, which missions’ hours are drawn down to make room? Against the rigidity of block scheduling, a reform literature proposes demand access. Dhamani and colleagues articulate a demand-access paradigm for deep-space communications in which contacts are requested and granted closer to real time, instead of committed through long-horizon negotiation</w:t>
      </w:r>
      <w:r>
        <w:t xml:space="preserve"> </w:t>
      </w:r>
      <w:hyperlink w:anchor="ref-10">
        <w:r>
          <w:rPr>
            <w:rStyle w:val="Hyperlink"/>
          </w:rPr>
          <w:t xml:space="preserve">[10]</w:t>
        </w:r>
      </w:hyperlink>
      <w:r>
        <w:t xml:space="preserve">. The Queuing Antenna for Demand Access concept develops the ground-hardware side of the same idea, treating antenna assignment as a queueing discipline instead of a pre-negotiated block</w:t>
      </w:r>
      <w:r>
        <w:t xml:space="preserve"> </w:t>
      </w:r>
      <w:hyperlink w:anchor="ref-14">
        <w:r>
          <w:rPr>
            <w:rStyle w:val="Hyperlink"/>
          </w:rPr>
          <w:t xml:space="preserve">[14]</w:t>
        </w:r>
      </w:hyperlink>
      <w:r>
        <w:t xml:space="preserve">. These proposals are conceptually adjacent to this dissertation’s queueing framing, but they are prescriptive. They describe how the network could allocate, not how it did allocate during a specific observed episode. The gap between the two is exactly the space an empirical estimate occupies.</w:t>
      </w:r>
    </w:p>
    <w:bookmarkEnd w:id="69"/>
    <w:bookmarkStart w:id="70" w:name="X628a79a4be4f1403a988535d4b182daa04d1a62"/>
    <w:p>
      <w:pPr>
        <w:pStyle w:val="Heading2"/>
        <w:spacing w:line="480" w:lineRule="auto"/>
      </w:pPr>
      <w:r>
        <w:t xml:space="preserve">2.2 Learning to schedule: AI and reinforcement approaches</w:t>
      </w:r>
    </w:p>
    <w:p>
      <w:pPr>
        <w:pStyle w:val="FirstParagraph"/>
        <w:spacing w:line="480" w:lineRule="auto"/>
      </w:pPr>
      <w:r>
        <w:t xml:space="preserve">A second, faster-moving strand applies machine learning to the scheduling problem. The claim remains testable. Wilson and colleagues frame Deep Space Network scheduling as a reinforcement-learning task, training an agent to construct schedules that improve on hand-tuned heuristics</w:t>
      </w:r>
      <w:r>
        <w:t xml:space="preserve"> </w:t>
      </w:r>
      <w:hyperlink w:anchor="ref-11">
        <w:r>
          <w:rPr>
            <w:rStyle w:val="Hyperlink"/>
          </w:rPr>
          <w:t xml:space="preserve">[11]</w:t>
        </w:r>
      </w:hyperlink>
      <w:r>
        <w:t xml:space="preserve">. The appeal is that the network’s constraints are numerous and interacting, and a learned policy can discover allocations a human scheduler would not. Kim and colleagues formulate imaging-mission scheduling across multiple satellites and ground stations as a Markov decision process, showing how the sequential nature of contact assignment maps onto reinforcement learning</w:t>
      </w:r>
      <w:r>
        <w:t xml:space="preserve"> </w:t>
      </w:r>
      <w:hyperlink w:anchor="ref-2">
        <w:r>
          <w:rPr>
            <w:rStyle w:val="Hyperlink"/>
          </w:rPr>
          <w:t xml:space="preserve">[2]</w:t>
        </w:r>
      </w:hyperlink>
      <w:r>
        <w:t xml:space="preserve">. The broader surveys of artificial-intelligence-powered space systems place these efforts in context, cataloguing how learned methods are entering launch, space, ground, and user segments across the mission lifecycle</w:t>
      </w:r>
      <w:r>
        <w:t xml:space="preserve"> </w:t>
      </w:r>
      <w:hyperlink w:anchor="ref-4">
        <w:r>
          <w:rPr>
            <w:rStyle w:val="Hyperlink"/>
          </w:rPr>
          <w:t xml:space="preserve">[4]</w:t>
        </w:r>
      </w:hyperlink>
      <w:r>
        <w:t xml:space="preserve">. For a replicator, this literature is technically deep but empirically silent on distributional outcomes. A learned scheduler optimizes an objective, and the objective quietly encodes whose preferences count. If the training signal weights human-exploration criticality heavily, the resulting policy will protect Artemis-class events at the expense of routine science passes, and it will do so invisibly, buried in a reward function. Kumar and colleagues note that the deployment of AI scheduling tooling across the network is itself an evolving process, which means the service discipline is not stationary</w:t>
      </w:r>
      <w:r>
        <w:t xml:space="preserve"> </w:t>
      </w:r>
      <w:hyperlink w:anchor="ref-4">
        <w:r>
          <w:rPr>
            <w:rStyle w:val="Hyperlink"/>
          </w:rPr>
          <w:t xml:space="preserve">[4]</w:t>
        </w:r>
      </w:hyperlink>
      <w:r>
        <w:t xml:space="preserve">. That non-stationarity is not merely a modeling nuisance; it is a threat to any empirical estimate that spans the deployment window, and the methodology of this work treats it as one.</w:t>
      </w:r>
    </w:p>
    <w:p>
      <w:pPr>
        <w:pStyle w:val="BodyText"/>
        <w:spacing w:line="480" w:lineRule="auto"/>
        <w:ind w:firstLine="720"/>
      </w:pPr>
      <w:r>
        <w:t xml:space="preserve">For this surveillance-network, the scheduling community contributes methods that transfer directly. The coding choice is visible. Stottler and Mahan describe automatic, rapid replanning of satellite operations for space situational awareness, addressing the case where a schedule must be reconstructed quickly after a disruption</w:t>
      </w:r>
      <w:r>
        <w:t xml:space="preserve"> </w:t>
      </w:r>
      <w:hyperlink w:anchor="ref-5">
        <w:r>
          <w:rPr>
            <w:rStyle w:val="Hyperlink"/>
          </w:rPr>
          <w:t xml:space="preserve">[5]</w:t>
        </w:r>
      </w:hyperlink>
      <w:r>
        <w:t xml:space="preserve">. Stottler and Howe extend reinforcement-learning ideas to delay- and disruption-tolerant communication scheduling</w:t>
      </w:r>
      <w:r>
        <w:t xml:space="preserve"> </w:t>
      </w:r>
      <w:hyperlink w:anchor="ref-6">
        <w:r>
          <w:rPr>
            <w:rStyle w:val="Hyperlink"/>
          </w:rPr>
          <w:t xml:space="preserve">[6]</w:t>
        </w:r>
      </w:hyperlink>
      <w:r>
        <w:t xml:space="preserve">. Andersson and colleagues apply genetic-algorithm-driven scheduling to radar-based satellite tracking, another finite-sensor allocation problem</w:t>
      </w:r>
      <w:r>
        <w:t xml:space="preserve"> </w:t>
      </w:r>
      <w:hyperlink w:anchor="ref-21">
        <w:r>
          <w:rPr>
            <w:rStyle w:val="Hyperlink"/>
          </w:rPr>
          <w:t xml:space="preserve">[21]</w:t>
        </w:r>
      </w:hyperlink>
      <w:r>
        <w:t xml:space="preserve">. These works establish that contact scheduling under contention is a mature computational discipline. What they optimize, however, is a tracking-network objective, and their mission mix, many similar sensors tracking many similar objects, differs from the Deep Space Network’s heterogeneous portfolio of a few very large antennas serving a handful of high-value spacecraft.</w:t>
      </w:r>
    </w:p>
    <w:bookmarkEnd w:id="70"/>
    <w:bookmarkStart w:id="71" w:name="Xb7c892942f7dd505e9c96c6ce41fd1407d3b43b"/>
    <w:p>
      <w:pPr>
        <w:pStyle w:val="Heading2"/>
        <w:spacing w:line="480" w:lineRule="auto"/>
      </w:pPr>
      <w:r>
        <w:t xml:space="preserve">2.3 Queueing, simulation, and the analytics of contention</w:t>
      </w:r>
    </w:p>
    <w:p>
      <w:pPr>
        <w:pStyle w:val="FirstParagraph"/>
        <w:spacing w:line="480" w:lineRule="auto"/>
      </w:pPr>
      <w:r>
        <w:t xml:space="preserve">Beneath the optimization and learning literatures lies a older analytical tradition: modeling a contended resource as a queue. That is the empirical boundary. Jefferson and Leek apply parallel discrete-event simulation to the Space Surveillance Network, demonstrating that a large sensor-tasking system can be simulated at scale to study its throughput and congestion behavior</w:t>
      </w:r>
      <w:r>
        <w:t xml:space="preserve"> </w:t>
      </w:r>
      <w:hyperlink w:anchor="ref-18">
        <w:r>
          <w:rPr>
            <w:rStyle w:val="Hyperlink"/>
          </w:rPr>
          <w:t xml:space="preserve">[18]</w:t>
        </w:r>
      </w:hyperlink>
      <w:r>
        <w:t xml:space="preserve">. Discrete-event simulation is the natural robustness companion to a queueing model, since it can reproduce arrival and service-time distributions that closed-form queueing formulas cannot easily accommodate. Jabbarpour and colleagues survey agent-based approaches to distributed space-system and mission management, cataloguing how contention among autonomous mission agents is represented and resolved</w:t>
      </w:r>
      <w:r>
        <w:t xml:space="preserve"> </w:t>
      </w:r>
      <w:hyperlink w:anchor="ref-3">
        <w:r>
          <w:rPr>
            <w:rStyle w:val="Hyperlink"/>
          </w:rPr>
          <w:t xml:space="preserve">[3]</w:t>
        </w:r>
      </w:hyperlink>
      <w:r>
        <w:t xml:space="preserve"> </w:t>
      </w:r>
      <w:hyperlink w:anchor="ref-22">
        <w:r>
          <w:rPr>
            <w:rStyle w:val="Hyperlink"/>
          </w:rPr>
          <w:t xml:space="preserve">[22]</w:t>
        </w:r>
      </w:hyperlink>
      <w:r>
        <w:t xml:space="preserve">. Their survey is valuable precisely since it identifies ground-station configuration across mission classes as a central, unresolved coordination problem, which is the problem this dissertation measures. The data construction is deliberately visible: a queueing frame carries a specific promise. If the network is a multi-class priority queue, then miss probability, the chance that a request is denied, displaced, or truncated, becomes a function of arrival intensity, service rates, and the priority discipline. That functional relationship is what makes an elasticity estimable. The literature has supplied the frame and the simulation tools but has not turned them on the heliophysics mission class with real schedule data. The Raft data-fabric work by Morgan and colleagues shows that the data-engineering substrate for exactly this kind of cross-source analysis is being built for space-domain awareness</w:t>
      </w:r>
      <w:r>
        <w:t xml:space="preserve"> </w:t>
      </w:r>
      <w:hyperlink w:anchor="ref-19">
        <w:r>
          <w:rPr>
            <w:rStyle w:val="Hyperlink"/>
          </w:rPr>
          <w:t xml:space="preserve">[19]</w:t>
        </w:r>
      </w:hyperlink>
      <w:r>
        <w:t xml:space="preserve">, which suggests the empirical turn this dissertation takes is timely instead of premature.</w:t>
      </w:r>
    </w:p>
    <w:bookmarkEnd w:id="71"/>
    <w:bookmarkStart w:id="72" w:name="X247882fe2d8cb4a108586c24d11a473498e39d9"/>
    <w:p>
      <w:pPr>
        <w:pStyle w:val="Heading2"/>
        <w:spacing w:line="480" w:lineRule="auto"/>
      </w:pPr>
      <w:r>
        <w:t xml:space="preserve">2.4 Mission operations and the reality of displacement</w:t>
      </w:r>
    </w:p>
    <w:p>
      <w:pPr>
        <w:pStyle w:val="FirstParagraph"/>
        <w:spacing w:line="480" w:lineRule="auto"/>
      </w:pPr>
      <w:r>
        <w:t xml:space="preserve">For this operational, the question is narrower: optimization idealizes; operations testify. The result is narrow. Grau and colleagues, writing on mission operations for in-orbit collision prediction and space-environment surveillance, acknowledge plainly that weather and scheduling conflicts displace planned ground-station passes</w:t>
      </w:r>
      <w:r>
        <w:t xml:space="preserve"> </w:t>
      </w:r>
      <w:hyperlink w:anchor="ref-1">
        <w:r>
          <w:rPr>
            <w:rStyle w:val="Hyperlink"/>
          </w:rPr>
          <w:t xml:space="preserve">[1]</w:t>
        </w:r>
      </w:hyperlink>
      <w:r>
        <w:t xml:space="preserve">. This is the ground truth that the elegant schedulers must confront. Passes are lost not only to competing demand but to clouds, equipment faults, and calibration windows, and those losses are not distributed randomly across complexes. Baldwin’s account of Deep Space Network scheduling principles and challenges is the operational document that anchors this dissertation’s first empirical exercise, since it publishes mission-level planned-versus-executed support during the Artemis I weeks</w:t>
      </w:r>
      <w:r>
        <w:t xml:space="preserve"> </w:t>
      </w:r>
      <w:hyperlink w:anchor="ref-7">
        <w:r>
          <w:rPr>
            <w:rStyle w:val="Hyperlink"/>
          </w:rPr>
          <w:t xml:space="preserve">[7]</w:t>
        </w:r>
      </w:hyperlink>
      <w:r>
        <w:t xml:space="preserve">. It is a rare public window into what displacement actually looked like during a shock. The oversight literature supplies the institutional context. The NASA Office of Inspector General’s review of network management documents the capacity, maintenance, and modernization pressures that make displacement inevitable instead of exceptional</w:t>
      </w:r>
      <w:r>
        <w:t xml:space="preserve"> </w:t>
      </w:r>
      <w:hyperlink w:anchor="ref-13">
        <w:r>
          <w:rPr>
            <w:rStyle w:val="Hyperlink"/>
          </w:rPr>
          <w:t xml:space="preserve">[13]</w:t>
        </w:r>
      </w:hyperlink>
      <w:r>
        <w:t xml:space="preserve">. The report’s value for this work is that it establishes, from an independent audit, that the network’s scarcity is structural and persistent, not a temporary condition that better algorithms will dissolve. Friedel and colleagues, describing orbit-determination and space-situational-awareness activity at NASA’s Heliophysics Division, show that the heliophysics community itself is actively engaged in the ground-segment coordination question</w:t>
      </w:r>
      <w:r>
        <w:t xml:space="preserve"> </w:t>
      </w:r>
      <w:hyperlink w:anchor="ref-20">
        <w:r>
          <w:rPr>
            <w:rStyle w:val="Hyperlink"/>
          </w:rPr>
          <w:t xml:space="preserve">[20]</w:t>
        </w:r>
      </w:hyperlink>
      <w:r>
        <w:t xml:space="preserve">, which grounds the policy relevance of a heliophysics-specific estimate.</w:t>
      </w:r>
    </w:p>
    <w:bookmarkEnd w:id="72"/>
    <w:bookmarkStart w:id="73" w:name="X0bf0671823364fd3d11ecca7b6ceb0b57fa01f3"/>
    <w:p>
      <w:pPr>
        <w:pStyle w:val="Heading2"/>
        <w:spacing w:line="480" w:lineRule="auto"/>
      </w:pPr>
      <w:r>
        <w:t xml:space="preserve">2.5 The adjacent machine-learning-for-space literature</w:t>
      </w:r>
    </w:p>
    <w:p>
      <w:pPr>
        <w:pStyle w:val="FirstParagraph"/>
        <w:spacing w:line="480" w:lineRule="auto"/>
      </w:pPr>
      <w:r>
        <w:t xml:space="preserve">A large and growing body of work applies machine learning to space problems that are not scheduling but share the data-scarce, high-stakes character of this domain. The distinction matters. Caldas and Soares survey machine learning in orbit estimation, mapping how learned methods handle the noisy, sparse observations typical of space tracking</w:t>
      </w:r>
      <w:r>
        <w:t xml:space="preserve"> </w:t>
      </w:r>
      <w:hyperlink w:anchor="ref-24">
        <w:r>
          <w:rPr>
            <w:rStyle w:val="Hyperlink"/>
          </w:rPr>
          <w:t xml:space="preserve">[24]</w:t>
        </w:r>
      </w:hyperlink>
      <w:r>
        <w:t xml:space="preserve">. Siew and colleagues introduce a satellite pattern-of-life characterization dataset and benchmark, establishing that behavioral inference from sparse tracking data is now a benchmarked discipline</w:t>
      </w:r>
      <w:r>
        <w:t xml:space="preserve"> </w:t>
      </w:r>
      <w:hyperlink w:anchor="ref-16">
        <w:r>
          <w:rPr>
            <w:rStyle w:val="Hyperlink"/>
          </w:rPr>
          <w:t xml:space="preserve">[16]</w:t>
        </w:r>
      </w:hyperlink>
      <w:r>
        <w:t xml:space="preserve">. Furfaro and colleagues classify space objects from light-curve measurements using deep convolutional networks and transfer learning</w:t>
      </w:r>
      <w:r>
        <w:t xml:space="preserve"> </w:t>
      </w:r>
      <w:hyperlink w:anchor="ref-17">
        <w:r>
          <w:rPr>
            <w:rStyle w:val="Hyperlink"/>
          </w:rPr>
          <w:t xml:space="preserve">[17]</w:t>
        </w:r>
      </w:hyperlink>
      <w:r>
        <w:t xml:space="preserve">. This literature matters to the present work less for its methods than for its epistemic posture: it treats sparse, public, observational space data as a legitimate basis for quantitative inference, which is exactly the posture a forty-mission cross-section and a twenty-eight-mission scaling test require. The evidence trail is concrete here: the pose-estimation and autonomy literature is more distant but illustrates the field’s methodological maturity. Work on hybrid deep learning for monocular pose estimation in docking</w:t>
      </w:r>
      <w:r>
        <w:t xml:space="preserve"> </w:t>
      </w:r>
      <w:hyperlink w:anchor="ref-23">
        <w:r>
          <w:rPr>
            <w:rStyle w:val="Hyperlink"/>
          </w:rPr>
          <w:t xml:space="preserve">[23]</w:t>
        </w:r>
      </w:hyperlink>
      <w:r>
        <w:t xml:space="preserve">, lidar benchmarks for non-cooperative rendezvous</w:t>
      </w:r>
      <w:r>
        <w:t xml:space="preserve"> </w:t>
      </w:r>
      <w:hyperlink w:anchor="ref-27">
        <w:r>
          <w:rPr>
            <w:rStyle w:val="Hyperlink"/>
          </w:rPr>
          <w:t xml:space="preserve">[27]</w:t>
        </w:r>
      </w:hyperlink>
      <w:r>
        <w:t xml:space="preserve">, and convolutional architectures for relative-state estimation in debris removal</w:t>
      </w:r>
      <w:r>
        <w:t xml:space="preserve"> </w:t>
      </w:r>
      <w:hyperlink w:anchor="ref-26">
        <w:r>
          <w:rPr>
            <w:rStyle w:val="Hyperlink"/>
          </w:rPr>
          <w:t xml:space="preserve">[26]</w:t>
        </w:r>
      </w:hyperlink>
      <w:r>
        <w:t xml:space="preserve"> </w:t>
      </w:r>
      <w:r>
        <w:t xml:space="preserve">shows a community comfortable with small, carefully constructed datasets analyzed with transparent estimators. Predictive calibration for digital sun sensors using sparse convolutional networks extends the same discipline to instrument-level inference</w:t>
      </w:r>
      <w:r>
        <w:t xml:space="preserve"> </w:t>
      </w:r>
      <w:hyperlink w:anchor="ref-25">
        <w:r>
          <w:rPr>
            <w:rStyle w:val="Hyperlink"/>
          </w:rPr>
          <w:t xml:space="preserve">[25]</w:t>
        </w:r>
      </w:hyperlink>
      <w:r>
        <w:t xml:space="preserve">. These are not scheduling papers, and they are cited here only to establish the field’s norm: bounded data, clearly stated estimators, and honest reporting of what a small sample can and cannot support.</w:t>
      </w:r>
    </w:p>
    <w:bookmarkEnd w:id="73"/>
    <w:bookmarkStart w:id="74" w:name="X854b9c6d7c494aa7a6a7e64200a9ed0cfd014de"/>
    <w:p>
      <w:pPr>
        <w:pStyle w:val="Heading2"/>
        <w:spacing w:line="480" w:lineRule="auto"/>
      </w:pPr>
      <w:r>
        <w:t xml:space="preserve">2.6 Data infrastructure and the feasibility of the empirical turn</w:t>
      </w:r>
    </w:p>
    <w:p>
      <w:pPr>
        <w:pStyle w:val="FirstParagraph"/>
        <w:spacing w:line="480" w:lineRule="auto"/>
      </w:pPr>
      <w:r>
        <w:t xml:space="preserve">For the program record, an empirical estimate is only as good as the records it can reach, and a final strand of the literature concerns whether the data infrastructure exists to support cross-source analysis of network contention. The record is explicit. Morgan and colleagues describe the Raft data fabric as a way to enable modular and scalable transforms over space-domain-awareness data drawn from heterogeneous sources</w:t>
      </w:r>
      <w:r>
        <w:t xml:space="preserve"> </w:t>
      </w:r>
      <w:hyperlink w:anchor="ref-19">
        <w:r>
          <w:rPr>
            <w:rStyle w:val="Hyperlink"/>
          </w:rPr>
          <w:t xml:space="preserve">[19]</w:t>
        </w:r>
      </w:hyperlink>
      <w:r>
        <w:t xml:space="preserve">, which is exactly the engineering substrate that a request-level, multi-episode study of DSN contention would require. Latif and colleagues push further, proposing on-chain validation of tracking data messages using distributed deep learning on a proof-of-stake blockchain, a scheme aimed at establishing provenance and integrity for tracking records shared across parties</w:t>
      </w:r>
      <w:r>
        <w:t xml:space="preserve"> </w:t>
      </w:r>
      <w:hyperlink w:anchor="ref-15">
        <w:r>
          <w:rPr>
            <w:rStyle w:val="Hyperlink"/>
          </w:rPr>
          <w:t xml:space="preserve">[15]</w:t>
        </w:r>
      </w:hyperlink>
      <w:r>
        <w:t xml:space="preserve">. These are not scheduling papers, but they matter to the present work since they show that the community is actively building the provenance and transform infrastructure that would let displacement metrics be computed reliably at scale. The relevance is methodological instead of substantive. The dissertation deliberately works from two small public documents that need no such infrastructure, precisely since that keeps the audit chain short. But the infrastructure literature establishes that the richer datasets called for in the future-work chapter are not hypothetical. Provenance-preserving data fabrics and validated tracking-message pipelines are being engineered, which means the request-level panel that would let a bounded first estimate mature into a structural account is a near-term possibility instead of a distant aspiration. The gap this dissertation fills is thus positioned at a moment when the field is acquiring the tools to close it further.</w:t>
      </w:r>
    </w:p>
    <w:bookmarkEnd w:id="74"/>
    <w:bookmarkStart w:id="75" w:name="X2424e413c48a5e1ee587ef0cf44595206adb07f"/>
    <w:p>
      <w:pPr>
        <w:pStyle w:val="Heading2"/>
        <w:spacing w:line="480" w:lineRule="auto"/>
      </w:pPr>
      <w:r>
        <w:t xml:space="preserve">2.7 Why the surveillance-network analogy is imperfect</w:t>
      </w:r>
    </w:p>
    <w:p>
      <w:pPr>
        <w:pStyle w:val="FirstParagraph"/>
        <w:spacing w:line="480" w:lineRule="auto"/>
      </w:pPr>
      <w:r>
        <w:t xml:space="preserve">Before stating the gap, one boundary of the borrowed literature deserves scrutiny. The claim remains testable. Much of the contact-scheduling machinery this chapter surveys was developed for space-surveillance and tracking networks, where many broadly similar sensors observe many broadly similar objects, and where benchmarks and pattern-of-life datasets have standardized the problem</w:t>
      </w:r>
      <w:r>
        <w:t xml:space="preserve"> </w:t>
      </w:r>
      <w:hyperlink w:anchor="ref-16">
        <w:r>
          <w:rPr>
            <w:rStyle w:val="Hyperlink"/>
          </w:rPr>
          <w:t xml:space="preserve">[16]</w:t>
        </w:r>
      </w:hyperlink>
      <w:r>
        <w:t xml:space="preserve"> </w:t>
      </w:r>
      <w:hyperlink w:anchor="ref-17">
        <w:r>
          <w:rPr>
            <w:rStyle w:val="Hyperlink"/>
          </w:rPr>
          <w:t xml:space="preserve">[17]</w:t>
        </w:r>
      </w:hyperlink>
      <w:r>
        <w:t xml:space="preserve">. That mission mix differs structurally from the Deep Space Network’s. The DSN fields a small number of very large, expensive apertures serving a heterogeneous handful of extremely high-value spacecraft, so the combinatorics, the substitutability, and the consequences of a miss are all different in kind, not merely in degree. A surveillance network can often re-task a different sensor to a missed object; a deep-space mission requiring a 70-meter antenna during a specific geometry frequently cannot. For a replicator, this imperfection in the analogy is itself part of the gap. The surveillance-scheduling literature has produced transferable methods, genetic algorithms for radar tasking</w:t>
      </w:r>
      <w:r>
        <w:t xml:space="preserve"> </w:t>
      </w:r>
      <w:hyperlink w:anchor="ref-21">
        <w:r>
          <w:rPr>
            <w:rStyle w:val="Hyperlink"/>
          </w:rPr>
          <w:t xml:space="preserve">[21]</w:t>
        </w:r>
      </w:hyperlink>
      <w:r>
        <w:t xml:space="preserve">, reinforcement learning for disruption-tolerant communication</w:t>
      </w:r>
      <w:r>
        <w:t xml:space="preserve"> </w:t>
      </w:r>
      <w:hyperlink w:anchor="ref-6">
        <w:r>
          <w:rPr>
            <w:rStyle w:val="Hyperlink"/>
          </w:rPr>
          <w:t xml:space="preserve">[6]</w:t>
        </w:r>
      </w:hyperlink>
      <w:r>
        <w:t xml:space="preserve">, rapid replanning after disruption</w:t>
      </w:r>
      <w:r>
        <w:t xml:space="preserve"> </w:t>
      </w:r>
      <w:hyperlink w:anchor="ref-5">
        <w:r>
          <w:rPr>
            <w:rStyle w:val="Hyperlink"/>
          </w:rPr>
          <w:t xml:space="preserve">[5]</w:t>
        </w:r>
      </w:hyperlink>
      <w:r>
        <w:t xml:space="preserve">, but it has not produced DSN-calibrated distributional estimates, and its objective functions encode a mission mix that does not match. A treatment specific to the Deep Space Network must for that reason adapt the methods while rejecting the calibration, which is what a mission-class-aware analysis of real DSN schedule data accomplishes. The machine-learning-for-orbit-estimation survey underscores the same point from the estimation side: methods transfer, but the data and the stakes are domain-specific</w:t>
      </w:r>
      <w:r>
        <w:t xml:space="preserve"> </w:t>
      </w:r>
      <w:hyperlink w:anchor="ref-24">
        <w:r>
          <w:rPr>
            <w:rStyle w:val="Hyperlink"/>
          </w:rPr>
          <w:t xml:space="preserve">[24]</w:t>
        </w:r>
      </w:hyperlink>
      <w:r>
        <w:t xml:space="preserve">.</w:t>
      </w:r>
    </w:p>
    <w:bookmarkEnd w:id="75"/>
    <w:bookmarkStart w:id="76" w:name="the-gap-stated-precisely"/>
    <w:p>
      <w:pPr>
        <w:pStyle w:val="Heading2"/>
        <w:spacing w:line="480" w:lineRule="auto"/>
      </w:pPr>
      <w:r>
        <w:t xml:space="preserve">2.8 The gap, stated precisely</w:t>
      </w:r>
    </w:p>
    <w:p>
      <w:pPr>
        <w:pStyle w:val="FirstParagraph"/>
        <w:spacing w:line="480" w:lineRule="auto"/>
      </w:pPr>
      <w:r>
        <w:t xml:space="preserve">For this chapter, the treats this as an empirical claim: reading across these strands, the shape of the missing contribution becomes sharp. The coding choice is visible. The optimization literature builds better schedulers but does not measure the distributional outcomes of the schedules that were actually run</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reform literature proposes demand access and queueing disciplines but does not estimate the miss probabilities that would justify them</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learning literature trains policies whose distributional consequences are hidden in reward functions and whose service discipline drifts over time</w:t>
      </w:r>
      <w:r>
        <w:t xml:space="preserve"> </w:t>
      </w:r>
      <w:hyperlink w:anchor="ref-4">
        <w:r>
          <w:rPr>
            <w:rStyle w:val="Hyperlink"/>
          </w:rPr>
          <w:t xml:space="preserve">[4]</w:t>
        </w:r>
      </w:hyperlink>
      <w:r>
        <w:t xml:space="preserve"> </w:t>
      </w:r>
      <w:hyperlink w:anchor="ref-11">
        <w:r>
          <w:rPr>
            <w:rStyle w:val="Hyperlink"/>
          </w:rPr>
          <w:t xml:space="preserve">[11]</w:t>
        </w:r>
      </w:hyperlink>
      <w:r>
        <w:t xml:space="preserve">. The surveillance-scheduling literature perfects contact allocation for a different mission mix</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21">
        <w:r>
          <w:rPr>
            <w:rStyle w:val="Hyperlink"/>
          </w:rPr>
          <w:t xml:space="preserve">[21]</w:t>
        </w:r>
      </w:hyperlink>
      <w:r>
        <w:t xml:space="preserve">. The operations and oversight literature testifies that displacement is real and structural but offers no mission-class estimand</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p>
      <w:pPr>
        <w:pStyle w:val="BodyText"/>
        <w:spacing w:line="480" w:lineRule="auto"/>
        <w:ind w:firstLine="720"/>
      </w:pPr>
      <w:r>
        <w:t xml:space="preserve">One thing is missing across all of it.</w:t>
      </w:r>
    </w:p>
    <w:p>
      <w:pPr>
        <w:pStyle w:val="BodyText"/>
        <w:spacing w:line="480" w:lineRule="auto"/>
        <w:ind w:firstLine="720"/>
      </w:pPr>
      <w:r>
        <w:t xml:space="preserve">For this data, the construction is deliberately visible: what is absent is a queueing-informed, mission-class-aware, DSN-calibrated empirical estimate of the science-return penalty that contention imposes on heliophysics, built from public records and reported transparently. That is the empirical boundary. Three properties define the gap. First, the treatment must be mission-class aware, distinguishing heliophysics from the portfolio it competes against. Second, it must be calibrated to the Deep Space Network specifically, not to a LEO ground-station network or a radar tracking sensor. Third, it must produce a defensible point estimate instead of a policy or an architecture. The dissertation supplies two such estimates, one for short-run displacement during a demand shock and one for long-run demand accumulation, and connects them into a single account of how contention is distributed and how it persists.</w:t>
      </w:r>
    </w:p>
    <w:bookmarkEnd w:id="76"/>
    <w:bookmarkStart w:id="77" w:name="Xf3f5acc82448030dc0216e37caf0574891cca34"/>
    <w:p>
      <w:pPr>
        <w:pStyle w:val="Heading2"/>
        <w:spacing w:line="480" w:lineRule="auto"/>
      </w:pPr>
      <w:r>
        <w:t xml:space="preserve">2.9 Positioning against the two closest prior treatments</w:t>
      </w:r>
    </w:p>
    <w:p>
      <w:pPr>
        <w:pStyle w:val="FirstParagraph"/>
        <w:spacing w:line="480" w:lineRule="auto"/>
      </w:pPr>
      <w:r>
        <w:t xml:space="preserve">For this operational, the question is narrower: two prior works sit closest to this dissertation and are worth distinguishing from it explicitly, since the contribution is defined partly by what it adds to them. The result is narrow. Baldwin’s account of Deep Space Network scheduling is the nearest on the data side</w:t>
      </w:r>
      <w:r>
        <w:t xml:space="preserve"> </w:t>
      </w:r>
      <w:hyperlink w:anchor="ref-7">
        <w:r>
          <w:rPr>
            <w:rStyle w:val="Hyperlink"/>
          </w:rPr>
          <w:t xml:space="preserve">[7]</w:t>
        </w:r>
      </w:hyperlink>
      <w:r>
        <w:t xml:space="preserve">. It publishes the mission-level planned-versus-executed record that the Artemis I exercise depends on, and it frames the challenges of scheduling an oversubscribed network with candor. But it is an operational and descriptive document; it presents the schedule changes without estimating a mission-class contrast or attaching uncertainty to one. The dissertation takes Baldwin’s primary record and does the inferential work Baldwin’s format did not: it conditions, estimates, and reports a coefficient with a standard error and a p-value.</w:t>
      </w:r>
    </w:p>
    <w:p>
      <w:pPr>
        <w:pStyle w:val="BodyText"/>
        <w:spacing w:line="480" w:lineRule="auto"/>
        <w:ind w:firstLine="720"/>
      </w:pPr>
      <w:r>
        <w:t xml:space="preserve">Johnston’s preference-optimization work is the nearest on the conceptual side</w:t>
      </w:r>
      <w:r>
        <w:t xml:space="preserve"> </w:t>
      </w:r>
      <w:hyperlink w:anchor="ref-9">
        <w:r>
          <w:rPr>
            <w:rStyle w:val="Hyperlink"/>
          </w:rPr>
          <w:t xml:space="preserve">[9]</w:t>
        </w:r>
      </w:hyperlink>
      <w:r>
        <w:t xml:space="preserve">. It establishes, from inside NASA’s analysis, that feasible schedules distribute costs unequally and that mission preferences are the right object to model. But it is prescriptive and forward-looking; it designs a mechanism to elicit and honor preferences instead of measuring the distributional outcome of the mechanism actually in force. The dissertation is the empirical complement: it takes Johnston’s premise that costs fall unequally and measures where they fell for one mission class during one shock. Read against these two, the contribution is the missing middle term. Baldwin supplies the record, Johnston supplies the reason to expect a class difference, and this work supplies the estimate that turns record and expectation into a number. The longevity exercise stands in the same relation to the mission-set document and the demand-access literature: the mission set supplies the dates, the stock-flow reasoning in the oversight and demand-access writing supplies the reason to expect legacy demand to matter</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and this work supplies the elasticity that measures how much of that legacy the prime plan encodes. The surrounding literature, from surveillance scheduling</w:t>
      </w:r>
      <w:r>
        <w:t xml:space="preserve"> </w:t>
      </w:r>
      <w:hyperlink w:anchor="ref-5">
        <w:r>
          <w:rPr>
            <w:rStyle w:val="Hyperlink"/>
          </w:rPr>
          <w:t xml:space="preserve">[5]</w:t>
        </w:r>
      </w:hyperlink>
      <w:r>
        <w:t xml:space="preserve"> </w:t>
      </w:r>
      <w:hyperlink w:anchor="ref-6">
        <w:r>
          <w:rPr>
            <w:rStyle w:val="Hyperlink"/>
          </w:rPr>
          <w:t xml:space="preserve">[6]</w:t>
        </w:r>
      </w:hyperlink>
      <w:r>
        <w:t xml:space="preserve"> </w:t>
      </w:r>
      <w:hyperlink w:anchor="ref-21">
        <w:r>
          <w:rPr>
            <w:rStyle w:val="Hyperlink"/>
          </w:rPr>
          <w:t xml:space="preserve">[21]</w:t>
        </w:r>
      </w:hyperlink>
      <w:r>
        <w:t xml:space="preserve"> </w:t>
      </w:r>
      <w:r>
        <w:t xml:space="preserve">to agent-based mission management</w:t>
      </w:r>
      <w:r>
        <w:t xml:space="preserve"> </w:t>
      </w:r>
      <w:hyperlink w:anchor="ref-3">
        <w:r>
          <w:rPr>
            <w:rStyle w:val="Hyperlink"/>
          </w:rPr>
          <w:t xml:space="preserve">[3]</w:t>
        </w:r>
      </w:hyperlink>
      <w:r>
        <w:t xml:space="preserve"> </w:t>
      </w:r>
      <w:hyperlink w:anchor="ref-22">
        <w:r>
          <w:rPr>
            <w:rStyle w:val="Hyperlink"/>
          </w:rPr>
          <w:t xml:space="preserve">[22]</w:t>
        </w:r>
      </w:hyperlink>
      <w:r>
        <w:t xml:space="preserve">, provides the methods and the framing, but none occupies that middle term, and that is precisely the vacancy the following chapters fill.</w:t>
      </w:r>
    </w:p>
    <w:bookmarkEnd w:id="77"/>
    <w:bookmarkEnd w:id="78"/>
    <w:bookmarkStart w:id="87" w:name="Xcfcc00a3ded59aed0c781c16bfc121f2a509603"/>
    <w:p>
      <w:pPr>
        <w:pStyle w:val="Heading1"/>
        <w:spacing w:line="480" w:lineRule="auto"/>
      </w:pPr>
      <w:r>
        <w:t xml:space="preserve">Chapter 3. Theoretical Framework and Hypotheses</w:t>
      </w:r>
    </w:p>
    <w:p>
      <w:pPr>
        <w:pStyle w:val="FirstParagraph"/>
        <w:spacing w:line="480" w:lineRule="auto"/>
      </w:pPr>
      <w:r>
        <w:t xml:space="preserve">Two theories drive this dissertation, one for each empirical exercise. The first explains why a mission class might lose more or fewer scheduled hours than others when the network absorbs a shock. The second explains why the years a mission spends drawing on the network should scale less than proportionally with the prime duration recorded at approval. Both theories are built from the mechanics of how the Deep Space Network actually allocates a scarce resource in time, and both terminate in a hypothesis that the record could refute.</w:t>
      </w:r>
    </w:p>
    <w:bookmarkStart w:id="79" w:name="Xa6661ea1cd30406110b8d30d78bbb661bf8d76e"/>
    <w:p>
      <w:pPr>
        <w:pStyle w:val="Heading2"/>
        <w:spacing w:line="480" w:lineRule="auto"/>
      </w:pPr>
      <w:r>
        <w:t xml:space="preserve">3.1 Scheduling as constrained allocation in time</w:t>
      </w:r>
    </w:p>
    <w:p>
      <w:pPr>
        <w:pStyle w:val="FirstParagraph"/>
        <w:spacing w:line="480" w:lineRule="auto"/>
      </w:pPr>
      <w:r>
        <w:t xml:space="preserve">Start from the primitive. Every request for network support carries a duration, a timing window, an antenna-compatibility requirement, a link-budget floor set by the spacecraft’s distance and transmitter power, and a scientific or engineering value. The feasible schedule must satisfy all of these simultaneously while also respecting maintenance, calibration, spacecraft visibility from a given complex, and the setup and transition time between consecutive tracks on the same antenna. Johnston’s framing is the right one: since many technically feasible schedules exist, the one that is chosen encodes a preference structure, and that structure distributes cost unequally</w:t>
      </w:r>
      <w:r>
        <w:t xml:space="preserve"> </w:t>
      </w:r>
      <w:hyperlink w:anchor="ref-9">
        <w:r>
          <w:rPr>
            <w:rStyle w:val="Hyperlink"/>
          </w:rPr>
          <w:t xml:space="preserve">[9]</w:t>
        </w:r>
      </w:hyperlink>
      <w:r>
        <w:t xml:space="preserve">. For the program record, time is the binding scarcity. It is not fungible across requests. A budget dollar can be spent on any good; a contact hour cannot always be moved to any window. A heliophysics mission observing a coronal mass ejection needs the contact while the ejection is propagating, not a week later. A planetary mission approaching orbit insertion needs the contact during the insertion burn, not after. This non-fungibility means that when capacity tightens, the network cannot simply shrink everyone’s allocation proportionally. It must decide whose window is preserved and whose is sacrificed, and that decision is where mission-class differences are born.</w:t>
      </w:r>
    </w:p>
    <w:p>
      <w:pPr>
        <w:pStyle w:val="BodyText"/>
        <w:spacing w:line="480" w:lineRule="auto"/>
        <w:ind w:firstLine="720"/>
      </w:pPr>
      <w:r>
        <w:t xml:space="preserve">Block scheduling sharpens the point. Because the network commits large coordinated allocations over long horizons</w:t>
      </w:r>
      <w:r>
        <w:t xml:space="preserve"> </w:t>
      </w:r>
      <w:hyperlink w:anchor="ref-12">
        <w:r>
          <w:rPr>
            <w:rStyle w:val="Hyperlink"/>
          </w:rPr>
          <w:t xml:space="preserve">[12]</w:t>
        </w:r>
      </w:hyperlink>
      <w:r>
        <w:t xml:space="preserve">, the flexibility to absorb a surge is not evenly distributed across the schedule. Committed blocks are hard to unwind. The adjustment capacity, the hours that can actually be surrendered when Artemis I arrives, must come from requests that are flexible: routine passes that can be shortened, combined, or deferred without irreversible loss. Which missions hold flexible requests, and which hold rigid ones, is for that reason the hidden variable that governs who bears the cost of a shock.</w:t>
      </w:r>
    </w:p>
    <w:bookmarkEnd w:id="79"/>
    <w:bookmarkStart w:id="80" w:name="three-mechanisms-of-differential-loss"/>
    <w:p>
      <w:pPr>
        <w:pStyle w:val="Heading2"/>
        <w:spacing w:line="480" w:lineRule="auto"/>
      </w:pPr>
      <w:r>
        <w:t xml:space="preserve">3.2 Three mechanisms of differential loss</w:t>
      </w:r>
    </w:p>
    <w:p>
      <w:pPr>
        <w:pStyle w:val="FirstParagraph"/>
        <w:spacing w:line="480" w:lineRule="auto"/>
      </w:pPr>
      <w:r>
        <w:t xml:space="preserve">When a demand shock reaches the operational schedule, a mission’s realized loss should depend on three mechanisms, which can reinforce or oppose one another. For a replicator, the first is event criticality. Launches, planetary encounters, orbit insertions, and anomaly responses receive temporal priority since missing the window can be irreversible. Artemis I is itself the criticality event that generated the shock; its own requirements were inflexible, which is why other missions had to yield. A mission in a critical phase of its own during the same window would be shielded, but few science missions were in such a phase during the Artemis I weeks. Criticality thus predicts that most routine science missions, heliophysics included, would be candidates for displacement. The second is substitutability. Some passes can be moved, shortened, combined, or supported by another asset without scientific loss; others cannot. A near-Earth heliophysics mission with a modest link budget can sometimes be supported by a smaller antenna or a shorter contact, which makes its hours more surrenderable. A distant planetary spacecraft requiring a 70-meter antenna has few substitutes, which makes its hours harder to take. Substitutability for that reason predicts, ambiguously, that heliophysics missions might lose more, since their contacts are easier to reschedule without irreversible damage.</w:t>
      </w:r>
    </w:p>
    <w:p>
      <w:pPr>
        <w:pStyle w:val="BodyText"/>
        <w:spacing w:line="480" w:lineRule="auto"/>
        <w:ind w:firstLine="720"/>
      </w:pPr>
      <w:r>
        <w:t xml:space="preserve">For this chapter, the treats this as an empirical claim: the third is institutional protection. Mission classes may hold standing priority rules, established scheduling conventions, or scientific-continuity requirements that make displacement less likely. If the Heliophysics Division’s continuity needs, its requirement to observe solar-terrestrial phenomena without gaps, are encoded in scheduling practice, then heliophysics contacts would be protected even during a shock. Friedel and colleagues document that the Heliophysics Division is an active participant in ground-segment coordination</w:t>
      </w:r>
      <w:r>
        <w:t xml:space="preserve"> </w:t>
      </w:r>
      <w:hyperlink w:anchor="ref-20">
        <w:r>
          <w:rPr>
            <w:rStyle w:val="Hyperlink"/>
          </w:rPr>
          <w:t xml:space="preserve">[20]</w:t>
        </w:r>
      </w:hyperlink>
      <w:r>
        <w:t xml:space="preserve">, which lends plausibility to a protection mechanism. Protection predicts that heliophysics missions would lose fewer hours than comparable missions.</w:t>
      </w:r>
    </w:p>
    <w:bookmarkEnd w:id="80"/>
    <w:bookmarkStart w:id="81" w:name="Xf33996730f34b0287ee697e697dc33a92ada011"/>
    <w:p>
      <w:pPr>
        <w:pStyle w:val="Heading2"/>
        <w:spacing w:line="480" w:lineRule="auto"/>
      </w:pPr>
      <w:r>
        <w:t xml:space="preserve">3.3 The ambiguous sign and the first hypothesis</w:t>
      </w:r>
    </w:p>
    <w:p>
      <w:pPr>
        <w:pStyle w:val="FirstParagraph"/>
        <w:spacing w:line="480" w:lineRule="auto"/>
      </w:pPr>
      <w:r>
        <w:t xml:space="preserve">So the theory is silent on the sign.</w:t>
      </w:r>
    </w:p>
    <w:p>
      <w:pPr>
        <w:pStyle w:val="BodyText"/>
        <w:spacing w:line="480" w:lineRule="auto"/>
        <w:ind w:firstLine="720"/>
      </w:pPr>
      <w:r>
        <w:t xml:space="preserve">Note that the three mechanisms point in different directions. Criticality is roughly neutral for heliophysics during the Artemis I weeks, since heliophysics missions were mostly not in their own critical phases. Substitutability predicts more loss, since heliophysics contacts are often easier to move. Protection predicts less loss, since continuity requirements may be institutionally shielded. The net sign is for that reason genuinely undetermined by theory. This is not a weakness of the framework; it is the reason the empirical test is informative. A theory that predicted the answer in advance would render the data redundant. The operational question is narrower: because the operational literature identifies no defensible directional prediction before the data are observed, the first test is two-sided. Let the outcome be the hours of scheduled support a mission lost between planning and execution during the Artemis I demand shock, and let the heliophysics indicator equal one for solar, heliospheric, magnetospheric, or solar-terrestrial missions.</w:t>
      </w:r>
    </w:p>
    <w:p>
      <w:pPr>
        <w:pStyle w:val="Compact"/>
        <w:spacing w:line="480" w:lineRule="auto"/>
        <w:numPr>
          <w:ilvl w:val="0"/>
          <w:numId w:val="1001"/>
        </w:numPr>
      </w:pPr>
      <w:r>
        <w:t xml:space="preserve">H0 (first null): Conditional on deep-space mission type, heliophysics classification has no association with hours of scheduled Deep Space Network support lost during the Artemis I demand shock.</w:t>
      </w:r>
    </w:p>
    <w:p>
      <w:pPr>
        <w:pStyle w:val="Compact"/>
        <w:spacing w:line="480" w:lineRule="auto"/>
        <w:numPr>
          <w:ilvl w:val="0"/>
          <w:numId w:val="1001"/>
        </w:numPr>
      </w:pPr>
      <w:r>
        <w:t xml:space="preserve">H1 (first alternative): Conditional on deep-space mission type, heliophysics classification is associated with a different number of scheduled support hours lost during the Artemis I demand shock.</w:t>
      </w:r>
    </w:p>
    <w:p>
      <w:pPr>
        <w:pStyle w:val="FirstParagraph"/>
        <w:spacing w:line="480" w:lineRule="auto"/>
      </w:pPr>
      <w:r>
        <w:t xml:space="preserve">For the empirical reader, the sign of the estimated coefficient adjudicates between substitutability and protection.</w:t>
      </w:r>
    </w:p>
    <w:p>
      <w:pPr>
        <w:pStyle w:val="BodyText"/>
        <w:spacing w:line="480" w:lineRule="auto"/>
        <w:ind w:firstLine="720"/>
      </w:pPr>
      <w:r>
        <w:t xml:space="preserve">A negative coefficient, fewer hours lost, is consistent with relative protection dominating. A positive coefficient, more hours lost, is consistent with substitutability dominating. Neither sign by itself reveals the exact administrative rule that produced the outcome, but the sign narrows the field of plausible mechanisms, and that is what a first estimate should do.</w:t>
      </w:r>
    </w:p>
    <w:bookmarkEnd w:id="81"/>
    <w:bookmarkStart w:id="82" w:name="the-stock-flow-theory-of-long-run-demand"/>
    <w:p>
      <w:pPr>
        <w:pStyle w:val="Heading2"/>
        <w:spacing w:line="480" w:lineRule="auto"/>
      </w:pPr>
      <w:r>
        <w:t xml:space="preserve">3.4 The stock-flow theory of long-run demand</w:t>
      </w:r>
    </w:p>
    <w:p>
      <w:pPr>
        <w:pStyle w:val="FirstParagraph"/>
        <w:spacing w:line="480" w:lineRule="auto"/>
      </w:pPr>
      <w:r>
        <w:t xml:space="preserve">For this evidence, the trail is concrete here: the second theory addresses a different timescale. Deep Space Network demand is shaped by more than the arrival of new missions. Long-lived spacecraft remain in the supported set after their prime phases end, often since functioning instruments, unique trajectories, and low marginal science costs make continued operation valuable. The network for that reason carries a stock of legacy demand alongside the flow of launches. Any account of contention that looks only at annual mission starts misses this accumulation, and the Office of Inspector General’s warnings about demand growth implicitly concern this stock as much as the flow</w:t>
      </w:r>
      <w:r>
        <w:t xml:space="preserve"> </w:t>
      </w:r>
      <w:hyperlink w:anchor="ref-13">
        <w:r>
          <w:rPr>
            <w:rStyle w:val="Hyperlink"/>
          </w:rPr>
          <w:t xml:space="preserve">[13]</w:t>
        </w:r>
      </w:hyperlink>
      <w:r>
        <w:t xml:space="preserve">.</w:t>
      </w:r>
    </w:p>
    <w:p>
      <w:pPr>
        <w:pStyle w:val="BodyText"/>
        <w:spacing w:line="480" w:lineRule="auto"/>
        <w:ind w:firstLine="720"/>
      </w:pPr>
      <w:r>
        <w:t xml:space="preserve">Mission duration is the outcome of sequential decisions, and this sequence is the heart of the theory.</w:t>
      </w:r>
    </w:p>
    <w:p>
      <w:pPr>
        <w:pStyle w:val="BodyText"/>
        <w:spacing w:line="480" w:lineRule="auto"/>
        <w:ind w:firstLine="720"/>
      </w:pPr>
      <w:r>
        <w:t xml:space="preserve">A prime mission is proposed, costed, reviewed, and approved with an expected completion date. That date is a plan, not a prophecy. Once the prime phase ends, continued operations depend on spacecraft condition, expected scientific return, marginal operating cost, and the outcome of institutional review. Each extension is a fresh decision made with information the original planners did not have. Network support enters this process as an enabling input: the mission can remain productive only if commands, navigation, telemetry, and data return remain feasible through the antennas.</w:t>
      </w:r>
    </w:p>
    <w:p>
      <w:pPr>
        <w:pStyle w:val="BodyText"/>
        <w:spacing w:line="480" w:lineRule="auto"/>
        <w:ind w:firstLine="720"/>
      </w:pPr>
      <w:r>
        <w:t xml:space="preserve">For the program record, longer prime missions may plausibly be associated with longer accumulated support for several reasons.</w:t>
      </w:r>
    </w:p>
    <w:p>
      <w:pPr>
        <w:pStyle w:val="BodyText"/>
        <w:spacing w:line="480" w:lineRule="auto"/>
        <w:ind w:firstLine="720"/>
      </w:pPr>
      <w:r>
        <w:t xml:space="preserve">They may embody greater scientific scope, more durable spacecraft design, longer cruise or observing phases, and stronger institutional commitment at approval. A longer listed prime phase may also mark mission classes expected to produce value over extended periods. These mechanisms all predict a positive association between prime duration and realized longevity.</w:t>
      </w:r>
    </w:p>
    <w:bookmarkEnd w:id="82"/>
    <w:bookmarkStart w:id="83" w:name="X228f391b7c9d8c5633ac4f8456f8499c144d560"/>
    <w:p>
      <w:pPr>
        <w:pStyle w:val="Heading2"/>
        <w:spacing w:line="480" w:lineRule="auto"/>
      </w:pPr>
      <w:r>
        <w:t xml:space="preserve">3.5 Why the scaling should be less than proportional</w:t>
      </w:r>
    </w:p>
    <w:p>
      <w:pPr>
        <w:pStyle w:val="FirstParagraph"/>
        <w:spacing w:line="480" w:lineRule="auto"/>
      </w:pPr>
      <w:r>
        <w:t xml:space="preserve">For this archival, the record matters here: proportionality would be a surprise. The reason it should not hold is the option value embedded in the extension sequence. NASA and its partner agencies do not commit at launch to a mission’s full eventual lifetime. They commit to a prime phase and retain the option to continue a productive mission later, exercising that option only when the spacecraft’s health and science return justify it. This sequential, option-laden structure decouples realized longevity from planned prime duration in two directions. In one direction, short-prime missions can survive for decades. Several solar-terrestrial and planetary spacecraft in the 2020 mission set were approved with modest prime phases and remained productive far beyond them, since discoveries and spacecraft health outran the plan</w:t>
      </w:r>
      <w:r>
        <w:t xml:space="preserve"> </w:t>
      </w:r>
      <w:hyperlink w:anchor="ref-8">
        <w:r>
          <w:rPr>
            <w:rStyle w:val="Hyperlink"/>
          </w:rPr>
          <w:t xml:space="preserve">[8]</w:t>
        </w:r>
      </w:hyperlink>
      <w:r>
        <w:t xml:space="preserve">. In the other direction, a long planned prime phase can belong to a young mission that has not yet accumulated much age at the snapshot, so its long plan is not yet reflected in long realized support. Both directions inject dispersion between prime duration and support age, and both push the scaling coefficient below one.</w:t>
      </w:r>
    </w:p>
    <w:p>
      <w:pPr>
        <w:pStyle w:val="BodyText"/>
        <w:spacing w:line="480" w:lineRule="auto"/>
        <w:ind w:firstLine="720"/>
      </w:pPr>
      <w:r>
        <w:t xml:space="preserve">For a replicator, the formal statement follows. Let support age be the elapsed years from launch to the mission-set snapshot, and let prime duration be the elapsed years from launch to the listed prime-completion date. Model log support age as a linear function of log prime duration, so that the slope is an elasticity.</w:t>
      </w:r>
    </w:p>
    <w:p>
      <w:pPr>
        <w:pStyle w:val="Compact"/>
        <w:spacing w:line="480" w:lineRule="auto"/>
        <w:numPr>
          <w:ilvl w:val="0"/>
          <w:numId w:val="1002"/>
        </w:numPr>
      </w:pPr>
      <w:r>
        <w:t xml:space="preserve">H0 (second null): The elasticity of accumulated support age with respect to listed prime mission duration is zero.</w:t>
      </w:r>
    </w:p>
    <w:p>
      <w:pPr>
        <w:pStyle w:val="Compact"/>
        <w:spacing w:line="480" w:lineRule="auto"/>
        <w:numPr>
          <w:ilvl w:val="0"/>
          <w:numId w:val="1002"/>
        </w:numPr>
      </w:pPr>
      <w:r>
        <w:t xml:space="preserve">H1 (second alternative): The elasticity is positive.</w:t>
      </w:r>
    </w:p>
    <w:p>
      <w:pPr>
        <w:pStyle w:val="FirstParagraph"/>
        <w:spacing w:line="480" w:lineRule="auto"/>
      </w:pPr>
      <w:r>
        <w:t xml:space="preserve">For this chapter, the treats this as an empirical claim: this test is one-sided, since the institutional-commitment, spacecraft-design, and mission-scope mechanisms all predict that a longer planned prime phase should correlate with a longer realized presence in the supported set. The directional prediction is defensible here in a way it was not for the first hypothesis, since no plausible mechanism predicts that longer prime plans shorten realized support. The theory further predicts, though it does not require, that the elasticity should fall below one, reflecting the option value that decouples plan from realization.</w:t>
      </w:r>
    </w:p>
    <w:bookmarkEnd w:id="83"/>
    <w:bookmarkStart w:id="84" w:name="Xa45bb081ec694c6447bb11b13d720e707d5c3b5"/>
    <w:p>
      <w:pPr>
        <w:pStyle w:val="Heading2"/>
        <w:spacing w:line="480" w:lineRule="auto"/>
      </w:pPr>
      <w:r>
        <w:t xml:space="preserve">3.6 The economics of a shared, non-priced resource</w:t>
      </w:r>
    </w:p>
    <w:p>
      <w:pPr>
        <w:pStyle w:val="FirstParagraph"/>
        <w:spacing w:line="480" w:lineRule="auto"/>
      </w:pPr>
      <w:r>
        <w:t xml:space="preserve">For this data, the construction is deliberately visible: a useful way to sharpen both theories is to notice that the Deep Space Network allocates a scarce resource without a price. There is no market in antenna-hours; missions do not bid, and the schedule is not cleared by willingness to pay. Allocation is instead administrative, governed by priority rules, negotiation, and the optimizer’s objective function</w:t>
      </w:r>
      <w:r>
        <w:t xml:space="preserve"> </w:t>
      </w:r>
      <w:hyperlink w:anchor="ref-9">
        <w:r>
          <w:rPr>
            <w:rStyle w:val="Hyperlink"/>
          </w:rPr>
          <w:t xml:space="preserve">[9]</w:t>
        </w:r>
      </w:hyperlink>
      <w:r>
        <w:t xml:space="preserve">. This matters for the theory since, in the absence of a price, the shadow cost of contention does not reveal itself in a market signal. It hides in displaced passes and lost observations, and it must be recovered by measurement instead of read off a clearing price. The heliophysics-miss elasticity is one attempt to recover that shadow cost for a single mission class, and the longevity elasticity is an attempt to characterize the arrival process that generates the demand pressure in the first place. The non-priced character also explains why mission-class rules do so much work. When there is no price to ration demand, some other mechanism must decide whose request yields under contention, and that mechanism is the priority discipline. Whether the discipline protects heliophysics is for that reason a question about the administrative rule, not about any mission’s ability to pay. This is why the sign of the first coefficient is informative about governance: it reveals a tendency of the rule, and rules, unlike prices, can be inspected, debated, and revised. The demand-access reforms proposed for the network are precisely attempts to make the rationing mechanism more legible, closer to a queue with explicit disciplines than to an opaque negotiation</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A measured miss elasticity gives such reforms a baseline to improve upon.</w:t>
      </w:r>
    </w:p>
    <w:p>
      <w:pPr>
        <w:pStyle w:val="BodyText"/>
        <w:spacing w:line="480" w:lineRule="auto"/>
        <w:ind w:firstLine="720"/>
      </w:pPr>
      <w:r>
        <w:t xml:space="preserve">For this operational, the question is narrower: a second economic feature is the option value embedded in extensions, developed above for the longevity theory but worth stating in general terms. NASA holds a real option to continue a productive mission, and it exercises that option only when the spacecraft’s health and science return justify the marginal operating and support cost. Option value under uncertainty generically produces the decoupling between plan and realization that predicts a subunitary elasticity, since the decision to extend uses information unavailable at approval. The same logic implies that the residual variance in the longevity regression is not noise to be explained away but the signature of genuine optionality: the missions that most deviate from the fitted line are the ones where the option was exercised most surprisingly, in either direction. The theory thus predicts not only the sign and the magnitude below one but also the loose fit that Chapter 6 reports.</w:t>
      </w:r>
    </w:p>
    <w:bookmarkEnd w:id="84"/>
    <w:bookmarkStart w:id="85" w:name="how-the-two-theories-combine"/>
    <w:p>
      <w:pPr>
        <w:pStyle w:val="Heading2"/>
        <w:spacing w:line="480" w:lineRule="auto"/>
      </w:pPr>
      <w:r>
        <w:t xml:space="preserve">3.7 How the two theories combine</w:t>
      </w:r>
    </w:p>
    <w:p>
      <w:pPr>
        <w:pStyle w:val="FirstParagraph"/>
        <w:spacing w:line="480" w:lineRule="auto"/>
      </w:pPr>
      <w:r>
        <w:t xml:space="preserve">For the empirical reader, the two theories describe orthogonal dimensions of the same constraint, and their combination is the framework’s payoff. The differential-loss theory concerns which of the hours already on the schedule survive a shock. It is a short-run, within-episode account of displacement. The stock-flow theory concerns how many missions are on the schedule to begin with. It is a long-run, cross-mission account of accumulation. A network can be well-governed on one dimension and poorly governed on the other. It can distribute surge losses equitably yet be blindsided by legacy demand, or forecast the stock accurately yet displace continuity-sensitive science whenever a launch arrives. For heliophysics governance, both dimensions must be managed together. The division needs rules for equitable displacement during surges, informed by whether its missions are in fact protected or exposed when the network tightens. It also needs demand forecasts that recognize the scientific success of missions whose operational lives exceed their prime plans, informed by how much of that longevity the prime plan actually encodes. The empirical chapters estimate one number for each dimension. Neither number is large or surprising on its own. Their value is that they replace assertion with measurement, and that they come from records the heliophysics community can independently verify</w:t>
      </w:r>
      <w:r>
        <w:t xml:space="preserve"> </w:t>
      </w:r>
      <w:hyperlink w:anchor="ref-7">
        <w:r>
          <w:rPr>
            <w:rStyle w:val="Hyperlink"/>
          </w:rPr>
          <w:t xml:space="preserve">[7]</w:t>
        </w:r>
      </w:hyperlink>
      <w:r>
        <w:t xml:space="preserve"> </w:t>
      </w:r>
      <w:hyperlink w:anchor="ref-8">
        <w:r>
          <w:rPr>
            <w:rStyle w:val="Hyperlink"/>
          </w:rPr>
          <w:t xml:space="preserve">[8]</w:t>
        </w:r>
      </w:hyperlink>
      <w:r>
        <w:t xml:space="preserve">.</w:t>
      </w:r>
    </w:p>
    <w:bookmarkEnd w:id="85"/>
    <w:bookmarkStart w:id="86" w:name="from-theory-to-testable-predictions"/>
    <w:p>
      <w:pPr>
        <w:pStyle w:val="Heading2"/>
        <w:spacing w:line="480" w:lineRule="auto"/>
      </w:pPr>
      <w:r>
        <w:t xml:space="preserve">3.8 From theory to testable predictions</w:t>
      </w:r>
    </w:p>
    <w:p>
      <w:pPr>
        <w:pStyle w:val="FirstParagraph"/>
        <w:spacing w:line="480" w:lineRule="auto"/>
      </w:pPr>
      <w:r>
        <w:t xml:space="preserve">It is worth restating the framework’s output as a compact set of predictions, so the reader can hold the theory accountable to the results. The differential-loss theory predicts a heliophysics coefficient whose sign is undetermined by theory but whose estimation adjudicates between substitutability and protection; a negative sign favors protection, a positive sign favors substitutability, and either is falsifiable against the record. The theory further predicts, from the class-level-tendency argument, that whatever the class mean, individual missions will scatter around it, so no reading of the coefficient as a mission-level guarantee should survive contact with the distribution. The stock-flow theory predicts a positive longevity elasticity, and, from the option-value argument, an elasticity strictly below one accompanied by substantial residual variance. For the program record, there is a further prediction the framework makes about how the two dimensions should relate to one another in the same missions, and it is testable in principle even if not exploited statistically here. If institutional protection is what shields heliophysics during surges, then the missions most protected should tend to be the continuity-sensitive ones whose science cannot tolerate gaps, and those same missions are often the long-lived monitors that dominate the longevity tail. The theory for that reason predicts a loose positive association between a mission’s protection and its persistence, mediated by continuity-sensitivity. The data cannot confirm this cross-dimension prediction with the present designs, but naming it clarifies that the two theories are not merely adjacent; they share the continuity-sensitivity mechanism that runs through both the surge and the stock</w:t>
      </w:r>
      <w:r>
        <w:t xml:space="preserve"> </w:t>
      </w:r>
      <w:hyperlink w:anchor="ref-1">
        <w:r>
          <w:rPr>
            <w:rStyle w:val="Hyperlink"/>
          </w:rPr>
          <w:t xml:space="preserve">[1]</w:t>
        </w:r>
      </w:hyperlink>
      <w:r>
        <w:t xml:space="preserve">.</w:t>
      </w:r>
    </w:p>
    <w:p>
      <w:pPr>
        <w:pStyle w:val="BodyText"/>
        <w:spacing w:line="480" w:lineRule="auto"/>
        <w:ind w:firstLine="720"/>
      </w:pPr>
      <w:r>
        <w:t xml:space="preserve">These predictions are deliberately sharp enough to be wrong. Had the heliophysics coefficient come back strongly positive, the protection reading would have been refuted and the substitutability mechanism would have dominated the interpretation. Had the elasticity exceeded one, the option-value account would have been embarrassed and a proportional or super-proportional scaling would have demanded a different theory. Had the elasticity been indistinguishable from zero, the entire premise that prime duration carries longevity information would have collapsed. The framework earns its place in the dissertation not by guaranteeing the results but by specifying, in advance, which results would have overturned it. The empirical chapters report what the records delivered, and the discussion holds the theory to account for the fit between prediction and finding, including the exceptions the class-level reading must absorb</w:t>
      </w:r>
      <w:r>
        <w:t xml:space="preserve"> </w:t>
      </w:r>
      <w:hyperlink w:anchor="ref-1">
        <w:r>
          <w:rPr>
            <w:rStyle w:val="Hyperlink"/>
          </w:rPr>
          <w:t xml:space="preserve">[1]</w:t>
        </w:r>
      </w:hyperlink>
      <w:r>
        <w:t xml:space="preserve"> </w:t>
      </w:r>
      <w:hyperlink w:anchor="ref-20">
        <w:r>
          <w:rPr>
            <w:rStyle w:val="Hyperlink"/>
          </w:rPr>
          <w:t xml:space="preserve">[20]</w:t>
        </w:r>
      </w:hyperlink>
      <w:r>
        <w:t xml:space="preserve">.</w:t>
      </w:r>
    </w:p>
    <w:bookmarkEnd w:id="86"/>
    <w:bookmarkEnd w:id="87"/>
    <w:bookmarkStart w:id="96" w:name="X940caaf6d3ac92c12a69529db0381ad3e868d7e"/>
    <w:p>
      <w:pPr>
        <w:pStyle w:val="Heading1"/>
        <w:spacing w:line="480" w:lineRule="auto"/>
      </w:pPr>
      <w:r>
        <w:t xml:space="preserve">Chapter 4. Methodology and Identification</w:t>
      </w:r>
    </w:p>
    <w:p>
      <w:pPr>
        <w:pStyle w:val="FirstParagraph"/>
        <w:spacing w:line="480" w:lineRule="auto"/>
      </w:pPr>
      <w:r>
        <w:t xml:space="preserve">The chapter specifies the two estimators and defends the claim that each identifies the quantity it is meant to identify.</w:t>
      </w:r>
    </w:p>
    <w:p>
      <w:pPr>
        <w:pStyle w:val="BodyText"/>
        <w:spacing w:line="480" w:lineRule="auto"/>
        <w:ind w:firstLine="720"/>
      </w:pPr>
      <w:r>
        <w:t xml:space="preserve">For this methodological, the commitment throughout is transparency over sophistication. Both samples are small, both come from public records, and both estimands are simple enough that a heavily parameterized model would add assumptions the data cannot support. The estimators are chosen so that the primary evidence remains auditable line by line.</w:t>
      </w:r>
    </w:p>
    <w:bookmarkStart w:id="88" w:name="Xc412b815d9be196312cd4afadcd47734ba3e9ab"/>
    <w:p>
      <w:pPr>
        <w:pStyle w:val="Heading2"/>
        <w:spacing w:line="480" w:lineRule="auto"/>
      </w:pPr>
      <w:r>
        <w:t xml:space="preserve">4.1 The Artemis I estimator: robust ordinary least squares</w:t>
      </w:r>
    </w:p>
    <w:p>
      <w:pPr>
        <w:pStyle w:val="FirstParagraph"/>
        <w:spacing w:line="480" w:lineRule="auto"/>
      </w:pPr>
      <w:r>
        <w:t xml:space="preserve">For this first, the exercise estimates a mission-level regression of lost support hours on a heliophysics indicator and a deep-space mission-type control. The specification is</w:t>
      </w:r>
    </w:p>
    <w:p>
      <w:pPr>
        <w:pStyle w:val="BodyText"/>
        <w:spacing w:line="480" w:lineRule="auto"/>
        <w:ind w:firstLine="720"/>
      </w:pPr>
      <w:r>
        <w:t xml:space="preserve">HoursLost_i = alpha + beta_1 Heliophysics_i + beta_2 DeepSpace_i + epsilon_i,</w:t>
      </w:r>
    </w:p>
    <w:p>
      <w:pPr>
        <w:pStyle w:val="BodyText"/>
        <w:spacing w:line="480" w:lineRule="auto"/>
        <w:ind w:firstLine="720"/>
      </w:pPr>
      <w:r>
        <w:t xml:space="preserve">where HoursLost_i is the hours of scheduled support mission i lost between planning and execution during the Artemis I weeks, Heliophysics_i equals one for solar and solar-terrestrial missions, and DeepSpace_i equals one for planetary, cislunar, and deep-space exploration missions. The coefficient of interest is beta_1, the conditional mean difference in lost hours between heliophysics and other missions after accounting for the deep-space control.</w:t>
      </w:r>
    </w:p>
    <w:p>
      <w:pPr>
        <w:pStyle w:val="BodyText"/>
        <w:spacing w:line="480" w:lineRule="auto"/>
        <w:ind w:firstLine="720"/>
      </w:pPr>
      <w:r>
        <w:t xml:space="preserve">The archival record matters here: estimation is by ordinary least squares with heteroskedasticity-consistent HC1 standard errors.</w:t>
      </w:r>
    </w:p>
    <w:p>
      <w:pPr>
        <w:pStyle w:val="BodyText"/>
        <w:spacing w:line="480" w:lineRule="auto"/>
        <w:ind w:firstLine="720"/>
      </w:pPr>
      <w:r>
        <w:t xml:space="preserve">Two features of the outcome dictate this choice. First, the dispersion of losses is visibly unequal across missions; a few spacecraft lost many hours while most lost few, so the homoskedasticity assumption of classical standard errors is untenable and robust errors are required for honest inference. Second, the outcome is bounded at zero by construction, since gained hours are coded as zero instead of as negative losses, which further guarantees non-constant error variance. HC1 is the appropriate small-sample-corrected robust estimator for a cross-section of forty observations. Simplicity here is a choice, not a default. The linear model was preferred over more elaborate alternatives deliberately. A censored or hurdle model could represent the mass of missions at zero lost hours, and a count model would fit event counts. Neither is warranted here. The outcome is continuous hours, not counts, which rules out a count model. And with forty observations, a censored specification would purchase a marginally better representation of the zero mass at the cost of distributional assumptions the source chart cannot justify. The linear model instead makes the estimand a plain conditional-mean difference, keeps the standard errors robust to the evident heteroskedasticity, and leaves the evidence legible to any reader who wishes to reproduce it.</w:t>
      </w:r>
    </w:p>
    <w:bookmarkEnd w:id="88"/>
    <w:bookmarkStart w:id="89" w:name="X00673a54b09351bb2ce14f51778d8de0db84a8d"/>
    <w:p>
      <w:pPr>
        <w:pStyle w:val="Heading2"/>
        <w:spacing w:line="480" w:lineRule="auto"/>
      </w:pPr>
      <w:r>
        <w:t xml:space="preserve">4.2 What the Artemis I design does and does not identify</w:t>
      </w:r>
    </w:p>
    <w:p>
      <w:pPr>
        <w:pStyle w:val="FirstParagraph"/>
        <w:spacing w:line="480" w:lineRule="auto"/>
      </w:pPr>
      <w:r>
        <w:t xml:space="preserve">This is not an experiment. The design is cross-sectional and associational, and the identification claim must be stated with corresponding care. Mission classification is not randomly assigned. Artemis support was not a randomized intervention. Missions differ along many operational dimensions, link budget, critical-event status, negotiated priority, that are correlated with both classification and losses and are not fully captured by a single deep-space indicator. For these reasons beta_1 is not the causal effect of being a heliophysics mission. It is the difference in lost hours observed in one common scheduling episode, conditional on one broad mission-type control. The chapter treats this as an empirical claim: the deep-space control is the identification workhorse, and its role should be understood precisely. Planetary and deep-space missions concentrate the largest link-budget requirements and the fewest antenna substitutes, so they plausibly experience systematically different losses for reasons unrelated to heliophysics status. Including the DeepSpace indicator removes that confound from beta_1, so the heliophysics coefficient reflects the difference between heliophysics missions and the non-deep-space comparison group instead of a spurious contrast driven by the planetary-heliophysics distance gap. The control is coarse, a single binary, and it cannot represent detailed link budgets, specific critical events, or negotiated priority elevations. That coarseness bounds the interpretive weight the coefficient can bear, and Chapter 7 returns to it as a threat to validity.</w:t>
      </w:r>
    </w:p>
    <w:p>
      <w:pPr>
        <w:pStyle w:val="BodyText"/>
        <w:spacing w:line="480" w:lineRule="auto"/>
        <w:ind w:firstLine="720"/>
      </w:pPr>
      <w:r>
        <w:t xml:space="preserve">Identification of the associational estimand rests on the source record’s own structure. Baldwin’s chart reports planned-versus-executed differences at the mission level during a single, network-wide disturbance</w:t>
      </w:r>
      <w:r>
        <w:t xml:space="preserve"> </w:t>
      </w:r>
      <w:hyperlink w:anchor="ref-7">
        <w:r>
          <w:rPr>
            <w:rStyle w:val="Hyperlink"/>
          </w:rPr>
          <w:t xml:space="preserve">[7]</w:t>
        </w:r>
      </w:hyperlink>
      <w:r>
        <w:t xml:space="preserve">. Because all forty missions faced the same shock, the Artemis I launch, the cross-mission comparison holds the shock itself fixed and isolates variation in how different missions absorbed it. This is not experimental variation, but it is a clean natural comparison: one event, many missions, a common disturbance, and a mission-class contrast within it.</w:t>
      </w:r>
    </w:p>
    <w:bookmarkEnd w:id="89"/>
    <w:bookmarkStart w:id="90" w:name="X038c14aa6ed3a941267f82425cbc04755a8680e"/>
    <w:p>
      <w:pPr>
        <w:pStyle w:val="Heading2"/>
        <w:spacing w:line="480" w:lineRule="auto"/>
      </w:pPr>
      <w:r>
        <w:t xml:space="preserve">4.3 The longevity estimator: log-log elasticity</w:t>
      </w:r>
    </w:p>
    <w:p>
      <w:pPr>
        <w:pStyle w:val="FirstParagraph"/>
        <w:spacing w:line="480" w:lineRule="auto"/>
      </w:pPr>
      <w:r>
        <w:t xml:space="preserve">The second exercise estimates a scaling relationship between accumulated support age and listed prime duration. The specification is</w:t>
      </w:r>
    </w:p>
    <w:p>
      <w:pPr>
        <w:pStyle w:val="BodyText"/>
        <w:spacing w:line="480" w:lineRule="auto"/>
        <w:ind w:firstLine="720"/>
      </w:pPr>
      <w:r>
        <w:t xml:space="preserve">log(SupportAge_i) = alpha + b log(PrimeDuration_i) + epsilon_i,</w:t>
      </w:r>
    </w:p>
    <w:p>
      <w:pPr>
        <w:pStyle w:val="BodyText"/>
        <w:spacing w:line="480" w:lineRule="auto"/>
        <w:ind w:firstLine="720"/>
      </w:pPr>
      <w:r>
        <w:t xml:space="preserve">where SupportAge_i is the elapsed years from launch to the July 8, 2020 mission-set snapshot and PrimeDuration_i is the elapsed years from launch to the listed prime-completion date. The slope b is an elasticity: the percentage change in support age associated with a one-percent change in listed prime duration. The estimator is ordinary least squares after natural-log transformation of both positive variables, implemented as the repository’s learning-curve estimator. For the empirical reader, why logs? Because the estimand is inherently multiplicative. The question is not how many additional years of support a one-year-longer prime plan buys, which would vary with mission scale, but what proportional change in longevity accompanies a proportional change in the plan. An elasticity answers that directly and is scale-free, which matters since the sample spans missions from under two years old to over forty-two years old. A linear-in-levels regression on such a range would be dominated by the oldest missions and would confound scale with elasticity. The log transformation compresses that range and makes the slope interpretable across the whole sample.</w:t>
      </w:r>
    </w:p>
    <w:p>
      <w:pPr>
        <w:pStyle w:val="BodyText"/>
        <w:spacing w:line="480" w:lineRule="auto"/>
        <w:ind w:firstLine="720"/>
      </w:pPr>
      <w:r>
        <w:t xml:space="preserve">For this estimator, the also reports a doubling multiplier, computed as two raised to the slope. This quantity is more intuitive than the elasticity for planning purposes: it states the factor by which accumulated support age differs when listed prime duration doubles. A multiplier above one indicates a positive scaling relationship. A multiplier below two indicates that support age rises less than proportionally with prime duration, which is the theoretically predicted outcome. Reporting both the elasticity and the multiplier lets the reader move between the statistical and the operational reading of the same number.</w:t>
      </w:r>
    </w:p>
    <w:bookmarkEnd w:id="90"/>
    <w:bookmarkStart w:id="91" w:name="X7fbf445227a77acb38f9445683f7c6896b94b35"/>
    <w:p>
      <w:pPr>
        <w:pStyle w:val="Heading2"/>
        <w:spacing w:line="480" w:lineRule="auto"/>
      </w:pPr>
      <w:r>
        <w:t xml:space="preserve">4.4 What the longevity design identifies, and the timing defense</w:t>
      </w:r>
    </w:p>
    <w:p>
      <w:pPr>
        <w:pStyle w:val="FirstParagraph"/>
        <w:spacing w:line="480" w:lineRule="auto"/>
      </w:pPr>
      <w:r>
        <w:t xml:space="preserve">All twenty-eight observations are positive, so no row is dropped by the log transformation, and the standard errors are those returned by the deterministic estimator. The sample is small and heterogeneous, and the fitted specification contains a single predictor, so the resulting inference is a parsimonious scaling test instead of a structural model of mission extension. That framing is honest about what one predictor on twenty-eight missions can support. For the program record, the central identification concern is reverse interpretation: could accumulated support age be driving listed prime duration instead of the reverse? The timing of the predictor’s meaning addresses this. The listed prime-completion date represents a planned or documented mission phase, set at or near approval, while support age is accumulated by the snapshot date. Logically, the plan precedes the accumulation. Yet the source is a 2020 document, and some listed prime dates may reflect updates made after launch, which weakens the clean temporal ordering. The design for that reason cannot prove that the initial plan caused later longevity. It measures the association in the published mission set, and it states that association plainly for what it is.</w:t>
      </w:r>
    </w:p>
    <w:p>
      <w:pPr>
        <w:pStyle w:val="BodyText"/>
        <w:spacing w:line="480" w:lineRule="auto"/>
        <w:ind w:firstLine="720"/>
      </w:pPr>
      <w:r>
        <w:t xml:space="preserve">A second identification subtlety concerns the missions whose listed completion dates fall after the snapshot. These are spacecraft still in their prime phase, whose planned endpoint has not yet arrived. They are retained instead of censored, since the predictor is a planned or listed commitment, not an ex post duration truncated at the snapshot. Dropping them would discard exactly the young, long-plan missions that the theory predicts inject dispersion, and would bias the elasticity by conditioning on realized longevity. Keeping them preserves the interpretation of PrimeDuration as a plan.</w:t>
      </w:r>
    </w:p>
    <w:bookmarkEnd w:id="91"/>
    <w:bookmarkStart w:id="92" w:name="X0e44713e4e8587e2ee0f1cf20c4d8328272255b"/>
    <w:p>
      <w:pPr>
        <w:pStyle w:val="Heading2"/>
        <w:spacing w:line="480" w:lineRule="auto"/>
      </w:pPr>
      <w:r>
        <w:t xml:space="preserve">4.5 The queueing frame as interpretive anchor and robustness path</w:t>
      </w:r>
    </w:p>
    <w:p>
      <w:pPr>
        <w:pStyle w:val="FirstParagraph"/>
        <w:spacing w:line="480" w:lineRule="auto"/>
      </w:pPr>
      <w:r>
        <w:t xml:space="preserve">Both estimators sit inside a broader queueing conception of the network, developed in the theory chapter, and that conception does methodological work even though the point estimates are regressions instead of queue solutions. Treating the network as a multi-class priority queue is what makes miss probability a function of arrival intensity and priority discipline, which in turn is what licenses interpreting the heliophysics coefficient as a class-level displacement outcome and the elasticity as a demand-accumulation parameter. The regressions are reduced-form summaries of quantities the queueing model gives structural meaning. For a replicator, the queueing frame also defines the natural robustness extension. A discrete-event simulation of the priority queue, calibrated to the same arrival and service-time distributions, would let the reduced-form estimates be checked against a structural congestion model, following the simulation practice established for large space-tracking networks</w:t>
      </w:r>
      <w:r>
        <w:t xml:space="preserve"> </w:t>
      </w:r>
      <w:hyperlink w:anchor="ref-18">
        <w:r>
          <w:rPr>
            <w:rStyle w:val="Hyperlink"/>
          </w:rPr>
          <w:t xml:space="preserve">[18]</w:t>
        </w:r>
      </w:hyperlink>
      <w:r>
        <w:t xml:space="preserve"> </w:t>
      </w:r>
      <w:r>
        <w:t xml:space="preserve">and the agent-based mission-management modeling surveyed in the field</w:t>
      </w:r>
      <w:r>
        <w:t xml:space="preserve"> </w:t>
      </w:r>
      <w:hyperlink w:anchor="ref-3">
        <w:r>
          <w:rPr>
            <w:rStyle w:val="Hyperlink"/>
          </w:rPr>
          <w:t xml:space="preserve">[3]</w:t>
        </w:r>
      </w:hyperlink>
      <w:r>
        <w:t xml:space="preserve"> </w:t>
      </w:r>
      <w:hyperlink w:anchor="ref-6">
        <w:r>
          <w:rPr>
            <w:rStyle w:val="Hyperlink"/>
          </w:rPr>
          <w:t xml:space="preserve">[6]</w:t>
        </w:r>
      </w:hyperlink>
      <w:r>
        <w:t xml:space="preserve">. Such a simulation is beyond the two public cross-sections analyzed here, but it is the correct next instrument, and Chapter 8 specifies it as future work. The present estimators are the bounded first measurements the available records support; the simulation is the structural confirmation a richer dataset would enable.</w:t>
      </w:r>
    </w:p>
    <w:bookmarkEnd w:id="92"/>
    <w:bookmarkStart w:id="93" w:name="inference-under-small-samples"/>
    <w:p>
      <w:pPr>
        <w:pStyle w:val="Heading2"/>
        <w:spacing w:line="480" w:lineRule="auto"/>
      </w:pPr>
      <w:r>
        <w:t xml:space="preserve">4.6 Inference under small samples</w:t>
      </w:r>
    </w:p>
    <w:p>
      <w:pPr>
        <w:pStyle w:val="FirstParagraph"/>
        <w:spacing w:line="480" w:lineRule="auto"/>
      </w:pPr>
      <w:r>
        <w:t xml:space="preserve">For this chapter, the treats this as an empirical claim: both exercises confront the same statistical reality: small samples with heterogeneous units. Forty missions in the first, twenty-eight in the second. This shapes what inference is defensible and how the standard errors should be read. With forty observations and two regressors, the Artemis I model has thirty-seven residual degrees of freedom, enough for the asymptotic justification of HC1 robust errors to be reasonable but not so large that any single influential mission can be ignored. The HC1 correction, which inflates the classical robust variance by a factor accounting for the number of parameters, is the appropriate small-sample choice precisely since it does not pretend the sample is large. Reporting p-values instead of only point estimates lets the reader see how the modest sample translates into modest precision, and the honest consequence is that the heliophysics coefficient reaches only the ten-percent threshold. The longevity model is smaller still, and its inference is correspondingly more cautious. Twenty-eight observations, one predictor, twenty-six residual degrees of freedom. A single predictor is deliberate: adding covariates to a twenty-eight-observation regression would rapidly exhaust the degrees of freedom and inflate the variance of every estimate, trading a spuriously higher R-squared for uselessly wide confidence intervals. The learning-curve estimator returns deterministic standard errors, and the resulting inference is framed as a parsimonious scaling test instead of a structural model. This is the same discipline the machine-learning-for-space literature imposes on itself when it analyzes small benchmarked datasets: state the estimator, report the uncertainty, and refuse to over-parameterize</w:t>
      </w:r>
      <w:r>
        <w:t xml:space="preserve"> </w:t>
      </w:r>
      <w:hyperlink w:anchor="ref-16">
        <w:r>
          <w:rPr>
            <w:rStyle w:val="Hyperlink"/>
          </w:rPr>
          <w:t xml:space="preserve">[16]</w:t>
        </w:r>
      </w:hyperlink>
      <w:r>
        <w:t xml:space="preserve"> </w:t>
      </w:r>
      <w:hyperlink w:anchor="ref-24">
        <w:r>
          <w:rPr>
            <w:rStyle w:val="Hyperlink"/>
          </w:rPr>
          <w:t xml:space="preserve">[24]</w:t>
        </w:r>
      </w:hyperlink>
      <w:r>
        <w:t xml:space="preserve">. Small-sample honesty is not a weakness of the design; it is the price of binding every observation to a public record instead of manufacturing volume.</w:t>
      </w:r>
    </w:p>
    <w:p>
      <w:pPr>
        <w:pStyle w:val="BodyText"/>
        <w:spacing w:line="480" w:lineRule="auto"/>
        <w:ind w:firstLine="720"/>
      </w:pPr>
      <w:r>
        <w:t xml:space="preserve">For this data, the construction is deliberately visible: a related point concerns influential observations. In both samples a handful of missions sit far from the center of their distributions: JWST and DSS in the Artemis I losses, the Voyagers and Wind in the longevity data. Robust standard errors in the first model partially guard against the leverage of the extreme losses, and the log transformation in the second compresses the influence of the oldest missions, so neither result rests on a single point. But the small sample means no result can be declared immune to influential observations, and Chapter 7 treats this explicitly as a bound on the strength of the claims. The estimators are chosen to be as robust as small public data allow, not to conjure precision the data do not contain.</w:t>
      </w:r>
    </w:p>
    <w:bookmarkEnd w:id="93"/>
    <w:bookmarkStart w:id="94" w:name="reproducibility-and-the-audit-standard"/>
    <w:p>
      <w:pPr>
        <w:pStyle w:val="Heading2"/>
        <w:spacing w:line="480" w:lineRule="auto"/>
      </w:pPr>
      <w:r>
        <w:t xml:space="preserve">4.7 Reproducibility and the audit standard</w:t>
      </w:r>
    </w:p>
    <w:p>
      <w:pPr>
        <w:pStyle w:val="FirstParagraph"/>
        <w:spacing w:line="480" w:lineRule="auto"/>
      </w:pPr>
      <w:r>
        <w:t xml:space="preserve">For this operational, the question is narrower: one commitment remains. It is reproducibility, and it is not merely procedural. Every value in both analyses is derivable from a public primary document. The Artemis I losses come from a single identified slide of a NASA technical report</w:t>
      </w:r>
      <w:r>
        <w:t xml:space="preserve"> </w:t>
      </w:r>
      <w:hyperlink w:anchor="ref-7">
        <w:r>
          <w:rPr>
            <w:rStyle w:val="Hyperlink"/>
          </w:rPr>
          <w:t xml:space="preserve">[7]</w:t>
        </w:r>
      </w:hyperlink>
      <w:r>
        <w:t xml:space="preserve">, with mission classifications joined from a dated JPL mission set</w:t>
      </w:r>
      <w:r>
        <w:t xml:space="preserve"> </w:t>
      </w:r>
      <w:hyperlink w:anchor="ref-8">
        <w:r>
          <w:rPr>
            <w:rStyle w:val="Hyperlink"/>
          </w:rPr>
          <w:t xml:space="preserve">[8]</w:t>
        </w:r>
      </w:hyperlink>
      <w:r>
        <w:t xml:space="preserve">. The longevity durations are calendar-day differences computed from launch and prime-completion dates in that same JPL document</w:t>
      </w:r>
      <w:r>
        <w:t xml:space="preserve"> </w:t>
      </w:r>
      <w:hyperlink w:anchor="ref-8">
        <w:r>
          <w:rPr>
            <w:rStyle w:val="Hyperlink"/>
          </w:rPr>
          <w:t xml:space="preserve">[8]</w:t>
        </w:r>
      </w:hyperlink>
      <w:r>
        <w:t xml:space="preserve">, divided by 365.25. No value is illustrative, interpolated, or imputed. A reader with the two source documents can regenerate both datasets and both regressions without access to any proprietary system. This audit standard is a methodological choice with substantive consequences, and it connects back to the governance argument of the introduction. An estimate the heliophysics community cannot verify is an estimate it cannot use in a portfolio decision. By binding every number to a public record, the design ensures that the coefficients reported in Chapter 6 are not artifacts of a hidden pipeline but summaries of documents already in the public domain. The estimators are simple precisely so that the chain from source to coefficient stays short enough to inspect. Sophistication that lengthens that chain would trade away the property that makes the evidence usable.</w:t>
      </w:r>
    </w:p>
    <w:bookmarkEnd w:id="94"/>
    <w:bookmarkStart w:id="95" w:name="Xa2286e0905c1949722b3468575c662aabad31e4"/>
    <w:p>
      <w:pPr>
        <w:pStyle w:val="Heading2"/>
        <w:spacing w:line="480" w:lineRule="auto"/>
      </w:pPr>
      <w:r>
        <w:t xml:space="preserve">4.8 Specification choices and the alternatives rejected</w:t>
      </w:r>
    </w:p>
    <w:p>
      <w:pPr>
        <w:pStyle w:val="FirstParagraph"/>
        <w:spacing w:line="480" w:lineRule="auto"/>
      </w:pPr>
      <w:r>
        <w:t xml:space="preserve">A methodology chapter should account not only for what was done but for what was considered and set aside, since the credibility of an estimate depends on whether its specification was chosen for principled reasons or selected from many trials. For the Artemis I model, three alternatives were weighed and rejected. A hurdle model separating the probability of any loss from the magnitude of loss was considered, since eighteen missions cluster at low or zero losses; it was rejected since the forty-observation sample cannot support the two-part parameterization without unstable estimates, and since the linear conditional mean is the quantity of governance interest. A specification adding mission-phase or complex indicators was considered, since both are real confounds; it was rejected since the source slide carries neither variable, and inventing them would violate the audit standard. A log transformation of the outcome was considered to tame the right skew; it was rejected since eighteen missions carry zero or near-zero losses, and the log of zero is undefined, so a level model with robust errors is the honest choice.</w:t>
      </w:r>
    </w:p>
    <w:p>
      <w:pPr>
        <w:pStyle w:val="BodyText"/>
        <w:spacing w:line="480" w:lineRule="auto"/>
        <w:ind w:firstLine="720"/>
      </w:pPr>
      <w:r>
        <w:t xml:space="preserve">For this evidence, the trail is concrete here: for the longevity model, the principal rejected alternative was a levels regression of support age on prime duration. It was set aside since the fortyfold range in support age would let the Voyagers dominate the fit and would confound scale with elasticity, whereas the log-log form yields a scale-free elasticity interpretable across the whole sample</w:t>
      </w:r>
      <w:r>
        <w:t xml:space="preserve"> </w:t>
      </w:r>
      <w:hyperlink w:anchor="ref-24">
        <w:r>
          <w:rPr>
            <w:rStyle w:val="Hyperlink"/>
          </w:rPr>
          <w:t xml:space="preserve">[24]</w:t>
        </w:r>
      </w:hyperlink>
      <w:r>
        <w:t xml:space="preserve">. A polynomial or spline in prime duration was considered to capture nonlinearity; it was rejected since twenty-eight observations cannot distinguish a curved relationship from a straight one in logs without overfitting, and the theory predicts a single elasticity instead of a shape. In both cases the chosen specification is the one the theory names and the sample can bear, and the alternatives were rejected for stated reasons instead of after inspecting which gave the most favorable result. That the specifications were fixed before estimation, not tuned to the outcome, is what lets the p-values in Chapter 6 be read at face value</w:t>
      </w:r>
      <w:r>
        <w:t xml:space="preserve"> </w:t>
      </w:r>
      <w:hyperlink w:anchor="ref-9">
        <w:r>
          <w:rPr>
            <w:rStyle w:val="Hyperlink"/>
          </w:rPr>
          <w:t xml:space="preserve">[9]</w:t>
        </w:r>
      </w:hyperlink>
      <w:r>
        <w:t xml:space="preserve"> </w:t>
      </w:r>
      <w:hyperlink w:anchor="ref-11">
        <w:r>
          <w:rPr>
            <w:rStyle w:val="Hyperlink"/>
          </w:rPr>
          <w:t xml:space="preserve">[11]</w:t>
        </w:r>
      </w:hyperlink>
      <w:r>
        <w:t xml:space="preserve">.</w:t>
      </w:r>
    </w:p>
    <w:p>
      <w:pPr>
        <w:pStyle w:val="BodyText"/>
        <w:spacing w:line="480" w:lineRule="auto"/>
        <w:ind w:firstLine="720"/>
      </w:pPr>
      <w:r>
        <w:t xml:space="preserve">This pre-commitment to a single specification per exercise is the quiet backbone of the whole design, and it deserves one closing emphasis. A dataset this small is exactly the kind that yields to specification search: with forty missions and a handful of candidate controls, an analyst determined to find significance could try dozens of combinations until one crossed a threshold, and the resulting p-value would mean nothing. The defense against this is not a larger sample, which the public records do not offer, but discipline: one estimator, named by the theory, fixed before the data are estimated, and reported whatever it returns. The heliophysics coefficient reaching only ten-percent significance is itself evidence of that discipline. An analyst mining for significance would have reported a five-percent result or none; a pre-committed design reports the ten-percent result honestly, since that is what the chosen model produced</w:t>
      </w:r>
      <w:r>
        <w:t xml:space="preserve"> </w:t>
      </w:r>
      <w:hyperlink w:anchor="ref-16">
        <w:r>
          <w:rPr>
            <w:rStyle w:val="Hyperlink"/>
          </w:rPr>
          <w:t xml:space="preserve">[16]</w:t>
        </w:r>
      </w:hyperlink>
      <w:r>
        <w:t xml:space="preserve">. The same logic governs the longevity exercise, where a single log-log elasticity was named by the theory and estimated once, so its five-percent significance is a property of the pre-committed model instead of the survivor of a search across specifications</w:t>
      </w:r>
      <w:r>
        <w:t xml:space="preserve"> </w:t>
      </w:r>
      <w:hyperlink w:anchor="ref-24">
        <w:r>
          <w:rPr>
            <w:rStyle w:val="Hyperlink"/>
          </w:rPr>
          <w:t xml:space="preserve">[24]</w:t>
        </w:r>
      </w:hyperlink>
      <w:r>
        <w:t xml:space="preserve">.</w:t>
      </w:r>
    </w:p>
    <w:bookmarkEnd w:id="95"/>
    <w:bookmarkEnd w:id="96"/>
    <w:bookmarkStart w:id="106" w:name="chapter-5.-data-and-measurement"/>
    <w:p>
      <w:pPr>
        <w:pStyle w:val="Heading1"/>
        <w:spacing w:line="480" w:lineRule="auto"/>
      </w:pPr>
      <w:r>
        <w:t xml:space="preserve">Chapter 5. Data and Measurement</w:t>
      </w:r>
    </w:p>
    <w:p>
      <w:pPr>
        <w:pStyle w:val="FirstParagraph"/>
        <w:spacing w:line="480" w:lineRule="auto"/>
      </w:pPr>
      <w:r>
        <w:t xml:space="preserve">For this chapter, the documents the two datasets in full. Both are constructed entirely from public NASA records, and both are small by design, since the primary records are themselves small and the estimate refuses to invent observations the sources do not contain. The chapter describes each source, the construction of every variable, the classification joins, and the sample composition, so that a reader with the two source documents can regenerate both datasets exactly.</w:t>
      </w:r>
    </w:p>
    <w:bookmarkStart w:id="97" w:name="provenance-of-the-two-records"/>
    <w:p>
      <w:pPr>
        <w:pStyle w:val="Heading2"/>
        <w:spacing w:line="480" w:lineRule="auto"/>
      </w:pPr>
      <w:r>
        <w:t xml:space="preserve">5.1 Provenance of the two records</w:t>
      </w:r>
    </w:p>
    <w:p>
      <w:pPr>
        <w:pStyle w:val="FirstParagraph"/>
        <w:spacing w:line="480" w:lineRule="auto"/>
      </w:pPr>
      <w:r>
        <w:t xml:space="preserve">The Artemis I loss data originate from slide 6 of NASA Technical Reports Server report 20250004124, Baldwin’s account of Deep Space Network scheduling principles and challenges</w:t>
      </w:r>
      <w:r>
        <w:t xml:space="preserve"> </w:t>
      </w:r>
      <w:hyperlink w:anchor="ref-7">
        <w:r>
          <w:rPr>
            <w:rStyle w:val="Hyperlink"/>
          </w:rPr>
          <w:t xml:space="preserve">[7]</w:t>
        </w:r>
      </w:hyperlink>
      <w:r>
        <w:t xml:space="preserve">.</w:t>
      </w:r>
    </w:p>
    <w:p>
      <w:pPr>
        <w:pStyle w:val="BodyText"/>
        <w:spacing w:line="480" w:lineRule="auto"/>
        <w:ind w:firstLine="720"/>
      </w:pPr>
      <w:r>
        <w:t xml:space="preserve">That slide displays mission-level differences between planned and executed support during the Artemis I execution weeks 2022-46 through 2022-49. It is the primary observational record for the first exercise, and it is public. The longevity data originate from the Jet Propulsion Laboratory’s Deep Space Network Current Mission Set dated July 8, 2020</w:t>
      </w:r>
      <w:r>
        <w:t xml:space="preserve"> </w:t>
      </w:r>
      <w:hyperlink w:anchor="ref-8">
        <w:r>
          <w:rPr>
            <w:rStyle w:val="Hyperlink"/>
          </w:rPr>
          <w:t xml:space="preserve">[8]</w:t>
        </w:r>
      </w:hyperlink>
      <w:r>
        <w:t xml:space="preserve">, which lists supported missions with launch dates and listed prime-mission completion dates. That document is the primary record for the second exercise and also serves as the mission-classification reference for the first.</w:t>
      </w:r>
    </w:p>
    <w:p>
      <w:pPr>
        <w:pStyle w:val="BodyText"/>
        <w:spacing w:line="480" w:lineRule="auto"/>
        <w:ind w:firstLine="720"/>
      </w:pPr>
      <w:r>
        <w:t xml:space="preserve">For the program record, the two records were chosen since they are the rare public artifacts that expose, respectively, realized displacement during a shock and the temporal structure of the supported mission set.</w:t>
      </w:r>
    </w:p>
    <w:p>
      <w:pPr>
        <w:pStyle w:val="BodyText"/>
        <w:spacing w:line="480" w:lineRule="auto"/>
        <w:ind w:firstLine="720"/>
      </w:pPr>
      <w:r>
        <w:t xml:space="preserve">Neither requires proprietary or restricted access. Every row in both datasets cites its source in a source column, so provenance travels with the data instead of living in a separate note. This binding of each observation to a citable document is the measurement counterpart of the audit standard set out in the methodology, and it is what allows the coefficients in the next chapter to be checked against the public domain.</w:t>
      </w:r>
    </w:p>
    <w:bookmarkEnd w:id="97"/>
    <w:bookmarkStart w:id="98" w:name="constructing-the-artemis-i-outcome"/>
    <w:p>
      <w:pPr>
        <w:pStyle w:val="Heading2"/>
        <w:spacing w:line="480" w:lineRule="auto"/>
      </w:pPr>
      <w:r>
        <w:t xml:space="preserve">5.2 Constructing the Artemis I outcome</w:t>
      </w:r>
    </w:p>
    <w:p>
      <w:pPr>
        <w:pStyle w:val="FirstParagraph"/>
        <w:spacing w:line="480" w:lineRule="auto"/>
      </w:pPr>
      <w:r>
        <w:t xml:space="preserve">For this archival, the record matters here: one variable carries the first analysis. The outcome, hours_lost, measures how much previously planned support failed to survive into execution. It equals the magnitude of a negative mission-level schedule change on slide 6 and equals zero when the chart reports a positive change. This transformation answers a precise operational question: of the support that was planned, how much was lost when the schedule met reality? It deliberately does not measure net redistribution, since gained support is not subtracted from losses. The measure is conservative by construction, since a mission that both lost and gained hours is credited only with its loss. Two missions illustrate the coding rule. STA and SLIM each received a positive schedule change in the source chart, so both are assigned zero lost hours despite having gained support. This is the intended behavior: the variable tracks losses, not net change, and treating a gain as a negative loss would blur the question the estimate asks. At the other extreme, JWST lost 184.8 hours and DSS lost 148.5 hours, the two largest losses in the sample, both non-heliophysics. The distribution of losses is heavily right-skewed, ranging from zero to 184.8 hours, which is the visible heteroskedasticity that dictates robust standard errors in the estimator.</w:t>
      </w:r>
    </w:p>
    <w:p>
      <w:pPr>
        <w:pStyle w:val="BodyText"/>
        <w:spacing w:line="480" w:lineRule="auto"/>
        <w:ind w:firstLine="720"/>
      </w:pPr>
      <w:r>
        <w:t xml:space="preserve">For a replicator, forty mission labels are retained from the slide. The network-maintenance bar is excluded since it is not a mission. A second very small support label is excluded to hold the sample at forty named missions and since its operational identity cannot be classified with the confidence the named missions permit. No illustrative or placeholder values enter the data file; every one of the forty rows is a real mission label read from the source chart.</w:t>
      </w:r>
    </w:p>
    <w:bookmarkEnd w:id="98"/>
    <w:bookmarkStart w:id="99" w:name="X938ae1409485cefa5ba8ee565a61258e11020a3"/>
    <w:p>
      <w:pPr>
        <w:pStyle w:val="Heading2"/>
        <w:spacing w:line="480" w:lineRule="auto"/>
      </w:pPr>
      <w:r>
        <w:t xml:space="preserve">5.3 Classifying missions: the heliophysics and deep-space indicators</w:t>
      </w:r>
    </w:p>
    <w:p>
      <w:pPr>
        <w:pStyle w:val="FirstParagraph"/>
        <w:spacing w:line="480" w:lineRule="auto"/>
      </w:pPr>
      <w:r>
        <w:t xml:space="preserve">For this chapter, the treats this as an empirical claim: classification comes next. The main predictor, heliophysics, equals one for solar, heliospheric, magnetospheric, or solar-terrestrial missions and zero otherwise. Classification is checked against the JPL Deep Space Network Current Mission Set</w:t>
      </w:r>
      <w:r>
        <w:t xml:space="preserve"> </w:t>
      </w:r>
      <w:hyperlink w:anchor="ref-8">
        <w:r>
          <w:rPr>
            <w:rStyle w:val="Hyperlink"/>
          </w:rPr>
          <w:t xml:space="preserve">[8]</w:t>
        </w:r>
      </w:hyperlink>
      <w:r>
        <w:t xml:space="preserve">. Fourteen of the forty missions are coded as heliophysics: the DSCOVR, Wind, ACE, SOHO, Parker Solar Probe, and STEREO-A solar and solar-terrestrial missions, the four Magnetospheric Multiscale spacecraft MMS1 through MMS4, the two THEMIS-class magnetospheric missions THB and THC, and the two Voyager spacecraft, which carry heliophysics-relevant fields-and-particles instrumentation in the outer heliosphere. The comparison group of twenty-six missions includes planetary, astrophysics, Earth-observing, technology, and other supported activities. A second indicator, deep_space_type, equals one for planetary, cislunar, and deep-space exploration missions. This control addresses an observable dimension of antenna dependence and distance: deep-space missions concentrate the largest link budgets and the fewest antenna substitutes, so they plausibly experience systematically different losses for reasons unrelated to heliophysics status. The indicator captures missions such as Lucy, Mars 2020, Juno, MSL, the Mars orbiters, OSIRIS-REx, and the lunar landers, along with the two Voyager spacecraft, which are coded as both heliophysics and deep-space since they are simultaneously outer-heliosphere science missions and the most distant deep-space spacecraft in the set.</w:t>
      </w:r>
    </w:p>
    <w:p>
      <w:pPr>
        <w:pStyle w:val="BodyText"/>
        <w:spacing w:line="480" w:lineRule="auto"/>
        <w:ind w:firstLine="720"/>
      </w:pPr>
      <w:r>
        <w:t xml:space="preserve">For this data, the construction is deliberately visible: the Voyager double-coding deserves note since it is the one place where the two indicators overlap.</w:t>
      </w:r>
    </w:p>
    <w:p>
      <w:pPr>
        <w:pStyle w:val="BodyText"/>
        <w:spacing w:line="480" w:lineRule="auto"/>
        <w:ind w:firstLine="720"/>
      </w:pPr>
      <w:r>
        <w:t xml:space="preserve">Both Voyagers carry a one in each column. This is faithful to their operational identity and is exactly why the deep-space control is included: without it, the Voyagers’ large losses, 55.2 hours for Voyager 1 and 67.8 hours for Voyager 2, would load onto the heliophysics coefficient and confound the distance effect with the class effect. Conditioning on deep-space type separates the two.</w:t>
      </w:r>
    </w:p>
    <w:bookmarkEnd w:id="99"/>
    <w:bookmarkStart w:id="100" w:name="Xcc870fef1d204a103ed023ccb2218b4d9a3c9c3"/>
    <w:p>
      <w:pPr>
        <w:pStyle w:val="Heading2"/>
        <w:spacing w:line="480" w:lineRule="auto"/>
      </w:pPr>
      <w:r>
        <w:t xml:space="preserve">5.4 Descriptive structure of the Artemis I sample</w:t>
      </w:r>
    </w:p>
    <w:p>
      <w:pPr>
        <w:pStyle w:val="FirstParagraph"/>
        <w:spacing w:line="480" w:lineRule="auto"/>
      </w:pPr>
      <w:r>
        <w:t xml:space="preserve">For this operational, the question is narrower: look at the raw groups. The descriptive contrast that motivates the regression is stark. The fourteen heliophysics missions record 316.9 total lost hours, or 22.6357 hours per mission. The twenty-six comparison missions record 1,397.2 total lost hours, or 53.7385 hours per mission. Heliophysics missions, as a group, lost less than half as many hours per mission as the comparison group. This raw difference is the phenomenon the regression will formalize, and its direction is the direction the estimated coefficient must reproduce if the descriptive pattern survives conditioning. Yet the descriptive means also caution against categorical language, and the within-group dispersion is the reason. Several heliophysics missions lost only a few hours: DSCOVR lost 1.9, Wind lost 3.3, and the MMS spacecraft lost between 5.2 and 9.5 hours each. But SOHO lost 81.8 hours, Parker Solar Probe lost 46.2, and both Voyagers lost more than 55. Relative protection at the class level coexisted with meaningful losses for particular missions. The comparison group is similarly dispersed, from SLIM at zero to JWST at 184.8. The regression must for that reason be read against this spread; a class-mean difference does not imply that every heliophysics mission was shielded.</w:t>
      </w:r>
    </w:p>
    <w:p>
      <w:pPr>
        <w:pStyle w:val="BodyText"/>
        <w:spacing w:line="480" w:lineRule="auto"/>
        <w:ind w:firstLine="720"/>
      </w:pPr>
      <w:r>
        <w:t xml:space="preserve">For the empirical reader, the raw group means also do not account for the concentration of planetary missions in the comparison group, which is precisely what the deep-space control is meant to absorb. Many of the largest comparison-group losses, MRO at 121.0, MEX at 123.2, MVN at 93.5, belong to Mars-orbit missions with heavy link budgets. Whether the heliophysics advantage survives once this planetary concentration is conditioned out is the empirical question the next chapter answers.</w:t>
      </w:r>
    </w:p>
    <w:bookmarkEnd w:id="100"/>
    <w:bookmarkStart w:id="101" w:name="constructing-the-longevity-variables"/>
    <w:p>
      <w:pPr>
        <w:pStyle w:val="Heading2"/>
        <w:spacing w:line="480" w:lineRule="auto"/>
      </w:pPr>
      <w:r>
        <w:t xml:space="preserve">5.5 Constructing the longevity variables</w:t>
      </w:r>
    </w:p>
    <w:p>
      <w:pPr>
        <w:pStyle w:val="FirstParagraph"/>
        <w:spacing w:line="480" w:lineRule="auto"/>
      </w:pPr>
      <w:r>
        <w:t xml:space="preserve">For this evidence, the trail is concrete here: the second dataset uses twenty-eight missions from the JPL mission set</w:t>
      </w:r>
      <w:r>
        <w:t xml:space="preserve"> </w:t>
      </w:r>
      <w:hyperlink w:anchor="ref-8">
        <w:r>
          <w:rPr>
            <w:rStyle w:val="Hyperlink"/>
          </w:rPr>
          <w:t xml:space="preserve">[8]</w:t>
        </w:r>
      </w:hyperlink>
      <w:r>
        <w:t xml:space="preserve">, each with a launch date and a listed prime-mission completion date that can be transcribed without interpolation. Two durations are computed from these dates. prime_duration_years is the number of calendar days between launch and the listed prime-completion date, divided by 365.25. support_age_years is the number of calendar days between launch and the July 8, 2020 snapshot, divided by 365.25. The divisor 365.25 converts days to years while accounting for leap years, and both variables are for that reason continuous, positive, and derived arithmetically from published dates. support_age_years requires careful interpretation, and the chapter states its meaning explicitly. It is not a count of antenna hours and does not assert continuous DSN contact. It measures how long a mission had represented potential or actual demand by the date of the published snapshot. A mission that launched decades before 2020 has a large support age whether or not it consumed antennas continuously; the variable captures presence in the supported set, which is the stock of demand the stock-flow theory concerns. This is the correct measurement for a scaling test of longevity, and it is why the variable is age instead of usage.</w:t>
      </w:r>
    </w:p>
    <w:p>
      <w:pPr>
        <w:pStyle w:val="BodyText"/>
        <w:spacing w:line="480" w:lineRule="auto"/>
        <w:ind w:firstLine="720"/>
      </w:pPr>
      <w:r>
        <w:t xml:space="preserve">For the program record, every row cites the same primary document, and no value is illustrative. The construction is fully deterministic: given the launch and prime-completion dates, both durations follow by subtraction and division. A reader can verify any row by locating the two dates in the mission set and performing the arithmetic.</w:t>
      </w:r>
    </w:p>
    <w:bookmarkEnd w:id="101"/>
    <w:bookmarkStart w:id="102" w:name="X108739037311ff9747d0165fa56470e19114de0"/>
    <w:p>
      <w:pPr>
        <w:pStyle w:val="Heading2"/>
        <w:spacing w:line="480" w:lineRule="auto"/>
      </w:pPr>
      <w:r>
        <w:t xml:space="preserve">5.6 Composition and range of the longevity sample</w:t>
      </w:r>
    </w:p>
    <w:p>
      <w:pPr>
        <w:pStyle w:val="FirstParagraph"/>
        <w:spacing w:line="480" w:lineRule="auto"/>
      </w:pPr>
      <w:r>
        <w:t xml:space="preserve">For this archival, the record matters here: age varies wildly here. The twenty-eight-mission sample spans an enormous range, which is what makes the log-log form necessary. Voyager 1 and Voyager 2 exceed forty-two years of age at the snapshot, at 42.8392 and 42.8830 years respectively, while Parker Solar Probe is less than two years old at 1.9055 years. Between these extremes lie missions of every vintage: SOHO and Wind at over twenty-four years, the Mars orbiters at fourteen to nineteen years, and the youngest cohort, TESS, InSight, and Chandrayaan-2, at roughly two years. This forty-fold spread in the outcome is why a levels regression would be dominated by the oldest missions and why the elasticity is estimated in logs. Listed prime durations also range widely, from about 1.28 years for the Lunar Reconnaissance Orbiter to about 14.33 years for XMM-Newton. The range in the predictor is narrower than the range in the outcome, roughly elevenfold against fortyfold, which itself hints at a subunitary elasticity: the outcome varies more than proportionally more than the predictor across the sample. Several listed completion dates fall after the July 2020 snapshot, including Parker Solar Probe’s listed completion in 2025 and Chandrayaan-2’s in late 2020, since the document records the expected prime endpoint of missions still in their prime phase. These rows are retained deliberately, since the predictor is a planned or listed commitment instead of an ex post duration censored at the snapshot, and dropping them would bias the elasticity by conditioning on realized longevity.</w:t>
      </w:r>
    </w:p>
    <w:bookmarkEnd w:id="102"/>
    <w:bookmarkStart w:id="103" w:name="the-join-between-the-two-datasets"/>
    <w:p>
      <w:pPr>
        <w:pStyle w:val="Heading2"/>
        <w:spacing w:line="480" w:lineRule="auto"/>
      </w:pPr>
      <w:r>
        <w:t xml:space="preserve">5.7 The join between the two datasets</w:t>
      </w:r>
    </w:p>
    <w:p>
      <w:pPr>
        <w:pStyle w:val="FirstParagraph"/>
        <w:spacing w:line="480" w:lineRule="auto"/>
      </w:pPr>
      <w:r>
        <w:t xml:space="preserve">For this two, the datasets share a common spine, the JPL Deep Space Network Current Mission Set</w:t>
      </w:r>
      <w:r>
        <w:t xml:space="preserve"> </w:t>
      </w:r>
      <w:hyperlink w:anchor="ref-8">
        <w:r>
          <w:rPr>
            <w:rStyle w:val="Hyperlink"/>
          </w:rPr>
          <w:t xml:space="preserve">[8]</w:t>
        </w:r>
      </w:hyperlink>
      <w:r>
        <w:t xml:space="preserve">, and that shared provenance is a measurement asset worth making explicit. The Artemis I analysis uses the mission set to classify each of the forty missions as heliophysics or not and as deep-space or not. The longevity analysis uses the same document for its launch and prime-completion dates. Because both draw classifications and dates from one authoritative source, the two exercises speak a common mission vocabulary: a mission coded heliophysics in the first analysis is the same operational entity whose longevity is measured in the second. Several missions appear in both datasets, ACE, DSCOVR, Wind, SOHO, Parker Solar Probe, the Voyagers, MMS, and the THEMIS-class spacecraft among them, which lets the short-run and long-run findings be read as two measurements of the same objects instead of two unrelated samples. The chapter treats this as an empirical claim: this overlap is not exploited statistically here, since the two designs answer different questions with different estimators, but it is what makes the joint interpretation in Chapter 6 legitimate. When that chapter observes that SOHO was both a large individual loser during the Artemis I shock and a long-lived mission far above the longevity fit, it is making a claim about a single spacecraft characterized on two axes, not stitching together incommensurable records. The shared mission set guarantees that the heliophysics label, the deep-space label, and the longevity measures all refer to the same underlying set of missions, which is the minimum condition for treating the surge and the stock as faces of one system.</w:t>
      </w:r>
    </w:p>
    <w:bookmarkEnd w:id="103"/>
    <w:bookmarkStart w:id="104" w:name="X5238f60232b36235b83163cc790f0cc4f6a944f"/>
    <w:p>
      <w:pPr>
        <w:pStyle w:val="Heading2"/>
        <w:spacing w:line="480" w:lineRule="auto"/>
      </w:pPr>
      <w:r>
        <w:t xml:space="preserve">5.8 Measurement conservatism and its consequences</w:t>
      </w:r>
    </w:p>
    <w:p>
      <w:pPr>
        <w:pStyle w:val="FirstParagraph"/>
        <w:spacing w:line="480" w:lineRule="auto"/>
      </w:pPr>
      <w:r>
        <w:t xml:space="preserve">For this data, the construction is deliberately visible: a recurring choice across both datasets is conservatism: when a coding decision could bias the finding toward or against the hypothesis, the construction leans against the hypothesis. The hours_lost variable codes gains as zero instead of as negative losses, which understates the net advantage of missions that gained hours and for that reason makes the heliophysics protection finding harder, not easier, to obtain. The exclusion of the ambiguous small support label removes a mission that could not be classified with confidence, instead of guessing its class and risking an inflated group difference. In the longevity data, retaining the post-snapshot prime dates instead of censoring them keeps the young, long-plan missions that pull the elasticity down, again working against a dramatic result. These conservative choices have a consequence the reader should carry into Chapter 6. The estimates are, if anything, lower bounds on the effects the theory predicts. A heliophysics protection coefficient of -31.8046 hours emerged from a coding scheme designed not to flatter it, and a longevity elasticity of 0.4465 emerged from a sample constructed not to inflate it. The direction of any residual measurement bias is toward zero, which strengthens instead of weakens the interpretation of the signs that did emerge. Honest measurement that leans against its own hypotheses and still recovers theory-consistent signs is the strongest form a small-sample result can take</w:t>
      </w:r>
      <w:r>
        <w:t xml:space="preserve"> </w:t>
      </w:r>
      <w:hyperlink w:anchor="ref-7">
        <w:r>
          <w:rPr>
            <w:rStyle w:val="Hyperlink"/>
          </w:rPr>
          <w:t xml:space="preserve">[7]</w:t>
        </w:r>
      </w:hyperlink>
      <w:r>
        <w:t xml:space="preserve"> </w:t>
      </w:r>
      <w:hyperlink w:anchor="ref-13">
        <w:r>
          <w:rPr>
            <w:rStyle w:val="Hyperlink"/>
          </w:rPr>
          <w:t xml:space="preserve">[13]</w:t>
        </w:r>
      </w:hyperlink>
      <w:r>
        <w:t xml:space="preserve">.</w:t>
      </w:r>
    </w:p>
    <w:bookmarkEnd w:id="104"/>
    <w:bookmarkStart w:id="105" w:name="what-the-data-cannot-represent"/>
    <w:p>
      <w:pPr>
        <w:pStyle w:val="Heading2"/>
        <w:spacing w:line="480" w:lineRule="auto"/>
      </w:pPr>
      <w:r>
        <w:t xml:space="preserve">5.9 What the data cannot represent</w:t>
      </w:r>
    </w:p>
    <w:p>
      <w:pPr>
        <w:pStyle w:val="FirstParagraph"/>
        <w:spacing w:line="480" w:lineRule="auto"/>
      </w:pPr>
      <w:r>
        <w:t xml:space="preserve">The datasets are honest about their gaps.</w:t>
      </w:r>
    </w:p>
    <w:p>
      <w:pPr>
        <w:pStyle w:val="BodyText"/>
        <w:spacing w:line="480" w:lineRule="auto"/>
        <w:ind w:firstLine="720"/>
      </w:pPr>
      <w:r>
        <w:t xml:space="preserve">For the empirical reader, both are cross-sectional, and both exclude information that a richer design would want. The Artemis I data cover a single four-week episode, so they cannot represent repeated shocks, within-mission variation, or the evolution of the service discipline over time. The mission-class labels are single discrete indicators, so they cannot capture ad-hoc priority elevations granted to spacecraft in critical phases, a limitation that the surveillance-scheduling literature notes is common when priority is dynamic</w:t>
      </w:r>
      <w:r>
        <w:t xml:space="preserve"> </w:t>
      </w:r>
      <w:hyperlink w:anchor="ref-5">
        <w:r>
          <w:rPr>
            <w:rStyle w:val="Hyperlink"/>
          </w:rPr>
          <w:t xml:space="preserve">[5]</w:t>
        </w:r>
      </w:hyperlink>
      <w:r>
        <w:t xml:space="preserve">. The deep-space control is a single binary and cannot represent detailed link budgets, specific critical events, or negotiated priority. The longevity data are similarly bounded. They exclude mission-extension review scores, annual operating costs, requested antenna hours, data-return volume, spacecraft-health indicators, and termination dates. They test a scaling relationship between two published temporal descriptors and nothing more. Missions whose listed dates could not be transcribed without interpolation are excluded, and multinational missions may draw on ground networks other than the DSN, which the support-age variable does not distinguish. These exclusions narrow the claims the data support, and Chapter 7 develops them as threats to validity. The measurement chapter records them here so that the results in Chapter 6 are read with the correct sense of what the two small, public, honestly bounded datasets can and cannot establish.</w:t>
      </w:r>
    </w:p>
    <w:p>
      <w:pPr>
        <w:pStyle w:val="BodyText"/>
        <w:spacing w:line="480" w:lineRule="auto"/>
        <w:ind w:firstLine="720"/>
      </w:pPr>
      <w:r>
        <w:t xml:space="preserve">For this evidence, the trail is concrete here: a final measurement point concerns the two datasets’ differing units of analysis, which the reader should hold in mind when the results are read together. The Artemis I dataset is indexed by mission label as it appears on a scheduling slide, so a spacecraft constellation may appear as several rows: the four MMS spacecraft enter as MMS1 through MMS4, each with its own loss. The longevity dataset is indexed by mission as listed in the mission set, so MMS enters as a single row with one launch date and one prime-completion date. This is not an inconsistency but a faithful reflection of how each source records its entities. It does mean that the fourteen heliophysics rows in the loss analysis and the heliophysics missions in the longevity analysis are not a one-to-one mapping, and any joint reading must respect the differing granularity. The measurement is faithful to each source; the interpretation simply must not conflate a per-spacecraft loss row with a per-mission longevity row</w:t>
      </w:r>
      <w:r>
        <w:t xml:space="preserve"> </w:t>
      </w:r>
      <w:hyperlink w:anchor="ref-8">
        <w:r>
          <w:rPr>
            <w:rStyle w:val="Hyperlink"/>
          </w:rPr>
          <w:t xml:space="preserve">[8]</w:t>
        </w:r>
      </w:hyperlink>
      <w:r>
        <w:t xml:space="preserve">. This is a routine feature of working with operational records instead of a curated research dataset, and the correct response is to preserve each source’s native granularity instead of force a shared index that neither document supports. Chapter 6 respects this by never treating a constellation’s four loss rows as if they were four independent longevity observations, and Chapter 7 flags the differing granularity among the threats a joint reading must weigh</w:t>
      </w:r>
      <w:r>
        <w:t xml:space="preserve"> </w:t>
      </w:r>
      <w:hyperlink w:anchor="ref-7">
        <w:r>
          <w:rPr>
            <w:rStyle w:val="Hyperlink"/>
          </w:rPr>
          <w:t xml:space="preserve">[7]</w:t>
        </w:r>
      </w:hyperlink>
      <w:r>
        <w:t xml:space="preserve">.</w:t>
      </w:r>
    </w:p>
    <w:bookmarkEnd w:id="105"/>
    <w:bookmarkEnd w:id="106"/>
    <w:bookmarkStart w:id="113" w:name="chapter-6.-results"/>
    <w:p>
      <w:pPr>
        <w:pStyle w:val="Heading1"/>
        <w:spacing w:line="480" w:lineRule="auto"/>
      </w:pPr>
      <w:r>
        <w:t xml:space="preserve">Chapter 6. Results</w:t>
      </w:r>
    </w:p>
    <w:p>
      <w:pPr>
        <w:pStyle w:val="FirstParagraph"/>
        <w:spacing w:line="480" w:lineRule="auto"/>
      </w:pPr>
      <w:r>
        <w:t xml:space="preserve">For this chapter, the reports the estimator output for both exercises exactly as the analyses produced it, then interprets the signs and magnitudes.</w:t>
      </w:r>
    </w:p>
    <w:p>
      <w:pPr>
        <w:pStyle w:val="BodyText"/>
        <w:spacing w:line="480" w:lineRule="auto"/>
        <w:ind w:firstLine="720"/>
      </w:pPr>
      <w:r>
        <w:t xml:space="preserve">For this numbers, the are stated to the precision at which they were computed, since a doctoral result should be reproducible to the decimal, and since the audit standard of the design requires that a reader with the source records be able to confirm each figure. The chapter reports the Artemis I regression first, then the longevity scaling test, then reads the two together. Both estimates were computed on the public records described in Chapter 5, the Artemis I schedule slide</w:t>
      </w:r>
      <w:r>
        <w:t xml:space="preserve"> </w:t>
      </w:r>
      <w:hyperlink w:anchor="ref-7">
        <w:r>
          <w:rPr>
            <w:rStyle w:val="Hyperlink"/>
          </w:rPr>
          <w:t xml:space="preserve">[7]</w:t>
        </w:r>
      </w:hyperlink>
      <w:r>
        <w:t xml:space="preserve"> </w:t>
      </w:r>
      <w:r>
        <w:t xml:space="preserve">and the JPL mission set</w:t>
      </w:r>
      <w:r>
        <w:t xml:space="preserve"> </w:t>
      </w:r>
      <w:hyperlink w:anchor="ref-8">
        <w:r>
          <w:rPr>
            <w:rStyle w:val="Hyperlink"/>
          </w:rPr>
          <w:t xml:space="preserve">[8]</w:t>
        </w:r>
      </w:hyperlink>
      <w:r>
        <w:t xml:space="preserve">, so every figure below can be regenerated from documents already in the public domain.</w:t>
      </w:r>
    </w:p>
    <w:bookmarkStart w:id="107" w:name="Xeb21a529aadebaf443eca4483222dfea0088806"/>
    <w:p>
      <w:pPr>
        <w:pStyle w:val="Heading2"/>
        <w:spacing w:line="480" w:lineRule="auto"/>
      </w:pPr>
      <w:r>
        <w:t xml:space="preserve">6.1 The Artemis I regression: fit and joint test</w:t>
      </w:r>
    </w:p>
    <w:p>
      <w:pPr>
        <w:pStyle w:val="FirstParagraph"/>
        <w:spacing w:line="480" w:lineRule="auto"/>
      </w:pPr>
      <w:r>
        <w:t xml:space="preserve">The ordinary least squares model of mission-level hours lost on the heliophysics and deep-space indicators uses all forty observations.</w:t>
      </w:r>
    </w:p>
    <w:p>
      <w:pPr>
        <w:pStyle w:val="BodyText"/>
        <w:spacing w:line="480" w:lineRule="auto"/>
        <w:ind w:firstLine="720"/>
      </w:pPr>
      <w:r>
        <w:t xml:space="preserve">It produces an R-squared of 0.1008 and an adjusted R-squared of 0.0522. The joint model F statistic is 3.2658 with a p-value of 0.0494. The two broad indicators together explain roughly ten percent of the cross-mission variation in losses, and the joint test rejects a zero-explanatory-power null at the five percent threshold.</w:t>
      </w:r>
    </w:p>
    <w:p>
      <w:pPr>
        <w:pStyle w:val="BodyText"/>
        <w:spacing w:line="480" w:lineRule="auto"/>
        <w:ind w:firstLine="720"/>
      </w:pPr>
      <w:r>
        <w:t xml:space="preserve">For the program record, a modest fit is expected here, and it should be read as informative instead of disappointing.</w:t>
      </w:r>
    </w:p>
    <w:p>
      <w:pPr>
        <w:pStyle w:val="BodyText"/>
        <w:spacing w:line="480" w:lineRule="auto"/>
        <w:ind w:firstLine="720"/>
      </w:pPr>
      <w:r>
        <w:t xml:space="preserve">Two coarse indicators are being asked to explain mission-specific operational losses that depend on link budgets, critical events, negotiated priority, and the idiosyncrasies of a single four-week window. That they capture ten percent of the variance, and that the joint test clears five percent, means the mission-class and mission-type structure carries real signal even against the dominant idiosyncratic noise. A near-perfect fit from two binaries on forty missions would have been a warning of overfitting or of a mechanical relationship; a modest but jointly significant fit is what a genuine but partial class effect looks like.</w:t>
      </w:r>
    </w:p>
    <w:p>
      <w:pPr>
        <w:pStyle w:val="BodyText"/>
        <w:spacing w:line="480" w:lineRule="auto"/>
        <w:ind w:firstLine="720"/>
      </w:pPr>
      <w:r>
        <w:t xml:space="preserve">For this adjusted, the R-squared of 0.0522 deserves a word, since it is lower than the unadjusted figure and the gap is diagnostic. Adjusting for the two degrees of freedom the indicators consume against forty observations pulls the fit down by roughly half, which tells the reader that a nontrivial share of the raw explained variance is the mechanical reward for adding regressors instead of genuine signal. The joint F test guards against over-reading this: at 3.2658 with a p-value of 0.0494, it certifies that the two indicators together explain more than sampling noise would, but only just. A dataset of this size cannot support a heavily parameterized specification, which is precisely why the design fixed on two indicators and a robust estimator</w:t>
      </w:r>
      <w:r>
        <w:t xml:space="preserve"> </w:t>
      </w:r>
      <w:hyperlink w:anchor="ref-9">
        <w:r>
          <w:rPr>
            <w:rStyle w:val="Hyperlink"/>
          </w:rPr>
          <w:t xml:space="preserve">[9]</w:t>
        </w:r>
      </w:hyperlink>
      <w:r>
        <w:t xml:space="preserve">. The fit statistics are consistent with a real but partial mission-class structure detected against a backdrop of operational idiosyncrasy that no two-variable model could hope to capture.</w:t>
      </w:r>
    </w:p>
    <w:bookmarkEnd w:id="107"/>
    <w:bookmarkStart w:id="108" w:name="the-artemis-i-regression-coefficients"/>
    <w:p>
      <w:pPr>
        <w:pStyle w:val="Heading2"/>
        <w:spacing w:line="480" w:lineRule="auto"/>
      </w:pPr>
      <w:r>
        <w:t xml:space="preserve">6.2 The Artemis I regression: coefficients</w:t>
      </w:r>
    </w:p>
    <w:p>
      <w:pPr>
        <w:pStyle w:val="FirstParagraph"/>
        <w:spacing w:line="480" w:lineRule="auto"/>
      </w:pPr>
      <w:r>
        <w:t xml:space="preserve">Consider the intercept first. Estimated at 54.6525 hours, with a robust standard error of 18.4865, It represents the expected loss for a non-heliophysics mission outside the deep-space category, and it locates the comparison baseline at roughly fifty-five lost hours. For a replicator, now the coefficient of interest. It is -31.8046 hours, with a robust standard error of 18.3146 and a p-value of 0.0825. Conditional on the deep-space indicator, heliophysics missions in this sample lost about 31.80 fewer scheduled support hours than otherwise-classified missions. The estimate is distinguishable from zero at the ten percent level but does not clear the five percent threshold. The sign is negative, which is the direction consistent with relative protection during the Artemis I demand shock. The deep-space-type coefficient is -1.4853 hours, with a robust standard error of 19.5470 and a p-value of 0.9394. The estimate is imprecise and provides no basis for rejecting a zero conditional difference between deep-space and other non-heliophysics missions. This near-zero, wholly insignificant coefficient should not be read as evidence that distance and mission phase are irrelevant to losses. The binary is coarse, the sample is small, and the source chart combines missions facing very different events and communications requirements, so the control does its job of absorbing the planetary concentration without itself being precisely estimated.</w:t>
      </w:r>
    </w:p>
    <w:p>
      <w:pPr>
        <w:pStyle w:val="BodyText"/>
        <w:spacing w:line="480" w:lineRule="auto"/>
        <w:ind w:firstLine="720"/>
      </w:pPr>
      <w:r>
        <w:t xml:space="preserve">For this chapter, the treats this as an empirical claim: it is worth dwelling on why an insignificant control coefficient is not a failure of the design. The deep-space indicator was never intended to be estimated precisely; its role is to hold the planetary concentration fixed so that the heliophysics coefficient is not contaminated by the distance-and-link-budget confound described in Chapter 4. A control can discharge that duty while remaining statistically indistinguishable from zero, since absorbing a confound and being precisely measured are different tasks. The very large standard error, 19.5470 hours against a point estimate of -1.4853, reflects that the deep-space group is internally heterogeneous: it spans SLIM at zero lost hours and MRO at 121.0, MEX at 123.2, and Voyager 2 at 67.8. That internal spread is real operational variation, the kind the surveillance-scheduling literature attributes to differing event criticality and antenna substitutability across missions</w:t>
      </w:r>
      <w:r>
        <w:t xml:space="preserve"> </w:t>
      </w:r>
      <w:hyperlink w:anchor="ref-5">
        <w:r>
          <w:rPr>
            <w:rStyle w:val="Hyperlink"/>
          </w:rPr>
          <w:t xml:space="preserve">[5]</w:t>
        </w:r>
      </w:hyperlink>
      <w:r>
        <w:t xml:space="preserve">, and it is exactly what the control is meant to sweep out of the heliophysics contrast.</w:t>
      </w:r>
    </w:p>
    <w:bookmarkEnd w:id="108"/>
    <w:bookmarkStart w:id="109" w:name="interpreting-the-artemis-i-result"/>
    <w:p>
      <w:pPr>
        <w:pStyle w:val="Heading2"/>
        <w:spacing w:line="480" w:lineRule="auto"/>
      </w:pPr>
      <w:r>
        <w:t xml:space="preserve">6.3 Interpreting the Artemis I result</w:t>
      </w:r>
    </w:p>
    <w:p>
      <w:pPr>
        <w:pStyle w:val="FirstParagraph"/>
        <w:spacing w:line="480" w:lineRule="auto"/>
      </w:pPr>
      <w:r>
        <w:t xml:space="preserve">That is the headline.</w:t>
      </w:r>
    </w:p>
    <w:p>
      <w:pPr>
        <w:pStyle w:val="BodyText"/>
        <w:spacing w:line="480" w:lineRule="auto"/>
        <w:ind w:firstLine="720"/>
      </w:pPr>
      <w:r>
        <w:t xml:space="preserve">Everything turns on one number. The heliophysics coefficient of -31.8046 hours must be interpreted with the precision its p-value demands. The point estimate says that, after conditioning on deep-space mission type, the heliophysics label was associated with about thirty-two fewer lost hours during the Artemis I execution weeks. The sign adjudicates the theoretical ambiguity of Chapter 3 in favor of the protection mechanism over the substitutability mechanism: when the two pointed in opposite directions, the record shows protection dominating. That is a substantive finding, since it was not guaranteed. A positive coefficient would have said heliophysics missions were the flexible margin from which adjustment capacity was drawn, and the data could have delivered that. The operational question is narrower: the significance level, however, forbids categorical language. At p equal to 0.0825, the coefficient is distinguishable from zero at the ten percent level but not at the conventional five percent level. The evidence for that reason does not reject the stated null for the heliophysics coefficient at five percent in this specification, even as the directional estimate is distinguishable from zero at ten percent. The most defensible statement is narrow and exact: during this four-week Artemis I execution window, the heliophysics label was associated with fewer hours lost after conditioning on broad deep-space mission type, with the association reaching significance at the ten but not the five percent level.</w:t>
      </w:r>
    </w:p>
    <w:p>
      <w:pPr>
        <w:pStyle w:val="BodyText"/>
        <w:spacing w:line="480" w:lineRule="auto"/>
        <w:ind w:firstLine="720"/>
      </w:pPr>
      <w:r>
        <w:t xml:space="preserve">Group means reinforce the direction without changing the caution. Heliophysics missions averaged 22.6357 lost hours against 53.7385 for the other missions, a raw gap the regression narrows but preserves in sign after conditioning. Yet the distribution cautions against reading protection as immunity. Several heliophysics missions lost only a few hours, while SOHO at 81.8, Parker Solar Probe at 46.2, and the two Voyagers each lost substantially more. Relative protection at the class level coexisted with meaningful losses for particular missions, which is exactly the pattern a scheduling process would produce if it protects continuity-sensitive observations while still drawing some adjustment capacity from mature spacecraft.</w:t>
      </w:r>
    </w:p>
    <w:p>
      <w:pPr>
        <w:pStyle w:val="BodyText"/>
        <w:spacing w:line="480" w:lineRule="auto"/>
        <w:ind w:firstLine="720"/>
      </w:pPr>
      <w:r>
        <w:t xml:space="preserve">For the empirical reader, the comparison between the raw group gap and the conditioned coefficient is itself informative. The unconditional difference in means is 53.7385 minus 22.6357, or about 31.10 hours in favor of heliophysics. The conditioned coefficient is -31.8046 hours. That the two are nearly identical, and that adding the deep-space control barely moved the estimate, tells us the planetary concentration is not doing the work: the heliophysics advantage survives conditioning almost untouched. Had the raw gap collapsed toward zero once deep-space type was held fixed, the descriptive pattern would have been an artifact of which missions happened to be planetary. It did not collapse. The stability of the estimate across the conditioning step is a small but genuine robustness signal, consistent with the interpretation that the heliophysics label, instead of the distance profile it correlates with, is what tracks lower losses in this episode.</w:t>
      </w:r>
    </w:p>
    <w:p>
      <w:pPr>
        <w:pStyle w:val="BodyText"/>
        <w:spacing w:line="480" w:lineRule="auto"/>
        <w:ind w:firstLine="720"/>
      </w:pPr>
      <w:r>
        <w:t xml:space="preserve">For this individual, the heliophysics losses also let one test the protection reading against the missions that most threaten it. SOHO, a continuous solar observatory whose science is maximally continuity-sensitive, lost the most of any heliophysics mission at 81.8 hours. If protection operated by shielding exactly the continuity-sensitive missions, SOHO’s large loss is a counterexample worth naming instead of hiding. The most defensible reconciliation is that protection is a class-level tendency, not a mission-level guarantee, and that operational factors specific to SOHO during the Artemis I weeks, its complex dependence or its own request flexibility, overrode the class tendency. This is the honest texture of the finding: a real average advantage, punctuated by exceptions the average conceals</w:t>
      </w:r>
      <w:r>
        <w:t xml:space="preserve"> </w:t>
      </w:r>
      <w:hyperlink w:anchor="ref-1">
        <w:r>
          <w:rPr>
            <w:rStyle w:val="Hyperlink"/>
          </w:rPr>
          <w:t xml:space="preserve">[1]</w:t>
        </w:r>
      </w:hyperlink>
      <w:r>
        <w:t xml:space="preserve">.</w:t>
      </w:r>
    </w:p>
    <w:bookmarkEnd w:id="109"/>
    <w:bookmarkStart w:id="110" w:name="X686e6a40266ced70e016ab63c4ddc78088925b5"/>
    <w:p>
      <w:pPr>
        <w:pStyle w:val="Heading2"/>
        <w:spacing w:line="480" w:lineRule="auto"/>
      </w:pPr>
      <w:r>
        <w:t xml:space="preserve">6.4 The longevity scaling test: fit and coefficients</w:t>
      </w:r>
    </w:p>
    <w:p>
      <w:pPr>
        <w:pStyle w:val="FirstParagraph"/>
        <w:spacing w:line="480" w:lineRule="auto"/>
      </w:pPr>
      <w:r>
        <w:t xml:space="preserve">For this log-log, the model of accumulated support age on listed prime duration uses twenty-eight observations. Its R-squared is 0.1189. The intercept in log units is 1.7252, with a standard error of 0.3340 and a p-value below 0.0001. The elasticity coefficient on listed prime duration is 0.4465, with a standard error of 0.2235 and a p-value of 0.0457. For the program record, it is positive, and it clears the five percent threshold. A one percent increase in listed prime duration is associated with an estimated 0.4465 percent increase in accumulated support age. The positive sign and the p-value of 0.0457 together support rejection of the second null at the five percent level: listed prime duration carries statistically detectable information about how long a mission persists in the supported set. Because the elasticity is 0.4465, well below one, the relationship is less than proportional, exactly as the option-value theory of Chapter 3 predicted.</w:t>
      </w:r>
    </w:p>
    <w:p>
      <w:pPr>
        <w:pStyle w:val="BodyText"/>
        <w:spacing w:line="480" w:lineRule="auto"/>
        <w:ind w:firstLine="720"/>
      </w:pPr>
      <w:r>
        <w:t xml:space="preserve">For this doubling, the multiplier makes the magnitude operational. Computed as two raised to the elasticity, the multiplier is 1.3627. A mission planned for twice the prime duration is associated with 1.3627 times the accumulated support age, instead of twice the age. The gap between 1.3627 and 2.0 is the quantitative signature of the decoupling between plan and realization: doubling the plan buys only a thirty-six percent increase in realized longevity, not a doubling.</w:t>
      </w:r>
    </w:p>
    <w:p>
      <w:pPr>
        <w:pStyle w:val="BodyText"/>
        <w:spacing w:line="480" w:lineRule="auto"/>
        <w:ind w:firstLine="720"/>
      </w:pPr>
      <w:r>
        <w:t xml:space="preserve">For this archival, the record matters here: the intercept term also carries meaning worth extracting. At 1.7252 in log units with a p-value below 0.0001, it is estimated far more precisely than the slope, which is typical of a log-log regression where the constant anchors the fitted line and the slope must be recovered from the dispersion around it. Exponentiating the intercept gives the fitted support age, roughly 5.6 years, for a mission with a listed prime duration of one year, since the log of one is zero. That anchor is plausible against the data: the youngest missions in the sample, with prime plans near one to two years, do cluster at support ages of a few years, while the deviation of individual missions from that anchor is what the slope and the residual variance describe. The precise intercept and the imprecise-but-significant slope together are the arithmetic face of a relationship that is real in central tendency and loose in the tails, the signature the queueing-and-demand framing anticipated</w:t>
      </w:r>
      <w:r>
        <w:t xml:space="preserve"> </w:t>
      </w:r>
      <w:hyperlink w:anchor="ref-10">
        <w:r>
          <w:rPr>
            <w:rStyle w:val="Hyperlink"/>
          </w:rPr>
          <w:t xml:space="preserve">[10]</w:t>
        </w:r>
      </w:hyperlink>
      <w:r>
        <w:t xml:space="preserve">.</w:t>
      </w:r>
    </w:p>
    <w:bookmarkEnd w:id="110"/>
    <w:bookmarkStart w:id="111" w:name="interpreting-the-longevity-result"/>
    <w:p>
      <w:pPr>
        <w:pStyle w:val="Heading2"/>
        <w:spacing w:line="480" w:lineRule="auto"/>
      </w:pPr>
      <w:r>
        <w:t xml:space="preserve">6.5 Interpreting the longevity result</w:t>
      </w:r>
    </w:p>
    <w:p>
      <w:pPr>
        <w:pStyle w:val="FirstParagraph"/>
        <w:spacing w:line="480" w:lineRule="auto"/>
      </w:pPr>
      <w:r>
        <w:t xml:space="preserve">For a replicator, two numbers carry the interpretation: the elasticity of 0.4465 and the R-squared of 0.1189. The elasticity, significant at five percent, establishes that prime-mission design is not informationless about future support demand. Longer planned prime phases do correlate with longer realized presence, so a capacity planner who ignored prime duration would be discarding a real signal. This is the constructive half of the finding: prime duration belongs in the demand forecast. That is the constructive half. The R-squared, at 0.1189, establishes the destructive half with equal force. Prime duration accounts for only a minority of the observed dispersion in support age. Some missions with short listed prime phases remained productive for decades, Wind was approved with a 1.6920-year prime phase yet had accumulated 24.3751 years of support age by 2020, while some missions with long prime commitments were still young at the snapshot, Parker Solar Probe carried a 7.1294-year prime plan but only 1.9055 years of age. Spacecraft health, scientific discoveries, trajectory, partner governance, operating cost, and network compatibility all shape persistence in ways prime duration cannot encode. The coefficient is statistically distinguishable from zero, while the modest fit rejects any deterministic reading of prime duration as a longevity predictor.</w:t>
      </w:r>
    </w:p>
    <w:p>
      <w:pPr>
        <w:pStyle w:val="BodyText"/>
        <w:spacing w:line="480" w:lineRule="auto"/>
        <w:ind w:firstLine="720"/>
      </w:pPr>
      <w:r>
        <w:t xml:space="preserve">For this chapter, the treats this as an empirical claim: taken together, the two quantities support a two-part planning logic that the discussion chapter develops: use prime duration as a baseline signal, then model extension and persistence separately. The elasticity says the baseline signal exists. The R-squared says it is not enough.</w:t>
      </w:r>
    </w:p>
    <w:p>
      <w:pPr>
        <w:pStyle w:val="BodyText"/>
        <w:spacing w:line="480" w:lineRule="auto"/>
        <w:ind w:firstLine="720"/>
      </w:pPr>
      <w:r>
        <w:t xml:space="preserve">For this residual, the structure repays a closer look, since the missions that deviate most from the fitted line are the ones that carry the planning lesson. Wind is the sharpest case: approved with a 1.6920-year prime phase, it had accumulated 24.3751 years of support age by the snapshot, a mission that outlived its plan by more than an order of magnitude and sits far above the regression line. Voyager 1 and Voyager 2, with prime plans near 12.1 years and support ages near 42.8 years, are large in both dimensions and anchor the upper end of the fit. Against them, Parker Solar Probe, with a 7.1294-year prime plan but only 1.9055 years of age, sits far below the line, a young mission whose long plan has not yet been realized as long presence. These three cases dramatize why the elasticity is subunitary and why the fit is loose: the extension decisions and the option value that Chapter 3 theorized are visible as named missions scattered around a central tendency that no single predictor could tighten</w:t>
      </w:r>
      <w:r>
        <w:t xml:space="preserve"> </w:t>
      </w:r>
      <w:hyperlink w:anchor="ref-13">
        <w:r>
          <w:rPr>
            <w:rStyle w:val="Hyperlink"/>
          </w:rPr>
          <w:t xml:space="preserve">[13]</w:t>
        </w:r>
      </w:hyperlink>
      <w:r>
        <w:t xml:space="preserve">.</w:t>
      </w:r>
    </w:p>
    <w:bookmarkEnd w:id="111"/>
    <w:bookmarkStart w:id="112" w:name="reading-the-two-results-together"/>
    <w:p>
      <w:pPr>
        <w:pStyle w:val="Heading2"/>
        <w:spacing w:line="480" w:lineRule="auto"/>
      </w:pPr>
      <w:r>
        <w:t xml:space="preserve">6.6 Reading the two results together</w:t>
      </w:r>
    </w:p>
    <w:p>
      <w:pPr>
        <w:pStyle w:val="FirstParagraph"/>
        <w:spacing w:line="480" w:lineRule="auto"/>
      </w:pPr>
      <w:r>
        <w:t xml:space="preserve">Two exercises, two dimensions. Read jointly, their results sketch a coherent picture. The Artemis I regression describes a short-run displacement in which the heliophysics class was relatively, though not completely, protected: a point estimate of -31.8046 hours, significant at ten but not five percent, with substantial within-class loss for individual missions. The longevity regression describes a long-run accumulation in which prime duration predicts persistence positively but weakly: an elasticity of 0.4465, significant at five percent, with a doubling multiplier of 1.3627 and an R-squared of only 0.1189. The operational question is narrower: neither result is dramatic in isolation, and that restraint is a feature of honest measurement on small public samples. What the two share is a structure: in both, the point estimate carries a real and interpretable signal, and in both, the dispersion around it forbids categorical conclusions. Heliophysics was protected on average but not immune in particular. Prime duration predicts longevity on average but explains little of its variance. The scheduling process distributes scarcity unevenly without producing a simple hierarchy of winners and losers, and the demand a mission places on the network is only partly encoded at prime approval.</w:t>
      </w:r>
    </w:p>
    <w:p>
      <w:pPr>
        <w:pStyle w:val="BodyText"/>
        <w:spacing w:line="480" w:lineRule="auto"/>
        <w:ind w:firstLine="720"/>
      </w:pPr>
      <w:r>
        <w:t xml:space="preserve">For this results, the also respect the identification limits set in the methodology. The Artemis I coefficient is an associational conditional-mean difference from a single episode, not a causal effect of heliophysics status. The longevity elasticity is an associational scaling relationship in a published mission set, not the causal effect of adding a year to a mission plan. Chapter 7 takes up what these findings mean for network governance and confronts directly the threats to validity that bound their interpretation, and Chapter 8 draws out the contribution and the future work that would let these bounded first estimates mature into a structural account.</w:t>
      </w:r>
    </w:p>
    <w:p>
      <w:pPr>
        <w:pStyle w:val="BodyText"/>
        <w:spacing w:line="480" w:lineRule="auto"/>
        <w:ind w:firstLine="720"/>
      </w:pPr>
      <w:r>
        <w:t xml:space="preserve">For the empirical reader, one further cross-cutting observation closes the chapter. In both regressions, the sign of the estimate matched the theory while the precision fell short of certainty, and that pairing is the recurring shape of honest inference on small public samples. The heliophysics coefficient carried the predicted protective sign at ten-percent significance; the longevity elasticity carried the predicted positive sign at five-percent significance and the predicted subunitary magnitude. Neither result was manufactured by a specification search, since each estimator was fixed in advance by the design and each ran once on data bound to a citable document</w:t>
      </w:r>
      <w:r>
        <w:t xml:space="preserve"> </w:t>
      </w:r>
      <w:hyperlink w:anchor="ref-7">
        <w:r>
          <w:rPr>
            <w:rStyle w:val="Hyperlink"/>
          </w:rPr>
          <w:t xml:space="preserve">[7]</w:t>
        </w:r>
      </w:hyperlink>
      <w:r>
        <w:t xml:space="preserve"> </w:t>
      </w:r>
      <w:hyperlink w:anchor="ref-8">
        <w:r>
          <w:rPr>
            <w:rStyle w:val="Hyperlink"/>
          </w:rPr>
          <w:t xml:space="preserve">[8]</w:t>
        </w:r>
      </w:hyperlink>
      <w:r>
        <w:t xml:space="preserve">. That the two independent exercises both returned theory-consistent signs, from different records and different estimators, is a modest form of triangulation: it is harder to attribute two aligned findings to chance than one, and the alignment strengthens the case that the network’s treatment of heliophysics has the structure the framework proposed.</w:t>
      </w:r>
    </w:p>
    <w:bookmarkEnd w:id="112"/>
    <w:bookmarkEnd w:id="113"/>
    <w:bookmarkStart w:id="122" w:name="chapter-7.-discussion-and-limitations"/>
    <w:p>
      <w:pPr>
        <w:pStyle w:val="Heading1"/>
        <w:spacing w:line="480" w:lineRule="auto"/>
      </w:pPr>
      <w:r>
        <w:t xml:space="preserve">Chapter 7. Discussion and Limitations</w:t>
      </w:r>
    </w:p>
    <w:p>
      <w:pPr>
        <w:pStyle w:val="FirstParagraph"/>
        <w:spacing w:line="480" w:lineRule="auto"/>
      </w:pPr>
      <w:r>
        <w:t xml:space="preserve">For this two, the results, taken at face value, say something plain and something subtle. The plain part is that a shared network under stress does not treat all its users identically, and that a mission’s demand on the network is not fully written at approval. The subtle part is what those facts do and do not license a governance body to conclude. The chapter interprets the findings for network governance, then confronts, one by one, the threats to validity that bound them, and finally states clearly what the data cannot show.</w:t>
      </w:r>
    </w:p>
    <w:bookmarkStart w:id="114" w:name="what-the-findings-mean"/>
    <w:p>
      <w:pPr>
        <w:pStyle w:val="Heading2"/>
        <w:spacing w:line="480" w:lineRule="auto"/>
      </w:pPr>
      <w:r>
        <w:t xml:space="preserve">7.1 What the findings mean</w:t>
      </w:r>
    </w:p>
    <w:p>
      <w:pPr>
        <w:pStyle w:val="FirstParagraph"/>
        <w:spacing w:line="480" w:lineRule="auto"/>
      </w:pPr>
      <w:r>
        <w:t xml:space="preserve">Two dimensions, two lessons.</w:t>
      </w:r>
    </w:p>
    <w:p>
      <w:pPr>
        <w:pStyle w:val="BodyText"/>
        <w:spacing w:line="480" w:lineRule="auto"/>
        <w:ind w:firstLine="720"/>
      </w:pPr>
      <w:r>
        <w:t xml:space="preserve">For the program record, start with displacement. The Artemis I result shows that scarcity can be distributed unevenly without producing a simple hierarchy of winners and losers. Heliophysics missions as a group fared better than the comparison group, losing about thirty-two fewer hours after conditioning on deep-space type, but they were not immune, and several lost substantial support. That pattern is compatible with a scheduling process that protects some continuity-sensitive observations while still drawing adjustment capacity from mature missions. It is equally compatible with unobserved differences in request flexibility, the possibility that heliophysics requests happened to be more surrenderable for reasons the data do not record. The present dataset cannot distinguish these mechanisms, and honesty about that is part of the finding. Now the stock. The longevity result shows that prime-mission design contains information about future support demand but is insufficient as the sole capacity-planning variable. An elasticity of 0.4465, significant at five percent, means longer prime commitments do correlate with longer realized presence in the supported set. A doubling multiplier of 1.3627 and an R-squared of 0.1189 mean that the correlation is weak and that a proportional extrapolation from prime plan to realized longevity would badly mislead. The Deep Space Network is exposed to stock-flow dynamics: new missions enter the queue, but successful old missions do not necessarily leave when their prime phases end, and that persistence can produce contention even if launch cadence holds steady</w:t>
      </w:r>
      <w:r>
        <w:t xml:space="preserve"> </w:t>
      </w:r>
      <w:hyperlink w:anchor="ref-1">
        <w:r>
          <w:rPr>
            <w:rStyle w:val="Hyperlink"/>
          </w:rPr>
          <w:t xml:space="preserve">[1]</w:t>
        </w:r>
      </w:hyperlink>
      <w:r>
        <w:t xml:space="preserve">.</w:t>
      </w:r>
    </w:p>
    <w:p>
      <w:pPr>
        <w:pStyle w:val="BodyText"/>
        <w:spacing w:line="480" w:lineRule="auto"/>
        <w:ind w:firstLine="720"/>
      </w:pPr>
      <w:r>
        <w:t xml:space="preserve">The archival record matters here: read together, the two findings clarify two dimensions of contention that governance must manage jointly.</w:t>
      </w:r>
    </w:p>
    <w:p>
      <w:pPr>
        <w:pStyle w:val="BodyText"/>
        <w:spacing w:line="480" w:lineRule="auto"/>
        <w:ind w:firstLine="720"/>
      </w:pPr>
      <w:r>
        <w:t xml:space="preserve">Short-run shocks determine which scheduled hours survive execution. Long-run persistence determines how many missions continue to compete for future capacity. Heliophysics governance needs rules for equitable displacement during surges and forecasts that recognize the scientific success of missions whose operational lives exceed their prime plans. A regime that manages only one dimension will be surprised by the other.</w:t>
      </w:r>
    </w:p>
    <w:bookmarkEnd w:id="114"/>
    <w:bookmarkStart w:id="115" w:name="governance-implications"/>
    <w:p>
      <w:pPr>
        <w:pStyle w:val="Heading2"/>
        <w:spacing w:line="480" w:lineRule="auto"/>
      </w:pPr>
      <w:r>
        <w:t xml:space="preserve">7.2 Governance implications</w:t>
      </w:r>
    </w:p>
    <w:p>
      <w:pPr>
        <w:pStyle w:val="FirstParagraph"/>
        <w:spacing w:line="480" w:lineRule="auto"/>
      </w:pPr>
      <w:r>
        <w:t xml:space="preserve">For a replicator, for network governance, the first implication is that mission-class averages should be paired with mission-level loss accounting.</w:t>
      </w:r>
    </w:p>
    <w:p>
      <w:pPr>
        <w:pStyle w:val="BodyText"/>
        <w:spacing w:line="480" w:lineRule="auto"/>
        <w:ind w:firstLine="720"/>
      </w:pPr>
      <w:r>
        <w:t xml:space="preserve">An aggregate claim that heliophysics was protected would conceal the substantial reductions experienced by SOHO, Parker Solar Probe, and the Voyagers. A claim that Artemis displaced heliophysics uniformly would be equally inaccurate, since most heliophysics missions lost little. Only a metric that reports both the class mean and the mission-level distribution captures what actually happened, and NASA’s demand-access and optimization research offers the machinery to expose exactly this: preferences, queued requests, and comparisons of feasible schedules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Those systems will be easier to evaluate if the agency publishes planned, revised, and executed support at the request level with standardized reason codes. The second implication follows from the longevity finding. Capacity forecasts built on prime-phase commitments will systematically understate demand if productive spacecraft persist, and the elasticity quantifies by how much the naive proportional forecast errs. The policy conclusion is emphatically not to curtail productive extended missions; continuing a functioning spacecraft may yield high scientific return relative to replacement cost. The conclusion is to make the long tail explicit in capacity forecasts and modernization cases. The Office of Inspector General has already identified capacity, maintenance, and modernization pressures affecting the network</w:t>
      </w:r>
      <w:r>
        <w:t xml:space="preserve"> </w:t>
      </w:r>
      <w:hyperlink w:anchor="ref-13">
        <w:r>
          <w:rPr>
            <w:rStyle w:val="Hyperlink"/>
          </w:rPr>
          <w:t xml:space="preserve">[13]</w:t>
        </w:r>
      </w:hyperlink>
      <w:r>
        <w:t xml:space="preserve">; a demand model that recognizes the stock of legacy missions strengthens exactly the modernization argument the audit implies.</w:t>
      </w:r>
    </w:p>
    <w:p>
      <w:pPr>
        <w:pStyle w:val="BodyText"/>
        <w:spacing w:line="480" w:lineRule="auto"/>
        <w:ind w:firstLine="720"/>
      </w:pPr>
      <w:r>
        <w:t xml:space="preserve">The chapter treats this as an empirical claim: the third implication is procedural and connects both findings.</w:t>
      </w:r>
    </w:p>
    <w:p>
      <w:pPr>
        <w:pStyle w:val="BodyText"/>
        <w:spacing w:line="480" w:lineRule="auto"/>
        <w:ind w:firstLine="720"/>
      </w:pPr>
      <w:r>
        <w:t xml:space="preserve">A demand-access queueing system could distinguish committed critical support, baseline routine support, and extension-phase requests, and preference-aware scheduling could then expose whether legacy demand is flexible, continuity-sensitive, or tied to a time-critical event</w:t>
      </w:r>
      <w:r>
        <w:t xml:space="preserve"> </w:t>
      </w:r>
      <w:hyperlink w:anchor="ref-3">
        <w:r>
          <w:rPr>
            <w:rStyle w:val="Hyperlink"/>
          </w:rPr>
          <w:t xml:space="preserve">[3]</w:t>
        </w:r>
      </w:hyperlink>
      <w:r>
        <w:t xml:space="preserve"> </w:t>
      </w:r>
      <w:hyperlink w:anchor="ref-14">
        <w:r>
          <w:rPr>
            <w:rStyle w:val="Hyperlink"/>
          </w:rPr>
          <w:t xml:space="preserve">[14]</w:t>
        </w:r>
      </w:hyperlink>
      <w:r>
        <w:t xml:space="preserve">. Such categorization would be more informative than treating all mission-years as equivalent, and it would let the agency test whether protected event classes, scientific-continuity needs, and mission-equity rules produce the outcomes they intend. The Heliophysics Division’s active engagement in ground-segment coordination makes it a natural venue for that test</w:t>
      </w:r>
      <w:r>
        <w:t xml:space="preserve"> </w:t>
      </w:r>
      <w:hyperlink w:anchor="ref-20">
        <w:r>
          <w:rPr>
            <w:rStyle w:val="Hyperlink"/>
          </w:rPr>
          <w:t xml:space="preserve">[20]</w:t>
        </w:r>
      </w:hyperlink>
      <w:r>
        <w:t xml:space="preserve">.</w:t>
      </w:r>
    </w:p>
    <w:bookmarkEnd w:id="115"/>
    <w:bookmarkStart w:id="116" w:name="X1790eb582ad91713a394f88db4fe9152f6cd733"/>
    <w:p>
      <w:pPr>
        <w:pStyle w:val="Heading2"/>
        <w:spacing w:line="480" w:lineRule="auto"/>
      </w:pPr>
      <w:r>
        <w:t xml:space="preserve">7.3 Threats to validity in the Artemis I design</w:t>
      </w:r>
    </w:p>
    <w:p>
      <w:pPr>
        <w:pStyle w:val="FirstParagraph"/>
        <w:spacing w:line="480" w:lineRule="auto"/>
      </w:pPr>
      <w:r>
        <w:t xml:space="preserve">For this data, the construction is deliberately visible: four threats bear on the first result, and each carries a specific mitigation and a residual risk. The first is that the schedule record reflects post-negotiation allocation. The originally requested track may have been revised before it entered the archived schedule, which would bias measured miss probability downward relative to true unmet demand. The mitigation is to cross-reference mission-operations reports that document pre-negotiation request volumes, but the present data are the executed-versus-planned record on a single slide, so this bias cannot be fully purged here. The direction of the bias is toward understating losses, which means the true displacement heliophysics missions faced may exceed the measured figure. A second threat concerns priority. Mission-class priority is not fully captured by a single discrete label. Spacecraft in critical mission phases receive ad-hoc priority elevations that a static heliophysics indicator cannot represent</w:t>
      </w:r>
      <w:r>
        <w:t xml:space="preserve"> </w:t>
      </w:r>
      <w:hyperlink w:anchor="ref-5">
        <w:r>
          <w:rPr>
            <w:rStyle w:val="Hyperlink"/>
          </w:rPr>
          <w:t xml:space="preserve">[5]</w:t>
        </w:r>
      </w:hyperlink>
      <w:r>
        <w:t xml:space="preserve">. A mission coded as heliophysics but in a routine phase, and a mission coded otherwise but in a critical phase, are treated by the indicator as if their priority were fixed, when in operational reality it is dynamic. The mitigation would be a mission-phase indicator constructed from public mission timelines; its absence here means the coefficient blends standing class priority with whatever transient priority the missions happened to hold during the Artemis I weeks.</w:t>
      </w:r>
    </w:p>
    <w:p>
      <w:pPr>
        <w:pStyle w:val="BodyText"/>
        <w:spacing w:line="480" w:lineRule="auto"/>
        <w:ind w:firstLine="720"/>
      </w:pPr>
      <w:r>
        <w:t xml:space="preserve">For this operational, the question is narrower: a third threat is structural. The service discipline itself changed over time. The AI-assisted scheduling tooling deployed across the network evolved during the broader era of observation, and a network scheduled by one discipline early and another later is not a single stationary system</w:t>
      </w:r>
      <w:r>
        <w:t xml:space="preserve"> </w:t>
      </w:r>
      <w:hyperlink w:anchor="ref-4">
        <w:r>
          <w:rPr>
            <w:rStyle w:val="Hyperlink"/>
          </w:rPr>
          <w:t xml:space="preserve">[4]</w:t>
        </w:r>
      </w:hyperlink>
      <w:r>
        <w:t xml:space="preserve"> </w:t>
      </w:r>
      <w:hyperlink w:anchor="ref-11">
        <w:r>
          <w:rPr>
            <w:rStyle w:val="Hyperlink"/>
          </w:rPr>
          <w:t xml:space="preserve">[11]</w:t>
        </w:r>
      </w:hyperlink>
      <w:r>
        <w:t xml:space="preserve">. Within the four-week Artemis I window this break is unlikely to bite, since the window is short, but any attempt to generalize the coefficient across the longer demand history would have to estimate it separately in pre- and post-tooling sub-periods. The single-episode design sidesteps the break at the cost of external validity. The fourth threat is that weather and equipment outages remove antenna-hours non-randomly across complexes</w:t>
      </w:r>
      <w:r>
        <w:t xml:space="preserve"> </w:t>
      </w:r>
      <w:hyperlink w:anchor="ref-1">
        <w:r>
          <w:rPr>
            <w:rStyle w:val="Hyperlink"/>
          </w:rPr>
          <w:t xml:space="preserve">[1]</w:t>
        </w:r>
      </w:hyperlink>
      <w:r>
        <w:t xml:space="preserve">. A complex clouded out or down for maintenance during the Artemis I weeks would concentrate losses on the missions it serves, independent of their class. The mitigation is complex-by-month fixed effects and conditioning on logged availability, neither of which the forty-mission single-slide dataset supports. The residual risk is that some of the measured heliophysics advantage, or some of the within-class dispersion, reflects which complex a mission happened to depend on instead of its class per se.</w:t>
      </w:r>
    </w:p>
    <w:bookmarkEnd w:id="116"/>
    <w:bookmarkStart w:id="117" w:name="X8809e6fe8d9178cd092a8165deca01e524c7dd4"/>
    <w:p>
      <w:pPr>
        <w:pStyle w:val="Heading2"/>
        <w:spacing w:line="480" w:lineRule="auto"/>
      </w:pPr>
      <w:r>
        <w:t xml:space="preserve">7.4 Threats to validity in the longevity design</w:t>
      </w:r>
    </w:p>
    <w:p>
      <w:pPr>
        <w:pStyle w:val="FirstParagraph"/>
        <w:spacing w:line="480" w:lineRule="auto"/>
      </w:pPr>
      <w:r>
        <w:t xml:space="preserve">For this longevity, the result carries its own threats, chief among them measurement. Support age is a duration in the mission set, not a quantity of DSN service. A mission present for twenty years did not necessarily consume antennas throughout; the variable captures presence, not usage, and a governance body reading the elasticity must remember that it scales presence against plan, not consumption against plan. This is the correct measure for a stock-of-demand question but the wrong one for a raw-hours question, and conflating the two would misread the finding. The evidence trail is concrete here: a second threat concerns the predictor’s meaning. Listed prime-completion dates may be updated after launch, so the clean temporal ordering, plan precedes accumulation, is not guaranteed for every row. Some 2020-document prime dates may reflect post-launch revisions, which weakens the interpretation of prime duration as a purely ex ante plan. The design cannot prove that the initial plan caused later longevity; it measures the association in the published set and says so. A third threat is that multinational missions may draw on ground networks other than the DSN, so their support age overstates their DSN-specific demand, adding noise the single-network variable cannot remove.</w:t>
      </w:r>
    </w:p>
    <w:p>
      <w:pPr>
        <w:pStyle w:val="BodyText"/>
        <w:spacing w:line="480" w:lineRule="auto"/>
        <w:ind w:firstLine="720"/>
      </w:pPr>
      <w:r>
        <w:t xml:space="preserve">A fourth threat is sample construction. The analytic sample excludes missions for which both dates could not be transcribed without interpolation, and it does not model censoring since all missions are observed in a single current-set snapshot. The retained rows with listed completion dates after the snapshot are kept deliberately, since the predictor is a planned commitment, but their inclusion does mean the sample mixes missions that have completed their prime phase with missions still in it. These limits narrow the claim, and none of them erases the observed scaling relationship, but each caps how far the elasticity can be pushed.</w:t>
      </w:r>
    </w:p>
    <w:bookmarkEnd w:id="117"/>
    <w:bookmarkStart w:id="118" w:name="the-structural-break-threat-in-depth"/>
    <w:p>
      <w:pPr>
        <w:pStyle w:val="Heading2"/>
        <w:spacing w:line="480" w:lineRule="auto"/>
      </w:pPr>
      <w:r>
        <w:t xml:space="preserve">7.5 The structural-break threat in depth</w:t>
      </w:r>
    </w:p>
    <w:p>
      <w:pPr>
        <w:pStyle w:val="FirstParagraph"/>
        <w:spacing w:line="480" w:lineRule="auto"/>
      </w:pPr>
      <w:r>
        <w:t xml:space="preserve">For this structural-break, the threat deserves fuller treatment than a single paragraph, since it is the threat most likely to trip up a naive extension of these findings. The service discipline that governs the Deep Space Network is not fixed. Over the era spanned by the underlying records, the agency has been actively deploying and refining automated and learned scheduling tools, from preference optimization to reinforcement learning</w:t>
      </w:r>
      <w:r>
        <w:t xml:space="preserve"> </w:t>
      </w:r>
      <w:hyperlink w:anchor="ref-4">
        <w:r>
          <w:rPr>
            <w:rStyle w:val="Hyperlink"/>
          </w:rPr>
          <w:t xml:space="preserve">[4]</w:t>
        </w:r>
      </w:hyperlink>
      <w:r>
        <w:t xml:space="preserve"> </w:t>
      </w:r>
      <w:hyperlink w:anchor="ref-9">
        <w:r>
          <w:rPr>
            <w:rStyle w:val="Hyperlink"/>
          </w:rPr>
          <w:t xml:space="preserve">[9]</w:t>
        </w:r>
      </w:hyperlink>
      <w:r>
        <w:t xml:space="preserve"> </w:t>
      </w:r>
      <w:hyperlink w:anchor="ref-11">
        <w:r>
          <w:rPr>
            <w:rStyle w:val="Hyperlink"/>
          </w:rPr>
          <w:t xml:space="preserve">[11]</w:t>
        </w:r>
      </w:hyperlink>
      <w:r>
        <w:t xml:space="preserve">. A network scheduled predominantly by human negotiation in one period and predominantly by a learned policy in another is, for inferential purposes, two different systems wearing one name. Any coefficient estimated across the transition blends the two disciplines and belongs to neither.</w:t>
      </w:r>
    </w:p>
    <w:p>
      <w:pPr>
        <w:pStyle w:val="BodyText"/>
        <w:spacing w:line="480" w:lineRule="auto"/>
        <w:ind w:firstLine="720"/>
      </w:pPr>
      <w:r>
        <w:t xml:space="preserve">For this archival, the record matters here: within the four-week Artemis I window this is a manageable concern, since a single short episode is unlikely to straddle a discipline change. The heliophysics coefficient of -31.8046 hours is for that reason a clean read of whatever discipline was in force during those weeks. The danger arises only when one tries to generalize the coefficient to the broader demand history, and the correct response is the one the design anticipates: estimate the effect separately in pre- and post-tooling sub-periods and report both. A learned scheduler that weights human-exploration criticality heavily would encode a particular protection pattern in its reward function, invisibly, and that pattern could differ from the one a negotiated schedule produced</w:t>
      </w:r>
      <w:r>
        <w:t xml:space="preserve"> </w:t>
      </w:r>
      <w:hyperlink w:anchor="ref-4">
        <w:r>
          <w:rPr>
            <w:rStyle w:val="Hyperlink"/>
          </w:rPr>
          <w:t xml:space="preserve">[4]</w:t>
        </w:r>
      </w:hyperlink>
      <w:r>
        <w:t xml:space="preserve">. A community that wants to know whether heliophysics is protected under the discipline it will actually operate under must for that reason date its estimates, not merely compute them. This is a caution about external validity, and it is why the future-work agenda insists on a multi-period panel instead of a larger single cross-section.</w:t>
      </w:r>
    </w:p>
    <w:bookmarkEnd w:id="118"/>
    <w:bookmarkStart w:id="119" w:name="X990dff66c18269b90329863c8eb2ae062b801d8"/>
    <w:p>
      <w:pPr>
        <w:pStyle w:val="Heading2"/>
        <w:spacing w:line="480" w:lineRule="auto"/>
      </w:pPr>
      <w:r>
        <w:t xml:space="preserve">7.6 Weather, complexes, and the geography of loss</w:t>
      </w:r>
    </w:p>
    <w:p>
      <w:pPr>
        <w:pStyle w:val="FirstParagraph"/>
        <w:spacing w:line="480" w:lineRule="auto"/>
      </w:pPr>
      <w:r>
        <w:t xml:space="preserve">For a replicator, the weather-and-outage threat also merits expansion, since it interacts with the mission-class question and could masquerade as a class effect. Antenna-hours are removed non-randomly across the three complexes: a storm over Madrid or a maintenance window at Goldstone concentrates losses on the missions those complexes happen to serve during that interval</w:t>
      </w:r>
      <w:r>
        <w:t xml:space="preserve"> </w:t>
      </w:r>
      <w:hyperlink w:anchor="ref-1">
        <w:r>
          <w:rPr>
            <w:rStyle w:val="Hyperlink"/>
          </w:rPr>
          <w:t xml:space="preserve">[1]</w:t>
        </w:r>
      </w:hyperlink>
      <w:r>
        <w:t xml:space="preserve">. Missions are not randomly assigned to complexes; a spacecraft’s geometry determines which complex can see it, so complex dependence correlates with orbital and mission characteristics. If heliophysics missions cluster on complexes that happened to be more available during the Artemis I weeks, some of the measured protection would be geography instead of class. The dataset cannot separate these, since a single slide of mission-level losses carries no complex-by-time availability record. The proper mitigation, complex-by-month fixed effects and conditioning on logged availability, requires exactly the request-level, multi-complex panel that the present public records do not provide. Grau and colleagues document that this non-random removal of ground-station passes is a routine operational reality, not an occasional aberration</w:t>
      </w:r>
      <w:r>
        <w:t xml:space="preserve"> </w:t>
      </w:r>
      <w:hyperlink w:anchor="ref-1">
        <w:r>
          <w:rPr>
            <w:rStyle w:val="Hyperlink"/>
          </w:rPr>
          <w:t xml:space="preserve">[1]</w:t>
        </w:r>
      </w:hyperlink>
      <w:r>
        <w:t xml:space="preserve">, which means it is a first-order confound instead of a footnote. The residual risk is stated plainly in Chapter 6 and repeated here: part of the heliophysics advantage, and part of the within-class dispersion that placed SOHO among the large losers, may reflect which complex a mission depended on instead of its class. Naming this threat is not a retreat from the finding; it is the boundary that a single-episode public record honestly imposes on it.</w:t>
      </w:r>
    </w:p>
    <w:bookmarkEnd w:id="119"/>
    <w:bookmarkStart w:id="120" w:name="what-the-data-cannot-show"/>
    <w:p>
      <w:pPr>
        <w:pStyle w:val="Heading2"/>
        <w:spacing w:line="480" w:lineRule="auto"/>
      </w:pPr>
      <w:r>
        <w:t xml:space="preserve">7.7 What the data cannot show</w:t>
      </w:r>
    </w:p>
    <w:p>
      <w:pPr>
        <w:pStyle w:val="FirstParagraph"/>
        <w:spacing w:line="480" w:lineRule="auto"/>
      </w:pPr>
      <w:r>
        <w:t xml:space="preserve">Both designs are cross-sectional and associational, and the strongest statement this dissertation can make about causation is that it makes none. The Artemis I coefficient is not the causal effect of being a heliophysics mission; mission classification is not assigned, Artemis support is not a randomized intervention, and omitted operational factors may correlate with both class and losses. The longevity elasticity is not the causal effect of adding a year to a mission plan; neither duration is randomly assigned. Any reader tempted to infer that reclassifying a mission as heliophysics would protect it, or that lengthening a prime plan would extend a mission’s life, has over-read the evidence. The data construction is deliberately visible: the data also cannot separate the mechanisms behind either result. The Artemis I finding is compatible with institutional protection and with unobserved request flexibility, and nothing in a forty-mission single-episode cross-section distinguishes them. The longevity finding is compatible with durable spacecraft design, greater scientific scope, and stronger institutional commitment, and a twenty-eight-mission one-predictor scaling test cannot allocate the elasticity among them. These are not defects to be apologized for; they are the honest boundary of what two small public records support. The value of the estimates is that they replace assertion with measurement within that boundary, and the next chapter specifies the richer data that would let future work push the boundary outward toward mechanism and cause.</w:t>
      </w:r>
    </w:p>
    <w:bookmarkEnd w:id="120"/>
    <w:bookmarkStart w:id="121" w:name="Xea8effdcdaf0f31695e1dd7d9e62eedbc6b24e4"/>
    <w:p>
      <w:pPr>
        <w:pStyle w:val="Heading2"/>
        <w:spacing w:line="480" w:lineRule="auto"/>
      </w:pPr>
      <w:r>
        <w:t xml:space="preserve">7.8 Weighing the threats against the findings</w:t>
      </w:r>
    </w:p>
    <w:p>
      <w:pPr>
        <w:pStyle w:val="FirstParagraph"/>
        <w:spacing w:line="480" w:lineRule="auto"/>
      </w:pPr>
      <w:r>
        <w:t xml:space="preserve">For this operational, the question is narrower: having catalogued the threats, an honest discussion must ask whether they collectively undermine the findings or merely bound them. The judgment here is the latter, and the reasoning is worth making explicit. For the Artemis I result, the two most serious threats, complex geography and unobserved request flexibility, could each account for part of the heliophysics advantage, but neither offers a clean story for why they would produce exactly the protective sign the protection theory predicted in advance. A confound strong enough to manufacture the finding from nothing would have to correlate heliophysics status with lower-loss complexes and with more flexible requests simultaneously, which is possible but unmotivated. The more economical reading is that a real class tendency exists and the confounds add noise and bound its magnitude, which is why the chapter reports significance at ten instead of five percent and refuses the word immunity. The surveillance-scheduling literature reinforces this reading indirectly: it documents that priority elevations and complex availability introduce genuine, structured variation in who gets served under contention</w:t>
      </w:r>
      <w:r>
        <w:t xml:space="preserve"> </w:t>
      </w:r>
      <w:hyperlink w:anchor="ref-5">
        <w:r>
          <w:rPr>
            <w:rStyle w:val="Hyperlink"/>
          </w:rPr>
          <w:t xml:space="preserve">[5]</w:t>
        </w:r>
      </w:hyperlink>
      <w:r>
        <w:t xml:space="preserve"> </w:t>
      </w:r>
      <w:hyperlink w:anchor="ref-21">
        <w:r>
          <w:rPr>
            <w:rStyle w:val="Hyperlink"/>
          </w:rPr>
          <w:t xml:space="preserve">[21]</w:t>
        </w:r>
      </w:hyperlink>
      <w:r>
        <w:t xml:space="preserve">, which is variation the confounds represent instead of variation they invent from nothing.</w:t>
      </w:r>
    </w:p>
    <w:p>
      <w:pPr>
        <w:pStyle w:val="BodyText"/>
        <w:spacing w:line="480" w:lineRule="auto"/>
        <w:ind w:firstLine="720"/>
      </w:pPr>
      <w:r>
        <w:t xml:space="preserve">For the longevity result, the threats are largely about measurement precision instead of about the existence of the relationship. Support age measures presence instead of usage, prime dates may be revised, and multinational missions add noise, but none of these plausibly inverts the sign of an elasticity estimated at 0.4465 with a p-value of 0.0457. The threats widen the confidence interval and caution against a precise point reading; they do not argue that prime duration is uninformative about longevity. The correct posture toward both findings is for that reason neither credulity nor dismissal but calibrated confidence: the signs are trustworthy and theory-consistent, the magnitudes are bounded by threats the design cannot fully purge, and the causal interpretations are off the table entirely. That calibration, rather than a louder claim, is what the two small public records can honestly support</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3">
        <w:r>
          <w:rPr>
            <w:rStyle w:val="Hyperlink"/>
          </w:rPr>
          <w:t xml:space="preserve">[13]</w:t>
        </w:r>
      </w:hyperlink>
      <w:r>
        <w:t xml:space="preserve">. A dissertation that stopped at the point estimates and skipped this weighing would have offered false confidence; one that catalogued threats without weighing them would have offered false despair. The disciplined middle course, trustworthy signs, bounded magnitudes, no causal claims, is the one the evidence licenses, and it is the one the discussion has tried throughout to hold</w:t>
      </w:r>
      <w:r>
        <w:t xml:space="preserve"> </w:t>
      </w:r>
      <w:hyperlink w:anchor="ref-9">
        <w:r>
          <w:rPr>
            <w:rStyle w:val="Hyperlink"/>
          </w:rPr>
          <w:t xml:space="preserve">[9]</w:t>
        </w:r>
      </w:hyperlink>
      <w:r>
        <w:t xml:space="preserve">.</w:t>
      </w:r>
    </w:p>
    <w:bookmarkEnd w:id="121"/>
    <w:bookmarkEnd w:id="122"/>
    <w:bookmarkStart w:id="178" w:name="chapter-8.-conclusions-and-implications"/>
    <w:p>
      <w:pPr>
        <w:pStyle w:val="Heading1"/>
        <w:spacing w:line="480" w:lineRule="auto"/>
      </w:pPr>
      <w:r>
        <w:t xml:space="preserve">Chapter 8. Conclusions and Implications</w:t>
      </w:r>
    </w:p>
    <w:p>
      <w:pPr>
        <w:pStyle w:val="FirstParagraph"/>
        <w:spacing w:line="480" w:lineRule="auto"/>
      </w:pPr>
      <w:r>
        <w:t xml:space="preserve">For this dissertation, the set out to measure something the mission-operations community has long understood qualitatively and never pinned to a number: the cost that contention on a shared, finite ground segment imposes on heliophysics.</w:t>
      </w:r>
    </w:p>
    <w:p>
      <w:pPr>
        <w:pStyle w:val="BodyText"/>
        <w:spacing w:line="480" w:lineRule="auto"/>
        <w:ind w:firstLine="720"/>
      </w:pPr>
      <w:r>
        <w:t xml:space="preserve">It converted two public NASA records into two transparent estimates, one for short-run displacement during a demand shock and one for long-run demand accumulation, and it connected them into a single account of how scarcity on the Deep Space Network is distributed and how it persists. This closing chapter states the contribution, draws out its relevance for network governance and the Heliophysics Division, and specifies the future work that would let these bounded first estimates mature.</w:t>
      </w:r>
    </w:p>
    <w:bookmarkStart w:id="123" w:name="the-contribution-restated"/>
    <w:p>
      <w:pPr>
        <w:pStyle w:val="Heading2"/>
        <w:spacing w:line="480" w:lineRule="auto"/>
      </w:pPr>
      <w:r>
        <w:t xml:space="preserve">8.1 The contribution restated</w:t>
      </w:r>
    </w:p>
    <w:p>
      <w:pPr>
        <w:pStyle w:val="FirstParagraph"/>
        <w:spacing w:line="480" w:lineRule="auto"/>
      </w:pPr>
      <w:r>
        <w:t xml:space="preserve">For this intellectual, the gap this work addressed was the absence of an estimand. The scheduling literature had built sophisticated optimizers</w:t>
      </w:r>
      <w:r>
        <w:t xml:space="preserve"> </w:t>
      </w:r>
      <w:hyperlink w:anchor="ref-9">
        <w:r>
          <w:rPr>
            <w:rStyle w:val="Hyperlink"/>
          </w:rPr>
          <w:t xml:space="preserve">[9]</w:t>
        </w:r>
      </w:hyperlink>
      <w:r>
        <w:t xml:space="preserve"> </w:t>
      </w:r>
      <w:hyperlink w:anchor="ref-12">
        <w:r>
          <w:rPr>
            <w:rStyle w:val="Hyperlink"/>
          </w:rPr>
          <w:t xml:space="preserve">[12]</w:t>
        </w:r>
      </w:hyperlink>
      <w:r>
        <w:t xml:space="preserve">, the reform literature had proposed demand-access and queueing disciplines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the learning literature had trained schedulers whose distributional consequences hid in reward functions</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and the operations literature had testified that displacement is real and structural</w:t>
      </w:r>
      <w:r>
        <w:t xml:space="preserve"> </w:t>
      </w:r>
      <w:hyperlink w:anchor="ref-1">
        <w:r>
          <w:rPr>
            <w:rStyle w:val="Hyperlink"/>
          </w:rPr>
          <w:t xml:space="preserve">[1]</w:t>
        </w:r>
      </w:hyperlink>
      <w:r>
        <w:t xml:space="preserve"> </w:t>
      </w:r>
      <w:hyperlink w:anchor="ref-7">
        <w:r>
          <w:rPr>
            <w:rStyle w:val="Hyperlink"/>
          </w:rPr>
          <w:t xml:space="preserve">[7]</w:t>
        </w:r>
      </w:hyperlink>
      <w:r>
        <w:t xml:space="preserve"> </w:t>
      </w:r>
      <w:hyperlink w:anchor="ref-13">
        <w:r>
          <w:rPr>
            <w:rStyle w:val="Hyperlink"/>
          </w:rPr>
          <w:t xml:space="preserve">[13]</w:t>
        </w:r>
      </w:hyperlink>
      <w:r>
        <w:t xml:space="preserve">. None had produced a mission-class-aware, DSN-calibrated, public-record estimate of what contention costs heliophysics. The dissertation supplied two. For the program record, consider the first estimate. A conditional-mean difference of -31.8046 lost hours distinguishes heliophysics missions from the portfolio they competed against during the Artemis I demand shock, significant at the ten but not the five percent level. Its sign resolves a genuine theoretical ambiguity in favor of relative protection over substitutability, while its magnitude and its within-class dispersion forbid any claim of immunity. The second estimate is a longevity elasticity of 0.4465, significant at five percent, with a doubling multiplier of 1.3627 and an R-squared of 0.1189. It establishes that prime-mission design carries real but limited information about future support demand. Each estimate was falsifiable, each could have returned a different sign or a null, and each was reported exactly as the estimator produced it against records anyone can audit.</w:t>
      </w:r>
    </w:p>
    <w:p>
      <w:pPr>
        <w:pStyle w:val="BodyText"/>
        <w:spacing w:line="480" w:lineRule="auto"/>
        <w:ind w:firstLine="720"/>
      </w:pPr>
      <w:r>
        <w:t xml:space="preserve">For this connection, the between the two is the deeper contribution. Short-run shocks determine which scheduled hours survive execution; long-run persistence determines how many missions crowd the queue. By measuring both from the same mission set, using the same public documents, the work shows that heliophysics contention has two orthogonal faces and that a governance regime must see both at once. That framing, more than either coefficient alone, is what a heliophysics program office can carry into a portfolio decision.</w:t>
      </w:r>
    </w:p>
    <w:bookmarkEnd w:id="123"/>
    <w:bookmarkStart w:id="124" w:name="relevance-for-network-governance"/>
    <w:p>
      <w:pPr>
        <w:pStyle w:val="Heading2"/>
        <w:spacing w:line="480" w:lineRule="auto"/>
      </w:pPr>
      <w:r>
        <w:t xml:space="preserve">8.2 Relevance for network governance</w:t>
      </w:r>
    </w:p>
    <w:p>
      <w:pPr>
        <w:pStyle w:val="FirstParagraph"/>
        <w:spacing w:line="480" w:lineRule="auto"/>
      </w:pPr>
      <w:r>
        <w:t xml:space="preserve">Governance benefits concretely. First, the Artemis I result argues that the agency should report both class means and mission-level loss distributions when it accounts for how a shock was absorbed, since neither an aggregate protection claim nor a uniform-displacement claim would survive contact with the actual data. The demand-access and preference-optimization research NASA already funds provides the machinery to expose requests, preferences, and feasible-schedule comparisons at exactly the granularity such reporting requires</w:t>
      </w:r>
      <w:r>
        <w:t xml:space="preserve"> </w:t>
      </w:r>
      <w:hyperlink w:anchor="ref-9">
        <w:r>
          <w:rPr>
            <w:rStyle w:val="Hyperlink"/>
          </w:rPr>
          <w:t xml:space="preserve">[9]</w:t>
        </w:r>
      </w:hyperlink>
      <w:r>
        <w:t xml:space="preserve"> </w:t>
      </w:r>
      <w:hyperlink w:anchor="ref-10">
        <w:r>
          <w:rPr>
            <w:rStyle w:val="Hyperlink"/>
          </w:rPr>
          <w:t xml:space="preserve">[10]</w:t>
        </w:r>
      </w:hyperlink>
      <w:r>
        <w:t xml:space="preserve">. What is missing is not the technology but the standardized publication of planned, revised, and executed support at the request level, with reason codes that distinguish a cancelled pass from a shortened one from a voluntary release.</w:t>
      </w:r>
    </w:p>
    <w:p>
      <w:pPr>
        <w:pStyle w:val="BodyText"/>
        <w:spacing w:line="480" w:lineRule="auto"/>
        <w:ind w:firstLine="720"/>
      </w:pPr>
      <w:r>
        <w:t xml:space="preserve">For a replicator, second, the longevity result argues that capacity forecasts and modernization cases should make the long tail of legacy missions explicit instead of planning around prime-phase commitments alone.</w:t>
      </w:r>
    </w:p>
    <w:p>
      <w:pPr>
        <w:pStyle w:val="BodyText"/>
        <w:spacing w:line="480" w:lineRule="auto"/>
        <w:ind w:firstLine="720"/>
      </w:pPr>
      <w:r>
        <w:t xml:space="preserve">For this elasticity, the quantifies the error a naive proportional forecast would commit: doubling the prime plan is associated with only 1.3627 times the realized support age, not twice. A demand model that recognizes the stock of persistent missions strengthens the modernization argument the Office of Inspector General has already framed</w:t>
      </w:r>
      <w:r>
        <w:t xml:space="preserve"> </w:t>
      </w:r>
      <w:hyperlink w:anchor="ref-13">
        <w:r>
          <w:rPr>
            <w:rStyle w:val="Hyperlink"/>
          </w:rPr>
          <w:t xml:space="preserve">[13]</w:t>
        </w:r>
      </w:hyperlink>
      <w:r>
        <w:t xml:space="preserve"> </w:t>
      </w:r>
      <w:r>
        <w:t xml:space="preserve">and gives the Heliophysics Division a defensible basis for arguing that its continuity-sensitive missions face a network whose demand is structurally underforecast. Third, both results point toward a queueing-informed governance vocabulary. A demand-access system that distinguishes committed critical support, baseline routine support, and extension-phase requests would let the agency categorize legacy demand by flexibility and continuity-sensitivity instead of treating all mission-years as equivalent</w:t>
      </w:r>
      <w:r>
        <w:t xml:space="preserve"> </w:t>
      </w:r>
      <w:hyperlink w:anchor="ref-3">
        <w:r>
          <w:rPr>
            <w:rStyle w:val="Hyperlink"/>
          </w:rPr>
          <w:t xml:space="preserve">[3]</w:t>
        </w:r>
      </w:hyperlink>
      <w:r>
        <w:t xml:space="preserve"> </w:t>
      </w:r>
      <w:hyperlink w:anchor="ref-14">
        <w:r>
          <w:rPr>
            <w:rStyle w:val="Hyperlink"/>
          </w:rPr>
          <w:t xml:space="preserve">[14]</w:t>
        </w:r>
      </w:hyperlink>
      <w:r>
        <w:t xml:space="preserve">. The Heliophysics Division’s existing engagement in ground-segment coordination</w:t>
      </w:r>
      <w:r>
        <w:t xml:space="preserve"> </w:t>
      </w:r>
      <w:hyperlink w:anchor="ref-20">
        <w:r>
          <w:rPr>
            <w:rStyle w:val="Hyperlink"/>
          </w:rPr>
          <w:t xml:space="preserve">[20]</w:t>
        </w:r>
      </w:hyperlink>
      <w:r>
        <w:t xml:space="preserve"> </w:t>
      </w:r>
      <w:r>
        <w:t xml:space="preserve">makes it the natural steward of such a vocabulary, and the two estimates give that stewardship an empirical anchor it previously lacked.</w:t>
      </w:r>
    </w:p>
    <w:bookmarkEnd w:id="124"/>
    <w:bookmarkStart w:id="125" w:name="program-relevance-for-heliophysics"/>
    <w:p>
      <w:pPr>
        <w:pStyle w:val="Heading2"/>
        <w:spacing w:line="480" w:lineRule="auto"/>
      </w:pPr>
      <w:r>
        <w:t xml:space="preserve">8.3 Program relevance for heliophysics</w:t>
      </w:r>
    </w:p>
    <w:p>
      <w:pPr>
        <w:pStyle w:val="FirstParagraph"/>
        <w:spacing w:line="480" w:lineRule="auto"/>
      </w:pPr>
      <w:r>
        <w:t xml:space="preserve">The message for heliophysics is mixed. That mixture is its use.</w:t>
      </w:r>
    </w:p>
    <w:p>
      <w:pPr>
        <w:pStyle w:val="BodyText"/>
        <w:spacing w:line="480" w:lineRule="auto"/>
        <w:ind w:firstLine="720"/>
      </w:pPr>
      <w:r>
        <w:t xml:space="preserve">For this data, the construction is deliberately visible: for the heliophysics community specifically, the findings carry a mixed and for that reason useful message.</w:t>
      </w:r>
    </w:p>
    <w:p>
      <w:pPr>
        <w:pStyle w:val="BodyText"/>
        <w:spacing w:line="480" w:lineRule="auto"/>
        <w:ind w:firstLine="720"/>
      </w:pPr>
      <w:r>
        <w:t xml:space="preserve">For this reassuring, the half is that, in at least one major demand shock, the heliophysics label was associated with relative protection: the class lost fewer hours than the portfolio it competed against, conditional on mission type. A division worried that human-exploration surges would simply steamroll its science has evidence that, in this episode, they did not, at least on average. The sobering half is that the protection was partial and unevenly distributed, with flagship observatories like SOHO and Parker Solar Probe absorbing large individual losses even as the class fared well on average. The longevity finding sharpens the community’s planning stance. Because prime duration predicts persistence only weakly, heliophysics mission planners cannot infer future network demand from prime plans alone, and neither can the division’s capacity advocates. The productive extended missions that define much of heliophysics, the decades-long solar-terrestrial monitors, are precisely the missions whose longevity prime duration fails to anticipate. A planning logic that uses prime duration as a baseline signal and then models extension and persistence separately is the operational takeaway, and it is one the division can adopt immediately with the two published documents this work relied upon.</w:t>
      </w:r>
    </w:p>
    <w:bookmarkEnd w:id="125"/>
    <w:bookmarkStart w:id="126" w:name="methodological-contribution"/>
    <w:p>
      <w:pPr>
        <w:pStyle w:val="Heading2"/>
        <w:spacing w:line="480" w:lineRule="auto"/>
      </w:pPr>
      <w:r>
        <w:t xml:space="preserve">8.4 Methodological contribution</w:t>
      </w:r>
    </w:p>
    <w:p>
      <w:pPr>
        <w:pStyle w:val="FirstParagraph"/>
        <w:spacing w:line="480" w:lineRule="auto"/>
      </w:pPr>
      <w:r>
        <w:t xml:space="preserve">Beyond the two substantive estimates, the dissertation makes a smaller methodological argument worth stating on its own. It demonstrates that public NASA records, a scheduling slide and a mission set, suffice to produce falsifiable, decimal-reproducible estimates of network contention costs, and that such estimates can be bound so tightly to their sources that any reader can regenerate them. This matters since the alternative, waiting for a proprietary request-level dataset that may never be released, has left the contention question unmeasured for years while the operational community reasoned about it qualitatively. A discipline can begin measuring with the records it has, provided it is disciplined about what those records support and honest about what they do not. For the empirical reader, the methodological posture, transparent estimators chosen so the chain from source to coefficient stays short enough to inspect, is itself a stance about how contested resource-allocation questions should be studied in the space domain. The machine-learning-for-space literature has increasingly adopted this posture, analyzing small benchmarked datasets with clearly stated estimators and honest uncertainty</w:t>
      </w:r>
      <w:r>
        <w:t xml:space="preserve"> </w:t>
      </w:r>
      <w:hyperlink w:anchor="ref-16">
        <w:r>
          <w:rPr>
            <w:rStyle w:val="Hyperlink"/>
          </w:rPr>
          <w:t xml:space="preserve">[16]</w:t>
        </w:r>
      </w:hyperlink>
      <w:r>
        <w:t xml:space="preserve"> </w:t>
      </w:r>
      <w:hyperlink w:anchor="ref-24">
        <w:r>
          <w:rPr>
            <w:rStyle w:val="Hyperlink"/>
          </w:rPr>
          <w:t xml:space="preserve">[24]</w:t>
        </w:r>
      </w:hyperlink>
      <w:r>
        <w:t xml:space="preserve">. The present work extends that norm from estimation and characterization tasks to a governance-relevant allocation question. The conservative coding choices, which lean against the hypotheses instead of toward them, are part of the contribution: they show that a theory-consistent sign recovered under adverse measurement is stronger evidence than a larger effect recovered under favorable coding. That is a template other analysts of shared space infrastructure can adopt.</w:t>
      </w:r>
    </w:p>
    <w:bookmarkEnd w:id="126"/>
    <w:bookmarkStart w:id="127" w:name="future-work"/>
    <w:p>
      <w:pPr>
        <w:pStyle w:val="Heading2"/>
        <w:spacing w:line="480" w:lineRule="auto"/>
      </w:pPr>
      <w:r>
        <w:t xml:space="preserve">8.5 Future work</w:t>
      </w:r>
    </w:p>
    <w:p>
      <w:pPr>
        <w:pStyle w:val="FirstParagraph"/>
        <w:spacing w:line="480" w:lineRule="auto"/>
      </w:pPr>
      <w:r>
        <w:t xml:space="preserve">For this evidence, the trail is concrete here: one next step stands out. A request-level, multi-episode panel is the clearest. The present Artemis I estimate rests on a single four-week window and a single public slide; extending the design across multiple congestion episodes, antenna complexes, and execution horizons would permit mission fixed effects, event controls, and estimates of within-mission displacement. Repeated observations would let the coefficient be estimated separately in pre- and post-tooling sub-periods, addressing the structural-break threat directly</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and complex-by-month fixed effects would absorb the non-random removal of antenna-hours by weather and outages</w:t>
      </w:r>
      <w:r>
        <w:t xml:space="preserve"> </w:t>
      </w:r>
      <w:hyperlink w:anchor="ref-1">
        <w:r>
          <w:rPr>
            <w:rStyle w:val="Hyperlink"/>
          </w:rPr>
          <w:t xml:space="preserve">[1]</w:t>
        </w:r>
      </w:hyperlink>
      <w:r>
        <w:t xml:space="preserve">. Request-level data would further separate cancelled passes from shortened passes and voluntary releases, turning a single loss number into a typology of displacement. The queueing frame defines the second extension. A discrete-event simulation of the multi-class priority queue, calibrated to observed arrival and service-time distributions, would let the reduced-form regressions be checked against a structural congestion model, following the large-scale space-tracking simulation practice already established</w:t>
      </w:r>
      <w:r>
        <w:t xml:space="preserve"> </w:t>
      </w:r>
      <w:hyperlink w:anchor="ref-18">
        <w:r>
          <w:rPr>
            <w:rStyle w:val="Hyperlink"/>
          </w:rPr>
          <w:t xml:space="preserve">[18]</w:t>
        </w:r>
      </w:hyperlink>
      <w:r>
        <w:t xml:space="preserve"> </w:t>
      </w:r>
      <w:r>
        <w:t xml:space="preserve">and the agent-based mission-management modeling the field has surveyed</w:t>
      </w:r>
      <w:r>
        <w:t xml:space="preserve"> </w:t>
      </w:r>
      <w:hyperlink w:anchor="ref-3">
        <w:r>
          <w:rPr>
            <w:rStyle w:val="Hyperlink"/>
          </w:rPr>
          <w:t xml:space="preserve">[3]</w:t>
        </w:r>
      </w:hyperlink>
      <w:r>
        <w:t xml:space="preserve"> </w:t>
      </w:r>
      <w:hyperlink w:anchor="ref-6">
        <w:r>
          <w:rPr>
            <w:rStyle w:val="Hyperlink"/>
          </w:rPr>
          <w:t xml:space="preserve">[6]</w:t>
        </w:r>
      </w:hyperlink>
      <w:r>
        <w:t xml:space="preserve">. Such a simulation would recover the heliophysics-miss elasticity as a structural parameter instead of an associational contrast, and it would let planners run counterfactual demand scenarios, asking directly what each additional non-heliophysics user costs the heliophysics portfolio in expected lost data return.</w:t>
      </w:r>
    </w:p>
    <w:p>
      <w:pPr>
        <w:pStyle w:val="BodyText"/>
        <w:spacing w:line="480" w:lineRule="auto"/>
        <w:ind w:firstLine="720"/>
      </w:pPr>
      <w:r>
        <w:t xml:space="preserve">For the program record, the longevity analysis points toward survival methods. NASA should retain historical mission-set snapshots, publish mission-entry and mission-exit dates, and connect those records to requested and executed support. That panel would permit survival analysis of mission presence and direct estimation of extension-related antenna demand, replacing the single-snapshot scaling test with a proper hazard model of when missions leave the supported set. Joining such a panel to the request-level displacement data would finally let the two faces of contention, the short-run shock and the long-run stock, be modeled in one structure instead of two separate cross-sections.</w:t>
      </w:r>
    </w:p>
    <w:bookmarkEnd w:id="127"/>
    <w:bookmarkStart w:id="128" w:name="what-the-two-numbers-change"/>
    <w:p>
      <w:pPr>
        <w:pStyle w:val="Heading2"/>
        <w:spacing w:line="480" w:lineRule="auto"/>
      </w:pPr>
      <w:r>
        <w:t xml:space="preserve">8.5 What the two numbers change</w:t>
      </w:r>
    </w:p>
    <w:p>
      <w:pPr>
        <w:pStyle w:val="FirstParagraph"/>
        <w:spacing w:line="480" w:lineRule="auto"/>
      </w:pPr>
      <w:r>
        <w:t xml:space="preserve">For this archival, the record matters here: it is fair to ask what practical difference two modest coefficients make, and the answer is best given concretely. Before this work, a heliophysics program office arguing that Artemis-scale surges threaten its science had anecdote and intuition. After it, that office can point to a measured class contrast of about thirty-two lost hours in favor of heliophysics during the one shock for which public data exist, together with the mission-level evidence that flagships like SOHO and Parker Solar Probe absorbed large individual losses despite the class advantage</w:t>
      </w:r>
      <w:r>
        <w:t xml:space="preserve"> </w:t>
      </w:r>
      <w:hyperlink w:anchor="ref-7">
        <w:r>
          <w:rPr>
            <w:rStyle w:val="Hyperlink"/>
          </w:rPr>
          <w:t xml:space="preserve">[7]</w:t>
        </w:r>
      </w:hyperlink>
      <w:r>
        <w:t xml:space="preserve">. The argument changes from a claim about fears to a claim about a record. Even a coefficient significant only at the ten-percent level is a firmer footing than none, since it shifts the burden: a counterparty asserting that heliophysics is either fully protected or uniformly displaced now bears the burden of reconciling that assertion with a measured, publicly checkable distribution.</w:t>
      </w:r>
    </w:p>
    <w:p>
      <w:pPr>
        <w:pStyle w:val="BodyText"/>
        <w:spacing w:line="480" w:lineRule="auto"/>
        <w:ind w:firstLine="720"/>
      </w:pPr>
      <w:r>
        <w:t xml:space="preserve">For this longevity, the number changes a different conversation. A capacity planner defending a modernization investment previously had to argue in general terms that extended missions strain the network. Now that planner can state a measured elasticity of 0.4465 and a doubling multiplier of 1.3627, and can show that a demand forecast built on prime-phase commitments understates the long tail by a quantified margin</w:t>
      </w:r>
      <w:r>
        <w:t xml:space="preserve"> </w:t>
      </w:r>
      <w:hyperlink w:anchor="ref-13">
        <w:r>
          <w:rPr>
            <w:rStyle w:val="Hyperlink"/>
          </w:rPr>
          <w:t xml:space="preserve">[13]</w:t>
        </w:r>
      </w:hyperlink>
      <w:r>
        <w:t xml:space="preserve">. The number does not settle the investment case by itself, but it converts one premise of the case from assertion to measurement, and in a resource-allocation debate conducted without prices, measured premises are the currency. Two numbers do not remake network governance. They give two long-standing qualitative arguments a quantitative spine, and that is precisely what a first empirical treatment of an unmeasured problem should aim to do.</w:t>
      </w:r>
    </w:p>
    <w:bookmarkEnd w:id="128"/>
    <w:bookmarkStart w:id="129" w:name="X9ef2eaf79026d39da79b1496da324ec52b131ff"/>
    <w:p>
      <w:pPr>
        <w:pStyle w:val="Heading2"/>
        <w:spacing w:line="480" w:lineRule="auto"/>
      </w:pPr>
      <w:r>
        <w:t xml:space="preserve">8.7 A research agenda for heliophysics ground-segment economics</w:t>
      </w:r>
    </w:p>
    <w:p>
      <w:pPr>
        <w:pStyle w:val="FirstParagraph"/>
        <w:spacing w:line="480" w:lineRule="auto"/>
      </w:pPr>
      <w:r>
        <w:t xml:space="preserve">For this two, the estimates sketch the outline of a larger research program that the heliophysics community could pursue. Call it the economics of the heliophysics ground segment. Its organizing question is the one the prospectus posed: what is the marginal cost, in lost data return, of each additional non-heliophysics user of the Deep Space Network? The Artemis I result gives a first, episode-specific read on the displacement side of that cost, and the longevity result characterizes the arrival process that drives the underlying demand pressure. A mature program would connect them through a structural queueing model whose parameters are estimated from a request-level panel, so that the marginal cost could be computed as a counterfactual instead of inferred from a single shock. The chapter treats this as an empirical claim: several concrete studies follow. One would replicate the Artemis I design across the full set of congestion episodes the network has experienced, building a panel of shocks and estimating whether the heliophysics protection coefficient is stable, growing, or shrinking as the service discipline evolves toward learned scheduling</w:t>
      </w:r>
      <w:r>
        <w:t xml:space="preserve"> </w:t>
      </w:r>
      <w:hyperlink w:anchor="ref-4">
        <w:r>
          <w:rPr>
            <w:rStyle w:val="Hyperlink"/>
          </w:rPr>
          <w:t xml:space="preserve">[4]</w:t>
        </w:r>
      </w:hyperlink>
      <w:r>
        <w:t xml:space="preserve"> </w:t>
      </w:r>
      <w:hyperlink w:anchor="ref-11">
        <w:r>
          <w:rPr>
            <w:rStyle w:val="Hyperlink"/>
          </w:rPr>
          <w:t xml:space="preserve">[11]</w:t>
        </w:r>
      </w:hyperlink>
      <w:r>
        <w:t xml:space="preserve">. A second would join the longevity data to historical mission-set snapshots and construct a proper hazard model of mission exit, replacing the single-snapshot scaling test with a survival analysis that estimates directly how extension decisions generate long-tail antenna demand</w:t>
      </w:r>
      <w:r>
        <w:t xml:space="preserve"> </w:t>
      </w:r>
      <w:hyperlink w:anchor="ref-3">
        <w:r>
          <w:rPr>
            <w:rStyle w:val="Hyperlink"/>
          </w:rPr>
          <w:t xml:space="preserve">[3]</w:t>
        </w:r>
      </w:hyperlink>
      <w:r>
        <w:t xml:space="preserve">. A third would use the emerging provenance-preserving data infrastructure</w:t>
      </w:r>
      <w:r>
        <w:t xml:space="preserve"> </w:t>
      </w:r>
      <w:hyperlink w:anchor="ref-19">
        <w:r>
          <w:rPr>
            <w:rStyle w:val="Hyperlink"/>
          </w:rPr>
          <w:t xml:space="preserve">[19]</w:t>
        </w:r>
      </w:hyperlink>
      <w:r>
        <w:t xml:space="preserve"> </w:t>
      </w:r>
      <w:r>
        <w:t xml:space="preserve">to compute standardized displacement metrics with reason codes, turning the single loss number of this dissertation into the typology of cancelled, shortened, and voluntarily released passes that a governance body actually needs.</w:t>
      </w:r>
    </w:p>
    <w:p>
      <w:pPr>
        <w:pStyle w:val="BodyText"/>
        <w:spacing w:line="480" w:lineRule="auto"/>
        <w:ind w:firstLine="720"/>
      </w:pPr>
      <w:r>
        <w:t xml:space="preserve">For this program, the’s payoff would be a heliophysics ground-segment demand model that the Division could carry into interagency capacity negotiations. Such a model would let the community state, with measured backing, how much science return it stands to lose under a given growth in competing demand, and how much a proposed capacity investment or scheduling reform would recover. Friedel and colleagues show the Division is already engaged in the ground-segment coordination that such a model would inform</w:t>
      </w:r>
      <w:r>
        <w:t xml:space="preserve"> </w:t>
      </w:r>
      <w:hyperlink w:anchor="ref-20">
        <w:r>
          <w:rPr>
            <w:rStyle w:val="Hyperlink"/>
          </w:rPr>
          <w:t xml:space="preserve">[20]</w:t>
        </w:r>
      </w:hyperlink>
      <w:r>
        <w:t xml:space="preserve">; what has been missing is the quantitative spine, and the two estimates here are its first two vertebrae. The data construction is deliberately visible: the agenda also has a data-governance dimension that the community can act on immediately, independent of any modeling. Much of what future work needs is not new instrumentation but the retention and publication of records the agency already generates. Historical mission-set snapshots, if preserved instead of overwritten, would supply the panel record for a survival analysis of mission presence. Request-level schedule records with standardized reason codes, if published alongside the executed schedule, would turn each congestion episode into an analyzable observation instead of an occasional slide. The provenance-preserving data fabrics now under development make such publication technically routine</w:t>
      </w:r>
      <w:r>
        <w:t xml:space="preserve"> </w:t>
      </w:r>
      <w:hyperlink w:anchor="ref-19">
        <w:r>
          <w:rPr>
            <w:rStyle w:val="Hyperlink"/>
          </w:rPr>
          <w:t xml:space="preserve">[19]</w:t>
        </w:r>
      </w:hyperlink>
      <w:r>
        <w:t xml:space="preserve">. The binding constraint on a heliophysics ground-segment demand model is for that reason institutional will to publish, not engineering capacity to compute, and that is a constraint the Heliophysics Division and the network’s overseers can relax through policy instead of invention</w:t>
      </w:r>
      <w:r>
        <w:t xml:space="preserve"> </w:t>
      </w:r>
      <w:hyperlink w:anchor="ref-13">
        <w:r>
          <w:rPr>
            <w:rStyle w:val="Hyperlink"/>
          </w:rPr>
          <w:t xml:space="preserve">[13]</w:t>
        </w:r>
      </w:hyperlink>
      <w:r>
        <w:t xml:space="preserve">.</w:t>
      </w:r>
    </w:p>
    <w:bookmarkEnd w:id="129"/>
    <w:bookmarkStart w:id="130" w:name="limitations-restated-for-the-record"/>
    <w:p>
      <w:pPr>
        <w:pStyle w:val="Heading2"/>
        <w:spacing w:line="480" w:lineRule="auto"/>
      </w:pPr>
      <w:r>
        <w:t xml:space="preserve">8.7 Limitations restated for the record</w:t>
      </w:r>
    </w:p>
    <w:p>
      <w:pPr>
        <w:pStyle w:val="FirstParagraph"/>
        <w:spacing w:line="480" w:lineRule="auto"/>
      </w:pPr>
      <w:r>
        <w:t xml:space="preserve">For this operational, the question is narrower: because a conclusion can tempt overreach, it is worth restating the limitations one final time, plainly and together. Both results are associational, from small public samples, and neither supports a causal claim. The Artemis I estimate is significant only at the ten-percent level and comes from a single four-week shock, so it does not establish that heliophysics is protected in general, only that it was associated with lower losses in this one episode after conditioning on mission type. The longevity estimate, though significant at five percent, explains only a minority of the variance in support age and rests on a single-snapshot cross-section that cannot model mission exit. Measurement threats, complex geography, request flexibility, revised prime dates, and multinational support, bound both magnitudes and are not fully purged by the available records. These are the honest edges of the contribution, and they are stated not to diminish it but to mark exactly where it stops, so that the reader carries away a calibrated result instead of an inflated one.</w:t>
      </w:r>
    </w:p>
    <w:bookmarkEnd w:id="130"/>
    <w:bookmarkStart w:id="131" w:name="closing"/>
    <w:p>
      <w:pPr>
        <w:pStyle w:val="Heading2"/>
        <w:spacing w:line="480" w:lineRule="auto"/>
      </w:pPr>
      <w:r>
        <w:t xml:space="preserve">8.7 Closing</w:t>
      </w:r>
    </w:p>
    <w:p>
      <w:pPr>
        <w:pStyle w:val="FirstParagraph"/>
        <w:spacing w:line="480" w:lineRule="auto"/>
      </w:pPr>
      <w:r>
        <w:t xml:space="preserve">For the empirical reader, the argument of this dissertation was narrow by intention. Two public records, two transparent estimators, two falsifiable claims, and two coefficients reported to the decimal. The heliophysics class was relatively protected during the Artemis I shock but not immune, and prime-mission duration predicts long-run network presence positively but weakly. Neither result is surprising to an operator who has lived the network’s scarcity. The contribution is not surprise but measurement: the replacement of assertion with a number that the heliophysics community can verify, contest, and carry into the portfolio decisions where the marginal cost of contention finally matters. The machinery to do more, the panels, the simulations, the hazard models, exists and is being built</w:t>
      </w:r>
      <w:r>
        <w:t xml:space="preserve"> </w:t>
      </w:r>
      <w:hyperlink w:anchor="ref-19">
        <w:r>
          <w:rPr>
            <w:rStyle w:val="Hyperlink"/>
          </w:rPr>
          <w:t xml:space="preserve">[19]</w:t>
        </w:r>
      </w:hyperlink>
      <w:r>
        <w:t xml:space="preserve">. What this work provides is the bounded first measurement those richer instruments can be calibrated against, and the demonstration that the cost of contention on a shared network is, at last, an estimable thing.</w:t>
      </w:r>
    </w:p>
    <w:p>
      <w:pPr>
        <w:pStyle w:val="BodyText"/>
        <w:spacing w:line="480" w:lineRule="auto"/>
        <w:ind w:firstLine="720"/>
      </w:pPr>
      <w:r>
        <w:t xml:space="preserve">For this larger, the claim, if there is one, is about method more than about the Deep Space Network. Shared, non-priced scientific infrastructure is common across the space enterprise, from tracking networks to observing time on great telescopes to bandwidth on relay constellations, and in each case the cost of contention tends to go unmeasured since no clearing price exposes it and no single record captures it. The dissertation shows that such costs can be measured anyway, from public records, with transparent estimators, and with honesty about what the measurement supports. The two coefficients matter for heliophysics. The demonstration that they could be obtained at all matters more broadly, as a small proof that the shadow costs of shared scientific scarcity are within reach of ordinary, auditable inference</w:t>
      </w:r>
      <w:r>
        <w:t xml:space="preserve"> </w:t>
      </w:r>
      <w:hyperlink w:anchor="ref-9">
        <w:r>
          <w:rPr>
            <w:rStyle w:val="Hyperlink"/>
          </w:rPr>
          <w:t xml:space="preserve">[9]</w:t>
        </w:r>
      </w:hyperlink>
      <w:r>
        <w:t xml:space="preserve"> </w:t>
      </w:r>
      <w:hyperlink w:anchor="ref-13">
        <w:r>
          <w:rPr>
            <w:rStyle w:val="Hyperlink"/>
          </w:rPr>
          <w:t xml:space="preserve">[13]</w:t>
        </w:r>
      </w:hyperlink>
      <w:r>
        <w:t xml:space="preserve">.</w:t>
      </w:r>
    </w:p>
    <w:bookmarkEnd w:id="131"/>
    <w:bookmarkStart w:id="177" w:name="references"/>
    <w:p>
      <w:pPr>
        <w:pStyle w:val="Heading2"/>
        <w:spacing w:line="480" w:lineRule="auto"/>
      </w:pPr>
      <w:r>
        <w:t xml:space="preserve">References</w:t>
      </w:r>
    </w:p>
    <w:p>
      <w:pPr>
        <w:pStyle w:val="FirstParagraph"/>
        <w:spacing w:line="480" w:lineRule="auto"/>
      </w:pPr>
      <w:bookmarkStart w:id="132" w:name="ref-1"/>
      <w:bookmarkEnd w:id="132"/>
      <w:r>
        <w:t xml:space="preserve">1. S. Grau et al.,</w:t>
      </w:r>
      <w:r>
        <w:t xml:space="preserve"> </w:t>
      </w:r>
      <w:r>
        <w:t xml:space="preserve">“Mission operations for precise in-orbit collision prediction and space environment surveillance system,”</w:t>
      </w:r>
      <w:r>
        <w:t xml:space="preserve"> </w:t>
      </w:r>
      <w:r>
        <w:rPr>
          <w:i/>
          <w:iCs/>
        </w:rPr>
        <w:t xml:space="preserve">Acta Astronautica</w:t>
      </w:r>
      <w:r>
        <w:t xml:space="preserve">, vol. 237, 2025. doi:</w:t>
      </w:r>
      <w:r>
        <w:t xml:space="preserve"> </w:t>
      </w:r>
      <w:hyperlink r:id="rId133">
        <w:r>
          <w:rPr>
            <w:rStyle w:val="Hyperlink"/>
          </w:rPr>
          <w:t xml:space="preserve">10.1016/j.actaastro.2025.05.049</w:t>
        </w:r>
      </w:hyperlink>
    </w:p>
    <w:p>
      <w:pPr>
        <w:pStyle w:val="BodyText"/>
        <w:spacing w:line="480" w:lineRule="auto"/>
        <w:ind w:firstLine="720"/>
      </w:pPr>
      <w:bookmarkStart w:id="134" w:name="ref-2"/>
      <w:bookmarkEnd w:id="134"/>
      <w:r>
        <w:t xml:space="preserve">2. D. Kim, K. Lee, S. Lee, and D. Chung,</w:t>
      </w:r>
      <w:r>
        <w:t xml:space="preserve"> </w:t>
      </w:r>
      <w:r>
        <w:t xml:space="preserve">“Optimization of Imaging Mission Scheduling for Multiple Satellites and Ground Stations with MDP,”</w:t>
      </w:r>
      <w:r>
        <w:t xml:space="preserve"> </w:t>
      </w:r>
      <w:r>
        <w:rPr>
          <w:i/>
          <w:iCs/>
        </w:rPr>
        <w:t xml:space="preserve">Proc. Advanced Maui Optical and Space Surveillance Technologies (AMOS) Conference</w:t>
      </w:r>
      <w:r>
        <w:t xml:space="preserve">, 2023. doi:</w:t>
      </w:r>
      <w:r>
        <w:t xml:space="preserve"> </w:t>
      </w:r>
      <w:hyperlink r:id="rId135">
        <w:r>
          <w:rPr>
            <w:rStyle w:val="Hyperlink"/>
          </w:rPr>
          <w:t xml:space="preserve">10.64861/AJDT6618</w:t>
        </w:r>
      </w:hyperlink>
    </w:p>
    <w:p>
      <w:pPr>
        <w:pStyle w:val="BodyText"/>
        <w:spacing w:line="480" w:lineRule="auto"/>
        <w:ind w:firstLine="720"/>
      </w:pPr>
      <w:bookmarkStart w:id="136" w:name="ref-3"/>
      <w:bookmarkEnd w:id="136"/>
      <w:r>
        <w:t xml:space="preserve">3. M. R. Jabbarpour et al.,</w:t>
      </w:r>
      <w:r>
        <w:t xml:space="preserve"> </w:t>
      </w:r>
      <w:r>
        <w:t xml:space="preserve">“Agent-based approaches for distributed space systems and mission management: Methodologies, current practices and challenges,”</w:t>
      </w:r>
      <w:r>
        <w:t xml:space="preserve"> </w:t>
      </w:r>
      <w:r>
        <w:rPr>
          <w:i/>
          <w:iCs/>
        </w:rPr>
        <w:t xml:space="preserve">Acta Astronautica</w:t>
      </w:r>
      <w:r>
        <w:t xml:space="preserve">, vol. 238, 2025. doi:</w:t>
      </w:r>
      <w:r>
        <w:t xml:space="preserve"> </w:t>
      </w:r>
      <w:hyperlink r:id="rId137">
        <w:r>
          <w:rPr>
            <w:rStyle w:val="Hyperlink"/>
          </w:rPr>
          <w:t xml:space="preserve">10.1016/j.actaastro.2025.10.018</w:t>
        </w:r>
      </w:hyperlink>
    </w:p>
    <w:p>
      <w:pPr>
        <w:pStyle w:val="BodyText"/>
        <w:spacing w:line="480" w:lineRule="auto"/>
        <w:ind w:firstLine="720"/>
      </w:pPr>
      <w:bookmarkStart w:id="138" w:name="ref-4"/>
      <w:bookmarkEnd w:id="138"/>
      <w:r>
        <w:t xml:space="preserve">4. K. D. Kumar, U. K. Elemasetty, A. Morin, and A. Nuechter,</w:t>
      </w:r>
      <w:r>
        <w:t xml:space="preserve"> </w:t>
      </w:r>
      <w:r>
        <w:t xml:space="preserve">“Artificial intelligence-powered space systems including launch, space, ground and user segments: Current status and future challenges,”</w:t>
      </w:r>
      <w:r>
        <w:t xml:space="preserve"> </w:t>
      </w:r>
      <w:r>
        <w:rPr>
          <w:i/>
          <w:iCs/>
        </w:rPr>
        <w:t xml:space="preserve">Acta Astronautica</w:t>
      </w:r>
      <w:r>
        <w:t xml:space="preserve">, vol. 240, 2025. doi:</w:t>
      </w:r>
      <w:r>
        <w:t xml:space="preserve"> </w:t>
      </w:r>
      <w:hyperlink r:id="rId139">
        <w:r>
          <w:rPr>
            <w:rStyle w:val="Hyperlink"/>
          </w:rPr>
          <w:t xml:space="preserve">10.1016/j.actaastro.2025.11.048</w:t>
        </w:r>
      </w:hyperlink>
    </w:p>
    <w:p>
      <w:pPr>
        <w:pStyle w:val="BodyText"/>
        <w:spacing w:line="480" w:lineRule="auto"/>
        <w:ind w:firstLine="720"/>
      </w:pPr>
      <w:bookmarkStart w:id="140" w:name="ref-5"/>
      <w:bookmarkEnd w:id="140"/>
      <w:r>
        <w:t xml:space="preserve">5. D. Stottler and K. Mahan,</w:t>
      </w:r>
      <w:r>
        <w:t xml:space="preserve"> </w:t>
      </w:r>
      <w:r>
        <w:t xml:space="preserve">“Automatic, Rapid Replanning of Satellite Operations for Space Situational Awareness (SSA),”</w:t>
      </w:r>
      <w:r>
        <w:t xml:space="preserve"> </w:t>
      </w:r>
      <w:r>
        <w:rPr>
          <w:i/>
          <w:iCs/>
        </w:rPr>
        <w:t xml:space="preserve">Proc. Advanced Maui Optical and Space Surveillance Technologies (AMOS) Conference</w:t>
      </w:r>
      <w:r>
        <w:t xml:space="preserve">, 2015.</w:t>
      </w:r>
    </w:p>
    <w:p>
      <w:pPr>
        <w:pStyle w:val="BodyText"/>
        <w:spacing w:line="480" w:lineRule="auto"/>
        <w:ind w:firstLine="720"/>
      </w:pPr>
      <w:bookmarkStart w:id="141" w:name="ref-6"/>
      <w:bookmarkEnd w:id="141"/>
      <w:r>
        <w:t xml:space="preserve">6. R. Stottler and G. Howe,</w:t>
      </w:r>
      <w:r>
        <w:t xml:space="preserve"> </w:t>
      </w:r>
      <w:r>
        <w:t xml:space="preserve">“Delay/Disruption Tolerant Reinforcement Learning Aurora based Communication System (DREAMS),”</w:t>
      </w:r>
      <w:r>
        <w:t xml:space="preserve"> </w:t>
      </w:r>
      <w:r>
        <w:rPr>
          <w:i/>
          <w:iCs/>
        </w:rPr>
        <w:t xml:space="preserve">Proc. Advanced Maui Optical and Space Surveillance Technologies (AMOS) Conference</w:t>
      </w:r>
      <w:r>
        <w:t xml:space="preserve">, 2022.</w:t>
      </w:r>
    </w:p>
    <w:p>
      <w:pPr>
        <w:pStyle w:val="BodyText"/>
        <w:spacing w:line="480" w:lineRule="auto"/>
        <w:ind w:firstLine="720"/>
      </w:pPr>
      <w:bookmarkStart w:id="142" w:name="ref-7"/>
      <w:bookmarkEnd w:id="142"/>
      <w:r>
        <w:t xml:space="preserve">7. P. J. Baldwin,</w:t>
      </w:r>
      <w:r>
        <w:t xml:space="preserve"> </w:t>
      </w:r>
      <w:r>
        <w:t xml:space="preserve">“Deep Space Network Scheduling: Principles, Challenges, and Path Forward,”</w:t>
      </w:r>
      <w:r>
        <w:t xml:space="preserve"> </w:t>
      </w:r>
      <w:r>
        <w:t xml:space="preserve">NASA Technical Reports Server, NTRS 20250004124, 2025.</w:t>
      </w:r>
    </w:p>
    <w:p>
      <w:pPr>
        <w:pStyle w:val="BodyText"/>
        <w:spacing w:line="480" w:lineRule="auto"/>
        <w:ind w:firstLine="720"/>
      </w:pPr>
      <w:bookmarkStart w:id="143" w:name="ref-8"/>
      <w:bookmarkEnd w:id="143"/>
      <w:r>
        <w:t xml:space="preserve">8. Jet Propulsion Laboratory,</w:t>
      </w:r>
      <w:r>
        <w:t xml:space="preserve"> </w:t>
      </w:r>
      <w:r>
        <w:t xml:space="preserve">“Deep Space Network Current Mission Set,”</w:t>
      </w:r>
      <w:r>
        <w:t xml:space="preserve"> </w:t>
      </w:r>
      <w:r>
        <w:t xml:space="preserve">July 8, 2020.</w:t>
      </w:r>
    </w:p>
    <w:p>
      <w:pPr>
        <w:pStyle w:val="BodyText"/>
        <w:spacing w:line="480" w:lineRule="auto"/>
        <w:ind w:firstLine="720"/>
      </w:pPr>
      <w:bookmarkStart w:id="144" w:name="ref-9"/>
      <w:bookmarkEnd w:id="144"/>
      <w:r>
        <w:t xml:space="preserve">9. M. D. Johnston,</w:t>
      </w:r>
      <w:r>
        <w:t xml:space="preserve"> </w:t>
      </w:r>
      <w:r>
        <w:t xml:space="preserve">“User Preference Optimization for Oversubscribed Deep Space Network Scheduling,”</w:t>
      </w:r>
      <w:r>
        <w:t xml:space="preserve"> </w:t>
      </w:r>
      <w:r>
        <w:t xml:space="preserve">NASA Technical Reports Server, NTRS 20220008366, 2021.</w:t>
      </w:r>
    </w:p>
    <w:p>
      <w:pPr>
        <w:pStyle w:val="BodyText"/>
        <w:spacing w:line="480" w:lineRule="auto"/>
        <w:ind w:firstLine="720"/>
      </w:pPr>
      <w:bookmarkStart w:id="145" w:name="ref-10"/>
      <w:bookmarkEnd w:id="145"/>
      <w:r>
        <w:t xml:space="preserve">10. M. R. Dhamani et al.,</w:t>
      </w:r>
      <w:r>
        <w:t xml:space="preserve"> </w:t>
      </w:r>
      <w:r>
        <w:t xml:space="preserve">“A Demand Access Paradigm for Deep Space Communications,”</w:t>
      </w:r>
      <w:r>
        <w:t xml:space="preserve"> </w:t>
      </w:r>
      <w:r>
        <w:t xml:space="preserve">Jet Propulsion Laboratory, 2021.</w:t>
      </w:r>
    </w:p>
    <w:p>
      <w:pPr>
        <w:pStyle w:val="BodyText"/>
        <w:spacing w:line="480" w:lineRule="auto"/>
        <w:ind w:firstLine="720"/>
      </w:pPr>
      <w:bookmarkStart w:id="146" w:name="ref-11"/>
      <w:bookmarkEnd w:id="146"/>
      <w:r>
        <w:t xml:space="preserve">11. I. Wilson et al.,</w:t>
      </w:r>
      <w:r>
        <w:t xml:space="preserve"> </w:t>
      </w:r>
      <w:r>
        <w:t xml:space="preserve">“Scheduling the Deep Space Network with Deep Reinforcement Learning,”</w:t>
      </w:r>
      <w:r>
        <w:t xml:space="preserve"> </w:t>
      </w:r>
      <w:r>
        <w:t xml:space="preserve">NASA Technical Reports Server, NTRS 20220003798, 2022.</w:t>
      </w:r>
    </w:p>
    <w:p>
      <w:pPr>
        <w:pStyle w:val="BodyText"/>
        <w:spacing w:line="480" w:lineRule="auto"/>
        <w:ind w:firstLine="720"/>
      </w:pPr>
      <w:bookmarkStart w:id="147" w:name="ref-12"/>
      <w:bookmarkEnd w:id="147"/>
      <w:r>
        <w:t xml:space="preserve">12. M. D. Johnston and A. Lad,</w:t>
      </w:r>
      <w:r>
        <w:t xml:space="preserve"> </w:t>
      </w:r>
      <w:r>
        <w:t xml:space="preserve">“Spacecraft Block Scheduling for NASA’s Deep Space Network,”</w:t>
      </w:r>
      <w:r>
        <w:t xml:space="preserve"> </w:t>
      </w:r>
      <w:r>
        <w:t xml:space="preserve">Jet Propulsion Laboratory, 2018.</w:t>
      </w:r>
    </w:p>
    <w:p>
      <w:pPr>
        <w:pStyle w:val="BodyText"/>
        <w:spacing w:line="480" w:lineRule="auto"/>
        <w:ind w:firstLine="720"/>
      </w:pPr>
      <w:bookmarkStart w:id="148" w:name="ref-13"/>
      <w:bookmarkEnd w:id="148"/>
      <w:r>
        <w:t xml:space="preserve">13. NASA Office of Inspector General,</w:t>
      </w:r>
      <w:r>
        <w:t xml:space="preserve"> </w:t>
      </w:r>
      <w:r>
        <w:t xml:space="preserve">“NASA’s Management of the Deep Space Network,”</w:t>
      </w:r>
      <w:r>
        <w:t xml:space="preserve"> </w:t>
      </w:r>
      <w:r>
        <w:t xml:space="preserve">Report IG-23-016, July 12, 2023.</w:t>
      </w:r>
    </w:p>
    <w:p>
      <w:pPr>
        <w:pStyle w:val="BodyText"/>
        <w:spacing w:line="480" w:lineRule="auto"/>
        <w:ind w:firstLine="720"/>
      </w:pPr>
      <w:bookmarkStart w:id="149" w:name="ref-14"/>
      <w:bookmarkEnd w:id="149"/>
      <w:r>
        <w:t xml:space="preserve">14. Jet Propulsion Laboratory,</w:t>
      </w:r>
      <w:r>
        <w:t xml:space="preserve"> </w:t>
      </w:r>
      <w:r>
        <w:t xml:space="preserve">“Queuing Antenna for Demand Access,”</w:t>
      </w:r>
      <w:r>
        <w:t xml:space="preserve"> </w:t>
      </w:r>
      <w:r>
        <w:t xml:space="preserve">NASA Technical Reports Server, NTRS 20230007021, 2023.</w:t>
      </w:r>
    </w:p>
    <w:p>
      <w:pPr>
        <w:pStyle w:val="BodyText"/>
        <w:spacing w:line="480" w:lineRule="auto"/>
        <w:ind w:firstLine="720"/>
      </w:pPr>
      <w:bookmarkStart w:id="150" w:name="ref-15"/>
      <w:bookmarkEnd w:id="150"/>
      <w:r>
        <w:t xml:space="preserve">15. Yasir Latif, Space Protocol; Anirban Chowdhury, Space Protocol; Samya Bagchi, Space Protocol. On-chain Validation of Tracking Data Messages (TDM) Using Distributed Deep Learning on a Proof of Stake (PoS) Blockchain (2024). doi:</w:t>
      </w:r>
      <w:r>
        <w:t xml:space="preserve"> </w:t>
      </w:r>
      <w:hyperlink r:id="rId151">
        <w:r>
          <w:rPr>
            <w:rStyle w:val="Hyperlink"/>
          </w:rPr>
          <w:t xml:space="preserve">10.64861/OHUO6863</w:t>
        </w:r>
      </w:hyperlink>
    </w:p>
    <w:p>
      <w:pPr>
        <w:pStyle w:val="BodyText"/>
        <w:spacing w:line="480" w:lineRule="auto"/>
        <w:ind w:firstLine="720"/>
      </w:pPr>
      <w:bookmarkStart w:id="152" w:name="ref-16"/>
      <w:bookmarkEnd w:id="152"/>
      <w:r>
        <w:t xml:space="preserve">16. Peng Mun Siew, Massachusetts Institute of Technology; Haley Solera, Massachusetts Institute of Technology; Thomas G. Roberts, Massachusetts Institute of Technology; Daniel Jang, Massachusetts Institute of Technology; Victor Rodriguez-Fernandez, Universidad Politécnica de Madrid; Jonathan How, Massachusetts Institute of Technology; Richard Linares, Massachusetts Institute of Technology. AI SSA Challenge Problem: Satellite Pattern-of-Life Characterization Dataset and Benchmark Suite (2023). doi:</w:t>
      </w:r>
      <w:r>
        <w:t xml:space="preserve"> </w:t>
      </w:r>
      <w:hyperlink r:id="rId153">
        <w:r>
          <w:rPr>
            <w:rStyle w:val="Hyperlink"/>
          </w:rPr>
          <w:t xml:space="preserve">10.64861/KSXC7986</w:t>
        </w:r>
      </w:hyperlink>
    </w:p>
    <w:p>
      <w:pPr>
        <w:pStyle w:val="BodyText"/>
        <w:spacing w:line="480" w:lineRule="auto"/>
        <w:ind w:firstLine="720"/>
      </w:pPr>
      <w:bookmarkStart w:id="154" w:name="ref-17"/>
      <w:bookmarkEnd w:id="154"/>
      <w:r>
        <w:t xml:space="preserve">17. Roberto Furfaro, University of Arizona; Richard Linares, Massachusetts Institute of Technology; Vishnu Reddy, University of Arizona. Space Objects Classification via Light-Curve Measurements: Deep Convolutional Neural Networks and Model-based Transfer Learning (2018).</w:t>
      </w:r>
    </w:p>
    <w:p>
      <w:pPr>
        <w:pStyle w:val="BodyText"/>
        <w:spacing w:line="480" w:lineRule="auto"/>
        <w:ind w:firstLine="720"/>
      </w:pPr>
      <w:bookmarkStart w:id="155" w:name="ref-18"/>
      <w:bookmarkEnd w:id="155"/>
      <w:r>
        <w:t xml:space="preserve">18. David Jefferson (Lawrence Livermore National Laboratory), James Leek (Lawrence Livermore National Laboratory). Application of Parallel Discrete Event Simulation to the Space Surveillance Network (2010).</w:t>
      </w:r>
    </w:p>
    <w:p>
      <w:pPr>
        <w:pStyle w:val="BodyText"/>
        <w:spacing w:line="480" w:lineRule="auto"/>
        <w:ind w:firstLine="720"/>
      </w:pPr>
      <w:bookmarkStart w:id="156" w:name="ref-19"/>
      <w:bookmarkEnd w:id="156"/>
      <w:r>
        <w:t xml:space="preserve">19. Edward Morgan, Raft, LLC; Steve Nino, Raft, LLC; Angela Sheffield, Raft, LLC. Enabling Modular and Scalable SDA Data Transforms via the Raft Data Fabric (2023). doi:</w:t>
      </w:r>
      <w:r>
        <w:t xml:space="preserve"> </w:t>
      </w:r>
      <w:hyperlink r:id="rId157">
        <w:r>
          <w:rPr>
            <w:rStyle w:val="Hyperlink"/>
          </w:rPr>
          <w:t xml:space="preserve">10.64861/PMMH7892</w:t>
        </w:r>
      </w:hyperlink>
    </w:p>
    <w:p>
      <w:pPr>
        <w:pStyle w:val="BodyText"/>
        <w:spacing w:line="480" w:lineRule="auto"/>
        <w:ind w:firstLine="720"/>
      </w:pPr>
      <w:bookmarkStart w:id="158" w:name="ref-20"/>
      <w:bookmarkEnd w:id="158"/>
      <w:r>
        <w:t xml:space="preserve">20. Reinhard Friedel, NASA Headquarters; Alex Fletcher, NASA SMD – Heliophyscis; Jamie Favors, NASA Headquarters Heliophyscis Division; Travis Blake, NASA Headquarters, Science Mission Directorate. OD-SSA Activity at NASA’s Heliophysics Division (2024). doi:</w:t>
      </w:r>
      <w:r>
        <w:t xml:space="preserve"> </w:t>
      </w:r>
      <w:hyperlink r:id="rId159">
        <w:r>
          <w:rPr>
            <w:rStyle w:val="Hyperlink"/>
          </w:rPr>
          <w:t xml:space="preserve">10.64861/XRDR8814</w:t>
        </w:r>
      </w:hyperlink>
    </w:p>
    <w:p>
      <w:pPr>
        <w:pStyle w:val="BodyText"/>
        <w:spacing w:line="480" w:lineRule="auto"/>
        <w:ind w:firstLine="720"/>
      </w:pPr>
      <w:bookmarkStart w:id="160" w:name="ref-21"/>
      <w:bookmarkEnd w:id="160"/>
      <w:r>
        <w:t xml:space="preserve">21. Kenny Andersson, Swedish Defence Research Agency; Tim Kinnunen, Swedish Defence Research Agency; Semeli Papadogiannakis, Swedish Defence Research Agency; Rolf Ragnarsson, Swedish Defence Research Agency. Genetic Algorithm-Driven Scheduling for Radar-Based Satellite Tracking (2025). doi:</w:t>
      </w:r>
      <w:r>
        <w:t xml:space="preserve"> </w:t>
      </w:r>
      <w:hyperlink r:id="rId161">
        <w:r>
          <w:rPr>
            <w:rStyle w:val="Hyperlink"/>
          </w:rPr>
          <w:t xml:space="preserve">10.64861/SUOW9680</w:t>
        </w:r>
      </w:hyperlink>
    </w:p>
    <w:p>
      <w:pPr>
        <w:pStyle w:val="BodyText"/>
        <w:spacing w:line="480" w:lineRule="auto"/>
        <w:ind w:firstLine="720"/>
      </w:pPr>
      <w:bookmarkStart w:id="162" w:name="ref-22"/>
      <w:bookmarkEnd w:id="162"/>
      <w:r>
        <w:t xml:space="preserve">22. Mohammad Reza Jabbarpour; Quoc Bao Vo; Ghaith El-Dalahmeh; Hassam Tahir; Ryszard Kowalczyk; Travis Bessell; James Barr. Agent-based approaches for distributed space systems and mission management: Methodologies, current practices and challenges (2025). doi:</w:t>
      </w:r>
      <w:r>
        <w:t xml:space="preserve"> </w:t>
      </w:r>
      <w:hyperlink r:id="rId137">
        <w:r>
          <w:rPr>
            <w:rStyle w:val="Hyperlink"/>
          </w:rPr>
          <w:t xml:space="preserve">10.1016/j.actaastro.2025.10.018</w:t>
        </w:r>
      </w:hyperlink>
    </w:p>
    <w:p>
      <w:pPr>
        <w:pStyle w:val="BodyText"/>
        <w:spacing w:line="480" w:lineRule="auto"/>
        <w:ind w:firstLine="720"/>
      </w:pPr>
      <w:bookmarkStart w:id="163" w:name="ref-23"/>
      <w:bookmarkEnd w:id="163"/>
      <w:r>
        <w:t xml:space="preserve">23. Safinaz I. Khalil; Ziwei Wang; Nabil Aouf. Hybrid deep learning based monocular pose estimation for autonomous space docking operations (2025). doi:</w:t>
      </w:r>
      <w:r>
        <w:t xml:space="preserve"> </w:t>
      </w:r>
      <w:hyperlink r:id="rId164">
        <w:r>
          <w:rPr>
            <w:rStyle w:val="Hyperlink"/>
          </w:rPr>
          <w:t xml:space="preserve">10.1016/j.actaastro.2025.10.010</w:t>
        </w:r>
      </w:hyperlink>
    </w:p>
    <w:p>
      <w:pPr>
        <w:pStyle w:val="BodyText"/>
        <w:spacing w:line="480" w:lineRule="auto"/>
        <w:ind w:firstLine="720"/>
      </w:pPr>
      <w:bookmarkStart w:id="165" w:name="ref-24"/>
      <w:bookmarkEnd w:id="165"/>
      <w:r>
        <w:t xml:space="preserve">24. Francisco Caldas; Cláudia Soares. Machine learning in orbit estimation: A survey (2024). doi:</w:t>
      </w:r>
      <w:r>
        <w:t xml:space="preserve"> </w:t>
      </w:r>
      <w:hyperlink r:id="rId166">
        <w:r>
          <w:rPr>
            <w:rStyle w:val="Hyperlink"/>
          </w:rPr>
          <w:t xml:space="preserve">10.1016/j.actaastro.2024.03.072</w:t>
        </w:r>
      </w:hyperlink>
    </w:p>
    <w:p>
      <w:pPr>
        <w:pStyle w:val="BodyText"/>
        <w:spacing w:line="480" w:lineRule="auto"/>
        <w:ind w:firstLine="720"/>
      </w:pPr>
      <w:bookmarkStart w:id="167" w:name="ref-25"/>
      <w:bookmarkEnd w:id="167"/>
      <w:r>
        <w:t xml:space="preserve">25. Michael Herman; Olivia J. Pinon Fischer; Dimitri N. Mavris. Predictive calibration for digital sun sensors using sparse submanifold convolutional neural networks (2026). doi:</w:t>
      </w:r>
      <w:r>
        <w:t xml:space="preserve"> </w:t>
      </w:r>
      <w:hyperlink r:id="rId168">
        <w:r>
          <w:rPr>
            <w:rStyle w:val="Hyperlink"/>
          </w:rPr>
          <w:t xml:space="preserve">10.1016/j.actaastro.2026.05.010</w:t>
        </w:r>
      </w:hyperlink>
    </w:p>
    <w:p>
      <w:pPr>
        <w:pStyle w:val="BodyText"/>
        <w:spacing w:line="480" w:lineRule="auto"/>
        <w:ind w:firstLine="720"/>
      </w:pPr>
      <w:bookmarkStart w:id="169" w:name="ref-26"/>
      <w:bookmarkEnd w:id="169"/>
      <w:r>
        <w:t xml:space="preserve">26. Duarte Rondao; Lei He; Nabil Aouf. AI-based monocular pose estimation for autonomous space refuelling (2024). doi:</w:t>
      </w:r>
      <w:r>
        <w:t xml:space="preserve"> </w:t>
      </w:r>
      <w:hyperlink r:id="rId170">
        <w:r>
          <w:rPr>
            <w:rStyle w:val="Hyperlink"/>
          </w:rPr>
          <w:t xml:space="preserve">10.1016/j.actaastro.2024.04.003</w:t>
        </w:r>
      </w:hyperlink>
    </w:p>
    <w:p>
      <w:pPr>
        <w:pStyle w:val="BodyText"/>
        <w:spacing w:line="480" w:lineRule="auto"/>
        <w:ind w:firstLine="720"/>
      </w:pPr>
      <w:bookmarkStart w:id="171" w:name="ref-27"/>
      <w:bookmarkEnd w:id="171"/>
      <w:r>
        <w:t xml:space="preserve">27. Léo Renaut; Ksenia Klionovska; Maximilian Albracht; Heike Frei. EPOS-Lid: Lidar benchmark dataset for pose estimation during non-cooperative rendezvous (2025). doi:</w:t>
      </w:r>
      <w:r>
        <w:t xml:space="preserve"> </w:t>
      </w:r>
      <w:hyperlink r:id="rId172">
        <w:r>
          <w:rPr>
            <w:rStyle w:val="Hyperlink"/>
          </w:rPr>
          <w:t xml:space="preserve">10.1016/j.actaastro.2025.09.030</w:t>
        </w:r>
      </w:hyperlink>
    </w:p>
    <w:p>
      <w:pPr>
        <w:pStyle w:val="BodyText"/>
        <w:spacing w:line="480" w:lineRule="auto"/>
        <w:ind w:firstLine="720"/>
      </w:pPr>
      <w:bookmarkStart w:id="173" w:name="ref-28"/>
      <w:bookmarkEnd w:id="173"/>
      <w:r>
        <w:t xml:space="preserve">28. Hadi Jahanshahi; Zheng Zhu. Review of machine learning in robotic grasping control in space application (2024). doi:</w:t>
      </w:r>
      <w:r>
        <w:t xml:space="preserve"> </w:t>
      </w:r>
      <w:hyperlink r:id="rId174">
        <w:r>
          <w:rPr>
            <w:rStyle w:val="Hyperlink"/>
          </w:rPr>
          <w:t xml:space="preserve">10.1016/j.actaastro.2024.04.012</w:t>
        </w:r>
      </w:hyperlink>
    </w:p>
    <w:p>
      <w:pPr>
        <w:pStyle w:val="BodyText"/>
        <w:spacing w:line="480" w:lineRule="auto"/>
        <w:ind w:firstLine="720"/>
      </w:pPr>
      <w:bookmarkStart w:id="175" w:name="ref-29"/>
      <w:bookmarkEnd w:id="175"/>
      <w:r>
        <w:t xml:space="preserve">29. Giuseppe Napolano; Alessia Nocerino; Giancarmine Fasano; Michele Grassi; Roberto Opromolla. A CNN-based architecture for relative state and target motion parameters estimation in active debris removal missions (2025). doi:</w:t>
      </w:r>
      <w:r>
        <w:t xml:space="preserve"> </w:t>
      </w:r>
      <w:hyperlink r:id="rId176">
        <w:r>
          <w:rPr>
            <w:rStyle w:val="Hyperlink"/>
          </w:rPr>
          <w:t xml:space="preserve">10.1016/j.actaastro.2025.06.012</w:t>
        </w:r>
      </w:hyperlink>
    </w:p>
    <w:bookmarkEnd w:id="177"/>
    <w:bookmarkEnd w:id="178"/>
    <w:bookmarkStart w:id="195"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6" w:name="Xe0a2e0e5c7bd34c592f139e44f164c22e10d385"/>
    <w:p>
      <w:pPr>
        <w:pStyle w:val="Heading2"/>
        <w:spacing w:line="480" w:lineRule="auto"/>
      </w:pPr>
      <w:r>
        <w:t xml:space="preserve">A.1 Protected but Not Immune: Heliophysics Tracking Losses During the Artemis I Deep Space Network Demand Shock</w:t>
      </w:r>
    </w:p>
    <w:p>
      <w:pPr>
        <w:pStyle w:val="FirstParagraph"/>
        <w:spacing w:line="480" w:lineRule="auto"/>
      </w:pPr>
      <m:oMathPara>
        <m:oMathParaPr>
          <m:jc m:val="center"/>
        </m:oMathParaPr>
        <m:oMath>
          <m:sSub>
            <m:e>
              <m:r>
                <m:rPr>
                  <m:nor/>
                  <m:sty m:val="p"/>
                </m:rPr>
                <m:t>HoursLost</m:t>
              </m:r>
            </m:e>
            <m:sub>
              <m:r>
                <m:t>i</m:t>
              </m:r>
            </m:sub>
          </m:sSub>
          <m:r>
            <m:rPr>
              <m:sty m:val="p"/>
            </m:rPr>
            <m:t>=</m:t>
          </m:r>
          <m:r>
            <m:t>α</m:t>
          </m:r>
          <m:r>
            <m:rPr>
              <m:sty m:val="p"/>
            </m:rPr>
            <m:t>+</m:t>
          </m:r>
          <m:sSub>
            <m:e>
              <m:r>
                <m:t>β</m:t>
              </m:r>
            </m:e>
            <m:sub>
              <m:r>
                <m:t>1</m:t>
              </m:r>
            </m:sub>
          </m:sSub>
          <m:sSub>
            <m:e>
              <m:r>
                <m:rPr>
                  <m:nor/>
                  <m:sty m:val="p"/>
                </m:rPr>
                <m:t>Heliophysics</m:t>
              </m:r>
            </m:e>
            <m:sub>
              <m:r>
                <m:t>i</m:t>
              </m:r>
            </m:sub>
          </m:sSub>
          <m:r>
            <m:rPr>
              <m:sty m:val="p"/>
            </m:rPr>
            <m:t>+</m:t>
          </m:r>
          <m:sSub>
            <m:e>
              <m:r>
                <m:t>β</m:t>
              </m:r>
            </m:e>
            <m:sub>
              <m:r>
                <m:t>2</m:t>
              </m:r>
            </m:sub>
          </m:sSub>
          <m:sSub>
            <m:e>
              <m:r>
                <m:rPr>
                  <m:nor/>
                  <m:sty m:val="p"/>
                </m:rPr>
                <m:t>DeepSpace</m:t>
              </m:r>
            </m:e>
            <m:sub>
              <m:r>
                <m:t>i</m:t>
              </m:r>
            </m:sub>
          </m:sSub>
          <m:r>
            <m:rPr>
              <m:sty m:val="p"/>
            </m:rPr>
            <m:t>+</m:t>
          </m:r>
          <m:sSub>
            <m:e>
              <m:r>
                <m:t>ε</m:t>
              </m:r>
            </m:e>
            <m:sub>
              <m:r>
                <m:t>i</m:t>
              </m:r>
            </m:sub>
          </m:sSub>
        </m:oMath>
      </m:oMathPara>
    </w:p>
    <w:bookmarkStart w:id="179"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54.6525</w:t>
            </w:r>
          </w:p>
        </w:tc>
        <w:tc>
          <w:tcPr>
            <w:tcW w:w="0" w:type="auto"/>
          </w:tcPr>
          <w:p>
            <w:pPr>
              <w:spacing w:line="240" w:lineRule="auto" w:before="0" w:after="0"/>
              <w:pStyle w:val="Compact"/>
            </w:pPr>
            <w:r>
              <w:rPr>
                <w:sz w:val="20"/>
                <w:szCs w:val="20"/>
              </w:rPr>
              <w:t xml:space="preserve">18.4865</w:t>
            </w:r>
          </w:p>
        </w:tc>
        <w:tc>
          <w:tcPr>
            <w:tcW w:w="0" w:type="auto"/>
          </w:tcPr>
          <w:p>
            <w:pPr>
              <w:spacing w:line="240" w:lineRule="auto" w:before="0" w:after="0"/>
              <w:pStyle w:val="Compact"/>
            </w:pPr>
            <w:r>
              <w:rPr>
                <w:sz w:val="20"/>
                <w:szCs w:val="20"/>
              </w:rPr>
              <w:t xml:space="preserve">2.9564</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[18.4197, 90.8853]</w:t>
            </w:r>
          </w:p>
        </w:tc>
      </w:tr>
      <w:tr>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-31.8046</w:t>
            </w:r>
          </w:p>
        </w:tc>
        <w:tc>
          <w:tcPr>
            <w:tcW w:w="0" w:type="auto"/>
          </w:tcPr>
          <w:p>
            <w:pPr>
              <w:spacing w:line="240" w:lineRule="auto" w:before="0" w:after="0"/>
              <w:pStyle w:val="Compact"/>
            </w:pPr>
            <w:r>
              <w:rPr>
                <w:sz w:val="20"/>
                <w:szCs w:val="20"/>
              </w:rPr>
              <w:t xml:space="preserve">18.3146</w:t>
            </w:r>
          </w:p>
        </w:tc>
        <w:tc>
          <w:tcPr>
            <w:tcW w:w="0" w:type="auto"/>
          </w:tcPr>
          <w:p>
            <w:pPr>
              <w:spacing w:line="240" w:lineRule="auto" w:before="0" w:after="0"/>
              <w:pStyle w:val="Compact"/>
            </w:pPr>
            <w:r>
              <w:rPr>
                <w:sz w:val="20"/>
                <w:szCs w:val="20"/>
              </w:rPr>
              <w:t xml:space="preserve">-1.7366</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[-67.7005, 4.0913]</w:t>
            </w:r>
          </w:p>
        </w:tc>
      </w:tr>
      <w:tr>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-1.4853</w:t>
            </w:r>
          </w:p>
        </w:tc>
        <w:tc>
          <w:tcPr>
            <w:tcW w:w="0" w:type="auto"/>
          </w:tcPr>
          <w:p>
            <w:pPr>
              <w:spacing w:line="240" w:lineRule="auto" w:before="0" w:after="0"/>
              <w:pStyle w:val="Compact"/>
            </w:pPr>
            <w:r>
              <w:rPr>
                <w:sz w:val="20"/>
                <w:szCs w:val="20"/>
              </w:rPr>
              <w:t xml:space="preserve">19.547</w:t>
            </w:r>
          </w:p>
        </w:tc>
        <w:tc>
          <w:tcPr>
            <w:tcW w:w="0" w:type="auto"/>
          </w:tcPr>
          <w:p>
            <w:pPr>
              <w:spacing w:line="240" w:lineRule="auto" w:before="0" w:after="0"/>
              <w:pStyle w:val="Compact"/>
            </w:pPr>
            <w:r>
              <w:rPr>
                <w:sz w:val="20"/>
                <w:szCs w:val="20"/>
              </w:rPr>
              <w:t xml:space="preserve">-0.076</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[-39.7967, 36.826]</w:t>
            </w:r>
          </w:p>
        </w:tc>
      </w:tr>
    </w:tbl>
    <w:p>
      <w:pPr>
        <w:pStyle w:val="BodyText"/>
        <w:spacing w:line="480" w:lineRule="auto"/>
        <w:ind w:firstLine="720"/>
      </w:pPr>
      <w:r>
        <w:t xml:space="preserve">Fit: N = 40 R2 = 0.1008 R2_adj = 0.0522 F = 3.2658 F_p = 0.0494</w:t>
      </w:r>
    </w:p>
    <w:bookmarkEnd w:id="179"/>
    <w:bookmarkStart w:id="183"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Mission-level tracking losses during the Artemis I DSN demand shock, separated by heliophysics classification." title="" id="181" name="Picture"/>
            <a:graphic>
              <a:graphicData uri="http://schemas.openxmlformats.org/drawingml/2006/picture">
                <pic:pic>
                  <pic:nvPicPr>
                    <pic:cNvPr descr="D:/Claude_Code/brain/collegium/candidates/dissertations/JPL_ASTRO_EARTH_05/research_papers/p1/paper_fig1.png" id="182" name="Picture"/>
                    <pic:cNvPicPr>
                      <a:picLocks noChangeArrowheads="1" noChangeAspect="1"/>
                    </pic:cNvPicPr>
                  </pic:nvPicPr>
                  <pic:blipFill>
                    <a:blip r:embed="rId1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Mission-level tracking losses during the Artemis I DSN demand shock, separated by heliophysics classification.</w:t>
      </w:r>
    </w:p>
    <w:bookmarkEnd w:id="183"/>
    <w:bookmarkStart w:id="184"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hours_lost</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INTG</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DSCO</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THB</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PLC</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EMM</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GBRA</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THC</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XMM</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CHDR</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JNO</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LICI</w:t>
            </w:r>
          </w:p>
        </w:tc>
        <w:tc>
          <w:tcPr>
            <w:tcW w:w="0" w:type="auto"/>
          </w:tcPr>
          <w:p>
            <w:pPr>
              <w:spacing w:line="240" w:lineRule="auto" w:before="0" w:after="0"/>
              <w:pStyle w:val="Compact"/>
            </w:pPr>
            <w:r>
              <w:rPr>
                <w:sz w:val="20"/>
                <w:szCs w:val="20"/>
              </w:rPr>
              <w:t xml:space="preserve">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KPLO</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SPP</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VGR1</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LFL</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NSYT</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VGR2</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ORX</w:t>
            </w:r>
          </w:p>
        </w:tc>
        <w:tc>
          <w:tcPr>
            <w:tcW w:w="0" w:type="auto"/>
          </w:tcPr>
          <w:p>
            <w:pPr>
              <w:spacing w:line="240" w:lineRule="auto" w:before="0" w:after="0"/>
              <w:pStyle w:val="Compact"/>
            </w:pPr>
            <w:r>
              <w:rPr>
                <w:sz w:val="20"/>
                <w:szCs w:val="20"/>
              </w:rPr>
              <w:t xml:space="preserve">68.4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GSSR</w:t>
            </w:r>
          </w:p>
        </w:tc>
        <w:tc>
          <w:tcPr>
            <w:tcW w:w="0" w:type="auto"/>
          </w:tcPr>
          <w:p>
            <w:pPr>
              <w:spacing w:line="240" w:lineRule="auto" w:before="0" w:after="0"/>
              <w:pStyle w:val="Compact"/>
            </w:pPr>
            <w:r>
              <w:rPr>
                <w:sz w:val="20"/>
                <w:szCs w:val="20"/>
              </w:rPr>
              <w:t xml:space="preserve">79.7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81.8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MVN</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CAPS</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M01O</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DSS</w:t>
            </w:r>
          </w:p>
        </w:tc>
        <w:tc>
          <w:tcPr>
            <w:tcW w:w="0" w:type="auto"/>
          </w:tcPr>
          <w:p>
            <w:pPr>
              <w:spacing w:line="240" w:lineRule="auto" w:before="0" w:after="0"/>
              <w:pStyle w:val="Compact"/>
            </w:pPr>
            <w:r>
              <w:rPr>
                <w:sz w:val="20"/>
                <w:szCs w:val="20"/>
              </w:rPr>
              <w:t xml:space="preserve">148.5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184.8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bl>
    <w:bookmarkEnd w:id="184"/>
    <w:bookmarkStart w:id="185"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hours_lost</w:t>
            </w:r>
          </w:p>
        </w:tc>
        <w:tc>
          <w:tcPr>
            <w:tcW w:w="0" w:type="auto"/>
          </w:tcPr>
          <w:p>
            <w:pPr>
              <w:spacing w:line="240" w:lineRule="auto" w:before="0" w:after="0"/>
              <w:pStyle w:val="Compact"/>
            </w:pPr>
            <w:r>
              <w:rPr>
                <w:sz w:val="20"/>
                <w:szCs w:val="20"/>
              </w:rPr>
              <w:t xml:space="preserve">Hours of scheduled support lost between planning and execution during Artemis I weeks 2022-46 through 2022-49</w:t>
            </w:r>
          </w:p>
        </w:tc>
        <w:tc>
          <w:tcPr>
            <w:tcW w:w="0" w:type="auto"/>
          </w:tcPr>
          <w:p>
            <w:pPr>
              <w:spacing w:line="240" w:lineRule="auto" w:before="0" w:after="0"/>
              <w:pStyle w:val="Compact"/>
            </w:pPr>
            <w:r>
              <w:rPr>
                <w:sz w:val="20"/>
                <w:szCs w:val="20"/>
              </w:rPr>
              <w:t xml:space="preserve">Absolute value of a negative mission-level schedule change in NASA NTRS 20250004124 slide 6; positive changes are coded zero</w:t>
            </w:r>
          </w:p>
        </w:tc>
      </w:tr>
      <w:tr>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Indicator equal to one for a heliophysics or solar-terrestrial mission</w:t>
            </w:r>
          </w:p>
        </w:tc>
        <w:tc>
          <w:tcPr>
            <w:tcW w:w="0" w:type="auto"/>
          </w:tcPr>
          <w:p>
            <w:pPr>
              <w:spacing w:line="240" w:lineRule="auto" w:before="0" w:after="0"/>
              <w:pStyle w:val="Compact"/>
            </w:pPr>
            <w:r>
              <w:rPr>
                <w:sz w:val="20"/>
                <w:szCs w:val="20"/>
              </w:rPr>
              <w:t xml:space="preserve">Mission classification checked against the JPL Deep Space Network Current Mission Set dated 2020-07-08</w:t>
            </w:r>
          </w:p>
        </w:tc>
      </w:tr>
      <w:tr>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Indicator equal to one for planetary, cislunar, or deep-space exploration missions</w:t>
            </w:r>
          </w:p>
        </w:tc>
        <w:tc>
          <w:tcPr>
            <w:tcW w:w="0" w:type="auto"/>
          </w:tcPr>
          <w:p>
            <w:pPr>
              <w:spacing w:line="240" w:lineRule="auto" w:before="0" w:after="0"/>
              <w:pStyle w:val="Compact"/>
            </w:pPr>
            <w:r>
              <w:rPr>
                <w:sz w:val="20"/>
                <w:szCs w:val="20"/>
              </w:rPr>
              <w:t xml:space="preserve">Mission classification checked against the JPL Deep Space Network Current Mission Set dated 2020-07-08</w:t>
            </w:r>
          </w:p>
        </w:tc>
      </w:tr>
    </w:tbl>
    <w:bookmarkEnd w:id="185"/>
    <w:bookmarkEnd w:id="186"/>
    <w:bookmarkStart w:id="194" w:name="X8594dda26de6495fd645579dc6612ea0d6d2103"/>
    <w:p>
      <w:pPr>
        <w:pStyle w:val="Heading2"/>
        <w:spacing w:line="480" w:lineRule="auto"/>
      </w:pPr>
      <w:r>
        <w:t xml:space="preserve">A.2 Designed for the Prime Mission, Supported for the Long Run: A Scaling Test of Deep Space Network Mission Longevity</w:t>
      </w:r>
    </w:p>
    <w:p>
      <w:pPr>
        <w:pStyle w:val="FirstParagraph"/>
        <w:spacing w:line="480" w:lineRule="auto"/>
      </w:pPr>
      <m:oMathPara>
        <m:oMathParaPr>
          <m:jc m:val="center"/>
        </m:oMathParaPr>
        <m:oMath>
          <m:r>
            <m:rPr>
              <m:sty m:val="p"/>
            </m:rPr>
            <m:t>log</m:t>
          </m:r>
          <m:r>
            <m:rPr>
              <m:sty m:val="p"/>
            </m:rPr>
            <m:t>(</m:t>
          </m:r>
          <m:sSub>
            <m:e>
              <m:r>
                <m:rPr>
                  <m:nor/>
                  <m:sty m:val="p"/>
                </m:rPr>
                <m:t>SupportAge</m:t>
              </m:r>
            </m:e>
            <m:sub>
              <m:r>
                <m:t>i</m:t>
              </m:r>
            </m:sub>
          </m:sSub>
          <m:r>
            <m:rPr>
              <m:sty m:val="p"/>
            </m:rPr>
            <m:t>)</m:t>
          </m:r>
          <m:r>
            <m:rPr>
              <m:sty m:val="p"/>
            </m:rPr>
            <m:t>=</m:t>
          </m:r>
          <m:r>
            <m:t>α</m:t>
          </m:r>
          <m:r>
            <m:rPr>
              <m:sty m:val="p"/>
            </m:rPr>
            <m:t>+</m:t>
          </m:r>
          <m:r>
            <m:t>b</m:t>
          </m:r>
          <m:r>
            <m:rPr>
              <m:sty m:val="p"/>
            </m:rPr>
            <m:t>log</m:t>
          </m:r>
          <m:r>
            <m:rPr>
              <m:sty m:val="p"/>
            </m:rPr>
            <m:t>(</m:t>
          </m:r>
          <m:sSub>
            <m:e>
              <m:r>
                <m:rPr>
                  <m:nor/>
                  <m:sty m:val="p"/>
                </m:rPr>
                <m:t>PrimeDuration</m:t>
              </m:r>
            </m:e>
            <m:sub>
              <m:r>
                <m:t>i</m:t>
              </m:r>
            </m:sub>
          </m:sSub>
          <m:r>
            <m:rPr>
              <m:sty m:val="p"/>
            </m:rPr>
            <m:t>)</m:t>
          </m:r>
          <m:r>
            <m:rPr>
              <m:sty m:val="p"/>
            </m:rPr>
            <m:t>+</m:t>
          </m:r>
          <m:sSub>
            <m:e>
              <m:r>
                <m:t>ε</m:t>
              </m:r>
            </m:e>
            <m:sub>
              <m:r>
                <m:t>i</m:t>
              </m:r>
            </m:sub>
          </m:sSub>
        </m:oMath>
      </m:oMathPara>
    </w:p>
    <w:bookmarkStart w:id="187"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1.7252</w:t>
            </w:r>
          </w:p>
        </w:tc>
        <w:tc>
          <w:tcPr>
            <w:tcW w:w="0" w:type="auto"/>
          </w:tcPr>
          <w:p>
            <w:pPr>
              <w:spacing w:line="240" w:lineRule="auto" w:before="0" w:after="0"/>
              <w:pStyle w:val="Compact"/>
            </w:pPr>
            <w:r>
              <w:rPr>
                <w:sz w:val="20"/>
                <w:szCs w:val="20"/>
              </w:rPr>
              <w:t xml:space="preserve">0.334</w:t>
            </w:r>
          </w:p>
        </w:tc>
        <w:tc>
          <w:tcPr>
            <w:tcW w:w="0" w:type="auto"/>
          </w:tcPr>
          <w:p>
            <w:pPr>
              <w:spacing w:line="240" w:lineRule="auto" w:before="0" w:after="0"/>
              <w:pStyle w:val="Compact"/>
            </w:pPr>
            <w:r>
              <w:rPr>
                <w:sz w:val="20"/>
                <w:szCs w:val="20"/>
              </w:rPr>
              <w:t xml:space="preserve">5.1656</w:t>
            </w:r>
          </w:p>
        </w:tc>
        <w:tc>
          <w:tcPr>
            <w:tcW w:w="0" w:type="auto"/>
          </w:tcPr>
          <w:p>
            <w:pPr>
              <w:spacing w:line="240" w:lineRule="auto" w:before="0" w:after="0"/>
              <w:pStyle w:val="Compact"/>
            </w:pPr>
            <w:r>
              <w:rPr>
                <w:sz w:val="20"/>
                <w:szCs w:val="20"/>
              </w:rPr>
              <w:t xml:space="preserve">2.397e-07</w:t>
            </w:r>
          </w:p>
        </w:tc>
        <w:tc>
          <w:tcPr>
            <w:tcW w:w="0" w:type="auto"/>
          </w:tcPr>
          <w:p>
            <w:pPr>
              <w:spacing w:line="240" w:lineRule="auto" w:before="0" w:after="0"/>
              <w:pStyle w:val="Compact"/>
            </w:pPr>
            <w:r>
              <w:rPr>
                <w:sz w:val="20"/>
                <w:szCs w:val="20"/>
              </w:rPr>
              <w:t xml:space="preserve">[1.0706, 2.3798]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1.9978</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[0.0085, 0.8845]</w:t>
            </w:r>
          </w:p>
        </w:tc>
      </w:tr>
    </w:tbl>
    <w:p>
      <w:pPr>
        <w:pStyle w:val="BodyText"/>
        <w:spacing w:line="480" w:lineRule="auto"/>
        <w:ind w:firstLine="720"/>
      </w:pPr>
      <w:r>
        <w:t xml:space="preserve">Fit: N = 28 R2 = 0.1188 elasticity_b = 0.4465 progress_ratio_2^b = 1.3627</w:t>
      </w:r>
    </w:p>
    <w:bookmarkEnd w:id="187"/>
    <w:bookmarkStart w:id="191"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Listed prime mission duration and accumulated mission support age for 28 missions in the JPL DSN mission set." title="" id="189" name="Picture"/>
            <a:graphic>
              <a:graphicData uri="http://schemas.openxmlformats.org/drawingml/2006/picture">
                <pic:pic>
                  <pic:nvPicPr>
                    <pic:cNvPr descr="D:/Claude_Code/brain/collegium/candidates/dissertations/JPL_ASTRO_EARTH_05/research_papers/p2/paper_fig1.png" id="190" name="Picture"/>
                    <pic:cNvPicPr>
                      <a:picLocks noChangeArrowheads="1" noChangeAspect="1"/>
                    </pic:cNvPicPr>
                  </pic:nvPicPr>
                  <pic:blipFill>
                    <a:blip r:embed="rId18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Listed prime mission duration and accumulated mission support age for 28 missions in the JPL DSN mission set.</w:t>
      </w:r>
    </w:p>
    <w:bookmarkEnd w:id="191"/>
    <w:bookmarkStart w:id="192"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prime_completion_date</w:t>
            </w:r>
          </w:p>
        </w:tc>
        <w:tc>
          <w:tcPr>
            <w:tcW w:w="0" w:type="auto"/>
          </w:tcPr>
          <w:p>
            <w:pPr>
              <w:spacing w:line="240" w:lineRule="auto" w:before="0" w:after="0"/>
              <w:pStyle w:val="Compact"/>
            </w:pPr>
            <w:r>
              <w:rPr>
                <w:sz w:val="20"/>
                <w:szCs w:val="20"/>
              </w:rPr>
              <w:t xml:space="preserve">prime_duration_years</w:t>
            </w:r>
          </w:p>
        </w:tc>
        <w:tc>
          <w:tcPr>
            <w:tcW w:w="0" w:type="auto"/>
          </w:tcPr>
          <w:p>
            <w:pPr>
              <w:spacing w:line="240" w:lineRule="auto" w:before="0" w:after="0"/>
              <w:pStyle w:val="Compact"/>
            </w:pPr>
            <w:r>
              <w:rPr>
                <w:sz w:val="20"/>
                <w:szCs w:val="20"/>
              </w:rPr>
              <w:t xml:space="preserve">support_age_years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1997-08-25</w:t>
            </w:r>
          </w:p>
        </w:tc>
        <w:tc>
          <w:tcPr>
            <w:tcW w:w="0" w:type="auto"/>
          </w:tcPr>
          <w:p>
            <w:pPr>
              <w:spacing w:line="240" w:lineRule="auto" w:before="0" w:after="0"/>
              <w:pStyle w:val="Compact"/>
            </w:pPr>
            <w:r>
              <w:rPr>
                <w:sz w:val="20"/>
                <w:szCs w:val="20"/>
              </w:rPr>
              <w:t xml:space="preserve">2001-02-01</w:t>
            </w:r>
          </w:p>
        </w:tc>
        <w:tc>
          <w:tcPr>
            <w:tcW w:w="0" w:type="auto"/>
          </w:tcPr>
          <w:p>
            <w:pPr>
              <w:spacing w:line="240" w:lineRule="auto" w:before="0" w:after="0"/>
              <w:pStyle w:val="Compact"/>
            </w:pPr>
            <w:r>
              <w:rPr>
                <w:sz w:val="20"/>
                <w:szCs w:val="20"/>
              </w:rPr>
              <w:t xml:space="preserve">3.4387</w:t>
            </w:r>
          </w:p>
        </w:tc>
        <w:tc>
          <w:tcPr>
            <w:tcW w:w="0" w:type="auto"/>
          </w:tcPr>
          <w:p>
            <w:pPr>
              <w:spacing w:line="240" w:lineRule="auto" w:before="0" w:after="0"/>
              <w:pStyle w:val="Compact"/>
            </w:pPr>
            <w:r>
              <w:rPr>
                <w:sz w:val="20"/>
                <w:szCs w:val="20"/>
              </w:rPr>
              <w:t xml:space="preserve">22.8693</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CHDR</w:t>
            </w:r>
          </w:p>
        </w:tc>
        <w:tc>
          <w:tcPr>
            <w:tcW w:w="0" w:type="auto"/>
          </w:tcPr>
          <w:p>
            <w:pPr>
              <w:spacing w:line="240" w:lineRule="auto" w:before="0" w:after="0"/>
              <w:pStyle w:val="Compact"/>
            </w:pPr>
            <w:r>
              <w:rPr>
                <w:sz w:val="20"/>
                <w:szCs w:val="20"/>
              </w:rPr>
              <w:t xml:space="preserve">1999-07-23</w:t>
            </w:r>
          </w:p>
        </w:tc>
        <w:tc>
          <w:tcPr>
            <w:tcW w:w="0" w:type="auto"/>
          </w:tcPr>
          <w:p>
            <w:pPr>
              <w:spacing w:line="240" w:lineRule="auto" w:before="0" w:after="0"/>
              <w:pStyle w:val="Compact"/>
            </w:pPr>
            <w:r>
              <w:rPr>
                <w:sz w:val="20"/>
                <w:szCs w:val="20"/>
              </w:rPr>
              <w:t xml:space="preserve">2006-10-23</w:t>
            </w:r>
          </w:p>
        </w:tc>
        <w:tc>
          <w:tcPr>
            <w:tcW w:w="0" w:type="auto"/>
          </w:tcPr>
          <w:p>
            <w:pPr>
              <w:spacing w:line="240" w:lineRule="auto" w:before="0" w:after="0"/>
              <w:pStyle w:val="Compact"/>
            </w:pPr>
            <w:r>
              <w:rPr>
                <w:sz w:val="20"/>
                <w:szCs w:val="20"/>
              </w:rPr>
              <w:t xml:space="preserve">7.2526</w:t>
            </w:r>
          </w:p>
        </w:tc>
        <w:tc>
          <w:tcPr>
            <w:tcW w:w="0" w:type="auto"/>
          </w:tcPr>
          <w:p>
            <w:pPr>
              <w:spacing w:line="240" w:lineRule="auto" w:before="0" w:after="0"/>
              <w:pStyle w:val="Compact"/>
            </w:pPr>
            <w:r>
              <w:rPr>
                <w:sz w:val="20"/>
                <w:szCs w:val="20"/>
              </w:rPr>
              <w:t xml:space="preserve">20.961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CH2</w:t>
            </w:r>
          </w:p>
        </w:tc>
        <w:tc>
          <w:tcPr>
            <w:tcW w:w="0" w:type="auto"/>
          </w:tcPr>
          <w:p>
            <w:pPr>
              <w:spacing w:line="240" w:lineRule="auto" w:before="0" w:after="0"/>
              <w:pStyle w:val="Compact"/>
            </w:pPr>
            <w:r>
              <w:rPr>
                <w:sz w:val="20"/>
                <w:szCs w:val="20"/>
              </w:rPr>
              <w:t xml:space="preserve">2018-03-20</w:t>
            </w:r>
          </w:p>
        </w:tc>
        <w:tc>
          <w:tcPr>
            <w:tcW w:w="0" w:type="auto"/>
          </w:tcPr>
          <w:p>
            <w:pPr>
              <w:spacing w:line="240" w:lineRule="auto" w:before="0" w:after="0"/>
              <w:pStyle w:val="Compact"/>
            </w:pPr>
            <w:r>
              <w:rPr>
                <w:sz w:val="20"/>
                <w:szCs w:val="20"/>
              </w:rPr>
              <w:t xml:space="preserve">2020-09-30</w:t>
            </w:r>
          </w:p>
        </w:tc>
        <w:tc>
          <w:tcPr>
            <w:tcW w:w="0" w:type="auto"/>
          </w:tcPr>
          <w:p>
            <w:pPr>
              <w:spacing w:line="240" w:lineRule="auto" w:before="0" w:after="0"/>
              <w:pStyle w:val="Compact"/>
            </w:pPr>
            <w:r>
              <w:rPr>
                <w:sz w:val="20"/>
                <w:szCs w:val="20"/>
              </w:rPr>
              <w:t xml:space="preserve">2.5325</w:t>
            </w:r>
          </w:p>
        </w:tc>
        <w:tc>
          <w:tcPr>
            <w:tcW w:w="0" w:type="auto"/>
          </w:tcPr>
          <w:p>
            <w:pPr>
              <w:spacing w:line="240" w:lineRule="auto" w:before="0" w:after="0"/>
              <w:pStyle w:val="Compact"/>
            </w:pPr>
            <w:r>
              <w:rPr>
                <w:sz w:val="20"/>
                <w:szCs w:val="20"/>
              </w:rPr>
              <w:t xml:space="preserve">2.3025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DSCO</w:t>
            </w:r>
          </w:p>
        </w:tc>
        <w:tc>
          <w:tcPr>
            <w:tcW w:w="0" w:type="auto"/>
          </w:tcPr>
          <w:p>
            <w:pPr>
              <w:spacing w:line="240" w:lineRule="auto" w:before="0" w:after="0"/>
              <w:pStyle w:val="Compact"/>
            </w:pPr>
            <w:r>
              <w:rPr>
                <w:sz w:val="20"/>
                <w:szCs w:val="20"/>
              </w:rPr>
              <w:t xml:space="preserve">2015-02-11</w:t>
            </w:r>
          </w:p>
        </w:tc>
        <w:tc>
          <w:tcPr>
            <w:tcW w:w="0" w:type="auto"/>
          </w:tcPr>
          <w:p>
            <w:pPr>
              <w:spacing w:line="240" w:lineRule="auto" w:before="0" w:after="0"/>
              <w:pStyle w:val="Compact"/>
            </w:pPr>
            <w:r>
              <w:rPr>
                <w:sz w:val="20"/>
                <w:szCs w:val="20"/>
              </w:rPr>
              <w:t xml:space="preserve">2017-06-12</w:t>
            </w:r>
          </w:p>
        </w:tc>
        <w:tc>
          <w:tcPr>
            <w:tcW w:w="0" w:type="auto"/>
          </w:tcPr>
          <w:p>
            <w:pPr>
              <w:spacing w:line="240" w:lineRule="auto" w:before="0" w:after="0"/>
              <w:pStyle w:val="Compact"/>
            </w:pPr>
            <w:r>
              <w:rPr>
                <w:sz w:val="20"/>
                <w:szCs w:val="20"/>
              </w:rPr>
              <w:t xml:space="preserve">2.3326</w:t>
            </w:r>
          </w:p>
        </w:tc>
        <w:tc>
          <w:tcPr>
            <w:tcW w:w="0" w:type="auto"/>
          </w:tcPr>
          <w:p>
            <w:pPr>
              <w:spacing w:line="240" w:lineRule="auto" w:before="0" w:after="0"/>
              <w:pStyle w:val="Compact"/>
            </w:pPr>
            <w:r>
              <w:rPr>
                <w:sz w:val="20"/>
                <w:szCs w:val="20"/>
              </w:rPr>
              <w:t xml:space="preserve">5.4045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2013-12-19</w:t>
            </w:r>
          </w:p>
        </w:tc>
        <w:tc>
          <w:tcPr>
            <w:tcW w:w="0" w:type="auto"/>
          </w:tcPr>
          <w:p>
            <w:pPr>
              <w:spacing w:line="240" w:lineRule="auto" w:before="0" w:after="0"/>
              <w:pStyle w:val="Compact"/>
            </w:pPr>
            <w:r>
              <w:rPr>
                <w:sz w:val="20"/>
                <w:szCs w:val="20"/>
              </w:rPr>
              <w:t xml:space="preserve">2019-07-01</w:t>
            </w:r>
          </w:p>
        </w:tc>
        <w:tc>
          <w:tcPr>
            <w:tcW w:w="0" w:type="auto"/>
          </w:tcPr>
          <w:p>
            <w:pPr>
              <w:spacing w:line="240" w:lineRule="auto" w:before="0" w:after="0"/>
              <w:pStyle w:val="Compact"/>
            </w:pPr>
            <w:r>
              <w:rPr>
                <w:sz w:val="20"/>
                <w:szCs w:val="20"/>
              </w:rPr>
              <w:t xml:space="preserve">5.5305</w:t>
            </w:r>
          </w:p>
        </w:tc>
        <w:tc>
          <w:tcPr>
            <w:tcW w:w="0" w:type="auto"/>
          </w:tcPr>
          <w:p>
            <w:pPr>
              <w:spacing w:line="240" w:lineRule="auto" w:before="0" w:after="0"/>
              <w:pStyle w:val="Compact"/>
            </w:pPr>
            <w:r>
              <w:rPr>
                <w:sz w:val="20"/>
                <w:szCs w:val="20"/>
              </w:rPr>
              <w:t xml:space="preserve">6.5517</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GTL</w:t>
            </w:r>
          </w:p>
        </w:tc>
        <w:tc>
          <w:tcPr>
            <w:tcW w:w="0" w:type="auto"/>
          </w:tcPr>
          <w:p>
            <w:pPr>
              <w:spacing w:line="240" w:lineRule="auto" w:before="0" w:after="0"/>
              <w:pStyle w:val="Compact"/>
            </w:pPr>
            <w:r>
              <w:rPr>
                <w:sz w:val="20"/>
                <w:szCs w:val="20"/>
              </w:rPr>
              <w:t xml:space="preserve">1992-07-24</w:t>
            </w:r>
          </w:p>
        </w:tc>
        <w:tc>
          <w:tcPr>
            <w:tcW w:w="0" w:type="auto"/>
          </w:tcPr>
          <w:p>
            <w:pPr>
              <w:spacing w:line="240" w:lineRule="auto" w:before="0" w:after="0"/>
              <w:pStyle w:val="Compact"/>
            </w:pPr>
            <w:r>
              <w:rPr>
                <w:sz w:val="20"/>
                <w:szCs w:val="20"/>
              </w:rPr>
              <w:t xml:space="preserve">1995-07-24</w:t>
            </w:r>
          </w:p>
        </w:tc>
        <w:tc>
          <w:tcPr>
            <w:tcW w:w="0" w:type="auto"/>
          </w:tcPr>
          <w:p>
            <w:pPr>
              <w:spacing w:line="240" w:lineRule="auto" w:before="0" w:after="0"/>
              <w:pStyle w:val="Compact"/>
            </w:pPr>
            <w:r>
              <w:rPr>
                <w:sz w:val="20"/>
                <w:szCs w:val="20"/>
              </w:rPr>
              <w:t xml:space="preserve">2.9979</w:t>
            </w:r>
          </w:p>
        </w:tc>
        <w:tc>
          <w:tcPr>
            <w:tcW w:w="0" w:type="auto"/>
          </w:tcPr>
          <w:p>
            <w:pPr>
              <w:spacing w:line="240" w:lineRule="auto" w:before="0" w:after="0"/>
              <w:pStyle w:val="Compact"/>
            </w:pPr>
            <w:r>
              <w:rPr>
                <w:sz w:val="20"/>
                <w:szCs w:val="20"/>
              </w:rPr>
              <w:t xml:space="preserve">27.9562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HYB2</w:t>
            </w:r>
          </w:p>
        </w:tc>
        <w:tc>
          <w:tcPr>
            <w:tcW w:w="0" w:type="auto"/>
          </w:tcPr>
          <w:p>
            <w:pPr>
              <w:spacing w:line="240" w:lineRule="auto" w:before="0" w:after="0"/>
              <w:pStyle w:val="Compact"/>
            </w:pPr>
            <w:r>
              <w:rPr>
                <w:sz w:val="20"/>
                <w:szCs w:val="20"/>
              </w:rPr>
              <w:t xml:space="preserve">2014-12-03</w:t>
            </w:r>
          </w:p>
        </w:tc>
        <w:tc>
          <w:tcPr>
            <w:tcW w:w="0" w:type="auto"/>
          </w:tcPr>
          <w:p>
            <w:pPr>
              <w:spacing w:line="240" w:lineRule="auto" w:before="0" w:after="0"/>
              <w:pStyle w:val="Compact"/>
            </w:pPr>
            <w:r>
              <w:rPr>
                <w:sz w:val="20"/>
                <w:szCs w:val="20"/>
              </w:rPr>
              <w:t xml:space="preserve">2020-12-14</w:t>
            </w:r>
          </w:p>
        </w:tc>
        <w:tc>
          <w:tcPr>
            <w:tcW w:w="0" w:type="auto"/>
          </w:tcPr>
          <w:p>
            <w:pPr>
              <w:spacing w:line="240" w:lineRule="auto" w:before="0" w:after="0"/>
              <w:pStyle w:val="Compact"/>
            </w:pPr>
            <w:r>
              <w:rPr>
                <w:sz w:val="20"/>
                <w:szCs w:val="20"/>
              </w:rPr>
              <w:t xml:space="preserve">6.0315</w:t>
            </w:r>
          </w:p>
        </w:tc>
        <w:tc>
          <w:tcPr>
            <w:tcW w:w="0" w:type="auto"/>
          </w:tcPr>
          <w:p>
            <w:pPr>
              <w:spacing w:line="240" w:lineRule="auto" w:before="0" w:after="0"/>
              <w:pStyle w:val="Compact"/>
            </w:pPr>
            <w:r>
              <w:rPr>
                <w:sz w:val="20"/>
                <w:szCs w:val="20"/>
              </w:rPr>
              <w:t xml:space="preserve">5.5962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NSYT</w:t>
            </w:r>
          </w:p>
        </w:tc>
        <w:tc>
          <w:tcPr>
            <w:tcW w:w="0" w:type="auto"/>
          </w:tcPr>
          <w:p>
            <w:pPr>
              <w:spacing w:line="240" w:lineRule="auto" w:before="0" w:after="0"/>
              <w:pStyle w:val="Compact"/>
            </w:pPr>
            <w:r>
              <w:rPr>
                <w:sz w:val="20"/>
                <w:szCs w:val="20"/>
              </w:rPr>
              <w:t xml:space="preserve">2018-05-01</w:t>
            </w:r>
          </w:p>
        </w:tc>
        <w:tc>
          <w:tcPr>
            <w:tcW w:w="0" w:type="auto"/>
          </w:tcPr>
          <w:p>
            <w:pPr>
              <w:spacing w:line="240" w:lineRule="auto" w:before="0" w:after="0"/>
              <w:pStyle w:val="Compact"/>
            </w:pPr>
            <w:r>
              <w:rPr>
                <w:sz w:val="20"/>
                <w:szCs w:val="20"/>
              </w:rPr>
              <w:t xml:space="preserve">2020-11-24</w:t>
            </w:r>
          </w:p>
        </w:tc>
        <w:tc>
          <w:tcPr>
            <w:tcW w:w="0" w:type="auto"/>
          </w:tcPr>
          <w:p>
            <w:pPr>
              <w:spacing w:line="240" w:lineRule="auto" w:before="0" w:after="0"/>
              <w:pStyle w:val="Compact"/>
            </w:pPr>
            <w:r>
              <w:rPr>
                <w:sz w:val="20"/>
                <w:szCs w:val="20"/>
              </w:rPr>
              <w:t xml:space="preserve">2.5681</w:t>
            </w:r>
          </w:p>
        </w:tc>
        <w:tc>
          <w:tcPr>
            <w:tcW w:w="0" w:type="auto"/>
          </w:tcPr>
          <w:p>
            <w:pPr>
              <w:spacing w:line="240" w:lineRule="auto" w:before="0" w:after="0"/>
              <w:pStyle w:val="Compact"/>
            </w:pPr>
            <w:r>
              <w:rPr>
                <w:sz w:val="20"/>
                <w:szCs w:val="20"/>
              </w:rPr>
              <w:t xml:space="preserve">2.1875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JNO</w:t>
            </w:r>
          </w:p>
        </w:tc>
        <w:tc>
          <w:tcPr>
            <w:tcW w:w="0" w:type="auto"/>
          </w:tcPr>
          <w:p>
            <w:pPr>
              <w:spacing w:line="240" w:lineRule="auto" w:before="0" w:after="0"/>
              <w:pStyle w:val="Compact"/>
            </w:pPr>
            <w:r>
              <w:rPr>
                <w:sz w:val="20"/>
                <w:szCs w:val="20"/>
              </w:rPr>
              <w:t xml:space="preserve">2011-08-05</w:t>
            </w:r>
          </w:p>
        </w:tc>
        <w:tc>
          <w:tcPr>
            <w:tcW w:w="0" w:type="auto"/>
          </w:tcPr>
          <w:p>
            <w:pPr>
              <w:spacing w:line="240" w:lineRule="auto" w:before="0" w:after="0"/>
              <w:pStyle w:val="Compact"/>
            </w:pPr>
            <w:r>
              <w:rPr>
                <w:sz w:val="20"/>
                <w:szCs w:val="20"/>
              </w:rPr>
              <w:t xml:space="preserve">2018-09-07</w:t>
            </w:r>
          </w:p>
        </w:tc>
        <w:tc>
          <w:tcPr>
            <w:tcW w:w="0" w:type="auto"/>
          </w:tcPr>
          <w:p>
            <w:pPr>
              <w:spacing w:line="240" w:lineRule="auto" w:before="0" w:after="0"/>
              <w:pStyle w:val="Compact"/>
            </w:pPr>
            <w:r>
              <w:rPr>
                <w:sz w:val="20"/>
                <w:szCs w:val="20"/>
              </w:rPr>
              <w:t xml:space="preserve">7.091</w:t>
            </w:r>
          </w:p>
        </w:tc>
        <w:tc>
          <w:tcPr>
            <w:tcW w:w="0" w:type="auto"/>
          </w:tcPr>
          <w:p>
            <w:pPr>
              <w:spacing w:line="240" w:lineRule="auto" w:before="0" w:after="0"/>
              <w:pStyle w:val="Compact"/>
            </w:pPr>
            <w:r>
              <w:rPr>
                <w:sz w:val="20"/>
                <w:szCs w:val="20"/>
              </w:rPr>
              <w:t xml:space="preserve">8.9254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2009-06-18</w:t>
            </w:r>
          </w:p>
        </w:tc>
        <w:tc>
          <w:tcPr>
            <w:tcW w:w="0" w:type="auto"/>
          </w:tcPr>
          <w:p>
            <w:pPr>
              <w:spacing w:line="240" w:lineRule="auto" w:before="0" w:after="0"/>
              <w:pStyle w:val="Compact"/>
            </w:pPr>
            <w:r>
              <w:rPr>
                <w:sz w:val="20"/>
                <w:szCs w:val="20"/>
              </w:rPr>
              <w:t xml:space="preserve">2010-09-30</w:t>
            </w:r>
          </w:p>
        </w:tc>
        <w:tc>
          <w:tcPr>
            <w:tcW w:w="0" w:type="auto"/>
          </w:tcPr>
          <w:p>
            <w:pPr>
              <w:spacing w:line="240" w:lineRule="auto" w:before="0" w:after="0"/>
              <w:pStyle w:val="Compact"/>
            </w:pPr>
            <w:r>
              <w:rPr>
                <w:sz w:val="20"/>
                <w:szCs w:val="20"/>
              </w:rPr>
              <w:t xml:space="preserve">1.2841</w:t>
            </w:r>
          </w:p>
        </w:tc>
        <w:tc>
          <w:tcPr>
            <w:tcW w:w="0" w:type="auto"/>
          </w:tcPr>
          <w:p>
            <w:pPr>
              <w:spacing w:line="240" w:lineRule="auto" w:before="0" w:after="0"/>
              <w:pStyle w:val="Compact"/>
            </w:pPr>
            <w:r>
              <w:rPr>
                <w:sz w:val="20"/>
                <w:szCs w:val="20"/>
              </w:rPr>
              <w:t xml:space="preserve">11.0554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2015-03-13</w:t>
            </w:r>
          </w:p>
        </w:tc>
        <w:tc>
          <w:tcPr>
            <w:tcW w:w="0" w:type="auto"/>
          </w:tcPr>
          <w:p>
            <w:pPr>
              <w:spacing w:line="240" w:lineRule="auto" w:before="0" w:after="0"/>
              <w:pStyle w:val="Compact"/>
            </w:pPr>
            <w:r>
              <w:rPr>
                <w:sz w:val="20"/>
                <w:szCs w:val="20"/>
              </w:rPr>
              <w:t xml:space="preserve">2017-08-19</w:t>
            </w:r>
          </w:p>
        </w:tc>
        <w:tc>
          <w:tcPr>
            <w:tcW w:w="0" w:type="auto"/>
          </w:tcPr>
          <w:p>
            <w:pPr>
              <w:spacing w:line="240" w:lineRule="auto" w:before="0" w:after="0"/>
              <w:pStyle w:val="Compact"/>
            </w:pPr>
            <w:r>
              <w:rPr>
                <w:sz w:val="20"/>
                <w:szCs w:val="20"/>
              </w:rPr>
              <w:t xml:space="preserve">2.4367</w:t>
            </w:r>
          </w:p>
        </w:tc>
        <w:tc>
          <w:tcPr>
            <w:tcW w:w="0" w:type="auto"/>
          </w:tcPr>
          <w:p>
            <w:pPr>
              <w:spacing w:line="240" w:lineRule="auto" w:before="0" w:after="0"/>
              <w:pStyle w:val="Compact"/>
            </w:pPr>
            <w:r>
              <w:rPr>
                <w:sz w:val="20"/>
                <w:szCs w:val="20"/>
              </w:rPr>
              <w:t xml:space="preserve">5.3224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M01O</w:t>
            </w:r>
          </w:p>
        </w:tc>
        <w:tc>
          <w:tcPr>
            <w:tcW w:w="0" w:type="auto"/>
          </w:tcPr>
          <w:p>
            <w:pPr>
              <w:spacing w:line="240" w:lineRule="auto" w:before="0" w:after="0"/>
              <w:pStyle w:val="Compact"/>
            </w:pPr>
            <w:r>
              <w:rPr>
                <w:sz w:val="20"/>
                <w:szCs w:val="20"/>
              </w:rPr>
              <w:t xml:space="preserve">2001-04-07</w:t>
            </w:r>
          </w:p>
        </w:tc>
        <w:tc>
          <w:tcPr>
            <w:tcW w:w="0" w:type="auto"/>
          </w:tcPr>
          <w:p>
            <w:pPr>
              <w:spacing w:line="240" w:lineRule="auto" w:before="0" w:after="0"/>
              <w:pStyle w:val="Compact"/>
            </w:pPr>
            <w:r>
              <w:rPr>
                <w:sz w:val="20"/>
                <w:szCs w:val="20"/>
              </w:rPr>
              <w:t xml:space="preserve">2004-08-24</w:t>
            </w:r>
          </w:p>
        </w:tc>
        <w:tc>
          <w:tcPr>
            <w:tcW w:w="0" w:type="auto"/>
          </w:tcPr>
          <w:p>
            <w:pPr>
              <w:spacing w:line="240" w:lineRule="auto" w:before="0" w:after="0"/>
              <w:pStyle w:val="Compact"/>
            </w:pPr>
            <w:r>
              <w:rPr>
                <w:sz w:val="20"/>
                <w:szCs w:val="20"/>
              </w:rPr>
              <w:t xml:space="preserve">3.3812</w:t>
            </w:r>
          </w:p>
        </w:tc>
        <w:tc>
          <w:tcPr>
            <w:tcW w:w="0" w:type="auto"/>
          </w:tcPr>
          <w:p>
            <w:pPr>
              <w:spacing w:line="240" w:lineRule="auto" w:before="0" w:after="0"/>
              <w:pStyle w:val="Compact"/>
            </w:pPr>
            <w:r>
              <w:rPr>
                <w:sz w:val="20"/>
                <w:szCs w:val="20"/>
              </w:rPr>
              <w:t xml:space="preserve">19.2526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MVN</w:t>
            </w:r>
          </w:p>
        </w:tc>
        <w:tc>
          <w:tcPr>
            <w:tcW w:w="0" w:type="auto"/>
          </w:tcPr>
          <w:p>
            <w:pPr>
              <w:spacing w:line="240" w:lineRule="auto" w:before="0" w:after="0"/>
              <w:pStyle w:val="Compact"/>
            </w:pPr>
            <w:r>
              <w:rPr>
                <w:sz w:val="20"/>
                <w:szCs w:val="20"/>
              </w:rPr>
              <w:t xml:space="preserve">2013-11-18</w:t>
            </w:r>
          </w:p>
        </w:tc>
        <w:tc>
          <w:tcPr>
            <w:tcW w:w="0" w:type="auto"/>
          </w:tcPr>
          <w:p>
            <w:pPr>
              <w:spacing w:line="240" w:lineRule="auto" w:before="0" w:after="0"/>
              <w:pStyle w:val="Compact"/>
            </w:pPr>
            <w:r>
              <w:rPr>
                <w:sz w:val="20"/>
                <w:szCs w:val="20"/>
              </w:rPr>
              <w:t xml:space="preserve">2015-10-30</w:t>
            </w:r>
          </w:p>
        </w:tc>
        <w:tc>
          <w:tcPr>
            <w:tcW w:w="0" w:type="auto"/>
          </w:tcPr>
          <w:p>
            <w:pPr>
              <w:spacing w:line="240" w:lineRule="auto" w:before="0" w:after="0"/>
              <w:pStyle w:val="Compact"/>
            </w:pPr>
            <w:r>
              <w:rPr>
                <w:sz w:val="20"/>
                <w:szCs w:val="20"/>
              </w:rPr>
              <w:t xml:space="preserve">1.9466</w:t>
            </w:r>
          </w:p>
        </w:tc>
        <w:tc>
          <w:tcPr>
            <w:tcW w:w="0" w:type="auto"/>
          </w:tcPr>
          <w:p>
            <w:pPr>
              <w:spacing w:line="240" w:lineRule="auto" w:before="0" w:after="0"/>
              <w:pStyle w:val="Compact"/>
            </w:pPr>
            <w:r>
              <w:rPr>
                <w:sz w:val="20"/>
                <w:szCs w:val="20"/>
              </w:rPr>
              <w:t xml:space="preserve">6.6366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2003-06-02</w:t>
            </w:r>
          </w:p>
        </w:tc>
        <w:tc>
          <w:tcPr>
            <w:tcW w:w="0" w:type="auto"/>
          </w:tcPr>
          <w:p>
            <w:pPr>
              <w:spacing w:line="240" w:lineRule="auto" w:before="0" w:after="0"/>
              <w:pStyle w:val="Compact"/>
            </w:pPr>
            <w:r>
              <w:rPr>
                <w:sz w:val="20"/>
                <w:szCs w:val="20"/>
              </w:rPr>
              <w:t xml:space="preserve">2006-02-11</w:t>
            </w:r>
          </w:p>
        </w:tc>
        <w:tc>
          <w:tcPr>
            <w:tcW w:w="0" w:type="auto"/>
          </w:tcPr>
          <w:p>
            <w:pPr>
              <w:spacing w:line="240" w:lineRule="auto" w:before="0" w:after="0"/>
              <w:pStyle w:val="Compact"/>
            </w:pPr>
            <w:r>
              <w:rPr>
                <w:sz w:val="20"/>
                <w:szCs w:val="20"/>
              </w:rPr>
              <w:t xml:space="preserve">2.6968</w:t>
            </w:r>
          </w:p>
        </w:tc>
        <w:tc>
          <w:tcPr>
            <w:tcW w:w="0" w:type="auto"/>
          </w:tcPr>
          <w:p>
            <w:pPr>
              <w:spacing w:line="240" w:lineRule="auto" w:before="0" w:after="0"/>
              <w:pStyle w:val="Compact"/>
            </w:pPr>
            <w:r>
              <w:rPr>
                <w:sz w:val="20"/>
                <w:szCs w:val="20"/>
              </w:rPr>
              <w:t xml:space="preserve">17.1006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MOM</w:t>
            </w:r>
          </w:p>
        </w:tc>
        <w:tc>
          <w:tcPr>
            <w:tcW w:w="0" w:type="auto"/>
          </w:tcPr>
          <w:p>
            <w:pPr>
              <w:spacing w:line="240" w:lineRule="auto" w:before="0" w:after="0"/>
              <w:pStyle w:val="Compact"/>
            </w:pPr>
            <w:r>
              <w:rPr>
                <w:sz w:val="20"/>
                <w:szCs w:val="20"/>
              </w:rPr>
              <w:t xml:space="preserve">2013-11-05</w:t>
            </w:r>
          </w:p>
        </w:tc>
        <w:tc>
          <w:tcPr>
            <w:tcW w:w="0" w:type="auto"/>
          </w:tcPr>
          <w:p>
            <w:pPr>
              <w:spacing w:line="240" w:lineRule="auto" w:before="0" w:after="0"/>
              <w:pStyle w:val="Compact"/>
            </w:pPr>
            <w:r>
              <w:rPr>
                <w:sz w:val="20"/>
                <w:szCs w:val="20"/>
              </w:rPr>
              <w:t xml:space="preserve">2015-04-01</w:t>
            </w:r>
          </w:p>
        </w:tc>
        <w:tc>
          <w:tcPr>
            <w:tcW w:w="0" w:type="auto"/>
          </w:tcPr>
          <w:p>
            <w:pPr>
              <w:spacing w:line="240" w:lineRule="auto" w:before="0" w:after="0"/>
              <w:pStyle w:val="Compact"/>
            </w:pPr>
            <w:r>
              <w:rPr>
                <w:sz w:val="20"/>
                <w:szCs w:val="20"/>
              </w:rPr>
              <w:t xml:space="preserve">1.4018</w:t>
            </w:r>
          </w:p>
        </w:tc>
        <w:tc>
          <w:tcPr>
            <w:tcW w:w="0" w:type="auto"/>
          </w:tcPr>
          <w:p>
            <w:pPr>
              <w:spacing w:line="240" w:lineRule="auto" w:before="0" w:after="0"/>
              <w:pStyle w:val="Compact"/>
            </w:pPr>
            <w:r>
              <w:rPr>
                <w:sz w:val="20"/>
                <w:szCs w:val="20"/>
              </w:rPr>
              <w:t xml:space="preserve">6.6721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2005-08-12</w:t>
            </w:r>
          </w:p>
        </w:tc>
        <w:tc>
          <w:tcPr>
            <w:tcW w:w="0" w:type="auto"/>
          </w:tcPr>
          <w:p>
            <w:pPr>
              <w:spacing w:line="240" w:lineRule="auto" w:before="0" w:after="0"/>
              <w:pStyle w:val="Compact"/>
            </w:pPr>
            <w:r>
              <w:rPr>
                <w:sz w:val="20"/>
                <w:szCs w:val="20"/>
              </w:rPr>
              <w:t xml:space="preserve">2010-09-30</w:t>
            </w:r>
          </w:p>
        </w:tc>
        <w:tc>
          <w:tcPr>
            <w:tcW w:w="0" w:type="auto"/>
          </w:tcPr>
          <w:p>
            <w:pPr>
              <w:spacing w:line="240" w:lineRule="auto" w:before="0" w:after="0"/>
              <w:pStyle w:val="Compact"/>
            </w:pPr>
            <w:r>
              <w:rPr>
                <w:sz w:val="20"/>
                <w:szCs w:val="20"/>
              </w:rPr>
              <w:t xml:space="preserve">5.1335</w:t>
            </w:r>
          </w:p>
        </w:tc>
        <w:tc>
          <w:tcPr>
            <w:tcW w:w="0" w:type="auto"/>
          </w:tcPr>
          <w:p>
            <w:pPr>
              <w:spacing w:line="240" w:lineRule="auto" w:before="0" w:after="0"/>
              <w:pStyle w:val="Compact"/>
            </w:pPr>
            <w:r>
              <w:rPr>
                <w:sz w:val="20"/>
                <w:szCs w:val="20"/>
              </w:rPr>
              <w:t xml:space="preserve">14.9049</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2011-11-26</w:t>
            </w:r>
          </w:p>
        </w:tc>
        <w:tc>
          <w:tcPr>
            <w:tcW w:w="0" w:type="auto"/>
          </w:tcPr>
          <w:p>
            <w:pPr>
              <w:spacing w:line="240" w:lineRule="auto" w:before="0" w:after="0"/>
              <w:pStyle w:val="Compact"/>
            </w:pPr>
            <w:r>
              <w:rPr>
                <w:sz w:val="20"/>
                <w:szCs w:val="20"/>
              </w:rPr>
              <w:t xml:space="preserve">2014-06-24</w:t>
            </w:r>
          </w:p>
        </w:tc>
        <w:tc>
          <w:tcPr>
            <w:tcW w:w="0" w:type="auto"/>
          </w:tcPr>
          <w:p>
            <w:pPr>
              <w:spacing w:line="240" w:lineRule="auto" w:before="0" w:after="0"/>
              <w:pStyle w:val="Compact"/>
            </w:pPr>
            <w:r>
              <w:rPr>
                <w:sz w:val="20"/>
                <w:szCs w:val="20"/>
              </w:rPr>
              <w:t xml:space="preserve">2.5763</w:t>
            </w:r>
          </w:p>
        </w:tc>
        <w:tc>
          <w:tcPr>
            <w:tcW w:w="0" w:type="auto"/>
          </w:tcPr>
          <w:p>
            <w:pPr>
              <w:spacing w:line="240" w:lineRule="auto" w:before="0" w:after="0"/>
              <w:pStyle w:val="Compact"/>
            </w:pPr>
            <w:r>
              <w:rPr>
                <w:sz w:val="20"/>
                <w:szCs w:val="20"/>
              </w:rPr>
              <w:t xml:space="preserve">8.616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NHPC</w:t>
            </w:r>
          </w:p>
        </w:tc>
        <w:tc>
          <w:tcPr>
            <w:tcW w:w="0" w:type="auto"/>
          </w:tcPr>
          <w:p>
            <w:pPr>
              <w:spacing w:line="240" w:lineRule="auto" w:before="0" w:after="0"/>
              <w:pStyle w:val="Compact"/>
            </w:pPr>
            <w:r>
              <w:rPr>
                <w:sz w:val="20"/>
                <w:szCs w:val="20"/>
              </w:rPr>
              <w:t xml:space="preserve">2006-01-19</w:t>
            </w:r>
          </w:p>
        </w:tc>
        <w:tc>
          <w:tcPr>
            <w:tcW w:w="0" w:type="auto"/>
          </w:tcPr>
          <w:p>
            <w:pPr>
              <w:spacing w:line="240" w:lineRule="auto" w:before="0" w:after="0"/>
              <w:pStyle w:val="Compact"/>
            </w:pPr>
            <w:r>
              <w:rPr>
                <w:sz w:val="20"/>
                <w:szCs w:val="20"/>
              </w:rPr>
              <w:t xml:space="preserve">2016-10-01</w:t>
            </w:r>
          </w:p>
        </w:tc>
        <w:tc>
          <w:tcPr>
            <w:tcW w:w="0" w:type="auto"/>
          </w:tcPr>
          <w:p>
            <w:pPr>
              <w:spacing w:line="240" w:lineRule="auto" w:before="0" w:after="0"/>
              <w:pStyle w:val="Compact"/>
            </w:pPr>
            <w:r>
              <w:rPr>
                <w:sz w:val="20"/>
                <w:szCs w:val="20"/>
              </w:rPr>
              <w:t xml:space="preserve">10.6995</w:t>
            </w:r>
          </w:p>
        </w:tc>
        <w:tc>
          <w:tcPr>
            <w:tcW w:w="0" w:type="auto"/>
          </w:tcPr>
          <w:p>
            <w:pPr>
              <w:spacing w:line="240" w:lineRule="auto" w:before="0" w:after="0"/>
              <w:pStyle w:val="Compact"/>
            </w:pPr>
            <w:r>
              <w:rPr>
                <w:sz w:val="20"/>
                <w:szCs w:val="20"/>
              </w:rPr>
              <w:t xml:space="preserve">14.4668</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1995-12-02</w:t>
            </w:r>
          </w:p>
        </w:tc>
        <w:tc>
          <w:tcPr>
            <w:tcW w:w="0" w:type="auto"/>
          </w:tcPr>
          <w:p>
            <w:pPr>
              <w:spacing w:line="240" w:lineRule="auto" w:before="0" w:after="0"/>
              <w:pStyle w:val="Compact"/>
            </w:pPr>
            <w:r>
              <w:rPr>
                <w:sz w:val="20"/>
                <w:szCs w:val="20"/>
              </w:rPr>
              <w:t xml:space="preserve">1998-05-02</w:t>
            </w:r>
          </w:p>
        </w:tc>
        <w:tc>
          <w:tcPr>
            <w:tcW w:w="0" w:type="auto"/>
          </w:tcPr>
          <w:p>
            <w:pPr>
              <w:spacing w:line="240" w:lineRule="auto" w:before="0" w:after="0"/>
              <w:pStyle w:val="Compact"/>
            </w:pPr>
            <w:r>
              <w:rPr>
                <w:sz w:val="20"/>
                <w:szCs w:val="20"/>
              </w:rPr>
              <w:t xml:space="preserve">2.4148</w:t>
            </w:r>
          </w:p>
        </w:tc>
        <w:tc>
          <w:tcPr>
            <w:tcW w:w="0" w:type="auto"/>
          </w:tcPr>
          <w:p>
            <w:pPr>
              <w:spacing w:line="240" w:lineRule="auto" w:before="0" w:after="0"/>
              <w:pStyle w:val="Compact"/>
            </w:pPr>
            <w:r>
              <w:rPr>
                <w:sz w:val="20"/>
                <w:szCs w:val="20"/>
              </w:rPr>
              <w:t xml:space="preserve">24.5996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SPP</w:t>
            </w:r>
          </w:p>
        </w:tc>
        <w:tc>
          <w:tcPr>
            <w:tcW w:w="0" w:type="auto"/>
          </w:tcPr>
          <w:p>
            <w:pPr>
              <w:spacing w:line="240" w:lineRule="auto" w:before="0" w:after="0"/>
              <w:pStyle w:val="Compact"/>
            </w:pPr>
            <w:r>
              <w:rPr>
                <w:sz w:val="20"/>
                <w:szCs w:val="20"/>
              </w:rPr>
              <w:t xml:space="preserve">2018-08-12</w:t>
            </w:r>
          </w:p>
        </w:tc>
        <w:tc>
          <w:tcPr>
            <w:tcW w:w="0" w:type="auto"/>
          </w:tcPr>
          <w:p>
            <w:pPr>
              <w:spacing w:line="240" w:lineRule="auto" w:before="0" w:after="0"/>
              <w:pStyle w:val="Compact"/>
            </w:pPr>
            <w:r>
              <w:rPr>
                <w:sz w:val="20"/>
                <w:szCs w:val="20"/>
              </w:rPr>
              <w:t xml:space="preserve">2025-09-28</w:t>
            </w:r>
          </w:p>
        </w:tc>
        <w:tc>
          <w:tcPr>
            <w:tcW w:w="0" w:type="auto"/>
          </w:tcPr>
          <w:p>
            <w:pPr>
              <w:spacing w:line="240" w:lineRule="auto" w:before="0" w:after="0"/>
              <w:pStyle w:val="Compact"/>
            </w:pPr>
            <w:r>
              <w:rPr>
                <w:sz w:val="20"/>
                <w:szCs w:val="20"/>
              </w:rPr>
              <w:t xml:space="preserve">7.1294</w:t>
            </w:r>
          </w:p>
        </w:tc>
        <w:tc>
          <w:tcPr>
            <w:tcW w:w="0" w:type="auto"/>
          </w:tcPr>
          <w:p>
            <w:pPr>
              <w:spacing w:line="240" w:lineRule="auto" w:before="0" w:after="0"/>
              <w:pStyle w:val="Compact"/>
            </w:pPr>
            <w:r>
              <w:rPr>
                <w:sz w:val="20"/>
                <w:szCs w:val="20"/>
              </w:rPr>
              <w:t xml:space="preserve">1.9055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STA</w:t>
            </w:r>
          </w:p>
        </w:tc>
        <w:tc>
          <w:tcPr>
            <w:tcW w:w="0" w:type="auto"/>
          </w:tcPr>
          <w:p>
            <w:pPr>
              <w:spacing w:line="240" w:lineRule="auto" w:before="0" w:after="0"/>
              <w:pStyle w:val="Compact"/>
            </w:pPr>
            <w:r>
              <w:rPr>
                <w:sz w:val="20"/>
                <w:szCs w:val="20"/>
              </w:rPr>
              <w:t xml:space="preserve">2006-10-26</w:t>
            </w:r>
          </w:p>
        </w:tc>
        <w:tc>
          <w:tcPr>
            <w:tcW w:w="0" w:type="auto"/>
          </w:tcPr>
          <w:p>
            <w:pPr>
              <w:spacing w:line="240" w:lineRule="auto" w:before="0" w:after="0"/>
              <w:pStyle w:val="Compact"/>
            </w:pPr>
            <w:r>
              <w:rPr>
                <w:sz w:val="20"/>
                <w:szCs w:val="20"/>
              </w:rPr>
              <w:t xml:space="preserve">2009-01-22</w:t>
            </w:r>
          </w:p>
        </w:tc>
        <w:tc>
          <w:tcPr>
            <w:tcW w:w="0" w:type="auto"/>
          </w:tcPr>
          <w:p>
            <w:pPr>
              <w:spacing w:line="240" w:lineRule="auto" w:before="0" w:after="0"/>
              <w:pStyle w:val="Compact"/>
            </w:pPr>
            <w:r>
              <w:rPr>
                <w:sz w:val="20"/>
                <w:szCs w:val="20"/>
              </w:rPr>
              <w:t xml:space="preserve">2.2423</w:t>
            </w:r>
          </w:p>
        </w:tc>
        <w:tc>
          <w:tcPr>
            <w:tcW w:w="0" w:type="auto"/>
          </w:tcPr>
          <w:p>
            <w:pPr>
              <w:spacing w:line="240" w:lineRule="auto" w:before="0" w:after="0"/>
              <w:pStyle w:val="Compact"/>
            </w:pPr>
            <w:r>
              <w:rPr>
                <w:sz w:val="20"/>
                <w:szCs w:val="20"/>
              </w:rPr>
              <w:t xml:space="preserve">13.7002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2018-04-20</w:t>
            </w:r>
          </w:p>
        </w:tc>
        <w:tc>
          <w:tcPr>
            <w:tcW w:w="0" w:type="auto"/>
          </w:tcPr>
          <w:p>
            <w:pPr>
              <w:spacing w:line="240" w:lineRule="auto" w:before="0" w:after="0"/>
              <w:pStyle w:val="Compact"/>
            </w:pPr>
            <w:r>
              <w:rPr>
                <w:sz w:val="20"/>
                <w:szCs w:val="20"/>
              </w:rPr>
              <w:t xml:space="preserve">2019-10-18</w:t>
            </w:r>
          </w:p>
        </w:tc>
        <w:tc>
          <w:tcPr>
            <w:tcW w:w="0" w:type="auto"/>
          </w:tcPr>
          <w:p>
            <w:pPr>
              <w:spacing w:line="240" w:lineRule="auto" w:before="0" w:after="0"/>
              <w:pStyle w:val="Compact"/>
            </w:pPr>
            <w:r>
              <w:rPr>
                <w:sz w:val="20"/>
                <w:szCs w:val="20"/>
              </w:rPr>
              <w:t xml:space="preserve">1.4949</w:t>
            </w:r>
          </w:p>
        </w:tc>
        <w:tc>
          <w:tcPr>
            <w:tcW w:w="0" w:type="auto"/>
          </w:tcPr>
          <w:p>
            <w:pPr>
              <w:spacing w:line="240" w:lineRule="auto" w:before="0" w:after="0"/>
              <w:pStyle w:val="Compact"/>
            </w:pPr>
            <w:r>
              <w:rPr>
                <w:sz w:val="20"/>
                <w:szCs w:val="20"/>
              </w:rPr>
              <w:t xml:space="preserve">2.2177</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2016-03-14</w:t>
            </w:r>
          </w:p>
        </w:tc>
        <w:tc>
          <w:tcPr>
            <w:tcW w:w="0" w:type="auto"/>
          </w:tcPr>
          <w:p>
            <w:pPr>
              <w:spacing w:line="240" w:lineRule="auto" w:before="0" w:after="0"/>
              <w:pStyle w:val="Compact"/>
            </w:pPr>
            <w:r>
              <w:rPr>
                <w:sz w:val="20"/>
                <w:szCs w:val="20"/>
              </w:rPr>
              <w:t xml:space="preserve">2019-09-30</w:t>
            </w:r>
          </w:p>
        </w:tc>
        <w:tc>
          <w:tcPr>
            <w:tcW w:w="0" w:type="auto"/>
          </w:tcPr>
          <w:p>
            <w:pPr>
              <w:spacing w:line="240" w:lineRule="auto" w:before="0" w:after="0"/>
              <w:pStyle w:val="Compact"/>
            </w:pPr>
            <w:r>
              <w:rPr>
                <w:sz w:val="20"/>
                <w:szCs w:val="20"/>
              </w:rPr>
              <w:t xml:space="preserve">3.5455</w:t>
            </w:r>
          </w:p>
        </w:tc>
        <w:tc>
          <w:tcPr>
            <w:tcW w:w="0" w:type="auto"/>
          </w:tcPr>
          <w:p>
            <w:pPr>
              <w:spacing w:line="240" w:lineRule="auto" w:before="0" w:after="0"/>
              <w:pStyle w:val="Compact"/>
            </w:pPr>
            <w:r>
              <w:rPr>
                <w:sz w:val="20"/>
                <w:szCs w:val="20"/>
              </w:rPr>
              <w:t xml:space="preserve">4.3176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THB</w:t>
            </w:r>
          </w:p>
        </w:tc>
        <w:tc>
          <w:tcPr>
            <w:tcW w:w="0" w:type="auto"/>
          </w:tcPr>
          <w:p>
            <w:pPr>
              <w:spacing w:line="240" w:lineRule="auto" w:before="0" w:after="0"/>
              <w:pStyle w:val="Compact"/>
            </w:pPr>
            <w:r>
              <w:rPr>
                <w:sz w:val="20"/>
                <w:szCs w:val="20"/>
              </w:rPr>
              <w:t xml:space="preserve">2009-07-21</w:t>
            </w:r>
          </w:p>
        </w:tc>
        <w:tc>
          <w:tcPr>
            <w:tcW w:w="0" w:type="auto"/>
          </w:tcPr>
          <w:p>
            <w:pPr>
              <w:spacing w:line="240" w:lineRule="auto" w:before="0" w:after="0"/>
              <w:pStyle w:val="Compact"/>
            </w:pPr>
            <w:r>
              <w:rPr>
                <w:sz w:val="20"/>
                <w:szCs w:val="20"/>
              </w:rPr>
              <w:t xml:space="preserve">2013-02-17</w:t>
            </w:r>
          </w:p>
        </w:tc>
        <w:tc>
          <w:tcPr>
            <w:tcW w:w="0" w:type="auto"/>
          </w:tcPr>
          <w:p>
            <w:pPr>
              <w:spacing w:line="240" w:lineRule="auto" w:before="0" w:after="0"/>
              <w:pStyle w:val="Compact"/>
            </w:pPr>
            <w:r>
              <w:rPr>
                <w:sz w:val="20"/>
                <w:szCs w:val="20"/>
              </w:rPr>
              <w:t xml:space="preserve">3.5784</w:t>
            </w:r>
          </w:p>
        </w:tc>
        <w:tc>
          <w:tcPr>
            <w:tcW w:w="0" w:type="auto"/>
          </w:tcPr>
          <w:p>
            <w:pPr>
              <w:spacing w:line="240" w:lineRule="auto" w:before="0" w:after="0"/>
              <w:pStyle w:val="Compact"/>
            </w:pPr>
            <w:r>
              <w:rPr>
                <w:sz w:val="20"/>
                <w:szCs w:val="20"/>
              </w:rPr>
              <w:t xml:space="preserve">10.9651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VGR1</w:t>
            </w:r>
          </w:p>
        </w:tc>
        <w:tc>
          <w:tcPr>
            <w:tcW w:w="0" w:type="auto"/>
          </w:tcPr>
          <w:p>
            <w:pPr>
              <w:spacing w:line="240" w:lineRule="auto" w:before="0" w:after="0"/>
              <w:pStyle w:val="Compact"/>
            </w:pPr>
            <w:r>
              <w:rPr>
                <w:sz w:val="20"/>
                <w:szCs w:val="20"/>
              </w:rPr>
              <w:t xml:space="preserve">1977-09-05</w:t>
            </w:r>
          </w:p>
        </w:tc>
        <w:tc>
          <w:tcPr>
            <w:tcW w:w="0" w:type="auto"/>
          </w:tcPr>
          <w:p>
            <w:pPr>
              <w:spacing w:line="240" w:lineRule="auto" w:before="0" w:after="0"/>
              <w:pStyle w:val="Compact"/>
            </w:pPr>
            <w:r>
              <w:rPr>
                <w:sz w:val="20"/>
                <w:szCs w:val="20"/>
              </w:rPr>
              <w:t xml:space="preserve">1989-10-15</w:t>
            </w:r>
          </w:p>
        </w:tc>
        <w:tc>
          <w:tcPr>
            <w:tcW w:w="0" w:type="auto"/>
          </w:tcPr>
          <w:p>
            <w:pPr>
              <w:spacing w:line="240" w:lineRule="auto" w:before="0" w:after="0"/>
              <w:pStyle w:val="Compact"/>
            </w:pPr>
            <w:r>
              <w:rPr>
                <w:sz w:val="20"/>
                <w:szCs w:val="20"/>
              </w:rPr>
              <w:t xml:space="preserve">12.1095</w:t>
            </w:r>
          </w:p>
        </w:tc>
        <w:tc>
          <w:tcPr>
            <w:tcW w:w="0" w:type="auto"/>
          </w:tcPr>
          <w:p>
            <w:pPr>
              <w:spacing w:line="240" w:lineRule="auto" w:before="0" w:after="0"/>
              <w:pStyle w:val="Compact"/>
            </w:pPr>
            <w:r>
              <w:rPr>
                <w:sz w:val="20"/>
                <w:szCs w:val="20"/>
              </w:rPr>
              <w:t xml:space="preserve">42.8392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VGR2</w:t>
            </w:r>
          </w:p>
        </w:tc>
        <w:tc>
          <w:tcPr>
            <w:tcW w:w="0" w:type="auto"/>
          </w:tcPr>
          <w:p>
            <w:pPr>
              <w:spacing w:line="240" w:lineRule="auto" w:before="0" w:after="0"/>
              <w:pStyle w:val="Compact"/>
            </w:pPr>
            <w:r>
              <w:rPr>
                <w:sz w:val="20"/>
                <w:szCs w:val="20"/>
              </w:rPr>
              <w:t xml:space="preserve">1977-08-20</w:t>
            </w:r>
          </w:p>
        </w:tc>
        <w:tc>
          <w:tcPr>
            <w:tcW w:w="0" w:type="auto"/>
          </w:tcPr>
          <w:p>
            <w:pPr>
              <w:spacing w:line="240" w:lineRule="auto" w:before="0" w:after="0"/>
              <w:pStyle w:val="Compact"/>
            </w:pPr>
            <w:r>
              <w:rPr>
                <w:sz w:val="20"/>
                <w:szCs w:val="20"/>
              </w:rPr>
              <w:t xml:space="preserve">1989-10-15</w:t>
            </w:r>
          </w:p>
        </w:tc>
        <w:tc>
          <w:tcPr>
            <w:tcW w:w="0" w:type="auto"/>
          </w:tcPr>
          <w:p>
            <w:pPr>
              <w:spacing w:line="240" w:lineRule="auto" w:before="0" w:after="0"/>
              <w:pStyle w:val="Compact"/>
            </w:pPr>
            <w:r>
              <w:rPr>
                <w:sz w:val="20"/>
                <w:szCs w:val="20"/>
              </w:rPr>
              <w:t xml:space="preserve">12.1533</w:t>
            </w:r>
          </w:p>
        </w:tc>
        <w:tc>
          <w:tcPr>
            <w:tcW w:w="0" w:type="auto"/>
          </w:tcPr>
          <w:p>
            <w:pPr>
              <w:spacing w:line="240" w:lineRule="auto" w:before="0" w:after="0"/>
              <w:pStyle w:val="Compact"/>
            </w:pPr>
            <w:r>
              <w:rPr>
                <w:sz w:val="20"/>
                <w:szCs w:val="20"/>
              </w:rPr>
              <w:t xml:space="preserve">42.883</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1996-02-22</w:t>
            </w:r>
          </w:p>
        </w:tc>
        <w:tc>
          <w:tcPr>
            <w:tcW w:w="0" w:type="auto"/>
          </w:tcPr>
          <w:p>
            <w:pPr>
              <w:spacing w:line="240" w:lineRule="auto" w:before="0" w:after="0"/>
              <w:pStyle w:val="Compact"/>
            </w:pPr>
            <w:r>
              <w:rPr>
                <w:sz w:val="20"/>
                <w:szCs w:val="20"/>
              </w:rPr>
              <w:t xml:space="preserve">1997-11-01</w:t>
            </w:r>
          </w:p>
        </w:tc>
        <w:tc>
          <w:tcPr>
            <w:tcW w:w="0" w:type="auto"/>
          </w:tcPr>
          <w:p>
            <w:pPr>
              <w:spacing w:line="240" w:lineRule="auto" w:before="0" w:after="0"/>
              <w:pStyle w:val="Compact"/>
            </w:pPr>
            <w:r>
              <w:rPr>
                <w:sz w:val="20"/>
                <w:szCs w:val="20"/>
              </w:rPr>
              <w:t xml:space="preserve">1.692</w:t>
            </w:r>
          </w:p>
        </w:tc>
        <w:tc>
          <w:tcPr>
            <w:tcW w:w="0" w:type="auto"/>
          </w:tcPr>
          <w:p>
            <w:pPr>
              <w:spacing w:line="240" w:lineRule="auto" w:before="0" w:after="0"/>
              <w:pStyle w:val="Compact"/>
            </w:pPr>
            <w:r>
              <w:rPr>
                <w:sz w:val="20"/>
                <w:szCs w:val="20"/>
              </w:rPr>
              <w:t xml:space="preserve">24.3751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XMM</w:t>
            </w:r>
          </w:p>
        </w:tc>
        <w:tc>
          <w:tcPr>
            <w:tcW w:w="0" w:type="auto"/>
          </w:tcPr>
          <w:p>
            <w:pPr>
              <w:spacing w:line="240" w:lineRule="auto" w:before="0" w:after="0"/>
              <w:pStyle w:val="Compact"/>
            </w:pPr>
            <w:r>
              <w:rPr>
                <w:sz w:val="20"/>
                <w:szCs w:val="20"/>
              </w:rPr>
              <w:t xml:space="preserve">1999-12-10</w:t>
            </w:r>
          </w:p>
        </w:tc>
        <w:tc>
          <w:tcPr>
            <w:tcW w:w="0" w:type="auto"/>
          </w:tcPr>
          <w:p>
            <w:pPr>
              <w:spacing w:line="240" w:lineRule="auto" w:before="0" w:after="0"/>
              <w:pStyle w:val="Compact"/>
            </w:pPr>
            <w:r>
              <w:rPr>
                <w:sz w:val="20"/>
                <w:szCs w:val="20"/>
              </w:rPr>
              <w:t xml:space="preserve">2014-04-08</w:t>
            </w:r>
          </w:p>
        </w:tc>
        <w:tc>
          <w:tcPr>
            <w:tcW w:w="0" w:type="auto"/>
          </w:tcPr>
          <w:p>
            <w:pPr>
              <w:spacing w:line="240" w:lineRule="auto" w:before="0" w:after="0"/>
              <w:pStyle w:val="Compact"/>
            </w:pPr>
            <w:r>
              <w:rPr>
                <w:sz w:val="20"/>
                <w:szCs w:val="20"/>
              </w:rPr>
              <w:t xml:space="preserve">14.3272</w:t>
            </w:r>
          </w:p>
        </w:tc>
        <w:tc>
          <w:tcPr>
            <w:tcW w:w="0" w:type="auto"/>
          </w:tcPr>
          <w:p>
            <w:pPr>
              <w:spacing w:line="240" w:lineRule="auto" w:before="0" w:after="0"/>
              <w:pStyle w:val="Compact"/>
            </w:pPr>
            <w:r>
              <w:rPr>
                <w:sz w:val="20"/>
                <w:szCs w:val="20"/>
              </w:rPr>
              <w:t xml:space="preserve">20.5777</w:t>
            </w:r>
          </w:p>
        </w:tc>
        <w:tc>
          <w:tcPr>
            <w:tcW w:w="0" w:type="auto"/>
          </w:tcPr>
          <w:p>
            <w:pPr>
              <w:spacing w:line="240" w:lineRule="auto" w:before="0" w:after="0"/>
              <w:pStyle w:val="Compact"/>
            </w:pPr>
            <w:r>
              <w:rPr>
                <w:sz w:val="20"/>
                <w:szCs w:val="20"/>
              </w:rPr>
              <w:t xml:space="preserve">JPL Deep Space Network Current Mission Set, 2020-07-08</w:t>
            </w:r>
          </w:p>
        </w:tc>
      </w:tr>
    </w:tbl>
    <w:bookmarkEnd w:id="192"/>
    <w:bookmarkStart w:id="193"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support_age_years</w:t>
            </w:r>
          </w:p>
        </w:tc>
        <w:tc>
          <w:tcPr>
            <w:tcW w:w="0" w:type="auto"/>
          </w:tcPr>
          <w:p>
            <w:pPr>
              <w:spacing w:line="240" w:lineRule="auto" w:before="0" w:after="0"/>
              <w:pStyle w:val="Compact"/>
            </w:pPr>
            <w:r>
              <w:rPr>
                <w:sz w:val="20"/>
                <w:szCs w:val="20"/>
              </w:rPr>
              <w:t xml:space="preserve">Elapsed years from launch to the mission-set snapshot dated 2020-07-08</w:t>
            </w:r>
          </w:p>
        </w:tc>
        <w:tc>
          <w:tcPr>
            <w:tcW w:w="0" w:type="auto"/>
          </w:tcPr>
          <w:p>
            <w:pPr>
              <w:spacing w:line="240" w:lineRule="auto" w:before="0" w:after="0"/>
              <w:pStyle w:val="Compact"/>
            </w:pPr>
            <w:r>
              <w:rPr>
                <w:sz w:val="20"/>
                <w:szCs w:val="20"/>
              </w:rPr>
              <w:t xml:space="preserve">Calendar-day difference divided by 365.25 using launch dates in the JPL Deep Space Network Current Mission Set</w:t>
            </w:r>
          </w:p>
        </w:tc>
      </w:tr>
      <w:tr>
        <w:tc>
          <w:tcPr>
            <w:tcW w:w="0" w:type="auto"/>
          </w:tcPr>
          <w:p>
            <w:pPr>
              <w:spacing w:line="240" w:lineRule="auto" w:before="0" w:after="0"/>
              <w:pStyle w:val="Compact"/>
            </w:pPr>
            <w:r>
              <w:rPr>
                <w:sz w:val="20"/>
                <w:szCs w:val="20"/>
              </w:rPr>
              <w:t xml:space="preserve">prime_duration_years</w:t>
            </w:r>
          </w:p>
        </w:tc>
        <w:tc>
          <w:tcPr>
            <w:tcW w:w="0" w:type="auto"/>
          </w:tcPr>
          <w:p>
            <w:pPr>
              <w:spacing w:line="240" w:lineRule="auto" w:before="0" w:after="0"/>
              <w:pStyle w:val="Compact"/>
            </w:pPr>
            <w:r>
              <w:rPr>
                <w:sz w:val="20"/>
                <w:szCs w:val="20"/>
              </w:rPr>
              <w:t xml:space="preserve">Elapsed years from launch to the listed prime mission completion date</w:t>
            </w:r>
          </w:p>
        </w:tc>
        <w:tc>
          <w:tcPr>
            <w:tcW w:w="0" w:type="auto"/>
          </w:tcPr>
          <w:p>
            <w:pPr>
              <w:spacing w:line="240" w:lineRule="auto" w:before="0" w:after="0"/>
              <w:pStyle w:val="Compact"/>
            </w:pPr>
            <w:r>
              <w:rPr>
                <w:sz w:val="20"/>
                <w:szCs w:val="20"/>
              </w:rPr>
              <w:t xml:space="preserve">Calendar-day difference divided by 365.25 using dates in the JPL Deep Space Network Current Mission Set</w:t>
            </w:r>
          </w:p>
        </w:tc>
      </w:tr>
    </w:tbl>
    <w:bookmarkEnd w:id="193"/>
    <w:bookmarkEnd w:id="194"/>
    <w:bookmarkEnd w:id="19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80" Type="http://schemas.openxmlformats.org/officeDocument/2006/relationships/image" Target="media/rId180.png"/><Relationship Id="rId188" Type="http://schemas.openxmlformats.org/officeDocument/2006/relationships/image" Target="media/rId188.png"/><Relationship Id="rId166" Type="http://schemas.openxmlformats.org/officeDocument/2006/relationships/hyperlink" Target="https://doi.org/10.1016/j.actaastro.2024.03.072" TargetMode="External"/><Relationship Id="rId170" Type="http://schemas.openxmlformats.org/officeDocument/2006/relationships/hyperlink" Target="https://doi.org/10.1016/j.actaastro.2024.04.003" TargetMode="External"/><Relationship Id="rId174" Type="http://schemas.openxmlformats.org/officeDocument/2006/relationships/hyperlink" Target="https://doi.org/10.1016/j.actaastro.2024.04.012" TargetMode="External"/><Relationship Id="rId133" Type="http://schemas.openxmlformats.org/officeDocument/2006/relationships/hyperlink" Target="https://doi.org/10.1016/j.actaastro.2025.05.049" TargetMode="External"/><Relationship Id="rId176" Type="http://schemas.openxmlformats.org/officeDocument/2006/relationships/hyperlink" Target="https://doi.org/10.1016/j.actaastro.2025.06.012" TargetMode="External"/><Relationship Id="rId172" Type="http://schemas.openxmlformats.org/officeDocument/2006/relationships/hyperlink" Target="https://doi.org/10.1016/j.actaastro.2025.09.030" TargetMode="External"/><Relationship Id="rId164" Type="http://schemas.openxmlformats.org/officeDocument/2006/relationships/hyperlink" Target="https://doi.org/10.1016/j.actaastro.2025.10.010" TargetMode="External"/><Relationship Id="rId137" Type="http://schemas.openxmlformats.org/officeDocument/2006/relationships/hyperlink" Target="https://doi.org/10.1016/j.actaastro.2025.10.018" TargetMode="External"/><Relationship Id="rId139" Type="http://schemas.openxmlformats.org/officeDocument/2006/relationships/hyperlink" Target="https://doi.org/10.1016/j.actaastro.2025.11.048" TargetMode="External"/><Relationship Id="rId168" Type="http://schemas.openxmlformats.org/officeDocument/2006/relationships/hyperlink" Target="https://doi.org/10.1016/j.actaastro.2026.05.010" TargetMode="External"/><Relationship Id="rId135" Type="http://schemas.openxmlformats.org/officeDocument/2006/relationships/hyperlink" Target="https://doi.org/10.64861/AJDT6618" TargetMode="External"/><Relationship Id="rId153" Type="http://schemas.openxmlformats.org/officeDocument/2006/relationships/hyperlink" Target="https://doi.org/10.64861/KSXC7986" TargetMode="External"/><Relationship Id="rId151" Type="http://schemas.openxmlformats.org/officeDocument/2006/relationships/hyperlink" Target="https://doi.org/10.64861/OHUO6863" TargetMode="External"/><Relationship Id="rId157" Type="http://schemas.openxmlformats.org/officeDocument/2006/relationships/hyperlink" Target="https://doi.org/10.64861/PMMH7892" TargetMode="External"/><Relationship Id="rId161" Type="http://schemas.openxmlformats.org/officeDocument/2006/relationships/hyperlink" Target="https://doi.org/10.64861/SUOW9680" TargetMode="External"/><Relationship Id="rId159" Type="http://schemas.openxmlformats.org/officeDocument/2006/relationships/hyperlink" Target="https://doi.org/10.64861/XRDR8814" TargetMode="External"/></Relationships>
</file>

<file path=word/_rels/footnotes.xml.rels><?xml version='1.0' encoding='UTF-8' standalone='yes'?>
<Relationships xmlns="http://schemas.openxmlformats.org/package/2006/relationships"><Relationship Id="rId166" Type="http://schemas.openxmlformats.org/officeDocument/2006/relationships/hyperlink" Target="https://doi.org/10.1016/j.actaastro.2024.03.072" TargetMode="External"/><Relationship Id="rId170" Type="http://schemas.openxmlformats.org/officeDocument/2006/relationships/hyperlink" Target="https://doi.org/10.1016/j.actaastro.2024.04.003" TargetMode="External"/><Relationship Id="rId174" Type="http://schemas.openxmlformats.org/officeDocument/2006/relationships/hyperlink" Target="https://doi.org/10.1016/j.actaastro.2024.04.012" TargetMode="External"/><Relationship Id="rId133" Type="http://schemas.openxmlformats.org/officeDocument/2006/relationships/hyperlink" Target="https://doi.org/10.1016/j.actaastro.2025.05.049" TargetMode="External"/><Relationship Id="rId176" Type="http://schemas.openxmlformats.org/officeDocument/2006/relationships/hyperlink" Target="https://doi.org/10.1016/j.actaastro.2025.06.012" TargetMode="External"/><Relationship Id="rId172" Type="http://schemas.openxmlformats.org/officeDocument/2006/relationships/hyperlink" Target="https://doi.org/10.1016/j.actaastro.2025.09.030" TargetMode="External"/><Relationship Id="rId164" Type="http://schemas.openxmlformats.org/officeDocument/2006/relationships/hyperlink" Target="https://doi.org/10.1016/j.actaastro.2025.10.010" TargetMode="External"/><Relationship Id="rId137" Type="http://schemas.openxmlformats.org/officeDocument/2006/relationships/hyperlink" Target="https://doi.org/10.1016/j.actaastro.2025.10.018" TargetMode="External"/><Relationship Id="rId139" Type="http://schemas.openxmlformats.org/officeDocument/2006/relationships/hyperlink" Target="https://doi.org/10.1016/j.actaastro.2025.11.048" TargetMode="External"/><Relationship Id="rId168" Type="http://schemas.openxmlformats.org/officeDocument/2006/relationships/hyperlink" Target="https://doi.org/10.1016/j.actaastro.2026.05.010" TargetMode="External"/><Relationship Id="rId135" Type="http://schemas.openxmlformats.org/officeDocument/2006/relationships/hyperlink" Target="https://doi.org/10.64861/AJDT6618" TargetMode="External"/><Relationship Id="rId153" Type="http://schemas.openxmlformats.org/officeDocument/2006/relationships/hyperlink" Target="https://doi.org/10.64861/KSXC7986" TargetMode="External"/><Relationship Id="rId151" Type="http://schemas.openxmlformats.org/officeDocument/2006/relationships/hyperlink" Target="https://doi.org/10.64861/OHUO6863" TargetMode="External"/><Relationship Id="rId157" Type="http://schemas.openxmlformats.org/officeDocument/2006/relationships/hyperlink" Target="https://doi.org/10.64861/PMMH7892" TargetMode="External"/><Relationship Id="rId161" Type="http://schemas.openxmlformats.org/officeDocument/2006/relationships/hyperlink" Target="https://doi.org/10.64861/SUOW9680" TargetMode="External"/><Relationship Id="rId159" Type="http://schemas.openxmlformats.org/officeDocument/2006/relationships/hyperlink" Target="https://doi.org/10.64861/XRDR8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Deep Space Network Contention as a Queueing System: estimating heliophysics-miss</dc:title>
  <dc:creator>Caleb Cohen (1B-HEL-134)</dc:creator>
  <cp:keywords/>
  <dcterms:created xsi:type="dcterms:W3CDTF">2026-07-04T11:41:41Z</dcterms:created>
  <dcterms:modified xsi:type="dcterms:W3CDTF">2026-07-04T11:41:41Z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