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8.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6" w:name="Xf9bf2c7d60c1021c4bd03bab770a94a649af98c"/>
    <w:p>
      <w:pPr>
        <w:pStyle w:val="Heading1"/>
      </w:pPr>
      <w:r>
        <w:t xml:space="preserve">Does Decadal Priority Predict Realized Astrophysics Mission Schedule? A Cox Proportional-Hazards Analysis of Time From Confirmation to Launch</w:t>
      </w:r>
    </w:p>
    <w:bookmarkStart w:id="61" w:name="introduction"/>
    <w:p>
      <w:pPr>
        <w:pStyle w:val="Heading2"/>
      </w:pPr>
      <w:r>
        <w:t xml:space="preserve">1. Introduction</w:t>
      </w:r>
    </w:p>
    <w:p>
      <w:pPr>
        <w:pStyle w:val="FirstParagraph"/>
      </w:pPr>
      <w:r>
        <w:t xml:space="preserve">The decadal survey is the consensus instrument through which the United States space-science community ranks the missions it most wants to fly. A top-ranked mission carries the prestige and the political durability of that ranking into its development phase. A reasonable expectation, widely held inside agencies and among external observers, is that the missions the community wants most will also be the missions that the agency protects, staffs, and funds most aggressively, and that this protection should translate into faster realized delivery. The competing expectation is the opposite: the highest-priority missions are the most ambitious, the most technically demanding, and the most exposed to scope growth, so the very features that earn a top ranking are the features that lengthen development.</w:t>
      </w:r>
    </w:p>
    <w:p>
      <w:pPr>
        <w:pStyle w:val="BodyText"/>
      </w:pPr>
      <w:r>
        <w:t xml:space="preserve">This paper tests which expectation the historical record supports. It treats the interval from project confirmation to launch as a duration and asks whether a mission’s decadal priority shifts the rate at which that interval closes, holding constant technology maturity, payload complexity, and mission class. The question matters because schedule, not headline cost alone, is the dimension on which mission delay compounds: a mission that launches late ties up review boards, launch manifests, and operating teams, and it delays the science that justified the ranking in the first place.</w:t>
      </w:r>
    </w:p>
    <w:p>
      <w:pPr>
        <w:pStyle w:val="BodyText"/>
      </w:pPr>
      <w:r>
        <w:t xml:space="preserve">The empirical answer reported here is narrow and, in its narrowness, useful. Across thirty NASA astrophysics and Earth-science observatory missions, decadal priority carries no measurable association with the hazard of reaching launch once technology readiness is held constant. The variable that does carry a strong and statistically resolved association is the technology readiness level of the principal instrument at confirmation. Priority does not predict schedule; technical maturity does.</w:t>
      </w:r>
    </w:p>
    <w:bookmarkEnd w:id="61"/>
    <w:bookmarkStart w:id="62" w:name="theory-and-hypotheses"/>
    <w:p>
      <w:pPr>
        <w:pStyle w:val="Heading2"/>
      </w:pPr>
      <w:r>
        <w:t xml:space="preserve">2. Theory and Hypotheses</w:t>
      </w:r>
    </w:p>
    <w:p>
      <w:pPr>
        <w:pStyle w:val="FirstParagraph"/>
      </w:pPr>
      <w:r>
        <w:t xml:space="preserve">The literature on space-program cost and schedule growth has converged on a small set of structural drivers. Dwyer and colleagues, studying the management of joint programs, show that organizational and institutional structure can itself induce cost growth, and that the conditions which look like they should reduce program cost can do the reverse once incentives and autonomy are accounted for</w:t>
      </w:r>
      <w:r>
        <w:t xml:space="preserve"> </w:t>
      </w:r>
      <w:hyperlink w:anchor="ref-1">
        <m:oMathPara>
          <m:oMathParaPr>
            <m:jc m:val="center"/>
          </m:oMathParaPr>
          <m:oMath>
            <m:r>
              <m:t>1</m:t>
            </m:r>
          </m:oMath>
        </m:oMathPara>
      </w:hyperlink>
      <w:r>
        <w:t xml:space="preserve">. Their account is a caution against assuming that any single favorable attribute, including priority, produces favorable delivery outcomes. The same caution applies to schedule.</w:t>
      </w:r>
    </w:p>
    <w:p>
      <w:pPr>
        <w:pStyle w:val="FirstParagraph"/>
      </w:pPr>
      <w:r>
        <w:t xml:space="preserve">A second strand frames space programs within the economics of the broader space sector, where missions compete for a constrained federal budget whose share of national output has fallen markedly over decades</w:t>
      </w:r>
      <w:r>
        <w:t xml:space="preserve"> </w:t>
      </w:r>
      <w:hyperlink w:anchor="ref-2">
        <m:oMathPara>
          <m:oMathParaPr>
            <m:jc m:val="center"/>
          </m:oMathParaPr>
          <m:oMath>
            <m:r>
              <m:t>2</m:t>
            </m:r>
          </m:oMath>
        </m:oMathPara>
      </w:hyperlink>
      <w:r>
        <w:t xml:space="preserve">. In that environment, priority is best understood as a claim on a scarce resource rather than as a guarantee of accelerated execution. A mission can be the community’s first choice and still wait in a queue shaped by appropriations timing, launch-vehicle availability, and competing demands. Priority and schedule are therefore not mechanically linked.</w:t>
      </w:r>
    </w:p>
    <w:p>
      <w:pPr>
        <w:pStyle w:val="FirstParagraph"/>
      </w:pPr>
      <w:r>
        <w:t xml:space="preserve">A third strand, drawn from the engineering literature on large space telescopes and ambitious observatory architectures, emphasizes that the determinants of realized development time are predominantly technical: the maturity of detectors and optics, the number of instruments that must be integrated and verified, and the systems-engineering burden of a flagship-class architecture</w:t>
      </w:r>
      <w:r>
        <w:t xml:space="preserve"> </w:t>
      </w:r>
      <w:hyperlink w:anchor="ref-3">
        <m:oMathPara>
          <m:oMathParaPr>
            <m:jc m:val="center"/>
          </m:oMathParaPr>
          <m:oMath>
            <m:r>
              <m:t>3</m:t>
            </m:r>
          </m:oMath>
        </m:oMathPara>
      </w:hyperlink>
      <w:r>
        <w:t xml:space="preserve">. This points the explanatory weight toward technology readiness and integration complexity rather than toward the survey ranking.</w:t>
      </w:r>
    </w:p>
    <w:p>
      <w:pPr>
        <w:pStyle w:val="FirstParagraph"/>
      </w:pPr>
      <w:r>
        <w:t xml:space="preserve">From these strands the study derives its hypotheses. The duration of interest is the time from confirmation to launch, and the event is the mission reaching launch. Because a Cox model on time-to-launch estimates the hazard of the launch event, a covariate that lengthens development lowers that hazard.</w:t>
      </w:r>
    </w:p>
    <w:p>
      <w:pPr>
        <w:pStyle w:val="BodyText"/>
      </w:pPr>
      <w:r>
        <w:t xml:space="preserve">The null hypothesis (H0) holds that, conditional on technology readiness, instrument complexity, and mission class, decadal priority has no association with the hazard of reaching launch. The alternative (H1) holds that priority shifts the hazard. Because lower ordinal values denote higher priority in the coding used here, a positive coefficient on the priority ordinal would mean that lower-priority missions reach launch faster, equivalently that higher-priority missions take longer.</w:t>
      </w:r>
    </w:p>
    <w:bookmarkEnd w:id="62"/>
    <w:bookmarkStart w:id="63" w:name="data"/>
    <w:p>
      <w:pPr>
        <w:pStyle w:val="Heading2"/>
      </w:pPr>
      <w:r>
        <w:t xml:space="preserve">3. Data</w:t>
      </w:r>
    </w:p>
    <w:p>
      <w:pPr>
        <w:pStyle w:val="FirstParagraph"/>
      </w:pPr>
      <w:r>
        <w:t xml:space="preserve">The unit of analysis is a NASA astrophysics or Earth-science observatory mission that reached or is approaching launch readiness following a confirmation decision. The sample comprises thirty missions spanning the early-1980s Explorer line through missions confirmed in the early 2020s and still in development at the analysis cutoff. The population intentionally mixes mission classes, from Small Explorer and Medium Explorer missions through Great-Observatory and designated-observable flagships, so that the mission-class indicator carries real variation rather than being a near-constant.</w:t>
      </w:r>
    </w:p>
    <w:p>
      <w:pPr>
        <w:pStyle w:val="BodyText"/>
      </w:pPr>
      <w:r>
        <w:t xml:space="preserve">For each mission the dataset records the confirmation year, the launch-readiness date set at confirmation, the actual launch date for missions that have flown, the resulting development duration in months, an event indicator equal to one for launched missions and zero for missions still in development (right-censored), the decadal priority ordinal, the technology readiness level of the principal instrument at confirmation, the count of science instruments, and a flagship-class indicator. Twenty-six of the thirty missions had reached launch by the cutoff; four were censored.</w:t>
      </w:r>
    </w:p>
    <w:p>
      <w:pPr>
        <w:pStyle w:val="BodyText"/>
      </w:pPr>
      <w:r>
        <w:t xml:space="preserve">Schedule and confirmation values are drawn from the Government Accountability Office’s recurring Assessments of Major NASA Projects series, including the editions numbered GAO-09-306SP, GAO-14-72, GAO-22-105555, GAO-24-106767, and GAO-25-107591, supplemented by NASA mission archives, mission press kits, and contemporaneous launch reporting. The final column of the dataset records the source for each row. Two rows, representing a recently selected Astrophysics Pioneers SmallSat and a representative in-development Medium Explorer, are marked illustrative where firm public dates were unavailable; these constitute under seven percent of the sample and are both censored observations, so they inform the risk set without asserting an unobserved launch.</w:t>
      </w:r>
    </w:p>
    <w:bookmarkEnd w:id="63"/>
    <w:bookmarkStart w:id="64" w:name="method"/>
    <w:p>
      <w:pPr>
        <w:pStyle w:val="Heading2"/>
      </w:pPr>
      <w:r>
        <w:t xml:space="preserve">4. Method</w:t>
      </w:r>
    </w:p>
    <w:p>
      <w:pPr>
        <w:pStyle w:val="FirstParagraph"/>
      </w:pPr>
      <w:r>
        <w:t xml:space="preserve">The estimator is a Cox proportional-hazards regression fit by partial likelihood. The model specifies the hazard of reaching launch at development month t as the product of an unspecified baseline hazard and an exponential function of the covariates, so that each coefficient is interpreted through its hazard ratio, the multiplicative effect of a one-unit change in the covariate on the instantaneous rate of launch. The covariates are the decadal priority ordinal, the technology readiness level at confirmation, the instrument count, and the flagship indicator.</w:t>
      </w:r>
    </w:p>
    <w:p>
      <w:pPr>
        <w:pStyle w:val="BodyText"/>
      </w:pPr>
      <w:r>
        <w:t xml:space="preserve">The Cox framework is the appropriate choice for this question for three reasons. First, it accommodates right-censoring directly, which the four in-development missions require: a linear regression on completed durations alone would discard exactly the missions whose delay is still accumulating. Second, it makes no parametric assumption about the shape of the baseline hazard, which is desirable because the timing of launch is governed by lumpy external events such as appropriations cycles and launch-manifest slots. Third, it expresses results as hazard ratios, which translate naturally into statements about whether a mission attribute speeds or slows the rate of reaching launch. This design is deliberately distinct from the cross-sectional cost-growth regression that forms the companion paper in this dissertation; here the dependent construct is realized schedule, modeled as a duration, not realized cost growth.</w:t>
      </w:r>
    </w:p>
    <w:bookmarkEnd w:id="64"/>
    <w:bookmarkStart w:id="65" w:name="findings"/>
    <w:p>
      <w:pPr>
        <w:pStyle w:val="Heading2"/>
      </w:pPr>
      <w:r>
        <w:t xml:space="preserve">5. Findings</w:t>
      </w:r>
    </w:p>
    <w:p>
      <w:pPr>
        <w:pStyle w:val="FirstParagraph"/>
      </w:pPr>
      <w:r>
        <w:t xml:space="preserve">The fitted model uses all thirty missions and twenty-six launch events. The coefficient on decadal priority is essentially zero. The point estimate is -0.0902 with a standard error of 0.3367, a z-statistic of -0.268, and a p-value of 0.7887. The associated hazard ratio is 0.914, with a confidence interval on the coefficient that spans from -0.750 to 0.570 and therefore straddles zero comfortably. The study fails to reject the null hypothesis: conditional on the other covariates, a mission’s decadal priority has no detectable association with the hazard of reaching launch, and by extension no detectable association with realized development duration.</w:t>
      </w:r>
    </w:p>
    <w:p>
      <w:pPr>
        <w:pStyle w:val="BodyText"/>
      </w:pPr>
      <w:r>
        <w:t xml:space="preserve">The technology readiness level of the principal instrument at confirmation tells a different and much sharper story. Its coefficient is 1.0292 with a standard error of 0.4478, a z-statistic of 2.298, and a p-value of 0.0215, with a coefficient confidence interval from 0.151 to 1.907 that excludes zero. The hazard ratio is 2.799. Read in plain terms, each one-level increase in instrument technology readiness at confirmation is associated with nearly a tripling of the instantaneous rate of reaching launch, meaning that missions that confirmed with more mature technology moved to the pad substantially faster. This is the only covariate in the model that attains conventional statistical significance.</w:t>
      </w:r>
    </w:p>
    <w:p>
      <w:pPr>
        <w:pStyle w:val="BodyText"/>
      </w:pPr>
      <w:r>
        <w:t xml:space="preserve">The remaining two covariates are not statistically resolved. Instrument count has a coefficient of 0.0394, a standard error of 0.3676, and a p-value of 0.9147, with a hazard ratio of 1.040 indistinguishable from one; the count of instruments, on its own and conditional on the other terms, does not move the launch hazard in this sample. The flagship indicator has a coefficient of -1.0627 with a standard error of 0.7950 and a p-value of 0.1813, a hazard ratio of 0.346. The direction is intuitive, in that flagship-class missions are associated with a lower hazard of reaching launch and therefore longer development, and the magnitude is sizable, but the standard error is large and the confidence interval on the coefficient runs from -2.621 to 0.496, so the flagship effect cannot be distinguished from zero at conventional levels with thirty observations.</w:t>
      </w:r>
    </w:p>
    <w:bookmarkEnd w:id="65"/>
    <w:bookmarkStart w:id="66" w:name="discussion"/>
    <w:p>
      <w:pPr>
        <w:pStyle w:val="Heading2"/>
      </w:pPr>
      <w:r>
        <w:t xml:space="preserve">6. Discussion</w:t>
      </w:r>
    </w:p>
    <w:p>
      <w:pPr>
        <w:pStyle w:val="FirstParagraph"/>
      </w:pPr>
      <w:r>
        <w:t xml:space="preserve">The central result is a clean null on the variable of greatest policy interest. Decadal priority, the ranking that the community treats as its most consequential collective judgment, does not predict how quickly a confirmed mission reaches launch once technical maturity is taken into account. The favorable interpretation, that priority buys schedule protection, is not supported; neither is the unfavorable interpretation that priority buys delay through ambition. Priority, in the schedule dimension, appears to be neither a shield nor a curse. This aligns with the structural reading of the cost-growth literature, in which a single favorable attribute does not by itself govern delivery outcomes</w:t>
      </w:r>
      <w:r>
        <w:t xml:space="preserve"> </w:t>
      </w:r>
      <w:hyperlink w:anchor="ref-1">
        <m:oMathPara>
          <m:oMathParaPr>
            <m:jc m:val="center"/>
          </m:oMathParaPr>
          <m:oMath>
            <m:r>
              <m:t>1</m:t>
            </m:r>
          </m:oMath>
        </m:oMathPara>
      </w:hyperlink>
      <w:r>
        <w:t xml:space="preserve">, and with the budget-economics framing in which priority is a claim on a scarce resource rather than a lever on execution speed</w:t>
      </w:r>
      <w:r>
        <w:t xml:space="preserve"> </w:t>
      </w:r>
      <w:hyperlink w:anchor="ref-2">
        <m:oMathPara>
          <m:oMathParaPr>
            <m:jc m:val="center"/>
          </m:oMathParaPr>
          <m:oMath>
            <m:r>
              <m:t>2</m:t>
            </m:r>
          </m:oMath>
        </m:oMathPara>
      </w:hyperlink>
      <w:r>
        <w:t xml:space="preserve">.</w:t>
      </w:r>
    </w:p>
    <w:p>
      <w:pPr>
        <w:pStyle w:val="FirstParagraph"/>
      </w:pPr>
      <w:r>
        <w:t xml:space="preserve">What does govern schedule, in this sample, is technical maturity at the confirmation gate. The strong and significant technology-readiness effect is consistent with the engineering literature’s emphasis on detector and systems maturity as the binding constraint on observatory development time</w:t>
      </w:r>
      <w:r>
        <w:t xml:space="preserve"> </w:t>
      </w:r>
      <w:hyperlink w:anchor="ref-3">
        <m:oMathPara>
          <m:oMathParaPr>
            <m:jc m:val="center"/>
          </m:oMathParaPr>
          <m:oMath>
            <m:r>
              <m:t>3</m:t>
            </m:r>
          </m:oMath>
        </m:oMathPara>
      </w:hyperlink>
      <w:r>
        <w:t xml:space="preserve">, and it carries a concrete management implication: the most reliable way to compress the confirmation-to-launch interval is to confirm missions only when their principal technology is genuinely mature, rather than to rely on the protective weight of a high ranking. The flagship coefficient, large in magnitude but imprecisely estimated, suggests that mission class may also lengthen schedule, but the sample cannot establish that effect with confidence and a larger population would be required to resolve it.</w:t>
      </w:r>
    </w:p>
    <w:p>
      <w:pPr>
        <w:pStyle w:val="FirstParagraph"/>
      </w:pPr>
      <w:r>
        <w:t xml:space="preserve">Three limitations bound these claims. First, with thirty missions and twenty-six events the model has modest power, so the null on priority is a statement about the absence of a detectable association rather than proof of exact zero effect, and the imprecise flagship estimate is a direct consequence of that power constraint. Second, reconciling decadal ordinals across survey cycles and across the astrophysics and Earth-science communities involves analyst judgment that introduces measurement noise into the priority variable. Third, the duration measured here begins at confirmation; it does not capture the often long pre-confirmation formulation phase, during which priority may exert effects that this design cannot see. A natural extension would model the full lifecycle from survey ranking to launch, and would test whether priority operates upstream of the confirmation gate even though it leaves no signature downstream of it.</w:t>
      </w:r>
    </w:p>
    <w:bookmarkEnd w:id="66"/>
    <w:bookmarkStart w:id="76" w:name="references"/>
    <w:p>
      <w:pPr>
        <w:pStyle w:val="Heading2"/>
      </w:pPr>
      <w:r>
        <w:t xml:space="preserve">References</w:t>
      </w:r>
    </w:p>
    <w:p>
      <w:pPr>
        <w:pStyle w:val="FirstParagraph"/>
      </w:pPr>
      <w:bookmarkStart w:id="67" w:name="ref-1"/>
      <w:bookmarkEnd w:id="67"/>
      <w:r>
        <w:t xml:space="preserve">1. M. Dwyer, Z. Szajnfarber, B. Cameron, and E. F. Crawley,</w:t>
      </w:r>
      <w:r>
        <w:t xml:space="preserve"> </w:t>
      </w:r>
      <w:r>
        <w:t xml:space="preserve">“A model for understanding and managing cost growth on joint programs,”</w:t>
      </w:r>
      <w:r>
        <w:t xml:space="preserve"> </w:t>
      </w:r>
      <w:r>
        <w:t xml:space="preserve">Acta Astronautica, vol. 152, 2018. doi:</w:t>
      </w:r>
      <w:r>
        <w:t xml:space="preserve"> </w:t>
      </w:r>
      <w:hyperlink r:id="rId68">
        <w:r>
          <w:rPr>
            <w:rStyle w:val="Hyperlink"/>
          </w:rPr>
          <w:t xml:space="preserve">10.1016/j.actaastro.2018.07.004</w:t>
        </w:r>
      </w:hyperlink>
    </w:p>
    <w:p>
      <w:pPr>
        <w:pStyle w:val="BodyText"/>
      </w:pPr>
      <w:bookmarkStart w:id="69" w:name="ref-2"/>
      <w:bookmarkEnd w:id="69"/>
      <w:r>
        <w:t xml:space="preserve">2. M. Weinzierl,</w:t>
      </w:r>
      <w:r>
        <w:t xml:space="preserve"> </w:t>
      </w:r>
      <w:r>
        <w:t xml:space="preserve">“Space, the final economic frontier,”</w:t>
      </w:r>
      <w:r>
        <w:t xml:space="preserve"> </w:t>
      </w:r>
      <w:r>
        <w:t xml:space="preserve">Journal of Economic Perspectives, vol. 32, no. 2, pp. 173-192, 2018. doi:</w:t>
      </w:r>
      <w:r>
        <w:t xml:space="preserve"> </w:t>
      </w:r>
      <w:hyperlink r:id="rId70">
        <w:r>
          <w:rPr>
            <w:rStyle w:val="Hyperlink"/>
          </w:rPr>
          <w:t xml:space="preserve">10.1257/jep.32.2.173</w:t>
        </w:r>
      </w:hyperlink>
    </w:p>
    <w:p>
      <w:pPr>
        <w:pStyle w:val="BodyText"/>
      </w:pPr>
      <w:bookmarkStart w:id="71" w:name="ref-3"/>
      <w:bookmarkEnd w:id="71"/>
      <w:r>
        <w:t xml:space="preserve">3. R. L. McNutt, R. F. Wimmer-Schweingruber, et al.,</w:t>
      </w:r>
      <w:r>
        <w:t xml:space="preserve"> </w:t>
      </w:r>
      <w:r>
        <w:t xml:space="preserve">“Interstellar probe - Destination: Universe!,”</w:t>
      </w:r>
      <w:r>
        <w:t xml:space="preserve"> </w:t>
      </w:r>
      <w:r>
        <w:t xml:space="preserve">Acta Astronautica, vol. 196, 2022. doi:</w:t>
      </w:r>
      <w:r>
        <w:t xml:space="preserve"> </w:t>
      </w:r>
      <w:hyperlink r:id="rId72">
        <w:r>
          <w:rPr>
            <w:rStyle w:val="Hyperlink"/>
          </w:rPr>
          <w:t xml:space="preserve">10.1016/j.actaastro.2022.04.001</w:t>
        </w:r>
      </w:hyperlink>
    </w:p>
    <w:p>
      <w:pPr>
        <w:pStyle w:val="BodyText"/>
      </w:pPr>
      <w:bookmarkStart w:id="73" w:name="ref-4"/>
      <w:bookmarkEnd w:id="73"/>
      <w:r>
        <w:t xml:space="preserve">4. U.S. Government Accountability Office,</w:t>
      </w:r>
      <w:r>
        <w:t xml:space="preserve"> </w:t>
      </w:r>
      <w:r>
        <w:t xml:space="preserve">“NASA: Assessments of Major Projects,”</w:t>
      </w:r>
      <w:r>
        <w:t xml:space="preserve"> </w:t>
      </w:r>
      <w:r>
        <w:t xml:space="preserve">GAO-25-107591, Washington, DC, 2025.</w:t>
      </w:r>
    </w:p>
    <w:p>
      <w:pPr>
        <w:pStyle w:val="BodyText"/>
      </w:pPr>
      <w:bookmarkStart w:id="74" w:name="ref-5"/>
      <w:bookmarkEnd w:id="74"/>
      <w:r>
        <w:t xml:space="preserve">5. U.S. Government Accountability Office,</w:t>
      </w:r>
      <w:r>
        <w:t xml:space="preserve"> </w:t>
      </w:r>
      <w:r>
        <w:t xml:space="preserve">“NASA: Assessments of Major Projects,”</w:t>
      </w:r>
      <w:r>
        <w:t xml:space="preserve"> </w:t>
      </w:r>
      <w:r>
        <w:t xml:space="preserve">GAO-24-106767, Washington, DC, 2024.</w:t>
      </w:r>
    </w:p>
    <w:p>
      <w:pPr>
        <w:pStyle w:val="BodyText"/>
      </w:pPr>
      <w:bookmarkStart w:id="75" w:name="ref-6"/>
      <w:bookmarkEnd w:id="75"/>
      <w:r>
        <w:t xml:space="preserve">6. U.S. Government Accountability Office,</w:t>
      </w:r>
      <w:r>
        <w:t xml:space="preserve"> </w:t>
      </w:r>
      <w:r>
        <w:t xml:space="preserve">“NASA: Lessons from Ongoing Major Projects Can Inform Management of Future Projects,”</w:t>
      </w:r>
      <w:r>
        <w:t xml:space="preserve"> </w:t>
      </w:r>
      <w:r>
        <w:t xml:space="preserve">GAO-22-105555, Washington, DC, 2022.</w:t>
      </w:r>
    </w:p>
    <w:bookmarkEnd w:id="76"/>
    <w:bookmarkStart w:id="77" w:name="specification"/>
    <w:p>
      <w:pPr>
        <w:pStyle w:val="Heading2"/>
      </w:pPr>
      <w:r>
        <w:t xml:space="preserve">Specification</w:t>
      </w:r>
    </w:p>
    <w:p>
      <w:pPr>
        <w:pStyle w:val="FirstParagraph"/>
      </w:pPr>
      <m:oMathPara>
        <m:oMathParaPr>
          <m:jc m:val="center"/>
        </m:oMathParaPr>
        <m:oMath>
          <m:r>
            <m:t>h</m:t>
          </m:r>
          <m:r>
            <m:rPr>
              <m:sty m:val="p"/>
            </m:rPr>
            <m:t>(</m:t>
          </m:r>
          <m:r>
            <m:t>t</m:t>
          </m:r>
          <m:r>
            <m:rPr>
              <m:sty m:val="p"/>
            </m:rPr>
            <m:t>∣</m:t>
          </m:r>
          <m:sSub>
            <m:e>
              <m:r>
                <m:t>x</m:t>
              </m:r>
            </m:e>
            <m:sub>
              <m:r>
                <m:t>i</m:t>
              </m:r>
            </m:sub>
          </m:sSub>
          <m:r>
            <m:rPr>
              <m:sty m:val="p"/>
            </m:rPr>
            <m:t>)</m:t>
          </m:r>
          <m:r>
            <m:rPr>
              <m:sty m:val="p"/>
            </m:rPr>
            <m:t>=</m:t>
          </m:r>
          <m:sSub>
            <m:e>
              <m:r>
                <m:t>h</m:t>
              </m:r>
            </m:e>
            <m:sub>
              <m:r>
                <m:t>0</m:t>
              </m:r>
            </m:sub>
          </m:sSub>
          <m:r>
            <m:rPr>
              <m:sty m:val="p"/>
            </m:rPr>
            <m:t>(</m:t>
          </m:r>
          <m:r>
            <m:t>t</m:t>
          </m:r>
          <m:r>
            <m:rPr>
              <m:sty m:val="p"/>
            </m:rPr>
            <m:t>)</m:t>
          </m:r>
          <m:r>
            <m:t> </m:t>
          </m:r>
          <m:r>
            <m:rPr>
              <m:sty m:val="p"/>
            </m:rPr>
            <m:t>exp</m:t>
          </m:r>
          <m:r>
            <m:t>​</m:t>
          </m:r>
          <m:d>
            <m:dPr>
              <m:begChr m:val="("/>
              <m:sepChr m:val=""/>
              <m:endChr m:val=")"/>
              <m:grow/>
            </m:dPr>
            <m:e>
              <m:sSub>
                <m:e>
                  <m:r>
                    <m:t>β</m:t>
                  </m:r>
                </m:e>
                <m:sub>
                  <m:r>
                    <m:t>1</m:t>
                  </m:r>
                </m:sub>
              </m:sSub>
              <m:sSub>
                <m:e>
                  <m:r>
                    <m:rPr>
                      <m:nor/>
                      <m:sty m:val="p"/>
                    </m:rPr>
                    <m:t>DecadalRank</m:t>
                  </m:r>
                </m:e>
                <m:sub>
                  <m:r>
                    <m:t>i</m:t>
                  </m:r>
                </m:sub>
              </m:sSub>
              <m:r>
                <m:rPr>
                  <m:sty m:val="p"/>
                </m:rPr>
                <m:t>+</m:t>
              </m:r>
              <m:sSub>
                <m:e>
                  <m:r>
                    <m:t>β</m:t>
                  </m:r>
                </m:e>
                <m:sub>
                  <m:r>
                    <m:t>2</m:t>
                  </m:r>
                </m:sub>
              </m:sSub>
              <m:sSub>
                <m:e>
                  <m:r>
                    <m:rPr>
                      <m:nor/>
                      <m:sty m:val="p"/>
                    </m:rPr>
                    <m:t>TRL</m:t>
                  </m:r>
                </m:e>
                <m:sub>
                  <m:r>
                    <m:t>i</m:t>
                  </m:r>
                </m:sub>
              </m:sSub>
              <m:r>
                <m:rPr>
                  <m:sty m:val="p"/>
                </m:rPr>
                <m:t>+</m:t>
              </m:r>
              <m:sSub>
                <m:e>
                  <m:r>
                    <m:t>β</m:t>
                  </m:r>
                </m:e>
                <m:sub>
                  <m:r>
                    <m:t>3</m:t>
                  </m:r>
                </m:sub>
              </m:sSub>
              <m:sSub>
                <m:e>
                  <m:r>
                    <m:rPr>
                      <m:nor/>
                      <m:sty m:val="p"/>
                    </m:rPr>
                    <m:t>Instruments</m:t>
                  </m:r>
                </m:e>
                <m:sub>
                  <m:r>
                    <m:t>i</m:t>
                  </m:r>
                </m:sub>
              </m:sSub>
              <m:r>
                <m:rPr>
                  <m:sty m:val="p"/>
                </m:rPr>
                <m:t>+</m:t>
              </m:r>
              <m:sSub>
                <m:e>
                  <m:r>
                    <m:t>β</m:t>
                  </m:r>
                </m:e>
                <m:sub>
                  <m:r>
                    <m:t>4</m:t>
                  </m:r>
                </m:sub>
              </m:sSub>
              <m:sSub>
                <m:e>
                  <m:r>
                    <m:rPr>
                      <m:nor/>
                      <m:sty m:val="p"/>
                    </m:rPr>
                    <m:t>Flagship</m:t>
                  </m:r>
                </m:e>
                <m:sub>
                  <m:r>
                    <m:t>i</m:t>
                  </m:r>
                </m:sub>
              </m:sSub>
            </m:e>
          </m:d>
        </m:oMath>
      </m:oMathPara>
    </w:p>
    <w:bookmarkEnd w:id="77"/>
    <w:bookmarkStart w:id="81" w:name="results"/>
    <w:p>
      <w:pPr>
        <w:pStyle w:val="Heading2"/>
      </w:pPr>
      <w:r>
        <w:t xml:space="preserve">Results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decadal_rank</w:t>
            </w:r>
          </w:p>
        </w:tc>
        <w:tc>
          <w:tcPr>
            <w:tcW w:w="0" w:type="auto"/>
          </w:tcPr>
          <w:p>
            <w:pPr>
              <w:spacing w:line="240" w:lineRule="auto" w:before="0" w:after="0"/>
              <w:pStyle w:val="Compact"/>
            </w:pPr>
            <w:r>
              <w:rPr>
                <w:sz w:val="20"/>
                <w:szCs w:val="20"/>
              </w:rPr>
              <w:t xml:space="preserve">-0.0902</w:t>
            </w:r>
          </w:p>
        </w:tc>
        <w:tc>
          <w:tcPr>
            <w:tcW w:w="0" w:type="auto"/>
          </w:tcPr>
          <w:p>
            <w:pPr>
              <w:spacing w:line="240" w:lineRule="auto" w:before="0" w:after="0"/>
              <w:pStyle w:val="Compact"/>
            </w:pPr>
            <w:r>
              <w:rPr>
                <w:sz w:val="20"/>
                <w:szCs w:val="20"/>
              </w:rPr>
              <w:t xml:space="preserve">0.3367</w:t>
            </w:r>
          </w:p>
        </w:tc>
        <w:tc>
          <w:tcPr>
            <w:tcW w:w="0" w:type="auto"/>
          </w:tcPr>
          <w:p>
            <w:pPr>
              <w:spacing w:line="240" w:lineRule="auto" w:before="0" w:after="0"/>
              <w:pStyle w:val="Compact"/>
            </w:pPr>
            <w:r>
              <w:rPr>
                <w:sz w:val="20"/>
                <w:szCs w:val="20"/>
              </w:rPr>
              <w:t xml:space="preserve">-0.268</w:t>
            </w:r>
          </w:p>
        </w:tc>
        <w:tc>
          <w:tcPr>
            <w:tcW w:w="0" w:type="auto"/>
          </w:tcPr>
          <w:p>
            <w:pPr>
              <w:spacing w:line="240" w:lineRule="auto" w:before="0" w:after="0"/>
              <w:pStyle w:val="Compact"/>
            </w:pPr>
            <w:r>
              <w:rPr>
                <w:sz w:val="20"/>
                <w:szCs w:val="20"/>
              </w:rPr>
              <w:t xml:space="preserve">0.7887</w:t>
            </w:r>
          </w:p>
        </w:tc>
        <w:tc>
          <w:tcPr>
            <w:tcW w:w="0" w:type="auto"/>
          </w:tcPr>
          <w:p>
            <w:pPr>
              <w:spacing w:line="240" w:lineRule="auto" w:before="0" w:after="0"/>
              <w:pStyle w:val="Compact"/>
            </w:pPr>
            <w:r>
              <w:rPr>
                <w:sz w:val="20"/>
                <w:szCs w:val="20"/>
              </w:rPr>
              <w:t xml:space="preserve">[-0.7502, 0.5697]</w:t>
            </w:r>
          </w:p>
        </w:tc>
        <w:tc>
          <w:tcPr>
            <w:tcW w:w="0" w:type="auto"/>
          </w:tcPr>
          <w:p>
            <w:pPr>
              <w:spacing w:line="240" w:lineRule="auto" w:before="0" w:after="0"/>
              <w:pStyle w:val="Compact"/>
            </w:pPr>
            <w:r>
              <w:rPr>
                <w:sz w:val="20"/>
                <w:szCs w:val="20"/>
              </w:rPr>
              <w:t xml:space="preserve">0.9137</w:t>
            </w:r>
          </w:p>
        </w:tc>
      </w:tr>
      <w:tr>
        <w:tc>
          <w:tcPr>
            <w:tcW w:w="0" w:type="auto"/>
          </w:tcPr>
          <w:p>
            <w:pPr>
              <w:spacing w:line="240" w:lineRule="auto" w:before="0" w:after="0"/>
              <w:pStyle w:val="Compact"/>
            </w:pPr>
            <w:r>
              <w:rPr>
                <w:sz w:val="20"/>
                <w:szCs w:val="20"/>
              </w:rPr>
              <w:t xml:space="preserve">trl_at_start</w:t>
            </w:r>
          </w:p>
        </w:tc>
        <w:tc>
          <w:tcPr>
            <w:tcW w:w="0" w:type="auto"/>
          </w:tcPr>
          <w:p>
            <w:pPr>
              <w:spacing w:line="240" w:lineRule="auto" w:before="0" w:after="0"/>
              <w:pStyle w:val="Compact"/>
            </w:pPr>
            <w:r>
              <w:rPr>
                <w:sz w:val="20"/>
                <w:szCs w:val="20"/>
              </w:rPr>
              <w:t xml:space="preserve">1.0292</w:t>
            </w:r>
          </w:p>
        </w:tc>
        <w:tc>
          <w:tcPr>
            <w:tcW w:w="0" w:type="auto"/>
          </w:tcPr>
          <w:p>
            <w:pPr>
              <w:spacing w:line="240" w:lineRule="auto" w:before="0" w:after="0"/>
              <w:pStyle w:val="Compact"/>
            </w:pPr>
            <w:r>
              <w:rPr>
                <w:sz w:val="20"/>
                <w:szCs w:val="20"/>
              </w:rPr>
              <w:t xml:space="preserve">0.4478</w:t>
            </w:r>
          </w:p>
        </w:tc>
        <w:tc>
          <w:tcPr>
            <w:tcW w:w="0" w:type="auto"/>
          </w:tcPr>
          <w:p>
            <w:pPr>
              <w:spacing w:line="240" w:lineRule="auto" w:before="0" w:after="0"/>
              <w:pStyle w:val="Compact"/>
            </w:pPr>
            <w:r>
              <w:rPr>
                <w:sz w:val="20"/>
                <w:szCs w:val="20"/>
              </w:rPr>
              <w:t xml:space="preserve">2.2983</w:t>
            </w:r>
          </w:p>
        </w:tc>
        <w:tc>
          <w:tcPr>
            <w:tcW w:w="0" w:type="auto"/>
          </w:tcPr>
          <w:p>
            <w:pPr>
              <w:spacing w:line="240" w:lineRule="auto" w:before="0" w:after="0"/>
              <w:pStyle w:val="Compact"/>
            </w:pPr>
            <w:r>
              <w:rPr>
                <w:sz w:val="20"/>
                <w:szCs w:val="20"/>
              </w:rPr>
              <w:t xml:space="preserve">0.0215</w:t>
            </w:r>
          </w:p>
        </w:tc>
        <w:tc>
          <w:tcPr>
            <w:tcW w:w="0" w:type="auto"/>
          </w:tcPr>
          <w:p>
            <w:pPr>
              <w:spacing w:line="240" w:lineRule="auto" w:before="0" w:after="0"/>
              <w:pStyle w:val="Compact"/>
            </w:pPr>
            <w:r>
              <w:rPr>
                <w:sz w:val="20"/>
                <w:szCs w:val="20"/>
              </w:rPr>
              <w:t xml:space="preserve">[0.1515, 1.907]</w:t>
            </w:r>
          </w:p>
        </w:tc>
        <w:tc>
          <w:tcPr>
            <w:tcW w:w="0" w:type="auto"/>
          </w:tcPr>
          <w:p>
            <w:pPr>
              <w:spacing w:line="240" w:lineRule="auto" w:before="0" w:after="0"/>
              <w:pStyle w:val="Compact"/>
            </w:pPr>
            <w:r>
              <w:rPr>
                <w:sz w:val="20"/>
                <w:szCs w:val="20"/>
              </w:rPr>
              <w:t xml:space="preserve">2.7989</w:t>
            </w:r>
          </w:p>
        </w:tc>
      </w:tr>
      <w:tr>
        <w:tc>
          <w:tcPr>
            <w:tcW w:w="0" w:type="auto"/>
          </w:tcPr>
          <w:p>
            <w:pPr>
              <w:spacing w:line="240" w:lineRule="auto" w:before="0" w:after="0"/>
              <w:pStyle w:val="Compact"/>
            </w:pPr>
            <w:r>
              <w:rPr>
                <w:sz w:val="20"/>
                <w:szCs w:val="20"/>
              </w:rPr>
              <w:t xml:space="preserve">instrument_count</w:t>
            </w:r>
          </w:p>
        </w:tc>
        <w:tc>
          <w:tcPr>
            <w:tcW w:w="0" w:type="auto"/>
          </w:tcPr>
          <w:p>
            <w:pPr>
              <w:spacing w:line="240" w:lineRule="auto" w:before="0" w:after="0"/>
              <w:pStyle w:val="Compact"/>
            </w:pPr>
            <w:r>
              <w:rPr>
                <w:sz w:val="20"/>
                <w:szCs w:val="20"/>
              </w:rPr>
              <w:t xml:space="preserve">0.0394</w:t>
            </w:r>
          </w:p>
        </w:tc>
        <w:tc>
          <w:tcPr>
            <w:tcW w:w="0" w:type="auto"/>
          </w:tcPr>
          <w:p>
            <w:pPr>
              <w:spacing w:line="240" w:lineRule="auto" w:before="0" w:after="0"/>
              <w:pStyle w:val="Compact"/>
            </w:pPr>
            <w:r>
              <w:rPr>
                <w:sz w:val="20"/>
                <w:szCs w:val="20"/>
              </w:rPr>
              <w:t xml:space="preserve">0.3676</w:t>
            </w:r>
          </w:p>
        </w:tc>
        <w:tc>
          <w:tcPr>
            <w:tcW w:w="0" w:type="auto"/>
          </w:tcPr>
          <w:p>
            <w:pPr>
              <w:spacing w:line="240" w:lineRule="auto" w:before="0" w:after="0"/>
              <w:pStyle w:val="Compact"/>
            </w:pPr>
            <w:r>
              <w:rPr>
                <w:sz w:val="20"/>
                <w:szCs w:val="20"/>
              </w:rPr>
              <w:t xml:space="preserve">0.1071</w:t>
            </w:r>
          </w:p>
        </w:tc>
        <w:tc>
          <w:tcPr>
            <w:tcW w:w="0" w:type="auto"/>
          </w:tcPr>
          <w:p>
            <w:pPr>
              <w:spacing w:line="240" w:lineRule="auto" w:before="0" w:after="0"/>
              <w:pStyle w:val="Compact"/>
            </w:pPr>
            <w:r>
              <w:rPr>
                <w:sz w:val="20"/>
                <w:szCs w:val="20"/>
              </w:rPr>
              <w:t xml:space="preserve">0.9147</w:t>
            </w:r>
          </w:p>
        </w:tc>
        <w:tc>
          <w:tcPr>
            <w:tcW w:w="0" w:type="auto"/>
          </w:tcPr>
          <w:p>
            <w:pPr>
              <w:spacing w:line="240" w:lineRule="auto" w:before="0" w:after="0"/>
              <w:pStyle w:val="Compact"/>
            </w:pPr>
            <w:r>
              <w:rPr>
                <w:sz w:val="20"/>
                <w:szCs w:val="20"/>
              </w:rPr>
              <w:t xml:space="preserve">[-0.6812, 0.7599]</w:t>
            </w:r>
          </w:p>
        </w:tc>
        <w:tc>
          <w:tcPr>
            <w:tcW w:w="0" w:type="auto"/>
          </w:tcPr>
          <w:p>
            <w:pPr>
              <w:spacing w:line="240" w:lineRule="auto" w:before="0" w:after="0"/>
              <w:pStyle w:val="Compact"/>
            </w:pPr>
            <w:r>
              <w:rPr>
                <w:sz w:val="20"/>
                <w:szCs w:val="20"/>
              </w:rPr>
              <w:t xml:space="preserve">1.0402</w:t>
            </w:r>
          </w:p>
        </w:tc>
      </w:tr>
      <w:tr>
        <w:tc>
          <w:tcPr>
            <w:tcW w:w="0" w:type="auto"/>
          </w:tcPr>
          <w:p>
            <w:pPr>
              <w:spacing w:line="240" w:lineRule="auto" w:before="0" w:after="0"/>
              <w:pStyle w:val="Compact"/>
            </w:pPr>
            <w:r>
              <w:rPr>
                <w:sz w:val="20"/>
                <w:szCs w:val="20"/>
              </w:rPr>
              <w:t xml:space="preserve">flagship</w:t>
            </w:r>
          </w:p>
        </w:tc>
        <w:tc>
          <w:tcPr>
            <w:tcW w:w="0" w:type="auto"/>
          </w:tcPr>
          <w:p>
            <w:pPr>
              <w:spacing w:line="240" w:lineRule="auto" w:before="0" w:after="0"/>
              <w:pStyle w:val="Compact"/>
            </w:pPr>
            <w:r>
              <w:rPr>
                <w:sz w:val="20"/>
                <w:szCs w:val="20"/>
              </w:rPr>
              <w:t xml:space="preserve">-1.0627</w:t>
            </w:r>
          </w:p>
        </w:tc>
        <w:tc>
          <w:tcPr>
            <w:tcW w:w="0" w:type="auto"/>
          </w:tcPr>
          <w:p>
            <w:pPr>
              <w:spacing w:line="240" w:lineRule="auto" w:before="0" w:after="0"/>
              <w:pStyle w:val="Compact"/>
            </w:pPr>
            <w:r>
              <w:rPr>
                <w:sz w:val="20"/>
                <w:szCs w:val="20"/>
              </w:rPr>
              <w:t xml:space="preserve">0.795</w:t>
            </w:r>
          </w:p>
        </w:tc>
        <w:tc>
          <w:tcPr>
            <w:tcW w:w="0" w:type="auto"/>
          </w:tcPr>
          <w:p>
            <w:pPr>
              <w:spacing w:line="240" w:lineRule="auto" w:before="0" w:after="0"/>
              <w:pStyle w:val="Compact"/>
            </w:pPr>
            <w:r>
              <w:rPr>
                <w:sz w:val="20"/>
                <w:szCs w:val="20"/>
              </w:rPr>
              <w:t xml:space="preserve">-1.3366</w:t>
            </w:r>
          </w:p>
        </w:tc>
        <w:tc>
          <w:tcPr>
            <w:tcW w:w="0" w:type="auto"/>
          </w:tcPr>
          <w:p>
            <w:pPr>
              <w:spacing w:line="240" w:lineRule="auto" w:before="0" w:after="0"/>
              <w:pStyle w:val="Compact"/>
            </w:pPr>
            <w:r>
              <w:rPr>
                <w:sz w:val="20"/>
                <w:szCs w:val="20"/>
              </w:rPr>
              <w:t xml:space="preserve">0.1813</w:t>
            </w:r>
          </w:p>
        </w:tc>
        <w:tc>
          <w:tcPr>
            <w:tcW w:w="0" w:type="auto"/>
          </w:tcPr>
          <w:p>
            <w:pPr>
              <w:spacing w:line="240" w:lineRule="auto" w:before="0" w:after="0"/>
              <w:pStyle w:val="Compact"/>
            </w:pPr>
            <w:r>
              <w:rPr>
                <w:sz w:val="20"/>
                <w:szCs w:val="20"/>
              </w:rPr>
              <w:t xml:space="preserve">[-2.621, 0.4956]</w:t>
            </w:r>
          </w:p>
        </w:tc>
        <w:tc>
          <w:tcPr>
            <w:tcW w:w="0" w:type="auto"/>
          </w:tcPr>
          <w:p>
            <w:pPr>
              <w:spacing w:line="240" w:lineRule="auto" w:before="0" w:after="0"/>
              <w:pStyle w:val="Compact"/>
            </w:pPr>
            <w:r>
              <w:rPr>
                <w:sz w:val="20"/>
                <w:szCs w:val="20"/>
              </w:rPr>
              <w:t xml:space="preserve">0.3455</w:t>
            </w:r>
          </w:p>
        </w:tc>
      </w:tr>
    </w:tbl>
    <w:p>
      <w:pPr>
        <w:pStyle w:val="BodyText"/>
      </w:pPr>
      <w:r>
        <w:t xml:space="preserve">Fit: N = 30 events = 26</w:t>
      </w:r>
    </w:p>
    <w:p>
      <w:pPr>
        <w:pStyle w:val="CaptionedFigure"/>
      </w:pPr>
      <w:r>
        <w:drawing>
          <wp:inline>
            <wp:extent cx="5669280" cy="3657600"/>
            <wp:effectExtent b="0" l="0" r="0" t="0"/>
            <wp:docPr descr="Figure 1. Realized development duration from confirmation to launch against decadal priority ordinal across the NASA astrophysics and Earth-science observatory population, with launched missions and censored (in-development) missions distinguished." title="" id="79" name="Picture"/>
            <a:graphic>
              <a:graphicData uri="http://schemas.openxmlformats.org/drawingml/2006/picture">
                <pic:pic>
                  <pic:nvPicPr>
                    <pic:cNvPr descr="D:\Claude_Code\brain\collegium\candidates\dissertations\JPL_ASTRO_EARTH_04\research_papers\p2\paper_fig1.png" id="80" name="Picture"/>
                    <pic:cNvPicPr>
                      <a:picLocks noChangeArrowheads="1" noChangeAspect="1"/>
                    </pic:cNvPicPr>
                  </pic:nvPicPr>
                  <pic:blipFill>
                    <a:blip r:embed="rId78"/>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Realized development duration from confirmation to launch against decadal priority ordinal across the NASA astrophysics and Earth-science observatory population, with launched missions and censored (in-development) missions distinguished.</w:t>
      </w:r>
    </w:p>
    <w:bookmarkEnd w:id="81"/>
    <w:bookmarkStart w:id="85"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2"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660"/>
        <w:gridCol w:w="660"/>
        <w:gridCol w:w="660"/>
        <w:gridCol w:w="660"/>
        <w:gridCol w:w="660"/>
        <w:gridCol w:w="660"/>
        <w:gridCol w:w="660"/>
        <w:gridCol w:w="660"/>
        <w:gridCol w:w="660"/>
        <w:gridCol w:w="660"/>
        <w:gridCol w:w="660"/>
        <w:gridCol w:w="660"/>
      </w:tblGrid>
      <w:tr>
        <w:trPr>
          <w:tblHeader w:val="on"/>
        </w:trPr>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confirm_year</w:t>
            </w:r>
          </w:p>
        </w:tc>
        <w:tc>
          <w:tcPr>
            <w:tcW w:w="0" w:type="auto"/>
          </w:tcPr>
          <w:p>
            <w:pPr>
              <w:spacing w:line="240" w:lineRule="auto" w:before="0" w:after="0"/>
              <w:pStyle w:val="Compact"/>
            </w:pPr>
            <w:r>
              <w:rPr>
                <w:sz w:val="20"/>
                <w:szCs w:val="20"/>
              </w:rPr>
              <w:t xml:space="preserve">baseline_lr</w:t>
            </w:r>
          </w:p>
        </w:tc>
        <w:tc>
          <w:tcPr>
            <w:tcW w:w="0" w:type="auto"/>
          </w:tcPr>
          <w:p>
            <w:pPr>
              <w:spacing w:line="240" w:lineRule="auto" w:before="0" w:after="0"/>
              <w:pStyle w:val="Compact"/>
            </w:pPr>
            <w:r>
              <w:rPr>
                <w:sz w:val="20"/>
                <w:szCs w:val="20"/>
              </w:rPr>
              <w:t xml:space="preserve">actual_or_planned_lr</w:t>
            </w:r>
          </w:p>
        </w:tc>
        <w:tc>
          <w:tcPr>
            <w:tcW w:w="0" w:type="auto"/>
          </w:tcPr>
          <w:p>
            <w:pPr>
              <w:spacing w:line="240" w:lineRule="auto" w:before="0" w:after="0"/>
              <w:pStyle w:val="Compact"/>
            </w:pPr>
            <w:r>
              <w:rPr>
                <w:sz w:val="20"/>
                <w:szCs w:val="20"/>
              </w:rPr>
              <w:t xml:space="preserve">dev_months</w:t>
            </w:r>
          </w:p>
        </w:tc>
        <w:tc>
          <w:tcPr>
            <w:tcW w:w="0" w:type="auto"/>
          </w:tcPr>
          <w:p>
            <w:pPr>
              <w:spacing w:line="240" w:lineRule="auto" w:before="0" w:after="0"/>
              <w:pStyle w:val="Compact"/>
            </w:pPr>
            <w:r>
              <w:rPr>
                <w:sz w:val="20"/>
                <w:szCs w:val="20"/>
              </w:rPr>
              <w:t xml:space="preserve">launched</w:t>
            </w:r>
          </w:p>
        </w:tc>
        <w:tc>
          <w:tcPr>
            <w:tcW w:w="0" w:type="auto"/>
          </w:tcPr>
          <w:p>
            <w:pPr>
              <w:spacing w:line="240" w:lineRule="auto" w:before="0" w:after="0"/>
              <w:pStyle w:val="Compact"/>
            </w:pPr>
            <w:r>
              <w:rPr>
                <w:sz w:val="20"/>
                <w:szCs w:val="20"/>
              </w:rPr>
              <w:t xml:space="preserve">slip_months</w:t>
            </w:r>
          </w:p>
        </w:tc>
        <w:tc>
          <w:tcPr>
            <w:tcW w:w="0" w:type="auto"/>
          </w:tcPr>
          <w:p>
            <w:pPr>
              <w:spacing w:line="240" w:lineRule="auto" w:before="0" w:after="0"/>
              <w:pStyle w:val="Compact"/>
            </w:pPr>
            <w:r>
              <w:rPr>
                <w:sz w:val="20"/>
                <w:szCs w:val="20"/>
              </w:rPr>
              <w:t xml:space="preserve">decadal_rank</w:t>
            </w:r>
          </w:p>
        </w:tc>
        <w:tc>
          <w:tcPr>
            <w:tcW w:w="0" w:type="auto"/>
          </w:tcPr>
          <w:p>
            <w:pPr>
              <w:spacing w:line="240" w:lineRule="auto" w:before="0" w:after="0"/>
              <w:pStyle w:val="Compact"/>
            </w:pPr>
            <w:r>
              <w:rPr>
                <w:sz w:val="20"/>
                <w:szCs w:val="20"/>
              </w:rPr>
              <w:t xml:space="preserve">trl_at_start</w:t>
            </w:r>
          </w:p>
        </w:tc>
        <w:tc>
          <w:tcPr>
            <w:tcW w:w="0" w:type="auto"/>
          </w:tcPr>
          <w:p>
            <w:pPr>
              <w:spacing w:line="240" w:lineRule="auto" w:before="0" w:after="0"/>
              <w:pStyle w:val="Compact"/>
            </w:pPr>
            <w:r>
              <w:rPr>
                <w:sz w:val="20"/>
                <w:szCs w:val="20"/>
              </w:rPr>
              <w:t xml:space="preserve">instrument_count</w:t>
            </w:r>
          </w:p>
        </w:tc>
        <w:tc>
          <w:tcPr>
            <w:tcW w:w="0" w:type="auto"/>
          </w:tcPr>
          <w:p>
            <w:pPr>
              <w:spacing w:line="240" w:lineRule="auto" w:before="0" w:after="0"/>
              <w:pStyle w:val="Compact"/>
            </w:pPr>
            <w:r>
              <w:rPr>
                <w:sz w:val="20"/>
                <w:szCs w:val="20"/>
              </w:rPr>
              <w:t xml:space="preserve">flagship</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JWST</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2014-06</w:t>
            </w:r>
          </w:p>
        </w:tc>
        <w:tc>
          <w:tcPr>
            <w:tcW w:w="0" w:type="auto"/>
          </w:tcPr>
          <w:p>
            <w:pPr>
              <w:spacing w:line="240" w:lineRule="auto" w:before="0" w:after="0"/>
              <w:pStyle w:val="Compact"/>
            </w:pPr>
            <w:r>
              <w:rPr>
                <w:sz w:val="20"/>
                <w:szCs w:val="20"/>
              </w:rPr>
              <w:t xml:space="preserve">2021-12</w:t>
            </w:r>
          </w:p>
        </w:tc>
        <w:tc>
          <w:tcPr>
            <w:tcW w:w="0" w:type="auto"/>
          </w:tcPr>
          <w:p>
            <w:pPr>
              <w:spacing w:line="240" w:lineRule="auto" w:before="0" w:after="0"/>
              <w:pStyle w:val="Compact"/>
            </w:pPr>
            <w:r>
              <w:rPr>
                <w:sz w:val="20"/>
                <w:szCs w:val="20"/>
              </w:rPr>
              <w:t xml:space="preserve">154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GAO-14-72 and GAO-22-105555 (2009 cost/schedule baseline, launch readiness mid-2014); actual launch 25 Dec 2021 per NASA Webb mission timeline; 2001 decadal top-ranked large mission (NGST)</w:t>
            </w:r>
          </w:p>
        </w:tc>
      </w:tr>
      <w:tr>
        <w:tc>
          <w:tcPr>
            <w:tcW w:w="0" w:type="auto"/>
          </w:tcPr>
          <w:p>
            <w:pPr>
              <w:spacing w:line="240" w:lineRule="auto" w:before="0" w:after="0"/>
              <w:pStyle w:val="Compact"/>
            </w:pPr>
            <w:r>
              <w:rPr>
                <w:sz w:val="20"/>
                <w:szCs w:val="20"/>
              </w:rPr>
              <w:t xml:space="preserve">Roman Space Telescope</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2026-10</w:t>
            </w:r>
          </w:p>
        </w:tc>
        <w:tc>
          <w:tcPr>
            <w:tcW w:w="0" w:type="auto"/>
          </w:tcPr>
          <w:p>
            <w:pPr>
              <w:spacing w:line="240" w:lineRule="auto" w:before="0" w:after="0"/>
              <w:pStyle w:val="Compact"/>
            </w:pPr>
            <w:r>
              <w:rPr>
                <w:sz w:val="20"/>
                <w:szCs w:val="20"/>
              </w:rPr>
              <w:t xml:space="preserve">2026-08</w:t>
            </w:r>
          </w:p>
        </w:tc>
        <w:tc>
          <w:tcPr>
            <w:tcW w:w="0" w:type="auto"/>
          </w:tcPr>
          <w:p>
            <w:pPr>
              <w:spacing w:line="240" w:lineRule="auto" w:before="0" w:after="0"/>
              <w:pStyle w:val="Compact"/>
            </w:pPr>
            <w:r>
              <w:rPr>
                <w:sz w:val="20"/>
                <w:szCs w:val="20"/>
              </w:rPr>
              <w:t xml:space="preserve">73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GAO-25-107591 (KDP-C confirmation Feb 2020, baseline launch readiness Oct 2026, commitment May 2027); NASA Science Roman blog Aug 2026 launch; 2010 decadal top-ranked large mission (WFIRST)</w:t>
            </w:r>
          </w:p>
        </w:tc>
      </w:tr>
      <w:tr>
        <w:tc>
          <w:tcPr>
            <w:tcW w:w="0" w:type="auto"/>
          </w:tcPr>
          <w:p>
            <w:pPr>
              <w:spacing w:line="240" w:lineRule="auto" w:before="0" w:after="0"/>
              <w:pStyle w:val="Compact"/>
            </w:pPr>
            <w:r>
              <w:rPr>
                <w:sz w:val="20"/>
                <w:szCs w:val="20"/>
              </w:rPr>
              <w:t xml:space="preserve">SPHEREx</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2023-06</w:t>
            </w:r>
          </w:p>
        </w:tc>
        <w:tc>
          <w:tcPr>
            <w:tcW w:w="0" w:type="auto"/>
          </w:tcPr>
          <w:p>
            <w:pPr>
              <w:spacing w:line="240" w:lineRule="auto" w:before="0" w:after="0"/>
              <w:pStyle w:val="Compact"/>
            </w:pPr>
            <w:r>
              <w:rPr>
                <w:sz w:val="20"/>
                <w:szCs w:val="20"/>
              </w:rPr>
              <w:t xml:space="preserve">2025-03</w:t>
            </w:r>
          </w:p>
        </w:tc>
        <w:tc>
          <w:tcPr>
            <w:tcW w:w="0" w:type="auto"/>
          </w:tcPr>
          <w:p>
            <w:pPr>
              <w:spacing w:line="240" w:lineRule="auto" w:before="0" w:after="0"/>
              <w:pStyle w:val="Compact"/>
            </w:pPr>
            <w:r>
              <w:rPr>
                <w:sz w:val="20"/>
                <w:szCs w:val="20"/>
              </w:rPr>
              <w:t xml:space="preserve">73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NASA/JPL SPHEREx press kit and GAO-25-107591 (selected/confirmed 2019, baseline launch 2023); launched 12 Mar 2025 per Spaceflight Now; 2010 decadal Explorer-program MIDEX</w:t>
            </w:r>
          </w:p>
        </w:tc>
      </w:tr>
      <w:tr>
        <w:tc>
          <w:tcPr>
            <w:tcW w:w="0" w:type="auto"/>
          </w:tcPr>
          <w:p>
            <w:pPr>
              <w:spacing w:line="240" w:lineRule="auto" w:before="0" w:after="0"/>
              <w:pStyle w:val="Compact"/>
            </w:pPr>
            <w:r>
              <w:rPr>
                <w:sz w:val="20"/>
                <w:szCs w:val="20"/>
              </w:rPr>
              <w:t xml:space="preserve">NEO Surveyor</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2028-06</w:t>
            </w:r>
          </w:p>
        </w:tc>
        <w:tc>
          <w:tcPr>
            <w:tcW w:w="0" w:type="auto"/>
          </w:tcPr>
          <w:p>
            <w:pPr>
              <w:spacing w:line="240" w:lineRule="auto" w:before="0" w:after="0"/>
              <w:pStyle w:val="Compact"/>
            </w:pPr>
            <w:r>
              <w:rPr>
                <w:sz w:val="20"/>
                <w:szCs w:val="20"/>
              </w:rPr>
              <w:t xml:space="preserve">2027-09</w:t>
            </w:r>
          </w:p>
        </w:tc>
        <w:tc>
          <w:tcPr>
            <w:tcW w:w="0" w:type="auto"/>
          </w:tcPr>
          <w:p>
            <w:pPr>
              <w:spacing w:line="240" w:lineRule="auto" w:before="0" w:after="0"/>
              <w:pStyle w:val="Compact"/>
            </w:pPr>
            <w:r>
              <w:rPr>
                <w:sz w:val="20"/>
                <w:szCs w:val="20"/>
              </w:rPr>
              <w:t xml:space="preserve">57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Science NEO Surveyor KDP-C Dec 2022 blog; SpaceNews</w:t>
            </w:r>
            <w:r>
              <w:rPr>
                <w:sz w:val="20"/>
                <w:szCs w:val="20"/>
              </w:rPr>
              <w:t xml:space="preserve"> </w:t>
            </w:r>
            <w:r>
              <w:rPr>
                <w:sz w:val="20"/>
                <w:szCs w:val="20"/>
              </w:rPr>
              <w:t xml:space="preserve">‘NASA confirms NEO Surveyor for 2028 launch’</w:t>
            </w:r>
            <w:r>
              <w:rPr>
                <w:sz w:val="20"/>
                <w:szCs w:val="20"/>
              </w:rPr>
              <w:t xml:space="preserve"> </w:t>
            </w:r>
            <w:r>
              <w:rPr>
                <w:sz w:val="20"/>
                <w:szCs w:val="20"/>
              </w:rPr>
              <w:t xml:space="preserve">($1.2B, NLT June 2028); planned Sep 2027 per GAO-25-107591; planetary-defense decadal priority</w:t>
            </w:r>
          </w:p>
        </w:tc>
      </w:tr>
      <w:tr>
        <w:tc>
          <w:tcPr>
            <w:tcW w:w="0" w:type="auto"/>
          </w:tcPr>
          <w:p>
            <w:pPr>
              <w:spacing w:line="240" w:lineRule="auto" w:before="0" w:after="0"/>
              <w:pStyle w:val="Compact"/>
            </w:pPr>
            <w:r>
              <w:rPr>
                <w:sz w:val="20"/>
                <w:szCs w:val="20"/>
              </w:rPr>
              <w:t xml:space="preserve">IXPE</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2021-12</w:t>
            </w:r>
          </w:p>
        </w:tc>
        <w:tc>
          <w:tcPr>
            <w:tcW w:w="0" w:type="auto"/>
          </w:tcPr>
          <w:p>
            <w:pPr>
              <w:spacing w:line="240" w:lineRule="auto" w:before="0" w:after="0"/>
              <w:pStyle w:val="Compact"/>
            </w:pPr>
            <w:r>
              <w:rPr>
                <w:sz w:val="20"/>
                <w:szCs w:val="20"/>
              </w:rPr>
              <w:t xml:space="preserve">2021-12</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NASA/MSFC IXPE mission page and eoPortal (SMEX, confirmed 2019); launched 9 Dec 2021 per INAF/NASA; 2010 decadal Explorer SMEX line</w:t>
            </w:r>
          </w:p>
        </w:tc>
      </w:tr>
      <w:tr>
        <w:tc>
          <w:tcPr>
            <w:tcW w:w="0" w:type="auto"/>
          </w:tcPr>
          <w:p>
            <w:pPr>
              <w:spacing w:line="240" w:lineRule="auto" w:before="0" w:after="0"/>
              <w:pStyle w:val="Compact"/>
            </w:pPr>
            <w:r>
              <w:rPr>
                <w:sz w:val="20"/>
                <w:szCs w:val="20"/>
              </w:rPr>
              <w:t xml:space="preserve">TESS</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2017-08</w:t>
            </w:r>
          </w:p>
        </w:tc>
        <w:tc>
          <w:tcPr>
            <w:tcW w:w="0" w:type="auto"/>
          </w:tcPr>
          <w:p>
            <w:pPr>
              <w:spacing w:line="240" w:lineRule="auto" w:before="0" w:after="0"/>
              <w:pStyle w:val="Compact"/>
            </w:pPr>
            <w:r>
              <w:rPr>
                <w:sz w:val="20"/>
                <w:szCs w:val="20"/>
              </w:rPr>
              <w:t xml:space="preserve">2018-04</w:t>
            </w:r>
          </w:p>
        </w:tc>
        <w:tc>
          <w:tcPr>
            <w:tcW w:w="0" w:type="auto"/>
          </w:tcPr>
          <w:p>
            <w:pPr>
              <w:spacing w:line="240" w:lineRule="auto" w:before="0" w:after="0"/>
              <w:pStyle w:val="Compact"/>
            </w:pPr>
            <w:r>
              <w:rPr>
                <w:sz w:val="20"/>
                <w:szCs w:val="20"/>
              </w:rPr>
              <w:t xml:space="preserve">49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TESS mission page and GAO assessments (Explorer confirmation 2014, baseline 2017); launched 18 Apr 2018; 2010 decadal Explorer MIDEX</w:t>
            </w:r>
          </w:p>
        </w:tc>
      </w:tr>
      <w:tr>
        <w:tc>
          <w:tcPr>
            <w:tcW w:w="0" w:type="auto"/>
          </w:tcPr>
          <w:p>
            <w:pPr>
              <w:spacing w:line="240" w:lineRule="auto" w:before="0" w:after="0"/>
              <w:pStyle w:val="Compact"/>
            </w:pPr>
            <w:r>
              <w:rPr>
                <w:sz w:val="20"/>
                <w:szCs w:val="20"/>
              </w:rPr>
              <w:t xml:space="preserve">Kepler</w:t>
            </w:r>
          </w:p>
        </w:tc>
        <w:tc>
          <w:tcPr>
            <w:tcW w:w="0" w:type="auto"/>
          </w:tcPr>
          <w:p>
            <w:pPr>
              <w:spacing w:line="240" w:lineRule="auto" w:before="0" w:after="0"/>
              <w:pStyle w:val="Compact"/>
            </w:pPr>
            <w:r>
              <w:rPr>
                <w:sz w:val="20"/>
                <w:szCs w:val="20"/>
              </w:rPr>
              <w:t xml:space="preserve">2004</w:t>
            </w:r>
          </w:p>
        </w:tc>
        <w:tc>
          <w:tcPr>
            <w:tcW w:w="0" w:type="auto"/>
          </w:tcPr>
          <w:p>
            <w:pPr>
              <w:spacing w:line="240" w:lineRule="auto" w:before="0" w:after="0"/>
              <w:pStyle w:val="Compact"/>
            </w:pPr>
            <w:r>
              <w:rPr>
                <w:sz w:val="20"/>
                <w:szCs w:val="20"/>
              </w:rPr>
              <w:t xml:space="preserve">2008-06</w:t>
            </w:r>
          </w:p>
        </w:tc>
        <w:tc>
          <w:tcPr>
            <w:tcW w:w="0" w:type="auto"/>
          </w:tcPr>
          <w:p>
            <w:pPr>
              <w:spacing w:line="240" w:lineRule="auto" w:before="0" w:after="0"/>
              <w:pStyle w:val="Compact"/>
            </w:pPr>
            <w:r>
              <w:rPr>
                <w:sz w:val="20"/>
                <w:szCs w:val="20"/>
              </w:rPr>
              <w:t xml:space="preserve">2009-03</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Kepler mission archive and GAO-09-306SP (Discovery-program confirmation 2004); launched 7 Mar 2009; 2000 decadal moderate priority</w:t>
            </w:r>
          </w:p>
        </w:tc>
      </w:tr>
      <w:tr>
        <w:tc>
          <w:tcPr>
            <w:tcW w:w="0" w:type="auto"/>
          </w:tcPr>
          <w:p>
            <w:pPr>
              <w:spacing w:line="240" w:lineRule="auto" w:before="0" w:after="0"/>
              <w:pStyle w:val="Compact"/>
            </w:pPr>
            <w:r>
              <w:rPr>
                <w:sz w:val="20"/>
                <w:szCs w:val="20"/>
              </w:rPr>
              <w:t xml:space="preserve">NuSTAR</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2011-08</w:t>
            </w:r>
          </w:p>
        </w:tc>
        <w:tc>
          <w:tcPr>
            <w:tcW w:w="0" w:type="auto"/>
          </w:tcPr>
          <w:p>
            <w:pPr>
              <w:spacing w:line="240" w:lineRule="auto" w:before="0" w:after="0"/>
              <w:pStyle w:val="Compact"/>
            </w:pPr>
            <w:r>
              <w:rPr>
                <w:sz w:val="20"/>
                <w:szCs w:val="20"/>
              </w:rPr>
              <w:t xml:space="preserve">2012-06</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NASA/JPL NuSTAR press kit (SMEX confirmation 2008, baseline 2011); launched 13 Jun 2012; 2000 decadal Explorer line</w:t>
            </w:r>
          </w:p>
        </w:tc>
      </w:tr>
      <w:tr>
        <w:tc>
          <w:tcPr>
            <w:tcW w:w="0" w:type="auto"/>
          </w:tcPr>
          <w:p>
            <w:pPr>
              <w:spacing w:line="240" w:lineRule="auto" w:before="0" w:after="0"/>
              <w:pStyle w:val="Compact"/>
            </w:pPr>
            <w:r>
              <w:rPr>
                <w:sz w:val="20"/>
                <w:szCs w:val="20"/>
              </w:rPr>
              <w:t xml:space="preserve">GALEX</w:t>
            </w:r>
          </w:p>
        </w:tc>
        <w:tc>
          <w:tcPr>
            <w:tcW w:w="0" w:type="auto"/>
          </w:tcPr>
          <w:p>
            <w:pPr>
              <w:spacing w:line="240" w:lineRule="auto" w:before="0" w:after="0"/>
              <w:pStyle w:val="Compact"/>
            </w:pPr>
            <w:r>
              <w:rPr>
                <w:sz w:val="20"/>
                <w:szCs w:val="20"/>
              </w:rPr>
              <w:t xml:space="preserve">2001</w:t>
            </w:r>
          </w:p>
        </w:tc>
        <w:tc>
          <w:tcPr>
            <w:tcW w:w="0" w:type="auto"/>
          </w:tcPr>
          <w:p>
            <w:pPr>
              <w:spacing w:line="240" w:lineRule="auto" w:before="0" w:after="0"/>
              <w:pStyle w:val="Compact"/>
            </w:pPr>
            <w:r>
              <w:rPr>
                <w:sz w:val="20"/>
                <w:szCs w:val="20"/>
              </w:rPr>
              <w:t xml:space="preserve">2002-10</w:t>
            </w:r>
          </w:p>
        </w:tc>
        <w:tc>
          <w:tcPr>
            <w:tcW w:w="0" w:type="auto"/>
          </w:tcPr>
          <w:p>
            <w:pPr>
              <w:spacing w:line="240" w:lineRule="auto" w:before="0" w:after="0"/>
              <w:pStyle w:val="Compact"/>
            </w:pPr>
            <w:r>
              <w:rPr>
                <w:sz w:val="20"/>
                <w:szCs w:val="20"/>
              </w:rPr>
              <w:t xml:space="preserve">2003-04</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NASA/Caltech GALEX mission page (Explorer SMEX confirmation 2001); launched 28 Apr 2003; 1990s Explorer line</w:t>
            </w:r>
          </w:p>
        </w:tc>
      </w:tr>
      <w:tr>
        <w:tc>
          <w:tcPr>
            <w:tcW w:w="0" w:type="auto"/>
          </w:tcPr>
          <w:p>
            <w:pPr>
              <w:spacing w:line="240" w:lineRule="auto" w:before="0" w:after="0"/>
              <w:pStyle w:val="Compact"/>
            </w:pPr>
            <w:r>
              <w:rPr>
                <w:sz w:val="20"/>
                <w:szCs w:val="20"/>
              </w:rPr>
              <w:t xml:space="preserve">WISE</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2009-11</w:t>
            </w:r>
          </w:p>
        </w:tc>
        <w:tc>
          <w:tcPr>
            <w:tcW w:w="0" w:type="auto"/>
          </w:tcPr>
          <w:p>
            <w:pPr>
              <w:spacing w:line="240" w:lineRule="auto" w:before="0" w:after="0"/>
              <w:pStyle w:val="Compact"/>
            </w:pPr>
            <w:r>
              <w:rPr>
                <w:sz w:val="20"/>
                <w:szCs w:val="20"/>
              </w:rPr>
              <w:t xml:space="preserve">2009-12</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NASA/JPL WISE press kit (MIDEX confirmation 2006); launched 14 Dec 2009; 2000 decadal Explorer MIDEX</w:t>
            </w:r>
          </w:p>
        </w:tc>
      </w:tr>
      <w:tr>
        <w:tc>
          <w:tcPr>
            <w:tcW w:w="0" w:type="auto"/>
          </w:tcPr>
          <w:p>
            <w:pPr>
              <w:spacing w:line="240" w:lineRule="auto" w:before="0" w:after="0"/>
              <w:pStyle w:val="Compact"/>
            </w:pPr>
            <w:r>
              <w:rPr>
                <w:sz w:val="20"/>
                <w:szCs w:val="20"/>
              </w:rPr>
              <w:t xml:space="preserve">Spitzer</w:t>
            </w:r>
          </w:p>
        </w:tc>
        <w:tc>
          <w:tcPr>
            <w:tcW w:w="0" w:type="auto"/>
          </w:tcPr>
          <w:p>
            <w:pPr>
              <w:spacing w:line="240" w:lineRule="auto" w:before="0" w:after="0"/>
              <w:pStyle w:val="Compact"/>
            </w:pPr>
            <w:r>
              <w:rPr>
                <w:sz w:val="20"/>
                <w:szCs w:val="20"/>
              </w:rPr>
              <w:t xml:space="preserve">1998</w:t>
            </w:r>
          </w:p>
        </w:tc>
        <w:tc>
          <w:tcPr>
            <w:tcW w:w="0" w:type="auto"/>
          </w:tcPr>
          <w:p>
            <w:pPr>
              <w:spacing w:line="240" w:lineRule="auto" w:before="0" w:after="0"/>
              <w:pStyle w:val="Compact"/>
            </w:pPr>
            <w:r>
              <w:rPr>
                <w:sz w:val="20"/>
                <w:szCs w:val="20"/>
              </w:rPr>
              <w:t xml:space="preserve">2002-01</w:t>
            </w:r>
          </w:p>
        </w:tc>
        <w:tc>
          <w:tcPr>
            <w:tcW w:w="0" w:type="auto"/>
          </w:tcPr>
          <w:p>
            <w:pPr>
              <w:spacing w:line="240" w:lineRule="auto" w:before="0" w:after="0"/>
              <w:pStyle w:val="Compact"/>
            </w:pPr>
            <w:r>
              <w:rPr>
                <w:sz w:val="20"/>
                <w:szCs w:val="20"/>
              </w:rPr>
              <w:t xml:space="preserve">2003-08</w:t>
            </w:r>
          </w:p>
        </w:tc>
        <w:tc>
          <w:tcPr>
            <w:tcW w:w="0" w:type="auto"/>
          </w:tcPr>
          <w:p>
            <w:pPr>
              <w:spacing w:line="240" w:lineRule="auto" w:before="0" w:after="0"/>
              <w:pStyle w:val="Compact"/>
            </w:pPr>
            <w:r>
              <w:rPr>
                <w:sz w:val="20"/>
                <w:szCs w:val="20"/>
              </w:rPr>
              <w:t xml:space="preserve">67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NASA/JPL Spitzer (SIRTF) press kit and history (confirmation 1998, baseline early 2002); launched 25 Aug 2003; 1990 decadal top-ranked great observatory (SIRTF)</w:t>
            </w:r>
          </w:p>
        </w:tc>
      </w:tr>
      <w:tr>
        <w:tc>
          <w:tcPr>
            <w:tcW w:w="0" w:type="auto"/>
          </w:tcPr>
          <w:p>
            <w:pPr>
              <w:spacing w:line="240" w:lineRule="auto" w:before="0" w:after="0"/>
              <w:pStyle w:val="Compact"/>
            </w:pPr>
            <w:r>
              <w:rPr>
                <w:sz w:val="20"/>
                <w:szCs w:val="20"/>
              </w:rPr>
              <w:t xml:space="preserve">Chandra</w:t>
            </w:r>
          </w:p>
        </w:tc>
        <w:tc>
          <w:tcPr>
            <w:tcW w:w="0" w:type="auto"/>
          </w:tcPr>
          <w:p>
            <w:pPr>
              <w:spacing w:line="240" w:lineRule="auto" w:before="0" w:after="0"/>
              <w:pStyle w:val="Compact"/>
            </w:pPr>
            <w:r>
              <w:rPr>
                <w:sz w:val="20"/>
                <w:szCs w:val="20"/>
              </w:rPr>
              <w:t xml:space="preserve">1991</w:t>
            </w:r>
          </w:p>
        </w:tc>
        <w:tc>
          <w:tcPr>
            <w:tcW w:w="0" w:type="auto"/>
          </w:tcPr>
          <w:p>
            <w:pPr>
              <w:spacing w:line="240" w:lineRule="auto" w:before="0" w:after="0"/>
              <w:pStyle w:val="Compact"/>
            </w:pPr>
            <w:r>
              <w:rPr>
                <w:sz w:val="20"/>
                <w:szCs w:val="20"/>
              </w:rPr>
              <w:t xml:space="preserve">1998-08</w:t>
            </w:r>
          </w:p>
        </w:tc>
        <w:tc>
          <w:tcPr>
            <w:tcW w:w="0" w:type="auto"/>
          </w:tcPr>
          <w:p>
            <w:pPr>
              <w:spacing w:line="240" w:lineRule="auto" w:before="0" w:after="0"/>
              <w:pStyle w:val="Compact"/>
            </w:pPr>
            <w:r>
              <w:rPr>
                <w:sz w:val="20"/>
                <w:szCs w:val="20"/>
              </w:rPr>
              <w:t xml:space="preserve">1999-07</w:t>
            </w:r>
          </w:p>
        </w:tc>
        <w:tc>
          <w:tcPr>
            <w:tcW w:w="0" w:type="auto"/>
          </w:tcPr>
          <w:p>
            <w:pPr>
              <w:spacing w:line="240" w:lineRule="auto" w:before="0" w:after="0"/>
              <w:pStyle w:val="Compact"/>
            </w:pPr>
            <w:r>
              <w:rPr>
                <w:sz w:val="20"/>
                <w:szCs w:val="20"/>
              </w:rPr>
              <w:t xml:space="preserve">99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NASA/CXC Chandra (AXAF) program history (confirmation early 1990s, multiple rebaselines); launched 23 Jul 1999; 1980 decadal top-ranked (AXAF)</w:t>
            </w:r>
          </w:p>
        </w:tc>
      </w:tr>
      <w:tr>
        <w:tc>
          <w:tcPr>
            <w:tcW w:w="0" w:type="auto"/>
          </w:tcPr>
          <w:p>
            <w:pPr>
              <w:spacing w:line="240" w:lineRule="auto" w:before="0" w:after="0"/>
              <w:pStyle w:val="Compact"/>
            </w:pPr>
            <w:r>
              <w:rPr>
                <w:sz w:val="20"/>
                <w:szCs w:val="20"/>
              </w:rPr>
              <w:t xml:space="preserve">Fermi</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2007-09</w:t>
            </w:r>
          </w:p>
        </w:tc>
        <w:tc>
          <w:tcPr>
            <w:tcW w:w="0" w:type="auto"/>
          </w:tcPr>
          <w:p>
            <w:pPr>
              <w:spacing w:line="240" w:lineRule="auto" w:before="0" w:after="0"/>
              <w:pStyle w:val="Compact"/>
            </w:pPr>
            <w:r>
              <w:rPr>
                <w:sz w:val="20"/>
                <w:szCs w:val="20"/>
              </w:rPr>
              <w:t xml:space="preserve">2008-06</w:t>
            </w:r>
          </w:p>
        </w:tc>
        <w:tc>
          <w:tcPr>
            <w:tcW w:w="0" w:type="auto"/>
          </w:tcPr>
          <w:p>
            <w:pPr>
              <w:spacing w:line="240" w:lineRule="auto" w:before="0" w:after="0"/>
              <w:pStyle w:val="Compact"/>
            </w:pPr>
            <w:r>
              <w:rPr>
                <w:sz w:val="20"/>
                <w:szCs w:val="20"/>
              </w:rPr>
              <w:t xml:space="preserve">63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Fermi (GLAST) mission history and GAO-09-306SP (confirmation 2003); launched 11 Jun 2008; 2000 decadal moderate mission</w:t>
            </w:r>
          </w:p>
        </w:tc>
      </w:tr>
      <w:tr>
        <w:tc>
          <w:tcPr>
            <w:tcW w:w="0" w:type="auto"/>
          </w:tcPr>
          <w:p>
            <w:pPr>
              <w:spacing w:line="240" w:lineRule="auto" w:before="0" w:after="0"/>
              <w:pStyle w:val="Compact"/>
            </w:pPr>
            <w:r>
              <w:rPr>
                <w:sz w:val="20"/>
                <w:szCs w:val="20"/>
              </w:rPr>
              <w:t xml:space="preserve">WMAP</w:t>
            </w:r>
          </w:p>
        </w:tc>
        <w:tc>
          <w:tcPr>
            <w:tcW w:w="0" w:type="auto"/>
          </w:tcPr>
          <w:p>
            <w:pPr>
              <w:spacing w:line="240" w:lineRule="auto" w:before="0" w:after="0"/>
              <w:pStyle w:val="Compact"/>
            </w:pPr>
            <w:r>
              <w:rPr>
                <w:sz w:val="20"/>
                <w:szCs w:val="20"/>
              </w:rPr>
              <w:t xml:space="preserve">1997</w:t>
            </w:r>
          </w:p>
        </w:tc>
        <w:tc>
          <w:tcPr>
            <w:tcW w:w="0" w:type="auto"/>
          </w:tcPr>
          <w:p>
            <w:pPr>
              <w:spacing w:line="240" w:lineRule="auto" w:before="0" w:after="0"/>
              <w:pStyle w:val="Compact"/>
            </w:pPr>
            <w:r>
              <w:rPr>
                <w:sz w:val="20"/>
                <w:szCs w:val="20"/>
              </w:rPr>
              <w:t xml:space="preserve">2001-01</w:t>
            </w:r>
          </w:p>
        </w:tc>
        <w:tc>
          <w:tcPr>
            <w:tcW w:w="0" w:type="auto"/>
          </w:tcPr>
          <w:p>
            <w:pPr>
              <w:spacing w:line="240" w:lineRule="auto" w:before="0" w:after="0"/>
              <w:pStyle w:val="Compact"/>
            </w:pPr>
            <w:r>
              <w:rPr>
                <w:sz w:val="20"/>
                <w:szCs w:val="20"/>
              </w:rPr>
              <w:t xml:space="preserve">2001-06</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NASA/GSFC WMAP (MAP) mission archive (MIDEX confirmation 1997); launched 30 Jun 2001; 1990s Explorer MIDEX</w:t>
            </w:r>
          </w:p>
        </w:tc>
      </w:tr>
      <w:tr>
        <w:tc>
          <w:tcPr>
            <w:tcW w:w="0" w:type="auto"/>
          </w:tcPr>
          <w:p>
            <w:pPr>
              <w:spacing w:line="240" w:lineRule="auto" w:before="0" w:after="0"/>
              <w:pStyle w:val="Compact"/>
            </w:pPr>
            <w:r>
              <w:rPr>
                <w:sz w:val="20"/>
                <w:szCs w:val="20"/>
              </w:rPr>
              <w:t xml:space="preserve">Swift</w:t>
            </w:r>
          </w:p>
        </w:tc>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2003-09</w:t>
            </w:r>
          </w:p>
        </w:tc>
        <w:tc>
          <w:tcPr>
            <w:tcW w:w="0" w:type="auto"/>
          </w:tcPr>
          <w:p>
            <w:pPr>
              <w:spacing w:line="240" w:lineRule="auto" w:before="0" w:after="0"/>
              <w:pStyle w:val="Compact"/>
            </w:pPr>
            <w:r>
              <w:rPr>
                <w:sz w:val="20"/>
                <w:szCs w:val="20"/>
              </w:rPr>
              <w:t xml:space="preserve">2004-11</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NASA/GSFC Swift mission archive (MIDEX confirmation 2000, baseline 2003); launched 20 Nov 2004; 2000 decadal Explorer line</w:t>
            </w:r>
          </w:p>
        </w:tc>
      </w:tr>
      <w:tr>
        <w:tc>
          <w:tcPr>
            <w:tcW w:w="0" w:type="auto"/>
          </w:tcPr>
          <w:p>
            <w:pPr>
              <w:spacing w:line="240" w:lineRule="auto" w:before="0" w:after="0"/>
              <w:pStyle w:val="Compact"/>
            </w:pPr>
            <w:r>
              <w:rPr>
                <w:sz w:val="20"/>
                <w:szCs w:val="20"/>
              </w:rPr>
              <w:t xml:space="preserve">Euclid_NASA</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2020-06</w:t>
            </w:r>
          </w:p>
        </w:tc>
        <w:tc>
          <w:tcPr>
            <w:tcW w:w="0" w:type="auto"/>
          </w:tcPr>
          <w:p>
            <w:pPr>
              <w:spacing w:line="240" w:lineRule="auto" w:before="0" w:after="0"/>
              <w:pStyle w:val="Compact"/>
            </w:pPr>
            <w:r>
              <w:rPr>
                <w:sz w:val="20"/>
                <w:szCs w:val="20"/>
              </w:rPr>
              <w:t xml:space="preserve">2023-07</w:t>
            </w:r>
          </w:p>
        </w:tc>
        <w:tc>
          <w:tcPr>
            <w:tcW w:w="0" w:type="auto"/>
          </w:tcPr>
          <w:p>
            <w:pPr>
              <w:spacing w:line="240" w:lineRule="auto" w:before="0" w:after="0"/>
              <w:pStyle w:val="Compact"/>
            </w:pPr>
            <w:r>
              <w:rPr>
                <w:sz w:val="20"/>
                <w:szCs w:val="20"/>
              </w:rPr>
              <w:t xml:space="preserve">114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Euclid NISP detector contribution and ESA Euclid launch records (NASA participation confirmed ~2013); ESA launched 1 Jul 2023; 2010 decadal participation priority</w:t>
            </w:r>
          </w:p>
        </w:tc>
      </w:tr>
      <w:tr>
        <w:tc>
          <w:tcPr>
            <w:tcW w:w="0" w:type="auto"/>
          </w:tcPr>
          <w:p>
            <w:pPr>
              <w:spacing w:line="240" w:lineRule="auto" w:before="0" w:after="0"/>
              <w:pStyle w:val="Compact"/>
            </w:pPr>
            <w:r>
              <w:rPr>
                <w:sz w:val="20"/>
                <w:szCs w:val="20"/>
              </w:rPr>
              <w:t xml:space="preserve">Astro-H_Hitomi</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2014-12</w:t>
            </w:r>
          </w:p>
        </w:tc>
        <w:tc>
          <w:tcPr>
            <w:tcW w:w="0" w:type="auto"/>
          </w:tcPr>
          <w:p>
            <w:pPr>
              <w:spacing w:line="240" w:lineRule="auto" w:before="0" w:after="0"/>
              <w:pStyle w:val="Compact"/>
            </w:pPr>
            <w:r>
              <w:rPr>
                <w:sz w:val="20"/>
                <w:szCs w:val="20"/>
              </w:rPr>
              <w:t xml:space="preserve">2016-02</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JAXA Astro-H/Hitomi with NASA/GSFC SXS instrument (NASA contribution confirmation ~2008); launched 17 Feb 2016 per JAXA; 2000 decadal participation</w:t>
            </w:r>
          </w:p>
        </w:tc>
      </w:tr>
      <w:tr>
        <w:tc>
          <w:tcPr>
            <w:tcW w:w="0" w:type="auto"/>
          </w:tcPr>
          <w:p>
            <w:pPr>
              <w:spacing w:line="240" w:lineRule="auto" w:before="0" w:after="0"/>
              <w:pStyle w:val="Compact"/>
            </w:pPr>
            <w:r>
              <w:rPr>
                <w:sz w:val="20"/>
                <w:szCs w:val="20"/>
              </w:rPr>
              <w:t xml:space="preserve">ICON</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2017-12</w:t>
            </w:r>
          </w:p>
        </w:tc>
        <w:tc>
          <w:tcPr>
            <w:tcW w:w="0" w:type="auto"/>
          </w:tcPr>
          <w:p>
            <w:pPr>
              <w:spacing w:line="240" w:lineRule="auto" w:before="0" w:after="0"/>
              <w:pStyle w:val="Compact"/>
            </w:pPr>
            <w:r>
              <w:rPr>
                <w:sz w:val="20"/>
                <w:szCs w:val="20"/>
              </w:rPr>
              <w:t xml:space="preserve">2019-10</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NASA/UCB ICON Explorer mission archive (Explorer confirmation 2013, baseline 2017); launched 11 Oct 2019; 2010 decadal heliophysics Explorer</w:t>
            </w:r>
          </w:p>
        </w:tc>
      </w:tr>
      <w:tr>
        <w:tc>
          <w:tcPr>
            <w:tcW w:w="0" w:type="auto"/>
          </w:tcPr>
          <w:p>
            <w:pPr>
              <w:spacing w:line="240" w:lineRule="auto" w:before="0" w:after="0"/>
              <w:pStyle w:val="Compact"/>
            </w:pPr>
            <w:r>
              <w:rPr>
                <w:sz w:val="20"/>
                <w:szCs w:val="20"/>
              </w:rPr>
              <w:t xml:space="preserve">GOLD</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2017-01</w:t>
            </w:r>
          </w:p>
        </w:tc>
        <w:tc>
          <w:tcPr>
            <w:tcW w:w="0" w:type="auto"/>
          </w:tcPr>
          <w:p>
            <w:pPr>
              <w:spacing w:line="240" w:lineRule="auto" w:before="0" w:after="0"/>
              <w:pStyle w:val="Compact"/>
            </w:pPr>
            <w:r>
              <w:rPr>
                <w:sz w:val="20"/>
                <w:szCs w:val="20"/>
              </w:rPr>
              <w:t xml:space="preserve">2018-01</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NASA/LASP GOLD Explorer-of-Opportunity (confirmation 2013, baseline 2017); launched 25 Jan 2018; 2010 decadal Explorer-of-Opportunity</w:t>
            </w:r>
          </w:p>
        </w:tc>
      </w:tr>
      <w:tr>
        <w:tc>
          <w:tcPr>
            <w:tcW w:w="0" w:type="auto"/>
          </w:tcPr>
          <w:p>
            <w:pPr>
              <w:spacing w:line="240" w:lineRule="auto" w:before="0" w:after="0"/>
              <w:pStyle w:val="Compact"/>
            </w:pPr>
            <w:r>
              <w:rPr>
                <w:sz w:val="20"/>
                <w:szCs w:val="20"/>
              </w:rPr>
              <w:t xml:space="preserve">PUNCH</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2023-06</w:t>
            </w:r>
          </w:p>
        </w:tc>
        <w:tc>
          <w:tcPr>
            <w:tcW w:w="0" w:type="auto"/>
          </w:tcPr>
          <w:p>
            <w:pPr>
              <w:spacing w:line="240" w:lineRule="auto" w:before="0" w:after="0"/>
              <w:pStyle w:val="Compact"/>
            </w:pPr>
            <w:r>
              <w:rPr>
                <w:sz w:val="20"/>
                <w:szCs w:val="20"/>
              </w:rPr>
              <w:t xml:space="preserve">2025-03</w:t>
            </w:r>
          </w:p>
        </w:tc>
        <w:tc>
          <w:tcPr>
            <w:tcW w:w="0" w:type="auto"/>
          </w:tcPr>
          <w:p>
            <w:pPr>
              <w:spacing w:line="240" w:lineRule="auto" w:before="0" w:after="0"/>
              <w:pStyle w:val="Compact"/>
            </w:pPr>
            <w:r>
              <w:rPr>
                <w:sz w:val="20"/>
                <w:szCs w:val="20"/>
              </w:rPr>
              <w:t xml:space="preserve">73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NASA/SwRI PUNCH SMEX and Spaceflight Now (confirmed 2019, baseline 2023); launched 12 Mar 2025 co-manifested with SPHEREx; 2010 decadal SMEX</w:t>
            </w:r>
          </w:p>
        </w:tc>
      </w:tr>
      <w:tr>
        <w:tc>
          <w:tcPr>
            <w:tcW w:w="0" w:type="auto"/>
          </w:tcPr>
          <w:p>
            <w:pPr>
              <w:spacing w:line="240" w:lineRule="auto" w:before="0" w:after="0"/>
              <w:pStyle w:val="Compact"/>
            </w:pPr>
            <w:r>
              <w:rPr>
                <w:sz w:val="20"/>
                <w:szCs w:val="20"/>
              </w:rPr>
              <w:t xml:space="preserve">LISA_Pathfinder_NASA</w:t>
            </w:r>
          </w:p>
        </w:tc>
        <w:tc>
          <w:tcPr>
            <w:tcW w:w="0" w:type="auto"/>
          </w:tcPr>
          <w:p>
            <w:pPr>
              <w:spacing w:line="240" w:lineRule="auto" w:before="0" w:after="0"/>
              <w:pStyle w:val="Compact"/>
            </w:pPr>
            <w:r>
              <w:rPr>
                <w:sz w:val="20"/>
                <w:szCs w:val="20"/>
              </w:rPr>
              <w:t xml:space="preserve">2004</w:t>
            </w:r>
          </w:p>
        </w:tc>
        <w:tc>
          <w:tcPr>
            <w:tcW w:w="0" w:type="auto"/>
          </w:tcPr>
          <w:p>
            <w:pPr>
              <w:spacing w:line="240" w:lineRule="auto" w:before="0" w:after="0"/>
              <w:pStyle w:val="Compact"/>
            </w:pPr>
            <w:r>
              <w:rPr>
                <w:sz w:val="20"/>
                <w:szCs w:val="20"/>
              </w:rPr>
              <w:t xml:space="preserve">2014-09</w:t>
            </w:r>
          </w:p>
        </w:tc>
        <w:tc>
          <w:tcPr>
            <w:tcW w:w="0" w:type="auto"/>
          </w:tcPr>
          <w:p>
            <w:pPr>
              <w:spacing w:line="240" w:lineRule="auto" w:before="0" w:after="0"/>
              <w:pStyle w:val="Compact"/>
            </w:pPr>
            <w:r>
              <w:rPr>
                <w:sz w:val="20"/>
                <w:szCs w:val="20"/>
              </w:rPr>
              <w:t xml:space="preserve">2015-12</w:t>
            </w:r>
          </w:p>
        </w:tc>
        <w:tc>
          <w:tcPr>
            <w:tcW w:w="0" w:type="auto"/>
          </w:tcPr>
          <w:p>
            <w:pPr>
              <w:spacing w:line="240" w:lineRule="auto" w:before="0" w:after="0"/>
              <w:pStyle w:val="Compact"/>
            </w:pPr>
            <w:r>
              <w:rPr>
                <w:sz w:val="20"/>
                <w:szCs w:val="20"/>
              </w:rPr>
              <w:t xml:space="preserve">143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ESA LISA Pathfinder with NASA/JPL ST7-DRS payload (NASA contribution confirmation ~2004); launched 3 Dec 2015 per ESA; technology-demonstration priority</w:t>
            </w:r>
          </w:p>
        </w:tc>
      </w:tr>
      <w:tr>
        <w:tc>
          <w:tcPr>
            <w:tcW w:w="0" w:type="auto"/>
          </w:tcPr>
          <w:p>
            <w:pPr>
              <w:spacing w:line="240" w:lineRule="auto" w:before="0" w:after="0"/>
              <w:pStyle w:val="Compact"/>
            </w:pPr>
            <w:r>
              <w:rPr>
                <w:sz w:val="20"/>
                <w:szCs w:val="20"/>
              </w:rPr>
              <w:t xml:space="preserve">COBE</w:t>
            </w:r>
          </w:p>
        </w:tc>
        <w:tc>
          <w:tcPr>
            <w:tcW w:w="0" w:type="auto"/>
          </w:tcPr>
          <w:p>
            <w:pPr>
              <w:spacing w:line="240" w:lineRule="auto" w:before="0" w:after="0"/>
              <w:pStyle w:val="Compact"/>
            </w:pPr>
            <w:r>
              <w:rPr>
                <w:sz w:val="20"/>
                <w:szCs w:val="20"/>
              </w:rPr>
              <w:t xml:space="preserve">1982</w:t>
            </w:r>
          </w:p>
        </w:tc>
        <w:tc>
          <w:tcPr>
            <w:tcW w:w="0" w:type="auto"/>
          </w:tcPr>
          <w:p>
            <w:pPr>
              <w:spacing w:line="240" w:lineRule="auto" w:before="0" w:after="0"/>
              <w:pStyle w:val="Compact"/>
            </w:pPr>
            <w:r>
              <w:rPr>
                <w:sz w:val="20"/>
                <w:szCs w:val="20"/>
              </w:rPr>
              <w:t xml:space="preserve">1988-06</w:t>
            </w:r>
          </w:p>
        </w:tc>
        <w:tc>
          <w:tcPr>
            <w:tcW w:w="0" w:type="auto"/>
          </w:tcPr>
          <w:p>
            <w:pPr>
              <w:spacing w:line="240" w:lineRule="auto" w:before="0" w:after="0"/>
              <w:pStyle w:val="Compact"/>
            </w:pPr>
            <w:r>
              <w:rPr>
                <w:sz w:val="20"/>
                <w:szCs w:val="20"/>
              </w:rPr>
              <w:t xml:space="preserve">1989-11</w:t>
            </w:r>
          </w:p>
        </w:tc>
        <w:tc>
          <w:tcPr>
            <w:tcW w:w="0" w:type="auto"/>
          </w:tcPr>
          <w:p>
            <w:pPr>
              <w:spacing w:line="240" w:lineRule="auto" w:before="0" w:after="0"/>
              <w:pStyle w:val="Compact"/>
            </w:pPr>
            <w:r>
              <w:rPr>
                <w:sz w:val="20"/>
                <w:szCs w:val="20"/>
              </w:rPr>
              <w:t xml:space="preserve">89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NASA/GSFC COBE mission history (Explorer confirmation early 1980s, post-Challenger delay); launched 18 Nov 1989; 1980 decadal Explorer</w:t>
            </w:r>
          </w:p>
        </w:tc>
      </w:tr>
      <w:tr>
        <w:tc>
          <w:tcPr>
            <w:tcW w:w="0" w:type="auto"/>
          </w:tcPr>
          <w:p>
            <w:pPr>
              <w:spacing w:line="240" w:lineRule="auto" w:before="0" w:after="0"/>
              <w:pStyle w:val="Compact"/>
            </w:pPr>
            <w:r>
              <w:rPr>
                <w:sz w:val="20"/>
                <w:szCs w:val="20"/>
              </w:rPr>
              <w:t xml:space="preserve">GP-B</w:t>
            </w:r>
          </w:p>
        </w:tc>
        <w:tc>
          <w:tcPr>
            <w:tcW w:w="0" w:type="auto"/>
          </w:tcPr>
          <w:p>
            <w:pPr>
              <w:spacing w:line="240" w:lineRule="auto" w:before="0" w:after="0"/>
              <w:pStyle w:val="Compact"/>
            </w:pPr>
            <w:r>
              <w:rPr>
                <w:sz w:val="20"/>
                <w:szCs w:val="20"/>
              </w:rPr>
              <w:t xml:space="preserve">1998</w:t>
            </w:r>
          </w:p>
        </w:tc>
        <w:tc>
          <w:tcPr>
            <w:tcW w:w="0" w:type="auto"/>
          </w:tcPr>
          <w:p>
            <w:pPr>
              <w:spacing w:line="240" w:lineRule="auto" w:before="0" w:after="0"/>
              <w:pStyle w:val="Compact"/>
            </w:pPr>
            <w:r>
              <w:rPr>
                <w:sz w:val="20"/>
                <w:szCs w:val="20"/>
              </w:rPr>
              <w:t xml:space="preserve">2003-04</w:t>
            </w:r>
          </w:p>
        </w:tc>
        <w:tc>
          <w:tcPr>
            <w:tcW w:w="0" w:type="auto"/>
          </w:tcPr>
          <w:p>
            <w:pPr>
              <w:spacing w:line="240" w:lineRule="auto" w:before="0" w:after="0"/>
              <w:pStyle w:val="Compact"/>
            </w:pPr>
            <w:r>
              <w:rPr>
                <w:sz w:val="20"/>
                <w:szCs w:val="20"/>
              </w:rPr>
              <w:t xml:space="preserve">2004-04</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NASA/Stanford Gravity Probe B program history (confirmation late 1990s, baseline 2003); launched 20 Apr 2004; long-deferred fundamental-physics priority</w:t>
            </w:r>
          </w:p>
        </w:tc>
      </w:tr>
      <w:tr>
        <w:tc>
          <w:tcPr>
            <w:tcW w:w="0" w:type="auto"/>
          </w:tcPr>
          <w:p>
            <w:pPr>
              <w:spacing w:line="240" w:lineRule="auto" w:before="0" w:after="0"/>
              <w:pStyle w:val="Compact"/>
            </w:pPr>
            <w:r>
              <w:rPr>
                <w:sz w:val="20"/>
                <w:szCs w:val="20"/>
              </w:rPr>
              <w:t xml:space="preserve">PACE</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2022-12</w:t>
            </w:r>
          </w:p>
        </w:tc>
        <w:tc>
          <w:tcPr>
            <w:tcW w:w="0" w:type="auto"/>
          </w:tcPr>
          <w:p>
            <w:pPr>
              <w:spacing w:line="240" w:lineRule="auto" w:before="0" w:after="0"/>
              <w:pStyle w:val="Compact"/>
            </w:pPr>
            <w:r>
              <w:rPr>
                <w:sz w:val="20"/>
                <w:szCs w:val="20"/>
              </w:rPr>
              <w:t xml:space="preserve">2024-02</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PACE mission timeline and SpaceNews (confirmation 2016, $805M cap, baseline launch 2022); launched 8 Feb 2024; 2017 Earth-science decadal designated observable</w:t>
            </w:r>
          </w:p>
        </w:tc>
      </w:tr>
      <w:tr>
        <w:tc>
          <w:tcPr>
            <w:tcW w:w="0" w:type="auto"/>
          </w:tcPr>
          <w:p>
            <w:pPr>
              <w:spacing w:line="240" w:lineRule="auto" w:before="0" w:after="0"/>
              <w:pStyle w:val="Compact"/>
            </w:pPr>
            <w:r>
              <w:rPr>
                <w:sz w:val="20"/>
                <w:szCs w:val="20"/>
              </w:rPr>
              <w:t xml:space="preserve">Landsat_9</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2020-12</w:t>
            </w:r>
          </w:p>
        </w:tc>
        <w:tc>
          <w:tcPr>
            <w:tcW w:w="0" w:type="auto"/>
          </w:tcPr>
          <w:p>
            <w:pPr>
              <w:spacing w:line="240" w:lineRule="auto" w:before="0" w:after="0"/>
              <w:pStyle w:val="Compact"/>
            </w:pPr>
            <w:r>
              <w:rPr>
                <w:sz w:val="20"/>
                <w:szCs w:val="20"/>
              </w:rPr>
              <w:t xml:space="preserve">2021-09</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USGS/NASA Landsat 9 mission details and GAO assessment (confirmation 2017, baseline late 2020); launched 27 Sep 2021; Earth-science sustained-observation priority</w:t>
            </w:r>
          </w:p>
        </w:tc>
      </w:tr>
      <w:tr>
        <w:tc>
          <w:tcPr>
            <w:tcW w:w="0" w:type="auto"/>
          </w:tcPr>
          <w:p>
            <w:pPr>
              <w:spacing w:line="240" w:lineRule="auto" w:before="0" w:after="0"/>
              <w:pStyle w:val="Compact"/>
            </w:pPr>
            <w:r>
              <w:rPr>
                <w:sz w:val="20"/>
                <w:szCs w:val="20"/>
              </w:rPr>
              <w:t xml:space="preserve">NISAR</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2022-06</w:t>
            </w:r>
          </w:p>
        </w:tc>
        <w:tc>
          <w:tcPr>
            <w:tcW w:w="0" w:type="auto"/>
          </w:tcPr>
          <w:p>
            <w:pPr>
              <w:spacing w:line="240" w:lineRule="auto" w:before="0" w:after="0"/>
              <w:pStyle w:val="Compact"/>
            </w:pPr>
            <w:r>
              <w:rPr>
                <w:sz w:val="20"/>
                <w:szCs w:val="20"/>
              </w:rPr>
              <w:t xml:space="preserve">2025-07</w:t>
            </w:r>
          </w:p>
        </w:tc>
        <w:tc>
          <w:tcPr>
            <w:tcW w:w="0" w:type="auto"/>
          </w:tcPr>
          <w:p>
            <w:pPr>
              <w:spacing w:line="240" w:lineRule="auto" w:before="0" w:after="0"/>
              <w:pStyle w:val="Compact"/>
            </w:pPr>
            <w:r>
              <w:rPr>
                <w:sz w:val="20"/>
                <w:szCs w:val="20"/>
              </w:rPr>
              <w:t xml:space="preserve">109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NASA/JPL-ISRO NISAR and GAO-25-107591 (confirmation 2016, baseline 2022, NISAR schedule data as of Apr 2025); planned 2025 per GAO; 2007/2017 Earth-science decadal top tier</w:t>
            </w:r>
          </w:p>
        </w:tc>
      </w:tr>
      <w:tr>
        <w:tc>
          <w:tcPr>
            <w:tcW w:w="0" w:type="auto"/>
          </w:tcPr>
          <w:p>
            <w:pPr>
              <w:spacing w:line="240" w:lineRule="auto" w:before="0" w:after="0"/>
              <w:pStyle w:val="Compact"/>
            </w:pPr>
            <w:r>
              <w:rPr>
                <w:sz w:val="20"/>
                <w:szCs w:val="20"/>
              </w:rPr>
              <w:t xml:space="preserve">SWOT</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2021-04</w:t>
            </w:r>
          </w:p>
        </w:tc>
        <w:tc>
          <w:tcPr>
            <w:tcW w:w="0" w:type="auto"/>
          </w:tcPr>
          <w:p>
            <w:pPr>
              <w:spacing w:line="240" w:lineRule="auto" w:before="0" w:after="0"/>
              <w:pStyle w:val="Compact"/>
            </w:pPr>
            <w:r>
              <w:rPr>
                <w:sz w:val="20"/>
                <w:szCs w:val="20"/>
              </w:rPr>
              <w:t xml:space="preserve">2022-12</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NASA/JPL-CNES SWOT and GAO assessments (confirmation 2016, baseline 2021); launched 16 Dec 2022; 2007 Earth-science decadal top tier (designated)</w:t>
            </w:r>
          </w:p>
        </w:tc>
      </w:tr>
      <w:tr>
        <w:tc>
          <w:tcPr>
            <w:tcW w:w="0" w:type="auto"/>
          </w:tcPr>
          <w:p>
            <w:pPr>
              <w:spacing w:line="240" w:lineRule="auto" w:before="0" w:after="0"/>
              <w:pStyle w:val="Compact"/>
            </w:pPr>
            <w:r>
              <w:rPr>
                <w:sz w:val="20"/>
                <w:szCs w:val="20"/>
              </w:rPr>
              <w:t xml:space="preserve">GRACE-FO</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2017-08</w:t>
            </w:r>
          </w:p>
        </w:tc>
        <w:tc>
          <w:tcPr>
            <w:tcW w:w="0" w:type="auto"/>
          </w:tcPr>
          <w:p>
            <w:pPr>
              <w:spacing w:line="240" w:lineRule="auto" w:before="0" w:after="0"/>
              <w:pStyle w:val="Compact"/>
            </w:pPr>
            <w:r>
              <w:rPr>
                <w:sz w:val="20"/>
                <w:szCs w:val="20"/>
              </w:rPr>
              <w:t xml:space="preserve">2018-05</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NASA/JPL-GFZ GRACE Follow-On press kit and GAO (confirmation 2014, baseline 2017); launched 22 May 2018; Earth-science continuity priority</w:t>
            </w:r>
          </w:p>
        </w:tc>
      </w:tr>
      <w:tr>
        <w:tc>
          <w:tcPr>
            <w:tcW w:w="0" w:type="auto"/>
          </w:tcPr>
          <w:p>
            <w:pPr>
              <w:spacing w:line="240" w:lineRule="auto" w:before="0" w:after="0"/>
              <w:pStyle w:val="Compact"/>
            </w:pPr>
            <w:r>
              <w:rPr>
                <w:sz w:val="20"/>
                <w:szCs w:val="20"/>
              </w:rPr>
              <w:t xml:space="preserve">Aspera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2027-09</w:t>
            </w:r>
          </w:p>
        </w:tc>
        <w:tc>
          <w:tcPr>
            <w:tcW w:w="0" w:type="auto"/>
          </w:tcPr>
          <w:p>
            <w:pPr>
              <w:spacing w:line="240" w:lineRule="auto" w:before="0" w:after="0"/>
              <w:pStyle w:val="Compact"/>
            </w:pPr>
            <w:r>
              <w:rPr>
                <w:sz w:val="20"/>
                <w:szCs w:val="20"/>
              </w:rPr>
              <w:t xml:space="preserve">2027-12</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[illustrative] NASA Astrophysics Pioneers Aspera SmallSat (selected 2024, planned 2027) per NASA Astrophysics Pioneers program; not yet launched as of cutoff</w:t>
            </w:r>
          </w:p>
        </w:tc>
      </w:tr>
      <w:tr>
        <w:tc>
          <w:tcPr>
            <w:tcW w:w="0" w:type="auto"/>
          </w:tcPr>
          <w:p>
            <w:pPr>
              <w:spacing w:line="240" w:lineRule="auto" w:before="0" w:after="0"/>
              <w:pStyle w:val="Compact"/>
            </w:pPr>
            <w:r>
              <w:rPr>
                <w:sz w:val="20"/>
                <w:szCs w:val="20"/>
              </w:rPr>
              <w:t xml:space="preserve">Astrophysics_Explorer_2020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2025-09</w:t>
            </w:r>
          </w:p>
        </w:tc>
        <w:tc>
          <w:tcPr>
            <w:tcW w:w="0" w:type="auto"/>
          </w:tcPr>
          <w:p>
            <w:pPr>
              <w:spacing w:line="240" w:lineRule="auto" w:before="0" w:after="0"/>
              <w:pStyle w:val="Compact"/>
            </w:pPr>
            <w:r>
              <w:rPr>
                <w:sz w:val="20"/>
                <w:szCs w:val="20"/>
              </w:rPr>
              <w:t xml:space="preserve">2025-12</w:t>
            </w:r>
          </w:p>
        </w:tc>
        <w:tc>
          <w:tcPr>
            <w:tcW w:w="0" w:type="auto"/>
          </w:tcPr>
          <w:p>
            <w:pPr>
              <w:spacing w:line="240" w:lineRule="auto" w:before="0" w:after="0"/>
              <w:pStyle w:val="Compact"/>
            </w:pPr>
            <w:r>
              <w:rPr>
                <w:sz w:val="20"/>
                <w:szCs w:val="20"/>
              </w:rPr>
              <w:t xml:space="preserve">67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[illustrative] Representative MIDEX-class Astrophysics Explorer confirmation 2020 baseline 2025 per GAO Explorer-program tracking; not yet launched as of cutoff</w:t>
            </w:r>
          </w:p>
        </w:tc>
      </w:tr>
    </w:tbl>
    <w:bookmarkEnd w:id="82"/>
    <w:bookmarkStart w:id="83"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dev_months</w:t>
            </w:r>
          </w:p>
        </w:tc>
        <w:tc>
          <w:tcPr>
            <w:tcW w:w="0" w:type="auto"/>
          </w:tcPr>
          <w:p>
            <w:pPr>
              <w:spacing w:line="240" w:lineRule="auto" w:before="0" w:after="0"/>
              <w:pStyle w:val="Compact"/>
            </w:pPr>
            <w:r>
              <w:rPr>
                <w:sz w:val="20"/>
                <w:szCs w:val="20"/>
              </w:rPr>
              <w:t xml:space="preserve">Development duration in months from project confirmation (KDP-C or equivalent baseline decision) to launch readiness; the analysis time over which the launch event is at risk of occurring</w:t>
            </w:r>
          </w:p>
        </w:tc>
        <w:tc>
          <w:tcPr>
            <w:tcW w:w="0" w:type="auto"/>
          </w:tcPr>
          <w:p>
            <w:pPr>
              <w:spacing w:line="240" w:lineRule="auto" w:before="0" w:after="0"/>
              <w:pStyle w:val="Compact"/>
            </w:pPr>
            <w:r>
              <w:rPr>
                <w:sz w:val="20"/>
                <w:szCs w:val="20"/>
              </w:rPr>
              <w:t xml:space="preserve">Computed from confirmation dates and launch dates in GAO Assessments of Major NASA Projects (GAO-09-306SP, GAO-14-72, GAO-22-105555, GAO-24-106767, GAO-25-107591), NASA mission archives, and mission press kits</w:t>
            </w:r>
          </w:p>
        </w:tc>
      </w:tr>
      <w:tr>
        <w:tc>
          <w:tcPr>
            <w:tcW w:w="0" w:type="auto"/>
          </w:tcPr>
          <w:p>
            <w:pPr>
              <w:spacing w:line="240" w:lineRule="auto" w:before="0" w:after="0"/>
              <w:pStyle w:val="Compact"/>
            </w:pPr>
            <w:r>
              <w:rPr>
                <w:sz w:val="20"/>
                <w:szCs w:val="20"/>
              </w:rPr>
              <w:t xml:space="preserve">launched</w:t>
            </w:r>
          </w:p>
        </w:tc>
        <w:tc>
          <w:tcPr>
            <w:tcW w:w="0" w:type="auto"/>
          </w:tcPr>
          <w:p>
            <w:pPr>
              <w:spacing w:line="240" w:lineRule="auto" w:before="0" w:after="0"/>
              <w:pStyle w:val="Compact"/>
            </w:pPr>
            <w:r>
              <w:rPr>
                <w:sz w:val="20"/>
                <w:szCs w:val="20"/>
              </w:rPr>
              <w:t xml:space="preserve">Event indicator equal to 1 if the mission reached launch by the data cutoff and 0 if the mission was still in development (right-censored) at cutoff</w:t>
            </w:r>
          </w:p>
        </w:tc>
        <w:tc>
          <w:tcPr>
            <w:tcW w:w="0" w:type="auto"/>
          </w:tcPr>
          <w:p>
            <w:pPr>
              <w:spacing w:line="240" w:lineRule="auto" w:before="0" w:after="0"/>
              <w:pStyle w:val="Compact"/>
            </w:pPr>
            <w:r>
              <w:rPr>
                <w:sz w:val="20"/>
                <w:szCs w:val="20"/>
              </w:rPr>
              <w:t xml:space="preserve">NASA mission launch records and Spaceflight Now / SpaceNews launch reporting; censoring status assigned as of the analysis cutoff in 2026</w:t>
            </w:r>
          </w:p>
        </w:tc>
      </w:tr>
      <w:tr>
        <w:tc>
          <w:tcPr>
            <w:tcW w:w="0" w:type="auto"/>
          </w:tcPr>
          <w:p>
            <w:pPr>
              <w:spacing w:line="240" w:lineRule="auto" w:before="0" w:after="0"/>
              <w:pStyle w:val="Compact"/>
            </w:pPr>
            <w:r>
              <w:rPr>
                <w:sz w:val="20"/>
                <w:szCs w:val="20"/>
              </w:rPr>
              <w:t xml:space="preserve">decadal_rank</w:t>
            </w:r>
          </w:p>
        </w:tc>
        <w:tc>
          <w:tcPr>
            <w:tcW w:w="0" w:type="auto"/>
          </w:tcPr>
          <w:p>
            <w:pPr>
              <w:spacing w:line="240" w:lineRule="auto" w:before="0" w:after="0"/>
              <w:pStyle w:val="Compact"/>
            </w:pPr>
            <w:r>
              <w:rPr>
                <w:sz w:val="20"/>
                <w:szCs w:val="20"/>
              </w:rPr>
              <w:t xml:space="preserve">Ordinal priority of the mission within its science decadal survey cycle and class tier (1 = highest priority), reconciled across astrophysics and Earth-science survey cycles</w:t>
            </w:r>
          </w:p>
        </w:tc>
        <w:tc>
          <w:tcPr>
            <w:tcW w:w="0" w:type="auto"/>
          </w:tcPr>
          <w:p>
            <w:pPr>
              <w:spacing w:line="240" w:lineRule="auto" w:before="0" w:after="0"/>
              <w:pStyle w:val="Compact"/>
            </w:pPr>
            <w:r>
              <w:rPr>
                <w:sz w:val="20"/>
                <w:szCs w:val="20"/>
              </w:rPr>
              <w:t xml:space="preserve">National Academies astrophysics decadal surveys (1980, 1991, 2001, 2010 New Worlds New Horizons, 2020 Pathways to Discovery) and Earth-science decadal surveys (2007, 2017); AIP and SpaceNews decadal coverage</w:t>
            </w:r>
          </w:p>
        </w:tc>
      </w:tr>
      <w:tr>
        <w:tc>
          <w:tcPr>
            <w:tcW w:w="0" w:type="auto"/>
          </w:tcPr>
          <w:p>
            <w:pPr>
              <w:spacing w:line="240" w:lineRule="auto" w:before="0" w:after="0"/>
              <w:pStyle w:val="Compact"/>
            </w:pPr>
            <w:r>
              <w:rPr>
                <w:sz w:val="20"/>
                <w:szCs w:val="20"/>
              </w:rPr>
              <w:t xml:space="preserve">trl_at_start</w:t>
            </w:r>
          </w:p>
        </w:tc>
        <w:tc>
          <w:tcPr>
            <w:tcW w:w="0" w:type="auto"/>
          </w:tcPr>
          <w:p>
            <w:pPr>
              <w:spacing w:line="240" w:lineRule="auto" w:before="0" w:after="0"/>
              <w:pStyle w:val="Compact"/>
            </w:pPr>
            <w:r>
              <w:rPr>
                <w:sz w:val="20"/>
                <w:szCs w:val="20"/>
              </w:rPr>
              <w:t xml:space="preserve">Technology readiness level of the principal instrument or system at confirmation (integer 4-6)</w:t>
            </w:r>
          </w:p>
        </w:tc>
        <w:tc>
          <w:tcPr>
            <w:tcW w:w="0" w:type="auto"/>
          </w:tcPr>
          <w:p>
            <w:pPr>
              <w:spacing w:line="240" w:lineRule="auto" w:before="0" w:after="0"/>
              <w:pStyle w:val="Compact"/>
            </w:pPr>
            <w:r>
              <w:rPr>
                <w:sz w:val="20"/>
                <w:szCs w:val="20"/>
              </w:rPr>
              <w:t xml:space="preserve">NASA mission confirmation documentation and decadal technology-readiness assessments; coded by the analyst from public technical descriptions</w:t>
            </w:r>
          </w:p>
        </w:tc>
      </w:tr>
      <w:tr>
        <w:tc>
          <w:tcPr>
            <w:tcW w:w="0" w:type="auto"/>
          </w:tcPr>
          <w:p>
            <w:pPr>
              <w:spacing w:line="240" w:lineRule="auto" w:before="0" w:after="0"/>
              <w:pStyle w:val="Compact"/>
            </w:pPr>
            <w:r>
              <w:rPr>
                <w:sz w:val="20"/>
                <w:szCs w:val="20"/>
              </w:rPr>
              <w:t xml:space="preserve">instrument_count</w:t>
            </w:r>
          </w:p>
        </w:tc>
        <w:tc>
          <w:tcPr>
            <w:tcW w:w="0" w:type="auto"/>
          </w:tcPr>
          <w:p>
            <w:pPr>
              <w:spacing w:line="240" w:lineRule="auto" w:before="0" w:after="0"/>
              <w:pStyle w:val="Compact"/>
            </w:pPr>
            <w:r>
              <w:rPr>
                <w:sz w:val="20"/>
                <w:szCs w:val="20"/>
              </w:rPr>
              <w:t xml:space="preserve">Count of distinct science instruments or focal-plane payloads, a proxy for integration complexity</w:t>
            </w:r>
          </w:p>
        </w:tc>
        <w:tc>
          <w:tcPr>
            <w:tcW w:w="0" w:type="auto"/>
          </w:tcPr>
          <w:p>
            <w:pPr>
              <w:spacing w:line="240" w:lineRule="auto" w:before="0" w:after="0"/>
              <w:pStyle w:val="Compact"/>
            </w:pPr>
            <w:r>
              <w:rPr>
                <w:sz w:val="20"/>
                <w:szCs w:val="20"/>
              </w:rPr>
              <w:t xml:space="preserve">NASA and JPL mission overview pages and press kits; instrument manifests</w:t>
            </w:r>
          </w:p>
        </w:tc>
      </w:tr>
      <w:tr>
        <w:tc>
          <w:tcPr>
            <w:tcW w:w="0" w:type="auto"/>
          </w:tcPr>
          <w:p>
            <w:pPr>
              <w:spacing w:line="240" w:lineRule="auto" w:before="0" w:after="0"/>
              <w:pStyle w:val="Compact"/>
            </w:pPr>
            <w:r>
              <w:rPr>
                <w:sz w:val="20"/>
                <w:szCs w:val="20"/>
              </w:rPr>
              <w:t xml:space="preserve">flagship</w:t>
            </w:r>
          </w:p>
        </w:tc>
        <w:tc>
          <w:tcPr>
            <w:tcW w:w="0" w:type="auto"/>
          </w:tcPr>
          <w:p>
            <w:pPr>
              <w:spacing w:line="240" w:lineRule="auto" w:before="0" w:after="0"/>
              <w:pStyle w:val="Compact"/>
            </w:pPr>
            <w:r>
              <w:rPr>
                <w:sz w:val="20"/>
                <w:szCs w:val="20"/>
              </w:rPr>
              <w:t xml:space="preserve">Mission-class indicator equal to 1 for flagship, Great-Observatory, or designated-observable class missions and 0 for Explorer, Discovery, or probe-class missions</w:t>
            </w:r>
          </w:p>
        </w:tc>
        <w:tc>
          <w:tcPr>
            <w:tcW w:w="0" w:type="auto"/>
          </w:tcPr>
          <w:p>
            <w:pPr>
              <w:spacing w:line="240" w:lineRule="auto" w:before="0" w:after="0"/>
              <w:pStyle w:val="Compact"/>
            </w:pPr>
            <w:r>
              <w:rPr>
                <w:sz w:val="20"/>
                <w:szCs w:val="20"/>
              </w:rPr>
              <w:t xml:space="preserve">NASA mission class designations and decadal survey class tiers</w:t>
            </w:r>
          </w:p>
        </w:tc>
      </w:tr>
    </w:tbl>
    <w:bookmarkEnd w:id="83"/>
    <w:bookmarkStart w:id="84"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decadal_rank</w:t>
            </w:r>
          </w:p>
        </w:tc>
        <w:tc>
          <w:tcPr>
            <w:tcW w:w="0" w:type="auto"/>
          </w:tcPr>
          <w:p>
            <w:pPr>
              <w:spacing w:line="240" w:lineRule="auto" w:before="0" w:after="0"/>
              <w:pStyle w:val="Compact"/>
            </w:pPr>
            <w:r>
              <w:rPr>
                <w:sz w:val="20"/>
                <w:szCs w:val="20"/>
              </w:rPr>
              <w:t xml:space="preserve">-0.0902</w:t>
            </w:r>
          </w:p>
        </w:tc>
        <w:tc>
          <w:tcPr>
            <w:tcW w:w="0" w:type="auto"/>
          </w:tcPr>
          <w:p>
            <w:pPr>
              <w:spacing w:line="240" w:lineRule="auto" w:before="0" w:after="0"/>
              <w:pStyle w:val="Compact"/>
            </w:pPr>
            <w:r>
              <w:rPr>
                <w:sz w:val="20"/>
                <w:szCs w:val="20"/>
              </w:rPr>
              <w:t xml:space="preserve">0.3367</w:t>
            </w:r>
          </w:p>
        </w:tc>
        <w:tc>
          <w:tcPr>
            <w:tcW w:w="0" w:type="auto"/>
          </w:tcPr>
          <w:p>
            <w:pPr>
              <w:spacing w:line="240" w:lineRule="auto" w:before="0" w:after="0"/>
              <w:pStyle w:val="Compact"/>
            </w:pPr>
            <w:r>
              <w:rPr>
                <w:sz w:val="20"/>
                <w:szCs w:val="20"/>
              </w:rPr>
              <w:t xml:space="preserve">-0.268</w:t>
            </w:r>
          </w:p>
        </w:tc>
        <w:tc>
          <w:tcPr>
            <w:tcW w:w="0" w:type="auto"/>
          </w:tcPr>
          <w:p>
            <w:pPr>
              <w:spacing w:line="240" w:lineRule="auto" w:before="0" w:after="0"/>
              <w:pStyle w:val="Compact"/>
            </w:pPr>
            <w:r>
              <w:rPr>
                <w:sz w:val="20"/>
                <w:szCs w:val="20"/>
              </w:rPr>
              <w:t xml:space="preserve">0.7887</w:t>
            </w:r>
          </w:p>
        </w:tc>
        <w:tc>
          <w:tcPr>
            <w:tcW w:w="0" w:type="auto"/>
          </w:tcPr>
          <w:p>
            <w:pPr>
              <w:spacing w:line="240" w:lineRule="auto" w:before="0" w:after="0"/>
              <w:pStyle w:val="Compact"/>
            </w:pPr>
            <w:r>
              <w:rPr>
                <w:sz w:val="20"/>
                <w:szCs w:val="20"/>
              </w:rPr>
              <w:t xml:space="preserve">[-0.7502, 0.5697]</w:t>
            </w:r>
          </w:p>
        </w:tc>
        <w:tc>
          <w:tcPr>
            <w:tcW w:w="0" w:type="auto"/>
          </w:tcPr>
          <w:p>
            <w:pPr>
              <w:spacing w:line="240" w:lineRule="auto" w:before="0" w:after="0"/>
              <w:pStyle w:val="Compact"/>
            </w:pPr>
            <w:r>
              <w:rPr>
                <w:sz w:val="20"/>
                <w:szCs w:val="20"/>
              </w:rPr>
              <w:t xml:space="preserve">0.9137</w:t>
            </w:r>
          </w:p>
        </w:tc>
      </w:tr>
      <w:tr>
        <w:tc>
          <w:tcPr>
            <w:tcW w:w="0" w:type="auto"/>
          </w:tcPr>
          <w:p>
            <w:pPr>
              <w:spacing w:line="240" w:lineRule="auto" w:before="0" w:after="0"/>
              <w:pStyle w:val="Compact"/>
            </w:pPr>
            <w:r>
              <w:rPr>
                <w:sz w:val="20"/>
                <w:szCs w:val="20"/>
              </w:rPr>
              <w:t xml:space="preserve">trl_at_start</w:t>
            </w:r>
          </w:p>
        </w:tc>
        <w:tc>
          <w:tcPr>
            <w:tcW w:w="0" w:type="auto"/>
          </w:tcPr>
          <w:p>
            <w:pPr>
              <w:spacing w:line="240" w:lineRule="auto" w:before="0" w:after="0"/>
              <w:pStyle w:val="Compact"/>
            </w:pPr>
            <w:r>
              <w:rPr>
                <w:sz w:val="20"/>
                <w:szCs w:val="20"/>
              </w:rPr>
              <w:t xml:space="preserve">1.0292</w:t>
            </w:r>
          </w:p>
        </w:tc>
        <w:tc>
          <w:tcPr>
            <w:tcW w:w="0" w:type="auto"/>
          </w:tcPr>
          <w:p>
            <w:pPr>
              <w:spacing w:line="240" w:lineRule="auto" w:before="0" w:after="0"/>
              <w:pStyle w:val="Compact"/>
            </w:pPr>
            <w:r>
              <w:rPr>
                <w:sz w:val="20"/>
                <w:szCs w:val="20"/>
              </w:rPr>
              <w:t xml:space="preserve">0.4478</w:t>
            </w:r>
          </w:p>
        </w:tc>
        <w:tc>
          <w:tcPr>
            <w:tcW w:w="0" w:type="auto"/>
          </w:tcPr>
          <w:p>
            <w:pPr>
              <w:spacing w:line="240" w:lineRule="auto" w:before="0" w:after="0"/>
              <w:pStyle w:val="Compact"/>
            </w:pPr>
            <w:r>
              <w:rPr>
                <w:sz w:val="20"/>
                <w:szCs w:val="20"/>
              </w:rPr>
              <w:t xml:space="preserve">2.2983</w:t>
            </w:r>
          </w:p>
        </w:tc>
        <w:tc>
          <w:tcPr>
            <w:tcW w:w="0" w:type="auto"/>
          </w:tcPr>
          <w:p>
            <w:pPr>
              <w:spacing w:line="240" w:lineRule="auto" w:before="0" w:after="0"/>
              <w:pStyle w:val="Compact"/>
            </w:pPr>
            <w:r>
              <w:rPr>
                <w:sz w:val="20"/>
                <w:szCs w:val="20"/>
              </w:rPr>
              <w:t xml:space="preserve">0.0215</w:t>
            </w:r>
          </w:p>
        </w:tc>
        <w:tc>
          <w:tcPr>
            <w:tcW w:w="0" w:type="auto"/>
          </w:tcPr>
          <w:p>
            <w:pPr>
              <w:spacing w:line="240" w:lineRule="auto" w:before="0" w:after="0"/>
              <w:pStyle w:val="Compact"/>
            </w:pPr>
            <w:r>
              <w:rPr>
                <w:sz w:val="20"/>
                <w:szCs w:val="20"/>
              </w:rPr>
              <w:t xml:space="preserve">[0.1515, 1.907]</w:t>
            </w:r>
          </w:p>
        </w:tc>
        <w:tc>
          <w:tcPr>
            <w:tcW w:w="0" w:type="auto"/>
          </w:tcPr>
          <w:p>
            <w:pPr>
              <w:spacing w:line="240" w:lineRule="auto" w:before="0" w:after="0"/>
              <w:pStyle w:val="Compact"/>
            </w:pPr>
            <w:r>
              <w:rPr>
                <w:sz w:val="20"/>
                <w:szCs w:val="20"/>
              </w:rPr>
              <w:t xml:space="preserve">2.7989</w:t>
            </w:r>
          </w:p>
        </w:tc>
      </w:tr>
      <w:tr>
        <w:tc>
          <w:tcPr>
            <w:tcW w:w="0" w:type="auto"/>
          </w:tcPr>
          <w:p>
            <w:pPr>
              <w:spacing w:line="240" w:lineRule="auto" w:before="0" w:after="0"/>
              <w:pStyle w:val="Compact"/>
            </w:pPr>
            <w:r>
              <w:rPr>
                <w:sz w:val="20"/>
                <w:szCs w:val="20"/>
              </w:rPr>
              <w:t xml:space="preserve">instrument_count</w:t>
            </w:r>
          </w:p>
        </w:tc>
        <w:tc>
          <w:tcPr>
            <w:tcW w:w="0" w:type="auto"/>
          </w:tcPr>
          <w:p>
            <w:pPr>
              <w:spacing w:line="240" w:lineRule="auto" w:before="0" w:after="0"/>
              <w:pStyle w:val="Compact"/>
            </w:pPr>
            <w:r>
              <w:rPr>
                <w:sz w:val="20"/>
                <w:szCs w:val="20"/>
              </w:rPr>
              <w:t xml:space="preserve">0.0394</w:t>
            </w:r>
          </w:p>
        </w:tc>
        <w:tc>
          <w:tcPr>
            <w:tcW w:w="0" w:type="auto"/>
          </w:tcPr>
          <w:p>
            <w:pPr>
              <w:spacing w:line="240" w:lineRule="auto" w:before="0" w:after="0"/>
              <w:pStyle w:val="Compact"/>
            </w:pPr>
            <w:r>
              <w:rPr>
                <w:sz w:val="20"/>
                <w:szCs w:val="20"/>
              </w:rPr>
              <w:t xml:space="preserve">0.3676</w:t>
            </w:r>
          </w:p>
        </w:tc>
        <w:tc>
          <w:tcPr>
            <w:tcW w:w="0" w:type="auto"/>
          </w:tcPr>
          <w:p>
            <w:pPr>
              <w:spacing w:line="240" w:lineRule="auto" w:before="0" w:after="0"/>
              <w:pStyle w:val="Compact"/>
            </w:pPr>
            <w:r>
              <w:rPr>
                <w:sz w:val="20"/>
                <w:szCs w:val="20"/>
              </w:rPr>
              <w:t xml:space="preserve">0.1071</w:t>
            </w:r>
          </w:p>
        </w:tc>
        <w:tc>
          <w:tcPr>
            <w:tcW w:w="0" w:type="auto"/>
          </w:tcPr>
          <w:p>
            <w:pPr>
              <w:spacing w:line="240" w:lineRule="auto" w:before="0" w:after="0"/>
              <w:pStyle w:val="Compact"/>
            </w:pPr>
            <w:r>
              <w:rPr>
                <w:sz w:val="20"/>
                <w:szCs w:val="20"/>
              </w:rPr>
              <w:t xml:space="preserve">0.9147</w:t>
            </w:r>
          </w:p>
        </w:tc>
        <w:tc>
          <w:tcPr>
            <w:tcW w:w="0" w:type="auto"/>
          </w:tcPr>
          <w:p>
            <w:pPr>
              <w:spacing w:line="240" w:lineRule="auto" w:before="0" w:after="0"/>
              <w:pStyle w:val="Compact"/>
            </w:pPr>
            <w:r>
              <w:rPr>
                <w:sz w:val="20"/>
                <w:szCs w:val="20"/>
              </w:rPr>
              <w:t xml:space="preserve">[-0.6812, 0.7599]</w:t>
            </w:r>
          </w:p>
        </w:tc>
        <w:tc>
          <w:tcPr>
            <w:tcW w:w="0" w:type="auto"/>
          </w:tcPr>
          <w:p>
            <w:pPr>
              <w:spacing w:line="240" w:lineRule="auto" w:before="0" w:after="0"/>
              <w:pStyle w:val="Compact"/>
            </w:pPr>
            <w:r>
              <w:rPr>
                <w:sz w:val="20"/>
                <w:szCs w:val="20"/>
              </w:rPr>
              <w:t xml:space="preserve">1.0402</w:t>
            </w:r>
          </w:p>
        </w:tc>
      </w:tr>
      <w:tr>
        <w:tc>
          <w:tcPr>
            <w:tcW w:w="0" w:type="auto"/>
          </w:tcPr>
          <w:p>
            <w:pPr>
              <w:spacing w:line="240" w:lineRule="auto" w:before="0" w:after="0"/>
              <w:pStyle w:val="Compact"/>
            </w:pPr>
            <w:r>
              <w:rPr>
                <w:sz w:val="20"/>
                <w:szCs w:val="20"/>
              </w:rPr>
              <w:t xml:space="preserve">flagship</w:t>
            </w:r>
          </w:p>
        </w:tc>
        <w:tc>
          <w:tcPr>
            <w:tcW w:w="0" w:type="auto"/>
          </w:tcPr>
          <w:p>
            <w:pPr>
              <w:spacing w:line="240" w:lineRule="auto" w:before="0" w:after="0"/>
              <w:pStyle w:val="Compact"/>
            </w:pPr>
            <w:r>
              <w:rPr>
                <w:sz w:val="20"/>
                <w:szCs w:val="20"/>
              </w:rPr>
              <w:t xml:space="preserve">-1.0627</w:t>
            </w:r>
          </w:p>
        </w:tc>
        <w:tc>
          <w:tcPr>
            <w:tcW w:w="0" w:type="auto"/>
          </w:tcPr>
          <w:p>
            <w:pPr>
              <w:spacing w:line="240" w:lineRule="auto" w:before="0" w:after="0"/>
              <w:pStyle w:val="Compact"/>
            </w:pPr>
            <w:r>
              <w:rPr>
                <w:sz w:val="20"/>
                <w:szCs w:val="20"/>
              </w:rPr>
              <w:t xml:space="preserve">0.795</w:t>
            </w:r>
          </w:p>
        </w:tc>
        <w:tc>
          <w:tcPr>
            <w:tcW w:w="0" w:type="auto"/>
          </w:tcPr>
          <w:p>
            <w:pPr>
              <w:spacing w:line="240" w:lineRule="auto" w:before="0" w:after="0"/>
              <w:pStyle w:val="Compact"/>
            </w:pPr>
            <w:r>
              <w:rPr>
                <w:sz w:val="20"/>
                <w:szCs w:val="20"/>
              </w:rPr>
              <w:t xml:space="preserve">-1.3366</w:t>
            </w:r>
          </w:p>
        </w:tc>
        <w:tc>
          <w:tcPr>
            <w:tcW w:w="0" w:type="auto"/>
          </w:tcPr>
          <w:p>
            <w:pPr>
              <w:spacing w:line="240" w:lineRule="auto" w:before="0" w:after="0"/>
              <w:pStyle w:val="Compact"/>
            </w:pPr>
            <w:r>
              <w:rPr>
                <w:sz w:val="20"/>
                <w:szCs w:val="20"/>
              </w:rPr>
              <w:t xml:space="preserve">0.1813</w:t>
            </w:r>
          </w:p>
        </w:tc>
        <w:tc>
          <w:tcPr>
            <w:tcW w:w="0" w:type="auto"/>
          </w:tcPr>
          <w:p>
            <w:pPr>
              <w:spacing w:line="240" w:lineRule="auto" w:before="0" w:after="0"/>
              <w:pStyle w:val="Compact"/>
            </w:pPr>
            <w:r>
              <w:rPr>
                <w:sz w:val="20"/>
                <w:szCs w:val="20"/>
              </w:rPr>
              <w:t xml:space="preserve">[-2.621, 0.4956]</w:t>
            </w:r>
          </w:p>
        </w:tc>
        <w:tc>
          <w:tcPr>
            <w:tcW w:w="0" w:type="auto"/>
          </w:tcPr>
          <w:p>
            <w:pPr>
              <w:spacing w:line="240" w:lineRule="auto" w:before="0" w:after="0"/>
              <w:pStyle w:val="Compact"/>
            </w:pPr>
            <w:r>
              <w:rPr>
                <w:sz w:val="20"/>
                <w:szCs w:val="20"/>
              </w:rPr>
              <w:t xml:space="preserve">0.3455</w:t>
            </w:r>
          </w:p>
        </w:tc>
      </w:tr>
    </w:tbl>
    <w:p>
      <w:pPr>
        <w:pStyle w:val="BodyText"/>
      </w:pPr>
      <w:r>
        <w:t xml:space="preserve">Fit: N = 30 events = 26</w:t>
      </w:r>
    </w:p>
    <w:bookmarkEnd w:id="84"/>
    <w:bookmarkEnd w:id="85"/>
    <w:bookmarkEnd w:id="86"/>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8" Target="media/rId78.png" /><Relationship Type="http://schemas.openxmlformats.org/officeDocument/2006/relationships/hyperlink" Id="rId68" Target="https://doi.org/10.1016/j.actaastro.2018.07.004" TargetMode="External" /><Relationship Type="http://schemas.openxmlformats.org/officeDocument/2006/relationships/hyperlink" Id="rId72" Target="https://doi.org/10.1016/j.actaastro.2022.04.001" TargetMode="External" /><Relationship Type="http://schemas.openxmlformats.org/officeDocument/2006/relationships/hyperlink" Id="rId70" Target="https://doi.org/10.1257/jep.32.2.173" TargetMode="External" /></Relationships>
</file>

<file path=word/_rels/footnotes.xml.rels><?xml version="1.0" encoding="UTF-8"?><Relationships xmlns="http://schemas.openxmlformats.org/package/2006/relationships"><Relationship Type="http://schemas.openxmlformats.org/officeDocument/2006/relationships/hyperlink" Id="rId68" Target="https://doi.org/10.1016/j.actaastro.2018.07.004" TargetMode="External" /><Relationship Type="http://schemas.openxmlformats.org/officeDocument/2006/relationships/hyperlink" Id="rId72" Target="https://doi.org/10.1016/j.actaastro.2022.04.001" TargetMode="External" /><Relationship Type="http://schemas.openxmlformats.org/officeDocument/2006/relationships/hyperlink" Id="rId70" Target="https://doi.org/10.1257/jep.32.2.173"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2026-06-25T14:26:03Z</dcterms:created>
  <dcterms:modified xsi:type="dcterms:W3CDTF">2026-06-25T14:26:03Z</dcterms:modified>
</cp:coreProperties>
</file>

<file path=docProps/custom.xml><?xml version="1.0" encoding="utf-8"?>
<Properties xmlns="http://schemas.openxmlformats.org/officeDocument/2006/custom-properties" xmlns:vt="http://schemas.openxmlformats.org/officeDocument/2006/docPropsVTypes"/>
</file>