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2" w:name="X5defe6fbb18d1b4639c8a52a1757d74c1757a28"/>
    <w:p>
      <w:pPr>
        <w:pStyle w:val="Heading1"/>
      </w:pPr>
      <w:r>
        <w:t xml:space="preserve">Does Decadal Priority Predict Realized Astrophysics Mission Cost Growth? A Cross-Sectional OLS Test</w:t>
      </w:r>
    </w:p>
    <w:bookmarkStart w:id="61" w:name="introduction"/>
    <w:p>
      <w:pPr>
        <w:pStyle w:val="Heading2"/>
      </w:pPr>
      <w:r>
        <w:t xml:space="preserve">1. Introduction</w:t>
      </w:r>
    </w:p>
    <w:p>
      <w:pPr>
        <w:pStyle w:val="FirstParagraph"/>
      </w:pPr>
      <w:r>
        <w:t xml:space="preserve">The astrophysics decadal survey is the consensus instrument through which the United States astronomy community ranks future flagship, probe, and Explorer-class missions. A mission’s ordinal standing in that survey is read downstream as more than a statement of scientific merit. Program managers, appropriators, and agency leadership treat a high decadal placement as a signal that a concept is mature, well scoped, and therefore a safe bet to deliver close to its cost baseline. This paper asks whether that institutional belief survives contact with the realized record. Using the population of NASA astrophysics missions recommended across successive decadal cycles, I estimate the association between a mission’s decadal priority ordinal and the cost growth it ultimately exhibited relative to its confirmation baseline, conditioning on technology readiness, instrument complexity, and mission class.</w:t>
      </w:r>
    </w:p>
    <w:p>
      <w:pPr>
        <w:pStyle w:val="BodyText"/>
      </w:pPr>
      <w:r>
        <w:t xml:space="preserve">The question matters because cost growth in this portfolio is large and consequential. The flagship cases that anchor the population, the James Webb Space Telescope and the Nancy Grace Roman Space Telescope, grew from their early baselines by amounts measured in billions of dollars, while many lower-ranked Explorer missions delivered close to plan. If decadal priority carried a reliable signal about execution risk, the survey would function as a programmatic risk filter and not merely a statement of scientific value. If it does not, then weighting consensus ranking as a proxy for delivery confidence is a category error that independent cost realism review must correct.</w:t>
      </w:r>
    </w:p>
    <w:bookmarkEnd w:id="61"/>
    <w:bookmarkStart w:id="62" w:name="theory-and-hypotheses"/>
    <w:p>
      <w:pPr>
        <w:pStyle w:val="Heading2"/>
      </w:pPr>
      <w:r>
        <w:t xml:space="preserve">2. Theory and Hypotheses</w:t>
      </w:r>
    </w:p>
    <w:p>
      <w:pPr>
        <w:pStyle w:val="FirstParagraph"/>
      </w:pPr>
      <w:r>
        <w:t xml:space="preserve">Three strands of prior work bound the question. The first treats space-mission cost estimation as an engineering problem of scaling to physical and programmatic attributes. Parametric cost models such as SEER-H have been subjected to blind validation against the realized cost of NASA missions, and that validation literature documents how difficult it is to price systems for which few analogs exist</w:t>
      </w:r>
      <w:r>
        <w:t xml:space="preserve"> </w:t>
      </w:r>
      <w:hyperlink w:anchor="ref-1">
        <m:oMathPara>
          <m:oMathParaPr>
            <m:jc m:val="center"/>
          </m:oMathParaPr>
          <m:oMath>
            <m:r>
              <m:t>1</m:t>
            </m:r>
          </m:oMath>
        </m:oMathPara>
      </w:hyperlink>
      <w:r>
        <w:t xml:space="preserve">. The implication for the present design is that the attributes a cost model uses, instrument count and system maturity above all, should carry predictive content for cost growth. The second strand concerns the physical complexity of large observatories. Studies of large space telescope architectures emphasize that aperture, instrument suites, and integration pathways drive both cost and schedule, precisely because the analog population is sparse and each new system extends beyond prior experience</w:t>
      </w:r>
      <w:r>
        <w:t xml:space="preserve"> </w:t>
      </w:r>
      <w:hyperlink w:anchor="ref-2">
        <m:oMathPara>
          <m:oMathParaPr>
            <m:jc m:val="center"/>
          </m:oMathParaPr>
          <m:oMath>
            <m:r>
              <m:t>2</m:t>
            </m:r>
          </m:oMath>
        </m:oMathPara>
      </w:hyperlink>
      <w:r>
        <w:t xml:space="preserve">. The third strand frames national space investment through priority and allocation frameworks that govern which programs are funded</w:t>
      </w:r>
      <w:r>
        <w:t xml:space="preserve"> </w:t>
      </w:r>
      <w:hyperlink w:anchor="ref-3">
        <m:oMathPara>
          <m:oMathParaPr>
            <m:jc m:val="center"/>
          </m:oMathParaPr>
          <m:oMath>
            <m:r>
              <m:t>3</m:t>
            </m:r>
          </m:oMath>
        </m:oMathPara>
      </w:hyperlink>
      <w:r>
        <w:t xml:space="preserve">, without testing whether the priority order, once set, predicts execution performance.</w:t>
      </w:r>
    </w:p>
    <w:p>
      <w:pPr>
        <w:pStyle w:val="FirstParagraph"/>
      </w:pPr>
      <w:r>
        <w:t xml:space="preserve">What none of these strands does is treat the decadal priority ordinal itself as an explanatory variable for realized cost growth across the mission population. The cost literature predicts from physical and programmatic attributes; the allocation literature describes how priorities are set. Neither asks whether the consensus ranking process produces a number with measurable predictive content for delivery. That untested join defines the gap this paper occupies. The competing expectations follow directly. If decadal rank encodes maturity and scoping quality, higher priority should track lower cost growth, and the coefficient on rank should be detectable once complexity and readiness are held fixed. If decadal rank instead encodes scientific ambition uncorrelated with executability, the coefficient should be indistinguishable from zero, leaving instrument complexity as the operative driver of cost growth, consistent with the cost-estimation and large-telescope literatures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p>
    <w:p>
      <w:pPr>
        <w:pStyle w:val="FirstParagraph"/>
      </w:pPr>
      <w:r>
        <w:rPr>
          <w:b/>
          <w:bCs/>
        </w:rPr>
        <w:t xml:space="preserve">H0 (null):</w:t>
      </w:r>
      <w:r>
        <w:t xml:space="preserve"> </w:t>
      </w:r>
      <w:r>
        <w:t xml:space="preserve">Conditional on technology readiness, instrument complexity, and mission class, a mission’s ordinal decadal priority has no association with realized cost growth. The coefficient on decadal rank is statistically indistinguishable from zero.</w:t>
      </w:r>
    </w:p>
    <w:p>
      <w:pPr>
        <w:pStyle w:val="BodyText"/>
      </w:pPr>
      <w:r>
        <w:rPr>
          <w:b/>
          <w:bCs/>
        </w:rPr>
        <w:t xml:space="preserve">H1 (alternative):</w:t>
      </w:r>
      <w:r>
        <w:t xml:space="preserve"> </w:t>
      </w:r>
      <w:r>
        <w:t xml:space="preserve">Conditional on the same controls, decadal priority is associated with a measurable difference in realized cost growth, and the coefficient on rank is non-zero in sign and magnitude.</w:t>
      </w:r>
    </w:p>
    <w:p>
      <w:pPr>
        <w:pStyle w:val="BodyText"/>
      </w:pPr>
      <w:r>
        <w:t xml:space="preserve">The study is designed to be capable of failing to reject H0. A finding that decadal rank carries no conditional signal is a policy-relevant result, not a null to be discarded.</w:t>
      </w:r>
    </w:p>
    <w:bookmarkEnd w:id="62"/>
    <w:bookmarkStart w:id="63" w:name="data"/>
    <w:p>
      <w:pPr>
        <w:pStyle w:val="Heading2"/>
      </w:pPr>
      <w:r>
        <w:t xml:space="preserve">3. Data</w:t>
      </w:r>
    </w:p>
    <w:p>
      <w:pPr>
        <w:pStyle w:val="FirstParagraph"/>
      </w:pPr>
      <w:r>
        <w:t xml:space="preserve">The unit of analysis is the recommended NASA astrophysics mission. The panel comprises twenty-two missions spanning the 1972 through 2020 decadal cycles, from the Great Observatories and their predecessors through the current Roman and SPHEREx era. The dependent variable is realized cost growth, defined as the percentage by which a mission’s realized life-cycle cost exceeded its baseline at confirmation. Cost baselines and realized costs are drawn from the Government Accountability Office annual assessments of major NASA projects, which report baseline and current cost for each tracked project, supplemented by NASA mission press kits and public mission cost records cross-checked against the GAO and NASA figures. The focal regressor is the mission’s decadal priority ordinal within its survey cycle and class tier, taken from the published National Academies astrophysics decadal surveys across cycles. Controls are the technology readiness level of the principal system at confirmation, the count of distinct science instruments as an integration-complexity proxy, and a flagship indicator separating Great-Observatory-class missions from Explorer, Discovery, and probe-class missions.</w:t>
      </w:r>
    </w:p>
    <w:p>
      <w:pPr>
        <w:pStyle w:val="BodyText"/>
      </w:pPr>
      <w:r>
        <w:t xml:space="preserve">Every observation traces to a named GAO report, a named decadal survey, or a documented NASA or mission-team source, recorded in the source column of the dataset. Three of the twenty-two cost anchors, below one in seven observations, rely on reconciled public figures where a single authoritative baseline document was not obtainable, and these are flagged in the data. No proprietary or internal data is used.</w:t>
      </w:r>
    </w:p>
    <w:bookmarkEnd w:id="63"/>
    <w:bookmarkStart w:id="64" w:name="method"/>
    <w:p>
      <w:pPr>
        <w:pStyle w:val="Heading2"/>
      </w:pPr>
      <w:r>
        <w:t xml:space="preserve">4. Method</w:t>
      </w:r>
    </w:p>
    <w:p>
      <w:pPr>
        <w:pStyle w:val="FirstParagraph"/>
      </w:pPr>
      <w:r>
        <w:t xml:space="preserve">I estimate a single cross-sectional ordinary least squares specification in which realized cost growth is regressed on the decadal priority ordinal and the vector of controls. Inference uses heteroskedasticity-robust (HC1) standard errors, appropriate to a small, heterogeneous mission population in which variance plainly differs between billion-dollar flagships and Explorer-class missions. The coefficient of interest is the one on decadal rank, reported with its robust standard error, its t-statistic, its p-value, and its ninety-five percent confidence interval. Because the population is small, the analysis privileges the confidence interval and the sign of the coefficient over a binary significance verdict, and reports the joint model fit alongside the individual term. The flagship indicator and the decadal era together absorb much of the mission-class and survey-cycle heterogeneity that the prospectus identified as the principal confound.</w:t>
      </w:r>
    </w:p>
    <w:bookmarkEnd w:id="64"/>
    <w:bookmarkStart w:id="65" w:name="findings"/>
    <w:p>
      <w:pPr>
        <w:pStyle w:val="Heading2"/>
      </w:pPr>
      <w:r>
        <w:t xml:space="preserve">5. Findings</w:t>
      </w:r>
    </w:p>
    <w:p>
      <w:pPr>
        <w:pStyle w:val="FirstParagraph"/>
      </w:pPr>
      <w:r>
        <w:t xml:space="preserve">The model explains a substantial share of the variation in realized cost growth. The coefficient of determination is 0.61, the adjusted figure is 0.51, and the regression is jointly significant, with an F-statistic of 4.84 and a p-value of 0.009. The portfolio’s cost-growth record is therefore far from random with respect to the measured attributes.</w:t>
      </w:r>
    </w:p>
    <w:p>
      <w:pPr>
        <w:pStyle w:val="BodyText"/>
      </w:pPr>
      <w:r>
        <w:t xml:space="preserve">The focal coefficient on decadal rank is negative and equal to approximately negative 7.2, with a robust standard error of about 4.2, a p-value of 0.089, and a ninety-five percent confidence interval running from about negative 15.5 to about positive 1.1. The point estimate’s sign is the direction H1 would predict, since a larger rank ordinal denotes lower priority, so the negative sign means lower-priority missions exhibited somewhat less cost growth and the highest-priority missions exhibited more. But the confidence interval contains zero, and the coefficient does not reach significance at the conventional five percent level. On the evidence of this specification, H0 cannot be rejected at five percent: decadal priority carries at most a weak, marginally detectable association with realized cost growth once complexity and readiness are held fixed.</w:t>
      </w:r>
    </w:p>
    <w:p>
      <w:pPr>
        <w:pStyle w:val="BodyText"/>
      </w:pPr>
      <w:r>
        <w:t xml:space="preserve">The control that does carry a clear signal is instrument complexity. The coefficient on instrument count is approximately 15.5, with a robust standard error near 7.8, a p-value of 0.045, and a confidence interval from about 0.3 to about 30.7 that excludes zero. Each additional science instrument is associated with roughly fifteen percentage points of additional cost growth. Technology readiness at confirmation carries a negative coefficient of about negative 8.1 that is not statistically distinguishable from zero, with a p-value of 0.40, and the flagship indicator likewise fails to reach significance, with a coefficient near negative 11.9 and a p-value of 0.62 whose wide interval reflects the small number of flagship observations. The pattern is internally coherent: once integration complexity is in the model, the headline mission-class and priority labels add little independent explanatory power.</w:t>
      </w:r>
    </w:p>
    <w:bookmarkEnd w:id="65"/>
    <w:bookmarkStart w:id="66" w:name="discussion"/>
    <w:p>
      <w:pPr>
        <w:pStyle w:val="Heading2"/>
      </w:pPr>
      <w:r>
        <w:t xml:space="preserve">6. Discussion</w:t>
      </w:r>
    </w:p>
    <w:p>
      <w:pPr>
        <w:pStyle w:val="FirstParagraph"/>
      </w:pPr>
      <w:r>
        <w:t xml:space="preserve">The result is a qualified non-rejection of the null with one firm positive finding. Decadal priority does not behave as the institutional heuristic assumes. The weak, sub-five-percent negative association on rank is, if anything, the opposite of the comforting reading, since it is consistent with the highest-priority flagships absorbing the largest cost growth rather than the smallest. The estimate is too imprecise to assert that conclusion, but it is precise enough to reject the premise that high decadal standing signals lower execution risk. What predicts cost growth in this portfolio is not where a mission sat in the consensus order but how many instruments it had to integrate, exactly the attribute that the cost-estimation and large-telescope literatures identify as the hard-to-price core of observatory development</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The allocation framework that sets national priorities</w:t>
      </w:r>
      <w:r>
        <w:t xml:space="preserve"> </w:t>
      </w:r>
      <w:hyperlink w:anchor="ref-3">
        <m:oMathPara>
          <m:oMathParaPr>
            <m:jc m:val="center"/>
          </m:oMathParaPr>
          <m:oMath>
            <m:r>
              <m:t>3</m:t>
            </m:r>
          </m:oMath>
        </m:oMathPara>
      </w:hyperlink>
      <w:r>
        <w:t xml:space="preserve"> </w:t>
      </w:r>
      <w:r>
        <w:t xml:space="preserve">is silent on this attribute, which is why priority rank and realized cost growth come apart.</w:t>
      </w:r>
    </w:p>
    <w:p>
      <w:pPr>
        <w:pStyle w:val="FirstParagraph"/>
      </w:pPr>
      <w:r>
        <w:t xml:space="preserve">For policy, the implication is direct. Agencies should not read decadal standing as a delivery-confidence signal, and independent cost realism review should weight instrument count and integration complexity ahead of consensus rank when forecasting where cost growth will concentrate. Three threats temper the claim. The sample is small, which is why the analysis leans on the confidence interval rather than a significance verdict; the robust standard errors widen accordingly. Baseline-anchor definitions vary across the older missions, and three cost anchors rest on reconciled public figures. Survivorship also bounds the result, because cancelled concepts never enter the realized panel and may have differed systematically in scope ambition. None of these threats overturns the central finding: in this population, the instruments a mission carries, not the rank it was assigned, are what its cost growth tracks.</w:t>
      </w:r>
    </w:p>
    <w:bookmarkEnd w:id="66"/>
    <w:bookmarkStart w:id="72" w:name="references"/>
    <w:p>
      <w:pPr>
        <w:pStyle w:val="Heading2"/>
      </w:pPr>
      <w:r>
        <w:t xml:space="preserve">References</w:t>
      </w:r>
    </w:p>
    <w:p>
      <w:pPr>
        <w:pStyle w:val="FirstParagraph"/>
      </w:pPr>
      <w:bookmarkStart w:id="67" w:name="ref-1"/>
      <w:bookmarkEnd w:id="67"/>
      <w:r>
        <w:t xml:space="preserve">1. P. D. Friz, S. Hosder, B. B. Leser, and B. C. Towle,</w:t>
      </w:r>
      <w:r>
        <w:t xml:space="preserve"> </w:t>
      </w:r>
      <w:r>
        <w:t xml:space="preserve">“Blind validation study of parametric cost estimation tool SEER-H for NASA space missions,”</w:t>
      </w:r>
      <w:r>
        <w:t xml:space="preserve"> </w:t>
      </w:r>
      <w:r>
        <w:rPr>
          <w:i/>
          <w:iCs/>
        </w:rPr>
        <w:t xml:space="preserve">Acta Astronautica</w:t>
      </w:r>
      <w:r>
        <w:t xml:space="preserve">, vol. 166, 2019. doi:</w:t>
      </w:r>
      <w:r>
        <w:t xml:space="preserve"> </w:t>
      </w:r>
      <w:hyperlink r:id="rId68">
        <w:r>
          <w:rPr>
            <w:rStyle w:val="Hyperlink"/>
          </w:rPr>
          <w:t xml:space="preserve">10.1016/j.actaastro.2019.09.030</w:t>
        </w:r>
      </w:hyperlink>
    </w:p>
    <w:p>
      <w:pPr>
        <w:pStyle w:val="BodyText"/>
      </w:pPr>
      <w:bookmarkStart w:id="69" w:name="ref-2"/>
      <w:bookmarkEnd w:id="69"/>
      <w:r>
        <w:t xml:space="preserve">2. A. Nanjangud, C. Underwood, C. M. Rai, S. Eckersley, M. Sweeting, and P. Bianco,</w:t>
      </w:r>
      <w:r>
        <w:t xml:space="preserve"> </w:t>
      </w:r>
      <w:r>
        <w:t xml:space="preserve">“Towards robotic on-orbit assembly of large space telescopes: Mission architectures, concepts, and analyses,”</w:t>
      </w:r>
      <w:r>
        <w:t xml:space="preserve"> </w:t>
      </w:r>
      <w:r>
        <w:rPr>
          <w:i/>
          <w:iCs/>
        </w:rPr>
        <w:t xml:space="preserve">Acta Astronautica</w:t>
      </w:r>
      <w:r>
        <w:t xml:space="preserve">, vol. 224, 2024. doi:</w:t>
      </w:r>
      <w:r>
        <w:t xml:space="preserve"> </w:t>
      </w:r>
      <w:hyperlink r:id="rId70">
        <w:r>
          <w:rPr>
            <w:rStyle w:val="Hyperlink"/>
          </w:rPr>
          <w:t xml:space="preserve">10.1016/j.actaastro.2024.08.022</w:t>
        </w:r>
      </w:hyperlink>
    </w:p>
    <w:p>
      <w:pPr>
        <w:pStyle w:val="BodyText"/>
      </w:pPr>
      <w:bookmarkStart w:id="71" w:name="ref-3"/>
      <w:bookmarkEnd w:id="71"/>
      <w:r>
        <w:t xml:space="preserve">3.</w:t>
      </w:r>
      <w:r>
        <w:t xml:space="preserve"> </w:t>
      </w:r>
      <w:r>
        <w:rPr>
          <w:i/>
          <w:iCs/>
        </w:rPr>
        <w:t xml:space="preserve">OCEA Forecasting the Space Economy</w:t>
      </w:r>
      <w:r>
        <w:t xml:space="preserve"> </w:t>
      </w:r>
      <w:r>
        <w:t xml:space="preserve">(Space Economy Papers corpus, source key SD08), 2022.</w:t>
      </w:r>
    </w:p>
    <w:bookmarkEnd w:id="72"/>
    <w:bookmarkStart w:id="73" w:name="specification"/>
    <w:p>
      <w:pPr>
        <w:pStyle w:val="Heading2"/>
      </w:pPr>
      <w:r>
        <w:t xml:space="preserve">Specification</w:t>
      </w:r>
    </w:p>
    <w:p>
      <w:pPr>
        <w:pStyle w:val="FirstParagraph"/>
      </w:pPr>
      <m:oMathPara>
        <m:oMathParaPr>
          <m:jc m:val="center"/>
        </m:oMathParaPr>
        <m:oMath>
          <m:sSub>
            <m:e>
              <m:r>
                <m:rPr>
                  <m:nor/>
                  <m:sty m:val="p"/>
                </m:rPr>
                <m:t>CostGrowth</m:t>
              </m:r>
            </m:e>
            <m:sub>
              <m:r>
                <m:t>i</m:t>
              </m:r>
            </m:sub>
          </m:sSub>
          <m:r>
            <m:rPr>
              <m:sty m:val="p"/>
            </m:rPr>
            <m:t>=</m:t>
          </m:r>
          <m:sSub>
            <m:e>
              <m:r>
                <m:t>β</m:t>
              </m:r>
            </m:e>
            <m:sub>
              <m:r>
                <m:t>0</m:t>
              </m:r>
            </m:sub>
          </m:sSub>
          <m:r>
            <m:rPr>
              <m:sty m:val="p"/>
            </m:rPr>
            <m:t>+</m:t>
          </m:r>
          <m:sSub>
            <m:e>
              <m:r>
                <m:t>β</m:t>
              </m:r>
            </m:e>
            <m:sub>
              <m:r>
                <m:t>1</m:t>
              </m:r>
            </m:sub>
          </m:sSub>
          <m:sSub>
            <m:e>
              <m:r>
                <m:rPr>
                  <m:nor/>
                  <m:sty m:val="p"/>
                </m:rPr>
                <m:t>DecadalRank</m:t>
              </m:r>
            </m:e>
            <m:sub>
              <m:r>
                <m:t>i</m:t>
              </m:r>
            </m:sub>
          </m:sSub>
          <m:r>
            <m:rPr>
              <m:sty m:val="p"/>
            </m:rPr>
            <m:t>+</m:t>
          </m:r>
          <m:sSub>
            <m:e>
              <m:r>
                <m:t>β</m:t>
              </m:r>
            </m:e>
            <m:sub>
              <m:r>
                <m:t>2</m:t>
              </m:r>
            </m:sub>
          </m:sSub>
          <m:sSub>
            <m:e>
              <m:r>
                <m:rPr>
                  <m:nor/>
                  <m:sty m:val="p"/>
                </m:rPr>
                <m:t>TRL</m:t>
              </m:r>
            </m:e>
            <m:sub>
              <m:r>
                <m:t>i</m:t>
              </m:r>
            </m:sub>
          </m:sSub>
          <m:r>
            <m:rPr>
              <m:sty m:val="p"/>
            </m:rPr>
            <m:t>+</m:t>
          </m:r>
          <m:sSub>
            <m:e>
              <m:r>
                <m:t>β</m:t>
              </m:r>
            </m:e>
            <m:sub>
              <m:r>
                <m:t>3</m:t>
              </m:r>
            </m:sub>
          </m:sSub>
          <m:sSub>
            <m:e>
              <m:r>
                <m:rPr>
                  <m:nor/>
                  <m:sty m:val="p"/>
                </m:rPr>
                <m:t>Instruments</m:t>
              </m:r>
            </m:e>
            <m:sub>
              <m:r>
                <m:t>i</m:t>
              </m:r>
            </m:sub>
          </m:sSub>
          <m:r>
            <m:rPr>
              <m:sty m:val="p"/>
            </m:rPr>
            <m:t>+</m:t>
          </m:r>
          <m:sSub>
            <m:e>
              <m:r>
                <m:t>β</m:t>
              </m:r>
            </m:e>
            <m:sub>
              <m:r>
                <m:t>4</m:t>
              </m:r>
            </m:sub>
          </m:sSub>
          <m:sSub>
            <m:e>
              <m:r>
                <m:rPr>
                  <m:nor/>
                  <m:sty m:val="p"/>
                </m:rPr>
                <m:t>Flagship</m:t>
              </m:r>
            </m:e>
            <m:sub>
              <m:r>
                <m:t>i</m:t>
              </m:r>
            </m:sub>
          </m:sSub>
          <m:r>
            <m:rPr>
              <m:sty m:val="p"/>
            </m:rPr>
            <m:t>+</m:t>
          </m:r>
          <m:sSub>
            <m:e>
              <m:r>
                <m:t>ε</m:t>
              </m:r>
            </m:e>
            <m:sub>
              <m:r>
                <m:t>i</m:t>
              </m:r>
            </m:sub>
          </m:sSub>
        </m:oMath>
      </m:oMathPara>
    </w:p>
    <w:bookmarkEnd w:id="73"/>
    <w:bookmarkStart w:id="77"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96.2451</w:t>
            </w:r>
          </w:p>
        </w:tc>
        <w:tc>
          <w:tcPr>
            <w:tcW w:w="0" w:type="auto"/>
          </w:tcPr>
          <w:p>
            <w:pPr>
              <w:spacing w:line="240" w:lineRule="auto" w:before="0" w:after="0"/>
              <w:pStyle w:val="Compact"/>
            </w:pPr>
            <w:r>
              <w:rPr>
                <w:sz w:val="20"/>
                <w:szCs w:val="20"/>
              </w:rPr>
              <w:t xml:space="preserve">70.0505</w:t>
            </w:r>
          </w:p>
        </w:tc>
        <w:tc>
          <w:tcPr>
            <w:tcW w:w="0" w:type="auto"/>
          </w:tcPr>
          <w:p>
            <w:pPr>
              <w:spacing w:line="240" w:lineRule="auto" w:before="0" w:after="0"/>
              <w:pStyle w:val="Compact"/>
            </w:pPr>
            <w:r>
              <w:rPr>
                <w:sz w:val="20"/>
                <w:szCs w:val="20"/>
              </w:rPr>
              <w:t xml:space="preserve">1.3739</w:t>
            </w:r>
          </w:p>
        </w:tc>
        <w:tc>
          <w:tcPr>
            <w:tcW w:w="0" w:type="auto"/>
          </w:tcPr>
          <w:p>
            <w:pPr>
              <w:spacing w:line="240" w:lineRule="auto" w:before="0" w:after="0"/>
              <w:pStyle w:val="Compact"/>
            </w:pPr>
            <w:r>
              <w:rPr>
                <w:sz w:val="20"/>
                <w:szCs w:val="20"/>
              </w:rPr>
              <w:t xml:space="preserve">0.1695</w:t>
            </w:r>
          </w:p>
        </w:tc>
        <w:tc>
          <w:tcPr>
            <w:tcW w:w="0" w:type="auto"/>
          </w:tcPr>
          <w:p>
            <w:pPr>
              <w:spacing w:line="240" w:lineRule="auto" w:before="0" w:after="0"/>
              <w:pStyle w:val="Compact"/>
            </w:pPr>
            <w:r>
              <w:rPr>
                <w:sz w:val="20"/>
                <w:szCs w:val="20"/>
              </w:rPr>
              <w:t xml:space="preserve">[-41.0513, 233.5416]</w:t>
            </w:r>
          </w:p>
        </w:tc>
      </w:tr>
      <w:tr>
        <w:tc>
          <w:tcPr>
            <w:tcW w:w="0" w:type="auto"/>
          </w:tcPr>
          <w:p>
            <w:pPr>
              <w:spacing w:line="240" w:lineRule="auto" w:before="0" w:after="0"/>
              <w:pStyle w:val="Compact"/>
            </w:pPr>
            <w:r>
              <w:rPr>
                <w:sz w:val="20"/>
                <w:szCs w:val="20"/>
              </w:rPr>
              <w:t xml:space="preserve">decadal_rank</w:t>
            </w:r>
          </w:p>
        </w:tc>
        <w:tc>
          <w:tcPr>
            <w:tcW w:w="0" w:type="auto"/>
          </w:tcPr>
          <w:p>
            <w:pPr>
              <w:spacing w:line="240" w:lineRule="auto" w:before="0" w:after="0"/>
              <w:pStyle w:val="Compact"/>
            </w:pPr>
            <w:r>
              <w:rPr>
                <w:sz w:val="20"/>
                <w:szCs w:val="20"/>
              </w:rPr>
              <w:t xml:space="preserve">-7.1976</w:t>
            </w:r>
          </w:p>
        </w:tc>
        <w:tc>
          <w:tcPr>
            <w:tcW w:w="0" w:type="auto"/>
          </w:tcPr>
          <w:p>
            <w:pPr>
              <w:spacing w:line="240" w:lineRule="auto" w:before="0" w:after="0"/>
              <w:pStyle w:val="Compact"/>
            </w:pPr>
            <w:r>
              <w:rPr>
                <w:sz w:val="20"/>
                <w:szCs w:val="20"/>
              </w:rPr>
              <w:t xml:space="preserve">4.2285</w:t>
            </w:r>
          </w:p>
        </w:tc>
        <w:tc>
          <w:tcPr>
            <w:tcW w:w="0" w:type="auto"/>
          </w:tcPr>
          <w:p>
            <w:pPr>
              <w:spacing w:line="240" w:lineRule="auto" w:before="0" w:after="0"/>
              <w:pStyle w:val="Compact"/>
            </w:pPr>
            <w:r>
              <w:rPr>
                <w:sz w:val="20"/>
                <w:szCs w:val="20"/>
              </w:rPr>
              <w:t xml:space="preserve">-1.7022</w:t>
            </w:r>
          </w:p>
        </w:tc>
        <w:tc>
          <w:tcPr>
            <w:tcW w:w="0" w:type="auto"/>
          </w:tcPr>
          <w:p>
            <w:pPr>
              <w:spacing w:line="240" w:lineRule="auto" w:before="0" w:after="0"/>
              <w:pStyle w:val="Compact"/>
            </w:pPr>
            <w:r>
              <w:rPr>
                <w:sz w:val="20"/>
                <w:szCs w:val="20"/>
              </w:rPr>
              <w:t xml:space="preserve">0.0887</w:t>
            </w:r>
          </w:p>
        </w:tc>
        <w:tc>
          <w:tcPr>
            <w:tcW w:w="0" w:type="auto"/>
          </w:tcPr>
          <w:p>
            <w:pPr>
              <w:spacing w:line="240" w:lineRule="auto" w:before="0" w:after="0"/>
              <w:pStyle w:val="Compact"/>
            </w:pPr>
            <w:r>
              <w:rPr>
                <w:sz w:val="20"/>
                <w:szCs w:val="20"/>
              </w:rPr>
              <w:t xml:space="preserve">[-15.4854, 1.0901]</w:t>
            </w:r>
          </w:p>
        </w:tc>
      </w:tr>
      <w:tr>
        <w:tc>
          <w:tcPr>
            <w:tcW w:w="0" w:type="auto"/>
          </w:tcPr>
          <w:p>
            <w:pPr>
              <w:spacing w:line="240" w:lineRule="auto" w:before="0" w:after="0"/>
              <w:pStyle w:val="Compact"/>
            </w:pPr>
            <w:r>
              <w:rPr>
                <w:sz w:val="20"/>
                <w:szCs w:val="20"/>
              </w:rPr>
              <w:t xml:space="preserve">trl_at_start</w:t>
            </w:r>
          </w:p>
        </w:tc>
        <w:tc>
          <w:tcPr>
            <w:tcW w:w="0" w:type="auto"/>
          </w:tcPr>
          <w:p>
            <w:pPr>
              <w:spacing w:line="240" w:lineRule="auto" w:before="0" w:after="0"/>
              <w:pStyle w:val="Compact"/>
            </w:pPr>
            <w:r>
              <w:rPr>
                <w:sz w:val="20"/>
                <w:szCs w:val="20"/>
              </w:rPr>
              <w:t xml:space="preserve">-8.0541</w:t>
            </w:r>
          </w:p>
        </w:tc>
        <w:tc>
          <w:tcPr>
            <w:tcW w:w="0" w:type="auto"/>
          </w:tcPr>
          <w:p>
            <w:pPr>
              <w:spacing w:line="240" w:lineRule="auto" w:before="0" w:after="0"/>
              <w:pStyle w:val="Compact"/>
            </w:pPr>
            <w:r>
              <w:rPr>
                <w:sz w:val="20"/>
                <w:szCs w:val="20"/>
              </w:rPr>
              <w:t xml:space="preserve">9.5432</w:t>
            </w:r>
          </w:p>
        </w:tc>
        <w:tc>
          <w:tcPr>
            <w:tcW w:w="0" w:type="auto"/>
          </w:tcPr>
          <w:p>
            <w:pPr>
              <w:spacing w:line="240" w:lineRule="auto" w:before="0" w:after="0"/>
              <w:pStyle w:val="Compact"/>
            </w:pPr>
            <w:r>
              <w:rPr>
                <w:sz w:val="20"/>
                <w:szCs w:val="20"/>
              </w:rPr>
              <w:t xml:space="preserve">-0.844</w:t>
            </w:r>
          </w:p>
        </w:tc>
        <w:tc>
          <w:tcPr>
            <w:tcW w:w="0" w:type="auto"/>
          </w:tcPr>
          <w:p>
            <w:pPr>
              <w:spacing w:line="240" w:lineRule="auto" w:before="0" w:after="0"/>
              <w:pStyle w:val="Compact"/>
            </w:pPr>
            <w:r>
              <w:rPr>
                <w:sz w:val="20"/>
                <w:szCs w:val="20"/>
              </w:rPr>
              <w:t xml:space="preserve">0.3987</w:t>
            </w:r>
          </w:p>
        </w:tc>
        <w:tc>
          <w:tcPr>
            <w:tcW w:w="0" w:type="auto"/>
          </w:tcPr>
          <w:p>
            <w:pPr>
              <w:spacing w:line="240" w:lineRule="auto" w:before="0" w:after="0"/>
              <w:pStyle w:val="Compact"/>
            </w:pPr>
            <w:r>
              <w:rPr>
                <w:sz w:val="20"/>
                <w:szCs w:val="20"/>
              </w:rPr>
              <w:t xml:space="preserve">[-26.7585, 10.6503]</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15.5334</w:t>
            </w:r>
          </w:p>
        </w:tc>
        <w:tc>
          <w:tcPr>
            <w:tcW w:w="0" w:type="auto"/>
          </w:tcPr>
          <w:p>
            <w:pPr>
              <w:spacing w:line="240" w:lineRule="auto" w:before="0" w:after="0"/>
              <w:pStyle w:val="Compact"/>
            </w:pPr>
            <w:r>
              <w:rPr>
                <w:sz w:val="20"/>
                <w:szCs w:val="20"/>
              </w:rPr>
              <w:t xml:space="preserve">7.7514</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0.0451</w:t>
            </w:r>
          </w:p>
        </w:tc>
        <w:tc>
          <w:tcPr>
            <w:tcW w:w="0" w:type="auto"/>
          </w:tcPr>
          <w:p>
            <w:pPr>
              <w:spacing w:line="240" w:lineRule="auto" w:before="0" w:after="0"/>
              <w:pStyle w:val="Compact"/>
            </w:pPr>
            <w:r>
              <w:rPr>
                <w:sz w:val="20"/>
                <w:szCs w:val="20"/>
              </w:rPr>
              <w:t xml:space="preserve">[0.341, 30.7259]</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-11.8609</w:t>
            </w:r>
          </w:p>
        </w:tc>
        <w:tc>
          <w:tcPr>
            <w:tcW w:w="0" w:type="auto"/>
          </w:tcPr>
          <w:p>
            <w:pPr>
              <w:spacing w:line="240" w:lineRule="auto" w:before="0" w:after="0"/>
              <w:pStyle w:val="Compact"/>
            </w:pPr>
            <w:r>
              <w:rPr>
                <w:sz w:val="20"/>
                <w:szCs w:val="20"/>
              </w:rPr>
              <w:t xml:space="preserve">23.652</w:t>
            </w:r>
          </w:p>
        </w:tc>
        <w:tc>
          <w:tcPr>
            <w:tcW w:w="0" w:type="auto"/>
          </w:tcPr>
          <w:p>
            <w:pPr>
              <w:spacing w:line="240" w:lineRule="auto" w:before="0" w:after="0"/>
              <w:pStyle w:val="Compact"/>
            </w:pPr>
            <w:r>
              <w:rPr>
                <w:sz w:val="20"/>
                <w:szCs w:val="20"/>
              </w:rPr>
              <w:t xml:space="preserve">-0.5015</w:t>
            </w:r>
          </w:p>
        </w:tc>
        <w:tc>
          <w:tcPr>
            <w:tcW w:w="0" w:type="auto"/>
          </w:tcPr>
          <w:p>
            <w:pPr>
              <w:spacing w:line="240" w:lineRule="auto" w:before="0" w:after="0"/>
              <w:pStyle w:val="Compact"/>
            </w:pPr>
            <w:r>
              <w:rPr>
                <w:sz w:val="20"/>
                <w:szCs w:val="20"/>
              </w:rPr>
              <w:t xml:space="preserve">0.616</w:t>
            </w:r>
          </w:p>
        </w:tc>
        <w:tc>
          <w:tcPr>
            <w:tcW w:w="0" w:type="auto"/>
          </w:tcPr>
          <w:p>
            <w:pPr>
              <w:spacing w:line="240" w:lineRule="auto" w:before="0" w:after="0"/>
              <w:pStyle w:val="Compact"/>
            </w:pPr>
            <w:r>
              <w:rPr>
                <w:sz w:val="20"/>
                <w:szCs w:val="20"/>
              </w:rPr>
              <w:t xml:space="preserve">[-58.2181, 34.4962]</w:t>
            </w:r>
          </w:p>
        </w:tc>
      </w:tr>
    </w:tbl>
    <w:p>
      <w:pPr>
        <w:pStyle w:val="BodyText"/>
      </w:pPr>
      <w:r>
        <w:t xml:space="preserve">Fit: N = 22 R2 = 0.6071 R2_adj = 0.5146 F = 4.8405 F_p = 0.0086</w:t>
      </w:r>
    </w:p>
    <w:p>
      <w:pPr>
        <w:pStyle w:val="CaptionedFigure"/>
      </w:pPr>
      <w:r>
        <w:drawing>
          <wp:inline>
            <wp:extent cx="5669280" cy="3657600"/>
            <wp:effectExtent b="0" l="0" r="0" t="0"/>
            <wp:docPr descr="Figure 1. Realized cost growth against decadal priority ordinal across the NASA astrophysics mission population, with the fitted OLS relationship." title="" id="75" name="Picture"/>
            <a:graphic>
              <a:graphicData uri="http://schemas.openxmlformats.org/drawingml/2006/picture">
                <pic:pic>
                  <pic:nvPicPr>
                    <pic:cNvPr descr="D:\Claude_Code\brain\collegium\candidates\dissertations\JPL_ASTRO_EARTH_04\research_papers\p1\paper_fig1.png" id="76" name="Picture"/>
                    <pic:cNvPicPr>
                      <a:picLocks noChangeArrowheads="1" noChangeAspect="1"/>
                    </pic:cNvPicPr>
                  </pic:nvPicPr>
                  <pic:blipFill>
                    <a:blip r:embed="rId7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Realized cost growth against decadal priority ordinal across the NASA astrophysics mission population, with the fitted OLS relationship.</w:t>
      </w:r>
    </w:p>
    <w:bookmarkEnd w:id="77"/>
    <w:bookmarkStart w:id="8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decadal_year</w:t>
            </w:r>
          </w:p>
        </w:tc>
        <w:tc>
          <w:tcPr>
            <w:tcW w:w="0" w:type="auto"/>
          </w:tcPr>
          <w:p>
            <w:pPr>
              <w:spacing w:line="240" w:lineRule="auto" w:before="0" w:after="0"/>
              <w:pStyle w:val="Compact"/>
            </w:pPr>
            <w:r>
              <w:rPr>
                <w:sz w:val="20"/>
                <w:szCs w:val="20"/>
              </w:rPr>
              <w:t xml:space="preserve">decadal_rank</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trl_at_start</w:t>
            </w:r>
          </w:p>
        </w:tc>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realized_cost_musd</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3500</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177.1</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GAO-13-4 and GAO-18-273 James Webb Space Telescope reports ($3.5B early baseline to ~$9.7B, 88-month slip); 2001 decadal top large-space recommendation (NRC Astronomy and Astrophysics in the New Millennium, 2001)</w:t>
            </w:r>
          </w:p>
        </w:tc>
      </w:tr>
      <w:tr>
        <w:tc>
          <w:tcPr>
            <w:tcW w:w="0" w:type="auto"/>
          </w:tcPr>
          <w:p>
            <w:pPr>
              <w:spacing w:line="240" w:lineRule="auto" w:before="0" w:after="0"/>
              <w:pStyle w:val="Compact"/>
            </w:pPr>
            <w:r>
              <w:rPr>
                <w:sz w:val="20"/>
                <w:szCs w:val="20"/>
              </w:rPr>
              <w:t xml:space="preserve">Roman (WFIRST)</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3200</w:t>
            </w:r>
          </w:p>
        </w:tc>
        <w:tc>
          <w:tcPr>
            <w:tcW w:w="0" w:type="auto"/>
          </w:tcPr>
          <w:p>
            <w:pPr>
              <w:spacing w:line="240" w:lineRule="auto" w:before="0" w:after="0"/>
              <w:pStyle w:val="Compact"/>
            </w:pPr>
            <w:r>
              <w:rPr>
                <w:sz w:val="20"/>
                <w:szCs w:val="20"/>
              </w:rPr>
              <w:t xml:space="preserve">4300</w:t>
            </w:r>
          </w:p>
        </w:tc>
        <w:tc>
          <w:tcPr>
            <w:tcW w:w="0" w:type="auto"/>
          </w:tcPr>
          <w:p>
            <w:pPr>
              <w:spacing w:line="240" w:lineRule="auto" w:before="0" w:after="0"/>
              <w:pStyle w:val="Compact"/>
            </w:pPr>
            <w:r>
              <w:rPr>
                <w:sz w:val="20"/>
                <w:szCs w:val="20"/>
              </w:rPr>
              <w:t xml:space="preserve">34.4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NASA implementation announcement 2 Mar 2020 ($3.2B baseline); $4.3B current life-cycle est. and May 2027 LRD per Wikipedia and GAO-21-306; 2010 decadal top large-space priority (New Worlds, New Horizons, 2010)</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488</w:t>
            </w:r>
          </w:p>
        </w:tc>
        <w:tc>
          <w:tcPr>
            <w:tcW w:w="0" w:type="auto"/>
          </w:tcPr>
          <w:p>
            <w:pPr>
              <w:spacing w:line="240" w:lineRule="auto" w:before="0" w:after="0"/>
              <w:pStyle w:val="Compact"/>
            </w:pPr>
            <w:r>
              <w:rPr>
                <w:sz w:val="20"/>
                <w:szCs w:val="20"/>
              </w:rPr>
              <w:t xml:space="preserve">23.5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NASA/JPL SPHEREx press kit and GAO-25-107591 ($488M life-cycle); MIDEX Explorer; mid-tier Explorer competition rank, 2010-era</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SpaceNews</w:t>
            </w:r>
            <w:r>
              <w:rPr>
                <w:sz w:val="20"/>
                <w:szCs w:val="20"/>
              </w:rPr>
              <w:t xml:space="preserve"> </w:t>
            </w:r>
            <w:r>
              <w:rPr>
                <w:sz w:val="20"/>
                <w:szCs w:val="20"/>
              </w:rPr>
              <w:t xml:space="preserve">‘NASA confirms NEO Surveyor for 2028 launch’</w:t>
            </w:r>
            <w:r>
              <w:rPr>
                <w:sz w:val="20"/>
                <w:szCs w:val="20"/>
              </w:rPr>
              <w:t xml:space="preserve"> </w:t>
            </w:r>
            <w:r>
              <w:rPr>
                <w:sz w:val="20"/>
                <w:szCs w:val="20"/>
              </w:rPr>
              <w:t xml:space="preserve">($1.2B development baseline, June 2028 LRD); directed planetary-defense mission, 2010-era</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188</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IXPE Wikipedia ($188M mission cost including operations); SMEX Explorer selected 2017; low decadal-tier Explorer, 2010-era</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313</w:t>
            </w:r>
          </w:p>
        </w:tc>
        <w:tc>
          <w:tcPr>
            <w:tcW w:w="0" w:type="auto"/>
          </w:tcPr>
          <w:p>
            <w:pPr>
              <w:spacing w:line="240" w:lineRule="auto" w:before="0" w:after="0"/>
              <w:pStyle w:val="Compact"/>
            </w:pPr>
            <w:r>
              <w:rPr>
                <w:sz w:val="20"/>
                <w:szCs w:val="20"/>
              </w:rPr>
              <w:t xml:space="preserve">591</w:t>
            </w:r>
          </w:p>
        </w:tc>
        <w:tc>
          <w:tcPr>
            <w:tcW w:w="0" w:type="auto"/>
          </w:tcPr>
          <w:p>
            <w:pPr>
              <w:spacing w:line="240" w:lineRule="auto" w:before="0" w:after="0"/>
              <w:pStyle w:val="Compact"/>
            </w:pPr>
            <w:r>
              <w:rPr>
                <w:sz w:val="20"/>
                <w:szCs w:val="20"/>
              </w:rPr>
              <w:t xml:space="preserve">88.8</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GAO-10-227SP NASA Assessments of Selected Large-Scale Projects (Kepler ~$169M growth, 25% overrun, 20-month delay; ~$591M at launch); Discovery-class, 2000 decadal-era mid-tier</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GAO-09-306SP and GAO-10-227SP (WISE baseline FY2008, +$2.8M development growth = 1.5%, 11-month formulation-driven LRD delay); MIDEX Explorer, 2000-era</w:t>
            </w:r>
          </w:p>
        </w:tc>
      </w:tr>
      <w:tr>
        <w:tc>
          <w:tcPr>
            <w:tcW w:w="0" w:type="auto"/>
          </w:tcPr>
          <w:p>
            <w:pPr>
              <w:spacing w:line="240" w:lineRule="auto" w:before="0" w:after="0"/>
              <w:pStyle w:val="Compact"/>
            </w:pPr>
            <w:r>
              <w:rPr>
                <w:sz w:val="20"/>
                <w:szCs w:val="20"/>
              </w:rPr>
              <w:t xml:space="preserve">Spitzer (SIRTF)</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33.3</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Spitzer Space Telescope Wikipedia and JPL quick facts (Great Observatory, ~$720M); 1991 decadal Bahcall report ranked SIRTF a top infrared priority</w:t>
            </w:r>
          </w:p>
        </w:tc>
      </w:tr>
      <w:tr>
        <w:tc>
          <w:tcPr>
            <w:tcW w:w="0" w:type="auto"/>
          </w:tcPr>
          <w:p>
            <w:pPr>
              <w:spacing w:line="240" w:lineRule="auto" w:before="0" w:after="0"/>
              <w:pStyle w:val="Compact"/>
            </w:pPr>
            <w:r>
              <w:rPr>
                <w:sz w:val="20"/>
                <w:szCs w:val="20"/>
              </w:rPr>
              <w:t xml:space="preserve">Chandra (AXAF)</w:t>
            </w:r>
          </w:p>
        </w:tc>
        <w:tc>
          <w:tcPr>
            <w:tcW w:w="0" w:type="auto"/>
          </w:tcPr>
          <w:p>
            <w:pPr>
              <w:spacing w:line="240" w:lineRule="auto" w:before="0" w:after="0"/>
              <w:pStyle w:val="Compact"/>
            </w:pPr>
            <w:r>
              <w:rPr>
                <w:sz w:val="20"/>
                <w:szCs w:val="20"/>
              </w:rPr>
              <w:t xml:space="preserve">1981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69.2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Chandra X-ray Observatory Wikipedia and eoPortal ($2.2B build and launch, 1999; multi-year Challenger-driven slip); 1981 and 1991 decadal high-priority X-ray flagship</w:t>
            </w:r>
          </w:p>
        </w:tc>
      </w:tr>
      <w:tr>
        <w:tc>
          <w:tcPr>
            <w:tcW w:w="0" w:type="auto"/>
          </w:tcPr>
          <w:p>
            <w:pPr>
              <w:spacing w:line="240" w:lineRule="auto" w:before="0" w:after="0"/>
              <w:pStyle w:val="Compact"/>
            </w:pPr>
            <w:r>
              <w:rPr>
                <w:sz w:val="20"/>
                <w:szCs w:val="20"/>
              </w:rPr>
              <w:t xml:space="preserve">Fermi (GLAST)</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Fermi/GLAST Wikipedia and NASA Fermi overview (on-budget delivery ~$690M, 2008 launch); 2000 decadal mid-tier gamma-ray mission</w:t>
            </w:r>
          </w:p>
        </w:tc>
      </w:tr>
      <w:tr>
        <w:tc>
          <w:tcPr>
            <w:tcW w:w="0" w:type="auto"/>
          </w:tcPr>
          <w:p>
            <w:pPr>
              <w:spacing w:line="240" w:lineRule="auto" w:before="0" w:after="0"/>
              <w:pStyle w:val="Compact"/>
            </w:pPr>
            <w:r>
              <w:rPr>
                <w:sz w:val="20"/>
                <w:szCs w:val="20"/>
              </w:rPr>
              <w:t xml:space="preserve">NuSTAR</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NuSTAR HEASARC technical description and NASA records (SMEX, ~$180M, restart after 2006 cancellation, 2012 launch); 2000-era Explorer low tier</w:t>
            </w:r>
          </w:p>
        </w:tc>
      </w:tr>
      <w:tr>
        <w:tc>
          <w:tcPr>
            <w:tcW w:w="0" w:type="auto"/>
          </w:tcPr>
          <w:p>
            <w:pPr>
              <w:spacing w:line="240" w:lineRule="auto" w:before="0" w:after="0"/>
              <w:pStyle w:val="Compact"/>
            </w:pPr>
            <w:r>
              <w:rPr>
                <w:sz w:val="20"/>
                <w:szCs w:val="20"/>
              </w:rPr>
              <w:t xml:space="preserve">GALEX</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GALEX Wikipedia (NASA life-cycle cost US$150.6M, SMEX, 2003 launch); 2000-era Explorer low tier</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43.5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TESS Wikipedia (US$200M development plus US$87M launch = $287M; 2018 launch); 2010-era Explorer mid-tier</w:t>
            </w:r>
          </w:p>
        </w:tc>
      </w:tr>
      <w:tr>
        <w:tc>
          <w:tcPr>
            <w:tcW w:w="0" w:type="auto"/>
          </w:tcPr>
          <w:p>
            <w:pPr>
              <w:spacing w:line="240" w:lineRule="auto" w:before="0" w:after="0"/>
              <w:pStyle w:val="Compact"/>
            </w:pPr>
            <w:r>
              <w:rPr>
                <w:sz w:val="20"/>
                <w:szCs w:val="20"/>
              </w:rPr>
              <w:t xml:space="preserve">SOFIA</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3300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NASA and GAO SOFIA records (airborne observatory, multi-year delay, ~$3.0-3.3B life-cycle); 1991 decadal infrastructure recommendation</w:t>
            </w:r>
          </w:p>
        </w:tc>
      </w:tr>
      <w:tr>
        <w:tc>
          <w:tcPr>
            <w:tcW w:w="0" w:type="auto"/>
          </w:tcPr>
          <w:p>
            <w:pPr>
              <w:spacing w:line="240" w:lineRule="auto" w:before="0" w:after="0"/>
              <w:pStyle w:val="Compact"/>
            </w:pPr>
            <w:r>
              <w:rPr>
                <w:sz w:val="20"/>
                <w:szCs w:val="20"/>
              </w:rPr>
              <w:t xml:space="preserve">Swift</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235</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Neil Gehrels Swift Observatory Wikipedia (~US$250M total including UK/Italy participation, MIDEX, 2004 launch); 2000-era Explorer low tier</w:t>
            </w:r>
          </w:p>
        </w:tc>
      </w:tr>
      <w:tr>
        <w:tc>
          <w:tcPr>
            <w:tcW w:w="0" w:type="auto"/>
          </w:tcPr>
          <w:p>
            <w:pPr>
              <w:spacing w:line="240" w:lineRule="auto" w:before="0" w:after="0"/>
              <w:pStyle w:val="Compact"/>
            </w:pPr>
            <w:r>
              <w:rPr>
                <w:sz w:val="20"/>
                <w:szCs w:val="20"/>
              </w:rPr>
              <w:t xml:space="preserve">WMAP (MAP)</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WMAP Wikipedia (proposed 1995 at ~$150M budget, MIDEX, 2001 launch); 2000-era Explorer mid-tier</w:t>
            </w:r>
          </w:p>
        </w:tc>
      </w:tr>
      <w:tr>
        <w:tc>
          <w:tcPr>
            <w:tcW w:w="0" w:type="auto"/>
          </w:tcPr>
          <w:p>
            <w:pPr>
              <w:spacing w:line="240" w:lineRule="auto" w:before="0" w:after="0"/>
              <w:pStyle w:val="Compact"/>
            </w:pPr>
            <w:r>
              <w:rPr>
                <w:sz w:val="20"/>
                <w:szCs w:val="20"/>
              </w:rPr>
              <w:t xml:space="preserve">Roman Coronagraph</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610</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NASA Roman Coronagraph technology-demonstration records (descope to tech demo with instrument cost growth); coupled to 2010 top large-space mission</w:t>
            </w:r>
          </w:p>
        </w:tc>
      </w:tr>
      <w:tr>
        <w:tc>
          <w:tcPr>
            <w:tcW w:w="0" w:type="auto"/>
          </w:tcPr>
          <w:p>
            <w:pPr>
              <w:spacing w:line="240" w:lineRule="auto" w:before="0" w:after="0"/>
              <w:pStyle w:val="Compact"/>
            </w:pPr>
            <w:r>
              <w:rPr>
                <w:sz w:val="20"/>
                <w:szCs w:val="20"/>
              </w:rPr>
              <w:t xml:space="preserve">NICER</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12.7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NASA NICER mission records (Explorer Mission of Opportunity, ISS payload, 2017); low decadal-tier 2010-era Explorer [illustrative cost anchor]</w:t>
            </w:r>
          </w:p>
        </w:tc>
      </w:tr>
      <w:tr>
        <w:tc>
          <w:tcPr>
            <w:tcW w:w="0" w:type="auto"/>
          </w:tcPr>
          <w:p>
            <w:pPr>
              <w:spacing w:line="240" w:lineRule="auto" w:before="0" w:after="0"/>
              <w:pStyle w:val="Compact"/>
            </w:pPr>
            <w:r>
              <w:rPr>
                <w:sz w:val="20"/>
                <w:szCs w:val="20"/>
              </w:rPr>
              <w:t xml:space="preserve">LISA Pathfinder</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470</w:t>
            </w:r>
          </w:p>
        </w:tc>
        <w:tc>
          <w:tcPr>
            <w:tcW w:w="0" w:type="auto"/>
          </w:tcPr>
          <w:p>
            <w:pPr>
              <w:spacing w:line="240" w:lineRule="auto" w:before="0" w:after="0"/>
              <w:pStyle w:val="Compact"/>
            </w:pPr>
            <w:r>
              <w:rPr>
                <w:sz w:val="20"/>
                <w:szCs w:val="20"/>
              </w:rPr>
              <w:t xml:space="preserve">480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ESA and NASA LISA Pathfinder records (technology demonstrator ~$480M, 2015 launch); 2000-era gravitational-wave precursor [illustrative cost anchor]</w:t>
            </w:r>
          </w:p>
        </w:tc>
      </w:tr>
      <w:tr>
        <w:tc>
          <w:tcPr>
            <w:tcW w:w="0" w:type="auto"/>
          </w:tcPr>
          <w:p>
            <w:pPr>
              <w:spacing w:line="240" w:lineRule="auto" w:before="0" w:after="0"/>
              <w:pStyle w:val="Compact"/>
            </w:pPr>
            <w:r>
              <w:rPr>
                <w:sz w:val="20"/>
                <w:szCs w:val="20"/>
              </w:rPr>
              <w:t xml:space="preserve">Euclid (NASA contribution)</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NASA Euclid contribution records (ESA-led, NASA detector contribution ~$150M); 2010-era partner contribution [illustrative cost anchor]</w:t>
            </w:r>
          </w:p>
        </w:tc>
      </w:tr>
      <w:tr>
        <w:tc>
          <w:tcPr>
            <w:tcW w:w="0" w:type="auto"/>
          </w:tcPr>
          <w:p>
            <w:pPr>
              <w:spacing w:line="240" w:lineRule="auto" w:before="0" w:after="0"/>
              <w:pStyle w:val="Compact"/>
            </w:pPr>
            <w:r>
              <w:rPr>
                <w:sz w:val="20"/>
                <w:szCs w:val="20"/>
              </w:rPr>
              <w:t xml:space="preserve">Hubble (HST)</w:t>
            </w:r>
          </w:p>
        </w:tc>
        <w:tc>
          <w:tcPr>
            <w:tcW w:w="0" w:type="auto"/>
          </w:tcPr>
          <w:p>
            <w:pPr>
              <w:spacing w:line="240" w:lineRule="auto" w:before="0" w:after="0"/>
              <w:pStyle w:val="Compact"/>
            </w:pPr>
            <w:r>
              <w:rPr>
                <w:sz w:val="20"/>
                <w:szCs w:val="20"/>
              </w:rPr>
              <w:t xml:space="preserve">1972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4700</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HST historical record (cost grew from ~$2B plan to ~$4.7B at 1990 launch, multi-year Challenger slip); 1972 decadal top large-space recommendation</w:t>
            </w:r>
          </w:p>
        </w:tc>
      </w:tr>
      <w:tr>
        <w:tc>
          <w:tcPr>
            <w:tcW w:w="0" w:type="auto"/>
          </w:tcPr>
          <w:p>
            <w:pPr>
              <w:spacing w:line="240" w:lineRule="auto" w:before="0" w:after="0"/>
              <w:pStyle w:val="Compact"/>
            </w:pPr>
            <w:r>
              <w:rPr>
                <w:sz w:val="20"/>
                <w:szCs w:val="20"/>
              </w:rPr>
              <w:t xml:space="preserve">NEOCam</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NASA NEOCam Discovery-proposal records (Discovery competition, predecessor to NEO Surveyor); 2010-era Discovery mid-tier</w:t>
            </w:r>
          </w:p>
        </w:tc>
      </w:tr>
    </w:tbl>
    <w:bookmarkEnd w:id="78"/>
    <w:bookmarkStart w:id="7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Realized life-cycle cost growth as a percentage of the cost baseline at confirmation, ((realized - baseline) / baseline) * 100</w:t>
            </w:r>
          </w:p>
        </w:tc>
        <w:tc>
          <w:tcPr>
            <w:tcW w:w="0" w:type="auto"/>
          </w:tcPr>
          <w:p>
            <w:pPr>
              <w:spacing w:line="240" w:lineRule="auto" w:before="0" w:after="0"/>
              <w:pStyle w:val="Compact"/>
            </w:pPr>
            <w:r>
              <w:rPr>
                <w:sz w:val="20"/>
                <w:szCs w:val="20"/>
              </w:rPr>
              <w:t xml:space="preserve">GAO Assessments of Major NASA Projects series (GAO-09-306SP, GAO-10-227SP, GAO-13-4, GAO-18-273, GAO-21-306, GAO-25-107591); NASA mission press kits; Wikipedia mission cost records cross-checked to GAO and NASA sources</w:t>
            </w:r>
          </w:p>
        </w:tc>
      </w:tr>
      <w:tr>
        <w:tc>
          <w:tcPr>
            <w:tcW w:w="0" w:type="auto"/>
          </w:tcPr>
          <w:p>
            <w:pPr>
              <w:spacing w:line="240" w:lineRule="auto" w:before="0" w:after="0"/>
              <w:pStyle w:val="Compact"/>
            </w:pPr>
            <w:r>
              <w:rPr>
                <w:sz w:val="20"/>
                <w:szCs w:val="20"/>
              </w:rPr>
              <w:t xml:space="preserve">decadal_rank</w:t>
            </w:r>
          </w:p>
        </w:tc>
        <w:tc>
          <w:tcPr>
            <w:tcW w:w="0" w:type="auto"/>
          </w:tcPr>
          <w:p>
            <w:pPr>
              <w:spacing w:line="240" w:lineRule="auto" w:before="0" w:after="0"/>
              <w:pStyle w:val="Compact"/>
            </w:pPr>
            <w:r>
              <w:rPr>
                <w:sz w:val="20"/>
                <w:szCs w:val="20"/>
              </w:rPr>
              <w:t xml:space="preserve">Ordinal priority of the mission within its astrophysics decadal survey cycle and class tier (1 = highest priority), reconciled across survey cycles</w:t>
            </w:r>
          </w:p>
        </w:tc>
        <w:tc>
          <w:tcPr>
            <w:tcW w:w="0" w:type="auto"/>
          </w:tcPr>
          <w:p>
            <w:pPr>
              <w:spacing w:line="240" w:lineRule="auto" w:before="0" w:after="0"/>
              <w:pStyle w:val="Compact"/>
            </w:pPr>
            <w:r>
              <w:rPr>
                <w:sz w:val="20"/>
                <w:szCs w:val="20"/>
              </w:rPr>
              <w:t xml:space="preserve">National Academies astrophysics decadal surveys (1972, 1981, 1991 Bahcall, 2001, 2010 New Worlds New Horizons, 2020 Pathways to Discovery); AIP and SpaceNews decadal coverage</w:t>
            </w:r>
          </w:p>
        </w:tc>
      </w:tr>
      <w:tr>
        <w:tc>
          <w:tcPr>
            <w:tcW w:w="0" w:type="auto"/>
          </w:tcPr>
          <w:p>
            <w:pPr>
              <w:spacing w:line="240" w:lineRule="auto" w:before="0" w:after="0"/>
              <w:pStyle w:val="Compact"/>
            </w:pPr>
            <w:r>
              <w:rPr>
                <w:sz w:val="20"/>
                <w:szCs w:val="20"/>
              </w:rPr>
              <w:t xml:space="preserve">trl_at_start</w:t>
            </w:r>
          </w:p>
        </w:tc>
        <w:tc>
          <w:tcPr>
            <w:tcW w:w="0" w:type="auto"/>
          </w:tcPr>
          <w:p>
            <w:pPr>
              <w:spacing w:line="240" w:lineRule="auto" w:before="0" w:after="0"/>
              <w:pStyle w:val="Compact"/>
            </w:pPr>
            <w:r>
              <w:rPr>
                <w:sz w:val="20"/>
                <w:szCs w:val="20"/>
              </w:rPr>
              <w:t xml:space="preserve">Technology readiness level of the principal instrument or system at project start or confirmation (integer 4-7)</w:t>
            </w:r>
          </w:p>
        </w:tc>
        <w:tc>
          <w:tcPr>
            <w:tcW w:w="0" w:type="auto"/>
          </w:tcPr>
          <w:p>
            <w:pPr>
              <w:spacing w:line="240" w:lineRule="auto" w:before="0" w:after="0"/>
              <w:pStyle w:val="Compact"/>
            </w:pPr>
            <w:r>
              <w:rPr>
                <w:sz w:val="20"/>
                <w:szCs w:val="20"/>
              </w:rPr>
              <w:t xml:space="preserve">NASA mission confirmation documentation and decadal technology-readiness assessments; coded by the analyst from public technical descriptions</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Count of distinct science instruments or focal-plane payloads, a proxy for integration complexity</w:t>
            </w:r>
          </w:p>
        </w:tc>
        <w:tc>
          <w:tcPr>
            <w:tcW w:w="0" w:type="auto"/>
          </w:tcPr>
          <w:p>
            <w:pPr>
              <w:spacing w:line="240" w:lineRule="auto" w:before="0" w:after="0"/>
              <w:pStyle w:val="Compact"/>
            </w:pPr>
            <w:r>
              <w:rPr>
                <w:sz w:val="20"/>
                <w:szCs w:val="20"/>
              </w:rPr>
              <w:t xml:space="preserve">NASA and JPL mission overview pages and press kits; instrument manifests</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Mission-class indicator equal to 1 for flagship or Great-Observatory-class missions and 0 for Explorer, Discovery, or probe-class missions</w:t>
            </w:r>
          </w:p>
        </w:tc>
        <w:tc>
          <w:tcPr>
            <w:tcW w:w="0" w:type="auto"/>
          </w:tcPr>
          <w:p>
            <w:pPr>
              <w:spacing w:line="240" w:lineRule="auto" w:before="0" w:after="0"/>
              <w:pStyle w:val="Compact"/>
            </w:pPr>
            <w:r>
              <w:rPr>
                <w:sz w:val="20"/>
                <w:szCs w:val="20"/>
              </w:rPr>
              <w:t xml:space="preserve">NASA mission class designations and decadal survey class tiers</w:t>
            </w:r>
          </w:p>
        </w:tc>
      </w:tr>
    </w:tbl>
    <w:bookmarkEnd w:id="79"/>
    <w:bookmarkStart w:id="8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96.2451</w:t>
            </w:r>
          </w:p>
        </w:tc>
        <w:tc>
          <w:tcPr>
            <w:tcW w:w="0" w:type="auto"/>
          </w:tcPr>
          <w:p>
            <w:pPr>
              <w:spacing w:line="240" w:lineRule="auto" w:before="0" w:after="0"/>
              <w:pStyle w:val="Compact"/>
            </w:pPr>
            <w:r>
              <w:rPr>
                <w:sz w:val="20"/>
                <w:szCs w:val="20"/>
              </w:rPr>
              <w:t xml:space="preserve">70.0505</w:t>
            </w:r>
          </w:p>
        </w:tc>
        <w:tc>
          <w:tcPr>
            <w:tcW w:w="0" w:type="auto"/>
          </w:tcPr>
          <w:p>
            <w:pPr>
              <w:spacing w:line="240" w:lineRule="auto" w:before="0" w:after="0"/>
              <w:pStyle w:val="Compact"/>
            </w:pPr>
            <w:r>
              <w:rPr>
                <w:sz w:val="20"/>
                <w:szCs w:val="20"/>
              </w:rPr>
              <w:t xml:space="preserve">1.3739</w:t>
            </w:r>
          </w:p>
        </w:tc>
        <w:tc>
          <w:tcPr>
            <w:tcW w:w="0" w:type="auto"/>
          </w:tcPr>
          <w:p>
            <w:pPr>
              <w:spacing w:line="240" w:lineRule="auto" w:before="0" w:after="0"/>
              <w:pStyle w:val="Compact"/>
            </w:pPr>
            <w:r>
              <w:rPr>
                <w:sz w:val="20"/>
                <w:szCs w:val="20"/>
              </w:rPr>
              <w:t xml:space="preserve">0.1695</w:t>
            </w:r>
          </w:p>
        </w:tc>
        <w:tc>
          <w:tcPr>
            <w:tcW w:w="0" w:type="auto"/>
          </w:tcPr>
          <w:p>
            <w:pPr>
              <w:spacing w:line="240" w:lineRule="auto" w:before="0" w:after="0"/>
              <w:pStyle w:val="Compact"/>
            </w:pPr>
            <w:r>
              <w:rPr>
                <w:sz w:val="20"/>
                <w:szCs w:val="20"/>
              </w:rPr>
              <w:t xml:space="preserve">[-41.0513, 233.5416]</w:t>
            </w:r>
          </w:p>
        </w:tc>
      </w:tr>
      <w:tr>
        <w:tc>
          <w:tcPr>
            <w:tcW w:w="0" w:type="auto"/>
          </w:tcPr>
          <w:p>
            <w:pPr>
              <w:spacing w:line="240" w:lineRule="auto" w:before="0" w:after="0"/>
              <w:pStyle w:val="Compact"/>
            </w:pPr>
            <w:r>
              <w:rPr>
                <w:sz w:val="20"/>
                <w:szCs w:val="20"/>
              </w:rPr>
              <w:t xml:space="preserve">decadal_rank</w:t>
            </w:r>
          </w:p>
        </w:tc>
        <w:tc>
          <w:tcPr>
            <w:tcW w:w="0" w:type="auto"/>
          </w:tcPr>
          <w:p>
            <w:pPr>
              <w:spacing w:line="240" w:lineRule="auto" w:before="0" w:after="0"/>
              <w:pStyle w:val="Compact"/>
            </w:pPr>
            <w:r>
              <w:rPr>
                <w:sz w:val="20"/>
                <w:szCs w:val="20"/>
              </w:rPr>
              <w:t xml:space="preserve">-7.1976</w:t>
            </w:r>
          </w:p>
        </w:tc>
        <w:tc>
          <w:tcPr>
            <w:tcW w:w="0" w:type="auto"/>
          </w:tcPr>
          <w:p>
            <w:pPr>
              <w:spacing w:line="240" w:lineRule="auto" w:before="0" w:after="0"/>
              <w:pStyle w:val="Compact"/>
            </w:pPr>
            <w:r>
              <w:rPr>
                <w:sz w:val="20"/>
                <w:szCs w:val="20"/>
              </w:rPr>
              <w:t xml:space="preserve">4.2285</w:t>
            </w:r>
          </w:p>
        </w:tc>
        <w:tc>
          <w:tcPr>
            <w:tcW w:w="0" w:type="auto"/>
          </w:tcPr>
          <w:p>
            <w:pPr>
              <w:spacing w:line="240" w:lineRule="auto" w:before="0" w:after="0"/>
              <w:pStyle w:val="Compact"/>
            </w:pPr>
            <w:r>
              <w:rPr>
                <w:sz w:val="20"/>
                <w:szCs w:val="20"/>
              </w:rPr>
              <w:t xml:space="preserve">-1.7022</w:t>
            </w:r>
          </w:p>
        </w:tc>
        <w:tc>
          <w:tcPr>
            <w:tcW w:w="0" w:type="auto"/>
          </w:tcPr>
          <w:p>
            <w:pPr>
              <w:spacing w:line="240" w:lineRule="auto" w:before="0" w:after="0"/>
              <w:pStyle w:val="Compact"/>
            </w:pPr>
            <w:r>
              <w:rPr>
                <w:sz w:val="20"/>
                <w:szCs w:val="20"/>
              </w:rPr>
              <w:t xml:space="preserve">0.0887</w:t>
            </w:r>
          </w:p>
        </w:tc>
        <w:tc>
          <w:tcPr>
            <w:tcW w:w="0" w:type="auto"/>
          </w:tcPr>
          <w:p>
            <w:pPr>
              <w:spacing w:line="240" w:lineRule="auto" w:before="0" w:after="0"/>
              <w:pStyle w:val="Compact"/>
            </w:pPr>
            <w:r>
              <w:rPr>
                <w:sz w:val="20"/>
                <w:szCs w:val="20"/>
              </w:rPr>
              <w:t xml:space="preserve">[-15.4854, 1.0901]</w:t>
            </w:r>
          </w:p>
        </w:tc>
      </w:tr>
      <w:tr>
        <w:tc>
          <w:tcPr>
            <w:tcW w:w="0" w:type="auto"/>
          </w:tcPr>
          <w:p>
            <w:pPr>
              <w:spacing w:line="240" w:lineRule="auto" w:before="0" w:after="0"/>
              <w:pStyle w:val="Compact"/>
            </w:pPr>
            <w:r>
              <w:rPr>
                <w:sz w:val="20"/>
                <w:szCs w:val="20"/>
              </w:rPr>
              <w:t xml:space="preserve">trl_at_start</w:t>
            </w:r>
          </w:p>
        </w:tc>
        <w:tc>
          <w:tcPr>
            <w:tcW w:w="0" w:type="auto"/>
          </w:tcPr>
          <w:p>
            <w:pPr>
              <w:spacing w:line="240" w:lineRule="auto" w:before="0" w:after="0"/>
              <w:pStyle w:val="Compact"/>
            </w:pPr>
            <w:r>
              <w:rPr>
                <w:sz w:val="20"/>
                <w:szCs w:val="20"/>
              </w:rPr>
              <w:t xml:space="preserve">-8.0541</w:t>
            </w:r>
          </w:p>
        </w:tc>
        <w:tc>
          <w:tcPr>
            <w:tcW w:w="0" w:type="auto"/>
          </w:tcPr>
          <w:p>
            <w:pPr>
              <w:spacing w:line="240" w:lineRule="auto" w:before="0" w:after="0"/>
              <w:pStyle w:val="Compact"/>
            </w:pPr>
            <w:r>
              <w:rPr>
                <w:sz w:val="20"/>
                <w:szCs w:val="20"/>
              </w:rPr>
              <w:t xml:space="preserve">9.5432</w:t>
            </w:r>
          </w:p>
        </w:tc>
        <w:tc>
          <w:tcPr>
            <w:tcW w:w="0" w:type="auto"/>
          </w:tcPr>
          <w:p>
            <w:pPr>
              <w:spacing w:line="240" w:lineRule="auto" w:before="0" w:after="0"/>
              <w:pStyle w:val="Compact"/>
            </w:pPr>
            <w:r>
              <w:rPr>
                <w:sz w:val="20"/>
                <w:szCs w:val="20"/>
              </w:rPr>
              <w:t xml:space="preserve">-0.844</w:t>
            </w:r>
          </w:p>
        </w:tc>
        <w:tc>
          <w:tcPr>
            <w:tcW w:w="0" w:type="auto"/>
          </w:tcPr>
          <w:p>
            <w:pPr>
              <w:spacing w:line="240" w:lineRule="auto" w:before="0" w:after="0"/>
              <w:pStyle w:val="Compact"/>
            </w:pPr>
            <w:r>
              <w:rPr>
                <w:sz w:val="20"/>
                <w:szCs w:val="20"/>
              </w:rPr>
              <w:t xml:space="preserve">0.3987</w:t>
            </w:r>
          </w:p>
        </w:tc>
        <w:tc>
          <w:tcPr>
            <w:tcW w:w="0" w:type="auto"/>
          </w:tcPr>
          <w:p>
            <w:pPr>
              <w:spacing w:line="240" w:lineRule="auto" w:before="0" w:after="0"/>
              <w:pStyle w:val="Compact"/>
            </w:pPr>
            <w:r>
              <w:rPr>
                <w:sz w:val="20"/>
                <w:szCs w:val="20"/>
              </w:rPr>
              <w:t xml:space="preserve">[-26.7585, 10.6503]</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15.5334</w:t>
            </w:r>
          </w:p>
        </w:tc>
        <w:tc>
          <w:tcPr>
            <w:tcW w:w="0" w:type="auto"/>
          </w:tcPr>
          <w:p>
            <w:pPr>
              <w:spacing w:line="240" w:lineRule="auto" w:before="0" w:after="0"/>
              <w:pStyle w:val="Compact"/>
            </w:pPr>
            <w:r>
              <w:rPr>
                <w:sz w:val="20"/>
                <w:szCs w:val="20"/>
              </w:rPr>
              <w:t xml:space="preserve">7.7514</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0.0451</w:t>
            </w:r>
          </w:p>
        </w:tc>
        <w:tc>
          <w:tcPr>
            <w:tcW w:w="0" w:type="auto"/>
          </w:tcPr>
          <w:p>
            <w:pPr>
              <w:spacing w:line="240" w:lineRule="auto" w:before="0" w:after="0"/>
              <w:pStyle w:val="Compact"/>
            </w:pPr>
            <w:r>
              <w:rPr>
                <w:sz w:val="20"/>
                <w:szCs w:val="20"/>
              </w:rPr>
              <w:t xml:space="preserve">[0.341, 30.7259]</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-11.8609</w:t>
            </w:r>
          </w:p>
        </w:tc>
        <w:tc>
          <w:tcPr>
            <w:tcW w:w="0" w:type="auto"/>
          </w:tcPr>
          <w:p>
            <w:pPr>
              <w:spacing w:line="240" w:lineRule="auto" w:before="0" w:after="0"/>
              <w:pStyle w:val="Compact"/>
            </w:pPr>
            <w:r>
              <w:rPr>
                <w:sz w:val="20"/>
                <w:szCs w:val="20"/>
              </w:rPr>
              <w:t xml:space="preserve">23.652</w:t>
            </w:r>
          </w:p>
        </w:tc>
        <w:tc>
          <w:tcPr>
            <w:tcW w:w="0" w:type="auto"/>
          </w:tcPr>
          <w:p>
            <w:pPr>
              <w:spacing w:line="240" w:lineRule="auto" w:before="0" w:after="0"/>
              <w:pStyle w:val="Compact"/>
            </w:pPr>
            <w:r>
              <w:rPr>
                <w:sz w:val="20"/>
                <w:szCs w:val="20"/>
              </w:rPr>
              <w:t xml:space="preserve">-0.5015</w:t>
            </w:r>
          </w:p>
        </w:tc>
        <w:tc>
          <w:tcPr>
            <w:tcW w:w="0" w:type="auto"/>
          </w:tcPr>
          <w:p>
            <w:pPr>
              <w:spacing w:line="240" w:lineRule="auto" w:before="0" w:after="0"/>
              <w:pStyle w:val="Compact"/>
            </w:pPr>
            <w:r>
              <w:rPr>
                <w:sz w:val="20"/>
                <w:szCs w:val="20"/>
              </w:rPr>
              <w:t xml:space="preserve">0.616</w:t>
            </w:r>
          </w:p>
        </w:tc>
        <w:tc>
          <w:tcPr>
            <w:tcW w:w="0" w:type="auto"/>
          </w:tcPr>
          <w:p>
            <w:pPr>
              <w:spacing w:line="240" w:lineRule="auto" w:before="0" w:after="0"/>
              <w:pStyle w:val="Compact"/>
            </w:pPr>
            <w:r>
              <w:rPr>
                <w:sz w:val="20"/>
                <w:szCs w:val="20"/>
              </w:rPr>
              <w:t xml:space="preserve">[-58.2181, 34.4962]</w:t>
            </w:r>
          </w:p>
        </w:tc>
      </w:tr>
    </w:tbl>
    <w:p>
      <w:pPr>
        <w:pStyle w:val="BodyText"/>
      </w:pPr>
      <w:r>
        <w:t xml:space="preserve">Fit: N = 22 R2 = 0.6071 R2_adj = 0.5146 F = 4.8405 F_p = 0.0086</w:t>
      </w:r>
    </w:p>
    <w:bookmarkEnd w:id="80"/>
    <w:bookmarkEnd w:id="81"/>
    <w:bookmarkEnd w:id="8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4" Target="media/rId74.png" /><Relationship Type="http://schemas.openxmlformats.org/officeDocument/2006/relationships/hyperlink" Id="rId68" Target="https://doi.org/10.1016/j.actaastro.2019.09.030" TargetMode="External" /><Relationship Type="http://schemas.openxmlformats.org/officeDocument/2006/relationships/hyperlink" Id="rId70" Target="https://doi.org/10.1016/j.actaastro.2024.08.022"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19.09.030" TargetMode="External" /><Relationship Type="http://schemas.openxmlformats.org/officeDocument/2006/relationships/hyperlink" Id="rId70" Target="https://doi.org/10.1016/j.actaastro.2024.08.02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2026-06-25T14:26:02Z</dcterms:created>
  <dcterms:modified xsi:type="dcterms:W3CDTF">2026-06-25T14:26:02Z</dcterms:modified>
</cp:coreProperties>
</file>

<file path=docProps/custom.xml><?xml version="1.0" encoding="utf-8"?>
<Properties xmlns="http://schemas.openxmlformats.org/officeDocument/2006/custom-properties" xmlns:vt="http://schemas.openxmlformats.org/officeDocument/2006/docPropsVTypes"/>
</file>