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DOES DECADAL PRIORITY PREDICT REALIZED ASTROPHYSICS MISSION COST AND SCHEDULE? A</w:t>
      </w:r>
    </w:p>
    <w:p>
      <w:pPr>
        <w:jc w:val="center"/>
      </w:pPr>
    </w:p>
    <w:p>
      <w:pPr>
        <w:jc w:val="center"/>
      </w:pPr>
      <w:r>
        <w:rPr>
          <w:rFonts w:ascii="Times New Roman" w:hAnsi="Times New Roman"/>
          <w:sz w:val="24"/>
        </w:rPr>
        <w:t>by</w:t>
      </w:r>
    </w:p>
    <w:p>
      <w:pPr>
        <w:jc w:val="center"/>
      </w:pPr>
      <w:r>
        <w:rPr>
          <w:rFonts w:ascii="Times New Roman" w:hAnsi="Times New Roman"/>
          <w:b/>
          <w:sz w:val="28"/>
        </w:rPr>
        <w:t>Suki Calder</w:t>
      </w:r>
    </w:p>
    <w:p>
      <w:pPr>
        <w:jc w:val="center"/>
      </w:pPr>
      <w:r>
        <w:rPr>
          <w:rFonts w:ascii="Times New Roman" w:hAnsi="Times New Roman"/>
          <w:sz w:val="24"/>
        </w:rPr>
        <w:t>1B-AST-051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For this evidence, the trail is concrete here: nASA astrophysics flagship missions are among the most expensive and longest-duration undertakings in the United States civil space portfolio, and their development histories are marked by repeated cost growth and schedule slip relative to the baselines fixed at confirmation.</w:t>
      </w:r>
    </w:p>
    <w:p>
      <w:pPr>
        <w:pStyle w:val="BodyText"/>
        <w:spacing w:line="480" w:lineRule="auto"/>
        <w:ind w:firstLine="720"/>
      </w:pPr>
      <w:r>
        <w:t xml:space="preserve">For this two, the missions that anchor the modern record make the stakes concrete.</w:t>
      </w:r>
    </w:p>
    <w:p>
      <w:pPr>
        <w:pStyle w:val="BodyText"/>
        <w:spacing w:line="480" w:lineRule="auto"/>
        <w:ind w:firstLine="720"/>
      </w:pPr>
      <w:r>
        <w:t xml:space="preserve">The distinction matters. The James Webb Space Telescope and the Nancy Grace Roman Space Telescope each grew from their early baselines by amounts measured in billions of dollars, while a long tail of smaller Explorer-class missions delivered close to plan. The dispersion is neither small nor academic. It is the difference between a science program that arrives on time and on budget and one that consumes the discretionary margin of an entire science division for a decade.</w:t>
      </w:r>
    </w:p>
    <w:p>
      <w:pPr>
        <w:pStyle w:val="BodyText"/>
        <w:spacing w:line="480" w:lineRule="auto"/>
        <w:ind w:firstLine="720"/>
      </w:pPr>
      <w:r>
        <w:t xml:space="preserve">For this mechanism, the through which the United States astronomy community proposes to manage this risk is the decadal survey.</w:t>
      </w:r>
    </w:p>
    <w:p>
      <w:pPr>
        <w:pStyle w:val="BodyText"/>
        <w:spacing w:line="480" w:lineRule="auto"/>
        <w:ind w:firstLine="720"/>
      </w:pPr>
      <w:r>
        <w:t xml:space="preserve">The record is explicit. Once each ten-year cycle, the National Academies convene the community to rank the future flagship, probe, and Explorer-class missions it most wants to fly. Each candidate mission receives an ordinal standing in that ranking, and that standing is read downstream as far more than a statement of scientific merit. Program managers, appropriators, and agency leadership treat a high decadal placement as an implicit signal of programmatic readiness: a top-ranked concept is presumed to be more technically mature, better scoped, and therefore a safer bet to deliver close to its cost and schedule baselines. The ordinal becomes, in practice, a heuristic for executability. Rank stands in for readiness. A concept that the community ranks first is funded sooner, defended more vigorously against budgetary pressure, and accorded the institutional protection that high priority confers.</w:t>
      </w:r>
    </w:p>
    <w:p>
      <w:pPr>
        <w:pStyle w:val="BodyText"/>
        <w:spacing w:line="480" w:lineRule="auto"/>
        <w:ind w:firstLine="720"/>
      </w:pPr>
      <w:r>
        <w:t xml:space="preserve">For the program record, for NASA and for the Jet Propulsion Laboratory, the stakes attached to this heuristic are direct and operational.</w:t>
      </w:r>
    </w:p>
    <w:p>
      <w:pPr>
        <w:pStyle w:val="BodyText"/>
        <w:spacing w:line="480" w:lineRule="auto"/>
        <w:ind w:firstLine="720"/>
      </w:pPr>
      <w:r>
        <w:t xml:space="preserve">The claim remains testable. JPL builds and operates flagship-class observatories whose multi-year development cycles tie up launch manifests, review boards, integration and test facilities, and the standing engineering teams that no agency can staff without limit. A mission that overruns its baseline does not overrun in isolation; it displaces the missions queued behind it and erodes the budget wedge available to the rest of the division. If decadal priority genuinely predicted which missions will be delivered close to plan, then the survey would function as a programmatic risk filter, and the institutional habit of reading rank as a delivery-confidence signal would be sound. If priority carries no such predictive content, then weighting consensus ranking as a proxy for delivery confidence is a category error, and the cost realism reviews that agencies conduct independently of the survey are doing the real work of risk discrimination while the survey ordinal absorbs unearned credit.</w:t>
      </w:r>
    </w:p>
    <w:p>
      <w:pPr>
        <w:pStyle w:val="BodyText"/>
        <w:spacing w:line="480" w:lineRule="auto"/>
        <w:ind w:firstLine="720"/>
      </w:pPr>
      <w:r>
        <w:t xml:space="preserve">This study converts that article of institutional faith into a testable empirical claim. The coding choice is visible. The cost-estimating literature already recognizes that large astrophysics observatories are exceptionally hard to price, since so few analogs exist that parametric and analog-based estimates must extrapolate beyond their calibration range, and blind validation of parametric tools against realized NASA mission cost documents how wide the resulting estimate error can be</w:t>
      </w:r>
      <w:r>
        <w:t xml:space="preserve"> </w:t>
      </w:r>
      <w:hyperlink w:anchor="ref-4">
        <w:r>
          <w:rPr>
            <w:rStyle w:val="Hyperlink"/>
          </w:rPr>
          <w:t xml:space="preserve">[4]</w:t>
        </w:r>
      </w:hyperlink>
      <w:r>
        <w:t xml:space="preserve">. The engineering literature on large space telescope architectures reinforces the point from the physical side: aperture, instrument suites, and integration pathways drive cost and schedule precisely since each new observatory extends past the prior experience base, leaving the analog population sparse</w:t>
      </w:r>
      <w:r>
        <w:t xml:space="preserve"> </w:t>
      </w:r>
      <w:hyperlink w:anchor="ref-1">
        <w:r>
          <w:rPr>
            <w:rStyle w:val="Hyperlink"/>
          </w:rPr>
          <w:t xml:space="preserve">[1]</w:t>
        </w:r>
      </w:hyperlink>
      <w:r>
        <w:t xml:space="preserve">. And the space-economy literature frames national investment through priority and allocation frameworks that govern which programs are funded, in an environment where the federal space budget is a constrained and shrinking share of national output</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None of these strands, however, asks the question that matters most to the agency manager staring at a decadal table: does where a mission sits in that table tell us anything reliable about how far its cost and schedule will ultimately drift,</w:t>
      </w:r>
    </w:p>
    <w:bookmarkEnd w:id="61"/>
    <w:bookmarkStart w:id="62" w:name="Xfb88ffc49ee5343136593b06b1ccea157d2ec8a"/>
    <w:p>
      <w:pPr>
        <w:pStyle w:val="Heading2"/>
        <w:spacing w:line="480" w:lineRule="auto"/>
      </w:pPr>
      <w:r>
        <w:t xml:space="preserve">1.2 The Gap Between the Domain Literature and the Method Literature</w:t>
      </w:r>
    </w:p>
    <w:p>
      <w:pPr>
        <w:pStyle w:val="FirstParagraph"/>
        <w:spacing w:line="480" w:lineRule="auto"/>
      </w:pPr>
      <w:r>
        <w:t xml:space="preserve">For this originality, the of this dissertation lies at the seam between two literatures that have developed in parallel without ever joining.</w:t>
      </w:r>
    </w:p>
    <w:p>
      <w:pPr>
        <w:pStyle w:val="BodyText"/>
        <w:spacing w:line="480" w:lineRule="auto"/>
        <w:ind w:firstLine="720"/>
      </w:pPr>
      <w:r>
        <w:t xml:space="preserve">That is the empirical boundary. On one side sits a mature domain literature on space-mission cost and schedule. On the other sits a mature econometric method literature for estimating conditional associations and event durations from observational panels. The contribution of this work is to bring the second to bear on a question the first has posed but never resolved.</w:t>
      </w:r>
    </w:p>
    <w:p>
      <w:pPr>
        <w:pStyle w:val="BodyText"/>
        <w:spacing w:line="480" w:lineRule="auto"/>
        <w:ind w:firstLine="720"/>
      </w:pPr>
      <w:r>
        <w:t xml:space="preserve">For a replicator, the domain literature decomposes into three strands, each of which bounds the gap this study occupies.</w:t>
      </w:r>
    </w:p>
    <w:p>
      <w:pPr>
        <w:pStyle w:val="BodyText"/>
        <w:spacing w:line="480" w:lineRule="auto"/>
        <w:ind w:firstLine="720"/>
      </w:pPr>
      <w:r>
        <w:t xml:space="preserve">The result is narrow. The first treats space-mission cost estimation as an engineering problem of scaling to physical and programmatic attributes. Parametric cost models have been subjected to blind validation against the realized cost of NASA missions, and that validation work documents both the difficulty of pricing systems with few analogs and the attributes that carry predictive content for cost outcomes, instrument count and system maturity foremost among them</w:t>
      </w:r>
      <w:r>
        <w:t xml:space="preserve"> </w:t>
      </w:r>
      <w:hyperlink w:anchor="ref-4">
        <w:r>
          <w:rPr>
            <w:rStyle w:val="Hyperlink"/>
          </w:rPr>
          <w:t xml:space="preserve">[4]</w:t>
        </w:r>
      </w:hyperlink>
      <w:r>
        <w:t xml:space="preserve">. The second strand concerns the physical complexity of large observatories, emphasizing that aperture, detector maturity, the number of instruments that must be integrated and verified, and the systems-engineering burden of a flagship architecture drive both cost and schedule, again since the analog population is sparse and each new system reaches beyond prior experience</w:t>
      </w:r>
      <w:r>
        <w:t xml:space="preserve"> </w:t>
      </w:r>
      <w:hyperlink w:anchor="ref-1">
        <w:r>
          <w:rPr>
            <w:rStyle w:val="Hyperlink"/>
          </w:rPr>
          <w:t xml:space="preserve">[1]</w:t>
        </w:r>
      </w:hyperlink>
      <w:r>
        <w:t xml:space="preserve">. A related body of work shows that the organizational and institutional structure of a program can itself induce cost growth, and that conditions which appear as though they should reduce program cost can do the reverse once incentives and autonomy are accounted for, a caution against assuming that any single favorable attribute, priority included, produces favorable delivery outcomes</w:t>
      </w:r>
      <w:r>
        <w:t xml:space="preserve"> </w:t>
      </w:r>
      <w:hyperlink w:anchor="ref-5">
        <w:r>
          <w:rPr>
            <w:rStyle w:val="Hyperlink"/>
          </w:rPr>
          <w:t xml:space="preserve">[5]</w:t>
        </w:r>
      </w:hyperlink>
      <w:r>
        <w:t xml:space="preserve">. The third strand frames national space investment through the priority and allocation frameworks that decide which programs are funded, situating those decisions within an economics of the broader space sector whose federal share has fallen markedly over decades</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In that environment, priority is best read as a claim on a scarce resource instead of as a guarantee of accelerated or disciplined execution.</w:t>
      </w:r>
    </w:p>
    <w:p>
      <w:pPr>
        <w:pStyle w:val="BodyText"/>
        <w:spacing w:line="480" w:lineRule="auto"/>
        <w:ind w:firstLine="720"/>
      </w:pPr>
      <w:r>
        <w:t xml:space="preserve">What none of these strands does is treat the decadal priority ordinal itself as an explanatory variable for realized cost and schedule outcomes across the mission population.</w:t>
      </w:r>
    </w:p>
    <w:p>
      <w:pPr>
        <w:pStyle w:val="BodyText"/>
        <w:spacing w:line="480" w:lineRule="auto"/>
        <w:ind w:firstLine="720"/>
      </w:pPr>
      <w:r>
        <w:t xml:space="preserve">The distinction matters. The cost literature predicts from physical and programmatic attributes. The complexity literature predicts from engineering maturity and integration burden. The allocation literature describes how priorities are set and what they compete for. Each of these is a well-posed and well-answered question, but each treats the priority ordinal as either an input to be explained or a context to be described, never as a regressor whose downstream predictive validity can be measured. The consensus ranking process produces a number every decade, that number is consumed as though it carried information about delivery, and the predictive content of that number has never been independently quantified. That untested join, between the consensus ranking process and the realized performance record, is the gap.</w:t>
      </w:r>
    </w:p>
    <w:p>
      <w:pPr>
        <w:pStyle w:val="BodyText"/>
        <w:spacing w:line="480" w:lineRule="auto"/>
        <w:ind w:firstLine="720"/>
      </w:pPr>
      <w:r>
        <w:t xml:space="preserve">For this chapter, the treats this as an empirical claim: the method literature supplies exactly the tools required to close it, but it has not been pointed at this question.</w:t>
      </w:r>
    </w:p>
    <w:p>
      <w:pPr>
        <w:pStyle w:val="BodyText"/>
        <w:spacing w:line="480" w:lineRule="auto"/>
        <w:ind w:firstLine="720"/>
      </w:pPr>
      <w:r>
        <w:t xml:space="preserve">The record is explicit. Cross-sectional ordinary least squares with heteroskedasticity-robust inference is the standard instrument for estimating a conditional association between a focal regressor and a continuous outcome while holding confounders fixed. Cox proportional-hazards regression is the standard instrument for estimating how a covariate shifts the rate at which a timed event occurs, with the cardinal advantage that it accommodates right-censored observations, missions still in development, that a naive regression on completed durations alone would silently discard. These are textbook estimators, mature and well understood. The gap is not methodological novelty; it is the absence of any prior application of these estimators to the specific join of decadal ordinal and realized outcome. The domain literature has the question and lacks the test. The method literature has the test and has never been handed the question. The two have never met. The dissertation supplies the join.</w:t>
      </w:r>
    </w:p>
    <w:p>
      <w:pPr>
        <w:pStyle w:val="BodyText"/>
        <w:spacing w:line="480" w:lineRule="auto"/>
        <w:ind w:firstLine="720"/>
      </w:pPr>
      <w:r>
        <w:t xml:space="preserve">This framing also disciplines the contribution against two failure modes that a less careful design would invite.</w:t>
      </w:r>
    </w:p>
    <w:p>
      <w:pPr>
        <w:pStyle w:val="BodyText"/>
        <w:spacing w:line="480" w:lineRule="auto"/>
        <w:ind w:firstLine="720"/>
      </w:pPr>
      <w:r>
        <w:t xml:space="preserve">The claim remains testable. The first is to mistake description for prediction, reporting how priorities were set or how cost grew without ever asking whether the one forecasts the other. The second is to mistake a small-sample null for an absence of finding. Because the astrophysics flagship-and-probe population numbers in the low tens of missions, statistical power is genuinely constrained, and a design that treated a non-rejection of the null as a failure would discard precisely the result that is most policy-relevant. The study is built instead so that a credible non-rejection is a publishable answer, because a demonstration that decadal rank carries no conditional signal about delivery is exactly the finding an agency needs to stop reading rank as a risk filter.</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For this contribution, the of this dissertation is a single falsifiable claim, stated precisely and tested against the realized record.</w:t>
      </w:r>
    </w:p>
    <w:p>
      <w:pPr>
        <w:pStyle w:val="BodyText"/>
        <w:spacing w:line="480" w:lineRule="auto"/>
        <w:ind w:firstLine="720"/>
      </w:pPr>
      <w:r>
        <w:t xml:space="preserve">The coding choice is visible. It concerns one estimated coefficient and the determination of whether that coefficient is statistically distinguishable from zero, evaluated in two complementary outcome dimensions. The operational question is narrower: the unit of analysis is the recommended NASA astrophysics mission. The focal regressor is the mission’s ordinal decadal priority within its survey cycle and class tier. The two realized outcomes are cost growth, defined as the proportional amount by which a mission’s realized life-cycle cost exceeded its baseline at confirmation, and schedule, defined as the duration from confirmation to launch, modeled as a timed event so that missions still in development enter the empirical reading as right-censored observations instead of being excluded. In every specification the focal regressor is the decadal ordinal, and in every specification it is conditioned on the same vector of controls: technology readiness level at confirmation, instrument count as an integration-complexity proxy, and mission class.</w:t>
      </w:r>
    </w:p>
    <w:p>
      <w:pPr>
        <w:pStyle w:val="BodyText"/>
        <w:spacing w:line="480" w:lineRule="auto"/>
        <w:ind w:firstLine="720"/>
      </w:pPr>
      <w:r>
        <w:t xml:space="preserve">The claim is framed as competing hypotheses that the data are capable of separating.</w:t>
      </w:r>
    </w:p>
    <w:p>
      <w:pPr>
        <w:pStyle w:val="BodyText"/>
        <w:spacing w:line="480" w:lineRule="auto"/>
        <w:ind w:firstLine="720"/>
      </w:pPr>
      <w:r>
        <w:t xml:space="preserve">For the empirical reader,</w:t>
      </w:r>
      <w:r>
        <w:t xml:space="preserve"> </w:t>
      </w:r>
      <w:r>
        <w:rPr>
          <w:b/>
          <w:bCs/>
        </w:rPr>
        <w:t xml:space="preserve">H0 (null).</w:t>
      </w:r>
      <w:r>
        <w:t xml:space="preserve"> </w:t>
      </w:r>
      <w:r>
        <w:t xml:space="preserve">Conditional on technology readiness, instrument complexity, and mission class, a mission’s ordinal decadal priority has no association with realized cost growth or with the hazard of reaching launch.</w:t>
      </w:r>
    </w:p>
    <w:p>
      <w:pPr>
        <w:pStyle w:val="BodyText"/>
        <w:spacing w:line="480" w:lineRule="auto"/>
        <w:ind w:firstLine="720"/>
      </w:pPr>
      <w:r>
        <w:t xml:space="preserve">The coefficient on decadal rank is statistically indistinguishable from zero in both the cost specification and the schedule specification.</w:t>
      </w:r>
      <w:r>
        <w:t xml:space="preserve"> </w:t>
      </w:r>
      <w:r>
        <w:rPr>
          <w:b/>
          <w:bCs/>
        </w:rPr>
        <w:t xml:space="preserve">H1 (alternative).</w:t>
      </w:r>
      <w:r>
        <w:t xml:space="preserve"> </w:t>
      </w:r>
      <w:r>
        <w:t xml:space="preserve">Conditional on the same controls, decadal priority is associated with a measurable difference in realized cost growth, in realized schedule, or in both. The coefficient on decadal rank is non-zero, and its sign and magnitude are estimable. The evidence trail is concrete here: the contribution is falsifiable in the strict sense: a clearly estimated coefficient whose confidence interval excludes zero would reject H0 and establish that priority carries delivery-relevant signal, while a coefficient whose interval contains zero across robustness checks would fail to reject H0 and establish, within the limits of the available population, that it does not. The design privileges the confidence interval and the sign of the coefficient over a binary significance verdict, because with a population in the low tens of missions a mechanical five-percent threshold would be a poor instrument for a question whose practical stakes turn on magnitude. The study is explicitly built to be capable of failing to reject H0, and a credible non-rejection is treated as a finding, not as a discard.</w:t>
      </w:r>
    </w:p>
    <w:p>
      <w:pPr>
        <w:pStyle w:val="BodyText"/>
        <w:spacing w:line="480" w:lineRule="auto"/>
        <w:ind w:firstLine="720"/>
      </w:pPr>
      <w:r>
        <w:t xml:space="preserve">For this companion, the analyses that constitute the empirical core of this dissertation, summarized in the chapters that follow, already indicate where the answer lies, and they motivate the precise wording of the contribution.</w:t>
      </w:r>
    </w:p>
    <w:p>
      <w:pPr>
        <w:pStyle w:val="BodyText"/>
        <w:spacing w:line="480" w:lineRule="auto"/>
        <w:ind w:firstLine="720"/>
      </w:pPr>
      <w:r>
        <w:t xml:space="preserve">That is the empirical boundary. In the cost dimension, a cross-sectional ordinary least squares specification on a panel of recommended astrophysics missions yields a coefficient on decadal rank that is weak and does not reach conventional significance, while instrument complexity carries a clear and resolved positive association with cost growth, exactly the attribute the cost-estimation and large-telescope literatures identify as the hard-to-price core of observatory development</w:t>
      </w:r>
      <w:r>
        <w:t xml:space="preserve"> </w:t>
      </w:r>
      <w:hyperlink w:anchor="ref-4">
        <w:r>
          <w:rPr>
            <w:rStyle w:val="Hyperlink"/>
          </w:rPr>
          <w:t xml:space="preserve">[4]</w:t>
        </w:r>
      </w:hyperlink>
      <w:r>
        <w:t xml:space="preserve">,</w:t>
      </w:r>
      <w:r>
        <w:t xml:space="preserve"> </w:t>
      </w:r>
      <w:hyperlink w:anchor="ref-1">
        <w:r>
          <w:rPr>
            <w:rStyle w:val="Hyperlink"/>
          </w:rPr>
          <w:t xml:space="preserve">[1]</w:t>
        </w:r>
      </w:hyperlink>
      <w:r>
        <w:t xml:space="preserve">. In the schedule dimension, a Cox proportional-hazards model on a panel of astrophysics and Earth-science observatory missions returns a coefficient on decadal priority that is essentially zero, while the technology readiness of the principal instrument at confirmation carries a strong and statistically resolved association with the rate of reaching launch. Across both dimensions the pattern holds. Priority does not predict delivery, and technical maturity and integration complexity do. The single falsifiable contribution of the dissertation is to establish that pattern rigorously, to bound it with explicit attention to the threats that a small and heterogeneous population imposes, and to state the policy consequence plainly: decadal standing should not be read as a delivery-confidence signal, and independent cost and schedule realism review should weight instrument count, integration complexity, and technology readiness ahead of consensus rank when forecasting where cost growth and schedule slip will concentrate.</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proceeds as follows.</w:t>
      </w:r>
    </w:p>
    <w:p>
      <w:pPr>
        <w:pStyle w:val="BodyText"/>
        <w:spacing w:line="480" w:lineRule="auto"/>
        <w:ind w:firstLine="720"/>
      </w:pPr>
      <w:r>
        <w:t xml:space="preserve">Chapter 2 develops the theoretical framework and reviews the prior literature in the three domain strands identified above, establishing in detail the parametric and analog-based cost-estimation tradition</w:t>
      </w:r>
      <w:r>
        <w:t xml:space="preserve"> </w:t>
      </w:r>
      <w:hyperlink w:anchor="ref-4">
        <w:r>
          <w:rPr>
            <w:rStyle w:val="Hyperlink"/>
          </w:rPr>
          <w:t xml:space="preserve">[4]</w:t>
        </w:r>
      </w:hyperlink>
      <w:r>
        <w:t xml:space="preserve">, the engineering account of large-observatory complexity and integration burden</w:t>
      </w:r>
      <w:r>
        <w:t xml:space="preserve"> </w:t>
      </w:r>
      <w:hyperlink w:anchor="ref-1">
        <w:r>
          <w:rPr>
            <w:rStyle w:val="Hyperlink"/>
          </w:rPr>
          <w:t xml:space="preserve">[1]</w:t>
        </w:r>
      </w:hyperlink>
      <w:r>
        <w:t xml:space="preserve">, the structural account of how organizational form induces cost growth</w:t>
      </w:r>
      <w:r>
        <w:t xml:space="preserve"> </w:t>
      </w:r>
      <w:hyperlink w:anchor="ref-5">
        <w:r>
          <w:rPr>
            <w:rStyle w:val="Hyperlink"/>
          </w:rPr>
          <w:t xml:space="preserve">[5]</w:t>
        </w:r>
      </w:hyperlink>
      <w:r>
        <w:t xml:space="preserve">, and the space-economy framing of priority as a claim on a constrained federal resource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The chapter closes by formalizing the seam between the domain literature and the method literature that this dissertation occupies, and by stating the competing expectations that follow from each reading of what a decadal ordinal encodes. Chapter 3 specifies the data and its provenance. It defines the recommended-mission unit of analysis, documents the construction of the panels from the Government Accountability Office’s recurring assessments of major NASA projects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w:t>
      </w:r>
      <w:r>
        <w:t xml:space="preserve">and from the published National Academies astrophysics decadal surveys, and details the reconciliation of the join key, the mission name matched across the GAO project list and the decadal recommendation list. The chapter is explicit about which observations rest on a single authoritative baseline document and which rest on reconciled public figures, and it records the source provenance of every row so that the empirical claims trace to named, public, citable sources with no proprietary or internal data required.</w:t>
      </w:r>
    </w:p>
    <w:p>
      <w:pPr>
        <w:pStyle w:val="BodyText"/>
        <w:spacing w:line="480" w:lineRule="auto"/>
        <w:ind w:firstLine="720"/>
      </w:pPr>
      <w:r>
        <w:t xml:space="preserve">For a replicator, chapter 4 presents the cost analysis: the cross-sectional ordinary least squares specification regressing realized cost growth on the decadal ordinal and the control vector, with heteroskedasticity-robust inference appropriate to a small and heterogeneous population in which the variance of billion-dollar flagships plainly differs from that of Explorer-class missions. It reports the focal coefficient with its standard error, confidence interval, and the joint model fit, and interprets the result against H0 and H1. Chapter 5 presents the schedule analysis: the Cox proportional-hazards specification on the confirmation-to-launch duration, chosen since it accommodates right-censoring directly, imposes no parametric form on the baseline hazard, and expresses results as hazard ratios that translate naturally into statements about whether a mission attribute speeds or slows the rate of reaching launch. It reports the hazard ratio on decadal priority and on each control, and interprets the result against the same hypotheses, establishing that the schedule dimension corroborates the cost dimension.</w:t>
      </w:r>
    </w:p>
    <w:p>
      <w:pPr>
        <w:pStyle w:val="BodyText"/>
        <w:spacing w:line="480" w:lineRule="auto"/>
        <w:ind w:firstLine="720"/>
      </w:pPr>
      <w:r>
        <w:t xml:space="preserve">For this chapter, the treats this as an empirical claim: chapter 6 synthesizes the two analyses, confronts the threats to validity that bound any claim drawn from a population this small, the limits on statistical power, the selection concern that highly ranked missions may have been scoped more ambitiously, the sensitivity of cost growth to the choice of baseline anchor, and the survivorship concern that cancelled concepts never enter the realized panel, and states the policy implications for NASA and JPL. The chapter argues that none of these threats is fatal to the falsification design, that each bounds instead of overturns the central finding, and that the convergent evidence across cost and schedule supports a single, defensible conclusion. Chapter 7 concludes, restates the contribution, and identifies the natural extension: a full-lifecycle model that begins at the survey ranking instead of at the confirmation gate, to test whether priority exerts effects upstream of confirmation even though it leaves no measurable signature downstream of it</w:t>
      </w:r>
      <w:r>
        <w:t xml:space="preserve"> </w:t>
      </w:r>
      <w:hyperlink w:anchor="ref-7">
        <w:r>
          <w:rPr>
            <w:rStyle w:val="Hyperlink"/>
          </w:rPr>
          <w:t xml:space="preserve">[7]</w:t>
        </w:r>
      </w:hyperlink>
      <w:r>
        <w:t xml:space="preserve">.</w:t>
      </w:r>
    </w:p>
    <w:bookmarkEnd w:id="64"/>
    <w:bookmarkEnd w:id="65"/>
    <w:bookmarkStart w:id="72" w:name="chapter-2.-literature-review"/>
    <w:p>
      <w:pPr>
        <w:pStyle w:val="Heading1"/>
        <w:spacing w:line="480" w:lineRule="auto"/>
      </w:pPr>
      <w:r>
        <w:t xml:space="preserve">Chapter 2. Literature Review</w:t>
      </w:r>
    </w:p>
    <w:bookmarkStart w:id="66" w:name="introduction-and-organizing-logic"/>
    <w:p>
      <w:pPr>
        <w:pStyle w:val="Heading2"/>
        <w:spacing w:line="480" w:lineRule="auto"/>
      </w:pPr>
      <w:r>
        <w:t xml:space="preserve">2.1 Introduction and Organizing Logic</w:t>
      </w:r>
    </w:p>
    <w:p>
      <w:pPr>
        <w:pStyle w:val="FirstParagraph"/>
        <w:spacing w:line="480" w:lineRule="auto"/>
      </w:pPr>
      <w:r>
        <w:t xml:space="preserve">For this evidence, the trail is concrete here: the dissertation occupies the seam between two literatures that have, to date, run in parallel without intersecting.</w:t>
      </w:r>
    </w:p>
    <w:p>
      <w:pPr>
        <w:pStyle w:val="BodyText"/>
        <w:spacing w:line="480" w:lineRule="auto"/>
        <w:ind w:firstLine="720"/>
      </w:pPr>
      <w:r>
        <w:t xml:space="preserve">For this first, the is the domain technical literature on the cost and schedule of space-science missions: the engineering and program-management scholarship that models why large astrophysics observatories grow expensive, why they slip, and which physical and organizational attributes drive those outcomes.</w:t>
      </w:r>
    </w:p>
    <w:p>
      <w:pPr>
        <w:pStyle w:val="BodyText"/>
        <w:spacing w:line="480" w:lineRule="auto"/>
        <w:ind w:firstLine="720"/>
      </w:pPr>
      <w:r>
        <w:t xml:space="preserve">The result is narrow. The second is the cliometric and econometric methodology literature: the body of quantitative practice concerned with estimating treatment-like coefficients from small, observational, historically generated populations, with disciplined attention to inference under sparse data, confounding, and selection. The central empirical object of this dissertation, the coefficient on a mission’s ordinal decadal priority in a model of realized cost growth and schedule slip, exists precisely because these two literatures have not been joined. The technical literature predicts mission outcomes from physical and programmatic attributes but does not treat the decadal priority ordinal as a candidate predictor. The policy and economics literature describes how priorities are set and what they claim on the federal purse but does not test whether the priority order, once established, carries predictive content for delivery.</w:t>
      </w:r>
    </w:p>
    <w:p>
      <w:pPr>
        <w:pStyle w:val="BodyText"/>
        <w:spacing w:line="480" w:lineRule="auto"/>
        <w:ind w:firstLine="720"/>
      </w:pPr>
      <w:r>
        <w:t xml:space="preserve">For this purpose, the of this chapter is to review each literature on its own terms, to demonstrate that each is mature and internally coherent, and then to show, with care, exactly where they fail to meet.</w:t>
      </w:r>
    </w:p>
    <w:p>
      <w:pPr>
        <w:pStyle w:val="BodyText"/>
        <w:spacing w:line="480" w:lineRule="auto"/>
        <w:ind w:firstLine="720"/>
      </w:pPr>
      <w:r>
        <w:t xml:space="preserve">For this review, the is organized in five substantive sections. The distinction matters. Section 2.2 reviews the parametric and analog-based cost-estimation literature for space missions, the strand that prices systems from mass, aperture, instrument count, and maturity. Section 2.3 reviews the program-execution and mission-architecture literature, which documents how qualification, integration, and organizational structure drive realized cost and schedule on individual programs. Section 2.4 reviews the space-economy and priority-allocation literature, which frames national investment as a contest among programs for a constrained federal share. Section 2.5 turns to the cliometric and econometric methodology literature: the practice of estimating defensible coefficients from small historical panels, the inferential machinery suited to such panels, and the analogous quantitative work found within the space-domain corpus itself. Section 2.6 synthesizes the four preceding reviews, locates the unjoined gap with precision, and states how the two companion studies of this dissertation (the cross-sectional cost-growth regression and the proportional-hazards schedule analysis) are positioned to close it.</w:t>
      </w:r>
    </w:p>
    <w:p>
      <w:pPr>
        <w:pStyle w:val="BodyText"/>
        <w:spacing w:line="480" w:lineRule="auto"/>
        <w:ind w:firstLine="720"/>
      </w:pPr>
      <w:r>
        <w:t xml:space="preserve">For the program record, a note on register and citation is in order. The chapter cites only sources catalogued in the dissertation reference pool, and it cites them by number. Where the technical space literature offers a methodological lesson that bears on the econometric design, that lesson is drawn out explicitly, because the contribution of this dissertation is fundamentally an act of translation: importing the inferential discipline of cliometrics into a domain that has measured its outcomes carefully but has not, until now, subjected its central ranking instrument to a falsifiable test.</w:t>
      </w:r>
    </w:p>
    <w:bookmarkEnd w:id="66"/>
    <w:bookmarkStart w:id="67" w:name="Xf5a3702922b54fae2a81a8dc0635048d7a4c0d4"/>
    <w:p>
      <w:pPr>
        <w:pStyle w:val="Heading2"/>
        <w:spacing w:line="480" w:lineRule="auto"/>
      </w:pPr>
      <w:r>
        <w:t xml:space="preserve">2.2 The Cost-Estimation Literature for Space Missions</w:t>
      </w:r>
    </w:p>
    <w:p>
      <w:pPr>
        <w:pStyle w:val="FirstParagraph"/>
        <w:spacing w:line="480" w:lineRule="auto"/>
      </w:pPr>
      <w:r>
        <w:t xml:space="preserve">For this archival, the record matters here: the first body of domain work treats the cost of a space mission as a quantity to be predicted from the physical and programmatic attributes of the system.</w:t>
      </w:r>
    </w:p>
    <w:p>
      <w:pPr>
        <w:pStyle w:val="BodyText"/>
        <w:spacing w:line="480" w:lineRule="auto"/>
        <w:ind w:firstLine="720"/>
      </w:pPr>
      <w:r>
        <w:t xml:space="preserve">This is the parametric tradition, and its defining ambition is to build a mapping from observable design characteristics, mass, aperture, power, instrument count, and technology maturity, to a forecast life-cycle cost that can be validated against the realized record. The record is explicit. The most directly relevant work in the reference pool is the blind validation study of the SEER-H parametric cost-estimation tool against NASA space missions</w:t>
      </w:r>
      <w:r>
        <w:t xml:space="preserve"> </w:t>
      </w:r>
      <w:hyperlink w:anchor="ref-4">
        <w:r>
          <w:rPr>
            <w:rStyle w:val="Hyperlink"/>
          </w:rPr>
          <w:t xml:space="preserve">[4]</w:t>
        </w:r>
      </w:hyperlink>
      <w:r>
        <w:t xml:space="preserve">. That study is methodologically important to this dissertation for two reasons. First, it establishes that parametric cost models are taken seriously enough in the community to be subjected to blind validation, that is, to be tested against missions whose realized costs were withheld during estimation. Second, and more consequentially for the present argument, the validation exercise documents how difficult it is to price systems for which few analogs exist. The fidelity of any parametric estimate degrades when the population of comparable prior systems is sparse, since the fitted specification has little historical signal from which to learn the cost behavior of genuinely novel configurations</w:t>
      </w:r>
      <w:r>
        <w:t xml:space="preserve"> </w:t>
      </w:r>
      <w:hyperlink w:anchor="ref-4">
        <w:r>
          <w:rPr>
            <w:rStyle w:val="Hyperlink"/>
          </w:rPr>
          <w:t xml:space="preserve">[4]</w:t>
        </w:r>
      </w:hyperlink>
      <w:r>
        <w:t xml:space="preserve">. This is not an incidental finding. It is structural. It governs the entire cost-estimation enterprise for flagship astrophysics observatories, which are by construction one-of-a-kind systems extending beyond the envelope of prior experience.</w:t>
      </w:r>
    </w:p>
    <w:p>
      <w:pPr>
        <w:pStyle w:val="BodyText"/>
        <w:spacing w:line="480" w:lineRule="auto"/>
        <w:ind w:firstLine="720"/>
      </w:pPr>
      <w:r>
        <w:t xml:space="preserve">For this sparse-analog, the problem recurs across the technical literature whenever the object being priced is a large, novel observatory. The claim remains testable. The work on robotic on-orbit assembly of large space telescopes is explicit that aperture, instrument suites, and integration pathways drive both cost and schedule, and that the analog population for such systems is thin enough to limit the fidelity of any estimate built from scaling relations alone</w:t>
      </w:r>
      <w:r>
        <w:t xml:space="preserve"> </w:t>
      </w:r>
      <w:hyperlink w:anchor="ref-1">
        <w:r>
          <w:rPr>
            <w:rStyle w:val="Hyperlink"/>
          </w:rPr>
          <w:t xml:space="preserve">[1]</w:t>
        </w:r>
      </w:hyperlink>
      <w:r>
        <w:t xml:space="preserve">. The motivation for studying on-orbit assembly architectures is itself partly economic: the cost and schedule penalties of monolithic, ground-integrated large apertures are severe enough to justify investigating alternative assembly concepts</w:t>
      </w:r>
      <w:r>
        <w:t xml:space="preserve"> </w:t>
      </w:r>
      <w:hyperlink w:anchor="ref-1">
        <w:r>
          <w:rPr>
            <w:rStyle w:val="Hyperlink"/>
          </w:rPr>
          <w:t xml:space="preserve">[1]</w:t>
        </w:r>
      </w:hyperlink>
      <w:r>
        <w:t xml:space="preserve">. Embedded in that motivation is a claim this dissertation takes as foundational, namely that instrument complexity and integration burden are the hard-to-price core of observatory development. The cost literature, in other words, already identifies instrument count and integration complexity as the operative drivers of cost. What it does not do is ask whether the consensus priority ranking, which is set before any of this complexity is fully resolved, carries independent predictive content beyond these physical attributes.</w:t>
      </w:r>
    </w:p>
    <w:p>
      <w:pPr>
        <w:pStyle w:val="BodyText"/>
        <w:spacing w:line="480" w:lineRule="auto"/>
        <w:ind w:firstLine="720"/>
      </w:pPr>
      <w:r>
        <w:t xml:space="preserve">For a replicator, the parametric tradition extends beyond pure space observatories into adjacent high-technology domains, and those extensions are instructive about the method’s reach and its limits. The coding choice is visible. Research on parametric cost-prediction models for future civil hypersonic aircraft constructs a research, development, and production cost model from physical and programmatic descriptors, demonstrating that the parametric approach is portable across vehicle classes whenever a population of analog systems can be assembled</w:t>
      </w:r>
      <w:r>
        <w:t xml:space="preserve"> </w:t>
      </w:r>
      <w:hyperlink w:anchor="ref-24">
        <w:r>
          <w:rPr>
            <w:rStyle w:val="Hyperlink"/>
          </w:rPr>
          <w:t xml:space="preserve">[24]</w:t>
        </w:r>
      </w:hyperlink>
      <w:r>
        <w:t xml:space="preserve">. The portability is real, but so is the dependence on analog density: the hypersonic case, like the large-telescope case, is one where the estimator must extrapolate beyond a thin prior population. The same tension surfaces in mission-concept studies that report cost as a design driver. The OCEANUS Uranus orbiter concept is explicitly framed around achieving high science return with a deliberately low-cost instrument suite, treating cost as a constraint to be engineered against instead of an outcome to be forecast after the fact</w:t>
      </w:r>
      <w:r>
        <w:t xml:space="preserve"> </w:t>
      </w:r>
      <w:hyperlink w:anchor="ref-18">
        <w:r>
          <w:rPr>
            <w:rStyle w:val="Hyperlink"/>
          </w:rPr>
          <w:t xml:space="preserve">[18]</w:t>
        </w:r>
      </w:hyperlink>
      <w:r>
        <w:t xml:space="preserve">. The QUEST New Frontiers Uranus orbiter concept similarly conducts a mission-concept study in which instrument complement and cost envelope are co-designed</w:t>
      </w:r>
      <w:r>
        <w:t xml:space="preserve"> </w:t>
      </w:r>
      <w:hyperlink w:anchor="ref-22">
        <w:r>
          <w:rPr>
            <w:rStyle w:val="Hyperlink"/>
          </w:rPr>
          <w:t xml:space="preserve">[22]</w:t>
        </w:r>
      </w:hyperlink>
      <w:r>
        <w:t xml:space="preserve">. The Habitable-zone Exoplanet Observatory baseline telescope design reports predicted performance for a four-meter aperture, a class of system whose cost behavior the parametric literature would flag as poorly constrained by analogs precisely since so few systems of that aperture and ambition have been built</w:t>
      </w:r>
      <w:r>
        <w:t xml:space="preserve"> </w:t>
      </w:r>
      <w:hyperlink w:anchor="ref-17">
        <w:r>
          <w:rPr>
            <w:rStyle w:val="Hyperlink"/>
          </w:rPr>
          <w:t xml:space="preserve">[17]</w:t>
        </w:r>
      </w:hyperlink>
      <w:r>
        <w:t xml:space="preserve">. Across these concept studies the recurring pattern is that cost is treated as a quantity determined by physical configuration, set at the design table, and only loosely anchored to a population of comparable realized systems.</w:t>
      </w:r>
    </w:p>
    <w:p>
      <w:pPr>
        <w:pStyle w:val="BodyText"/>
        <w:spacing w:line="480" w:lineRule="auto"/>
        <w:ind w:firstLine="720"/>
      </w:pPr>
      <w:r>
        <w:t xml:space="preserve">For this cumulative, the lesson of the cost-estimation literature, read for the purposes of this dissertation, is threefold. That is the empirical boundary. First, cost is modeled from physical and programmatic attributes, and instrument count and integration complexity are repeatedly identified as the dominant drivers for observatory-class missions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17">
        <w:r>
          <w:rPr>
            <w:rStyle w:val="Hyperlink"/>
          </w:rPr>
          <w:t xml:space="preserve">[17]</w:t>
        </w:r>
      </w:hyperlink>
      <w:r>
        <w:t xml:space="preserve">,</w:t>
      </w:r>
      <w:r>
        <w:t xml:space="preserve"> </w:t>
      </w:r>
      <w:hyperlink w:anchor="ref-24">
        <w:r>
          <w:rPr>
            <w:rStyle w:val="Hyperlink"/>
          </w:rPr>
          <w:t xml:space="preserve">[24]</w:t>
        </w:r>
      </w:hyperlink>
      <w:r>
        <w:t xml:space="preserve">. Second, the fidelity of any such model is bounded by the sparseness of the analog population, which is exactly the condition that obtains for flagship astrophysics missions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Third, and critically, the decadal priority ordinal does not appear anywhere in this literature as a candidate explanatory variable. The cost models predict from what a mission is, not from where the community ranked it. Rank is simply absent. This is the first half of the unjoined seam.</w:t>
      </w:r>
    </w:p>
    <w:bookmarkEnd w:id="67"/>
    <w:bookmarkStart w:id="68" w:name="X96966ae09e40b16ae31c5d7fb09db0eca6704f1"/>
    <w:p>
      <w:pPr>
        <w:pStyle w:val="Heading2"/>
        <w:spacing w:line="480" w:lineRule="auto"/>
      </w:pPr>
      <w:r>
        <w:t xml:space="preserve">2.3 The Mission-Execution and Architecture Literature</w:t>
      </w:r>
    </w:p>
    <w:p>
      <w:pPr>
        <w:pStyle w:val="FirstParagraph"/>
        <w:spacing w:line="480" w:lineRule="auto"/>
      </w:pPr>
      <w:r>
        <w:t xml:space="preserve">For this second, the body of domain work shifts from forecasting cost before the fact to explaining cost and schedule growth as they accumulate during execution. The result is narrow. Here the explanatory weight moves from static design attributes toward the dynamics of qualification, integration, and organizational structure. The most pointed contribution in the reference pool is the fitted specification for understanding and managing cost growth on joint programs</w:t>
      </w:r>
      <w:r>
        <w:t xml:space="preserve"> </w:t>
      </w:r>
      <w:hyperlink w:anchor="ref-5">
        <w:r>
          <w:rPr>
            <w:rStyle w:val="Hyperlink"/>
          </w:rPr>
          <w:t xml:space="preserve">[5]</w:t>
        </w:r>
      </w:hyperlink>
      <w:r>
        <w:t xml:space="preserve">. That study advances a thesis with direct bearing on the present design: organizational and institutional structure can itself induce cost growth, and conditions that appear as though they ought to reduce program cost can produce the opposite outcome once incentives and autonomy are properly accounted for</w:t>
      </w:r>
      <w:r>
        <w:t xml:space="preserve"> </w:t>
      </w:r>
      <w:hyperlink w:anchor="ref-5">
        <w:r>
          <w:rPr>
            <w:rStyle w:val="Hyperlink"/>
          </w:rPr>
          <w:t xml:space="preserve">[5]</w:t>
        </w:r>
      </w:hyperlink>
      <w:r>
        <w:t xml:space="preserve">. The general caution that follows is that no single favorable attribute of a program, considered in isolation, reliably produces a favorable delivery outcome. A program can possess an attribute that ought to help, high priority being a candidate, and still grow in cost because the structural and incentive environment overwhelms that attribute. This caution is the conceptual hinge on which both companion studies of this dissertation turn, because the institutional belief under test is precisely that a single favorable attribute, decadal standing, should translate into better delivery.</w:t>
      </w:r>
    </w:p>
    <w:p>
      <w:pPr>
        <w:pStyle w:val="BodyText"/>
        <w:spacing w:line="480" w:lineRule="auto"/>
        <w:ind w:firstLine="720"/>
      </w:pPr>
      <w:r>
        <w:t xml:space="preserve">For this data, the construction is deliberately visible: the execution literature is also where the qualification and integration lifecycle is documented as a direct contributor to schedule and cost. The distinction matters. Mission concepts that flew, and the architecture studies that preceded them, repeatedly emphasize that the maturity of detectors and optics, the number of instruments that must be integrated and verified, and the systems-engineering burden of a flagship-class architecture are the binding constraints on realized development time</w:t>
      </w:r>
      <w:r>
        <w:t xml:space="preserve"> </w:t>
      </w:r>
      <w:hyperlink w:anchor="ref-1">
        <w:r>
          <w:rPr>
            <w:rStyle w:val="Hyperlink"/>
          </w:rPr>
          <w:t xml:space="preserve">[1]</w:t>
        </w:r>
      </w:hyperlink>
      <w:r>
        <w:t xml:space="preserve">,</w:t>
      </w:r>
      <w:r>
        <w:t xml:space="preserve"> </w:t>
      </w:r>
      <w:hyperlink w:anchor="ref-7">
        <w:r>
          <w:rPr>
            <w:rStyle w:val="Hyperlink"/>
          </w:rPr>
          <w:t xml:space="preserve">[7]</w:t>
        </w:r>
      </w:hyperlink>
      <w:r>
        <w:t xml:space="preserve">. The Interstellar Probe concept study is illustrative of the ambition-versus-maturity tension at its extreme: a mission designed to reach genuinely unexplored regions carries a technology and integration burden whose schedule implications are inseparable from its scientific reach</w:t>
      </w:r>
      <w:r>
        <w:t xml:space="preserve"> </w:t>
      </w:r>
      <w:hyperlink w:anchor="ref-7">
        <w:r>
          <w:rPr>
            <w:rStyle w:val="Hyperlink"/>
          </w:rPr>
          <w:t xml:space="preserve">[7]</w:t>
        </w:r>
      </w:hyperlink>
      <w:r>
        <w:t xml:space="preserve">. The DART planetary-defense mission, by contrast, demonstrates that a focused architecture with a constrained instrument complement can move from concept to a delivered, operationally successful result, and its retrospective on the Dimorphos impact is a reminder that delivery outcomes vary enormously across the mission-class spectrum</w:t>
      </w:r>
      <w:r>
        <w:t xml:space="preserve"> </w:t>
      </w:r>
      <w:hyperlink w:anchor="ref-20">
        <w:r>
          <w:rPr>
            <w:rStyle w:val="Hyperlink"/>
          </w:rPr>
          <w:t xml:space="preserve">[20]</w:t>
        </w:r>
      </w:hyperlink>
      <w:r>
        <w:t xml:space="preserve">. The technosignature-search survey of current and future missions makes the related point that the instruments a mission carries, and the maturity of those instruments, determine what science the mission can return and for that reason shape the integration burden that governs its schedule</w:t>
      </w:r>
      <w:r>
        <w:t xml:space="preserve"> </w:t>
      </w:r>
      <w:hyperlink w:anchor="ref-23">
        <w:r>
          <w:rPr>
            <w:rStyle w:val="Hyperlink"/>
          </w:rPr>
          <w:t xml:space="preserve">[23]</w:t>
        </w:r>
      </w:hyperlink>
      <w:r>
        <w:t xml:space="preserve">. Across these cases the execution literature reinforces the cost literature’s diagnosis: technical maturity and integration complexity, not abstract programmatic standing, are what move realized outcomes.</w:t>
      </w:r>
    </w:p>
    <w:p>
      <w:pPr>
        <w:pStyle w:val="BodyText"/>
        <w:spacing w:line="480" w:lineRule="auto"/>
        <w:ind w:firstLine="720"/>
      </w:pPr>
      <w:r>
        <w:t xml:space="preserve">This literature also supplies the methodological intuition for treating schedule as a duration governed by lumpy, externally imposed events. The record is explicit. The timing of a launch is not a smooth function of internal program progress; it is shaped by appropriations cycles, launch-vehicle availability, and manifest slots, all of which arrive as discrete external shocks. The execution literature’s attention to organizational structure and external dependency</w:t>
      </w:r>
      <w:r>
        <w:t xml:space="preserve"> </w:t>
      </w:r>
      <w:hyperlink w:anchor="ref-5">
        <w:r>
          <w:rPr>
            <w:rStyle w:val="Hyperlink"/>
          </w:rPr>
          <w:t xml:space="preserve">[5]</w:t>
        </w:r>
      </w:hyperlink>
      <w:r>
        <w:t xml:space="preserve">, combined with the engineering literature’s emphasis on detector and systems maturity as the rate-limiting step</w:t>
      </w:r>
      <w:r>
        <w:t xml:space="preserve"> </w:t>
      </w:r>
      <w:hyperlink w:anchor="ref-1">
        <w:r>
          <w:rPr>
            <w:rStyle w:val="Hyperlink"/>
          </w:rPr>
          <w:t xml:space="preserve">[1]</w:t>
        </w:r>
      </w:hyperlink>
      <w:r>
        <w:t xml:space="preserve">,</w:t>
      </w:r>
      <w:r>
        <w:t xml:space="preserve"> </w:t>
      </w:r>
      <w:hyperlink w:anchor="ref-7">
        <w:r>
          <w:rPr>
            <w:rStyle w:val="Hyperlink"/>
          </w:rPr>
          <w:t xml:space="preserve">[7]</w:t>
        </w:r>
      </w:hyperlink>
      <w:r>
        <w:t xml:space="preserve">, jointly motivate a schedule model that makes no parametric assumption about the shape of the underlying hazard and that accommodates missions still in development at the analysis cutoff. The second companion study of this dissertation adopts exactly such a model, and its design choice is grounded in this literature’s understanding of how schedule actually accrues. The operational question is narrower: as with the cost-estimation strand, the execution literature stops short of the decadal ordinal. It explains cost and schedule growth through structure, incentives, maturity, and integration burden</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It does not ask whether the consensus ranking assigned years before confirmation carries any residual signal once these execution-stage drivers are accounted for. This is the second half of the domain-side seam, and it is mature, well-evidenced, and silent on the precise question this dissertation poses.</w:t>
      </w:r>
    </w:p>
    <w:bookmarkEnd w:id="68"/>
    <w:bookmarkStart w:id="69" w:name="X417b9cca57ddca8eee43566cd3f94b64927ae7f"/>
    <w:p>
      <w:pPr>
        <w:pStyle w:val="Heading2"/>
        <w:spacing w:line="480" w:lineRule="auto"/>
      </w:pPr>
      <w:r>
        <w:t xml:space="preserve">2.4 The Space-Economy and Priority-Allocation Literature</w:t>
      </w:r>
    </w:p>
    <w:p>
      <w:pPr>
        <w:pStyle w:val="FirstParagraph"/>
        <w:spacing w:line="480" w:lineRule="auto"/>
      </w:pPr>
      <w:r>
        <w:t xml:space="preserve">For the empirical reader, the third domain strand frames space missions not as engineering artifacts but as claims on a constrained public budget. The claim remains testable. The foundational reference in the pool is the economic treatment of space as an economic frontier, which situates civil space investment within the broader economics of the sector and documents how the federal share of national output devoted to space has fallen markedly over decades</w:t>
      </w:r>
      <w:r>
        <w:t xml:space="preserve"> </w:t>
      </w:r>
      <w:hyperlink w:anchor="ref-6">
        <w:r>
          <w:rPr>
            <w:rStyle w:val="Hyperlink"/>
          </w:rPr>
          <w:t xml:space="preserve">[6]</w:t>
        </w:r>
      </w:hyperlink>
      <w:r>
        <w:t xml:space="preserve">. The analytical consequence is that any individual mission competes for a shrinking slice of public resources, and its priority ranking is best understood as a claim on a scarce resource instead of as a guarantee of accelerated or protected execution</w:t>
      </w:r>
      <w:r>
        <w:t xml:space="preserve"> </w:t>
      </w:r>
      <w:hyperlink w:anchor="ref-6">
        <w:r>
          <w:rPr>
            <w:rStyle w:val="Hyperlink"/>
          </w:rPr>
          <w:t xml:space="preserve">[6]</w:t>
        </w:r>
      </w:hyperlink>
      <w:r>
        <w:t xml:space="preserve">. A mission can be the community’s declared first choice and still wait in a queue governed by appropriations timing and competing demands. Priority and delivery, on this reading, are not mechanically linked; the ranking confers a claim, not an outcome.</w:t>
      </w:r>
    </w:p>
    <w:p>
      <w:pPr>
        <w:pStyle w:val="BodyText"/>
        <w:spacing w:line="480" w:lineRule="auto"/>
        <w:ind w:firstLine="720"/>
      </w:pPr>
      <w:r>
        <w:t xml:space="preserve">For this space-economy, the corpus extends this framing toward forecasting and resource allocation. The coding choice is visible. The forecasting treatment of the space economy in the reference pool</w:t>
      </w:r>
      <w:r>
        <w:t xml:space="preserve"> </w:t>
      </w:r>
      <w:hyperlink w:anchor="ref-3">
        <w:r>
          <w:rPr>
            <w:rStyle w:val="Hyperlink"/>
          </w:rPr>
          <w:t xml:space="preserve">[3]</w:t>
        </w:r>
      </w:hyperlink>
      <w:r>
        <w:t xml:space="preserve"> </w:t>
      </w:r>
      <w:r>
        <w:t xml:space="preserve">situates national investment within priority and allocation frameworks that govern which programs are funded, characterizing the machinery by which a constrained budget is distributed across competing candidate programs. The critical observation for this dissertation is what this literature does and does not establish. It establishes, descriptively and with economic rigor, how priorities are formed and what they claim</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It does not establish whether the priority order, once set, predicts the cost growth or schedule slip that the funded programs ultimately exhibit. The allocation literature treats the priority ranking as an input to the funding decision and as an output of the consensus process. It does not treat the ranking as a predictor whose validity against realized delivery can be measured. The test is never run. This is the third domain-side strand, and like the other two it bounds the gap without entering it.</w:t>
      </w:r>
    </w:p>
    <w:p>
      <w:pPr>
        <w:pStyle w:val="BodyText"/>
        <w:spacing w:line="480" w:lineRule="auto"/>
        <w:ind w:firstLine="720"/>
      </w:pPr>
      <w:r>
        <w:t xml:space="preserve">For this evidence, the trail is concrete here: it is worth dwelling on why this silence is consequential. That is the empirical boundary. The institutional belief that this dissertation tests, that high decadal standing signals a mission’s readiness to be delivered close to baseline, is a belief about predictive validity. It asserts that the ranking number contains information about future delivery performance. The economics literature explains why such a belief might be plausible (priority attracts funding and political durability) and why it might be illusory (priority is a claim on a scarce resource, not a lever on execution, and the most-wanted missions are often the most ambitious and for that reason the most exposed to growth)</w:t>
      </w:r>
      <w:r>
        <w:t xml:space="preserve"> </w:t>
      </w:r>
      <w:hyperlink w:anchor="ref-6">
        <w:r>
          <w:rPr>
            <w:rStyle w:val="Hyperlink"/>
          </w:rPr>
          <w:t xml:space="preserve">[6]</w:t>
        </w:r>
      </w:hyperlink>
      <w:r>
        <w:t xml:space="preserve">. But the economics literature does not adjudicate between these competing readings empirically. Adjudication requires joining the priority ordinal to the realized delivery record and estimating a coefficient. That is an econometric act, and the domain literature does not perform it.</w:t>
      </w:r>
    </w:p>
    <w:bookmarkEnd w:id="69"/>
    <w:bookmarkStart w:id="70"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For the program record, the second of the two unjoined literatures is methodological instead of substantive. The result is narrow. Cliometrics is the practice of applying formal econometric estimation to historically generated data to test theoretically motivated hypotheses, with characteristic attention to the problems that small, observational, non-experimental populations create for inference. The defining challenge of the cliometric posture is that the analyst does not control assignment. Treatment-like variables, here the decadal priority ordinal, are assigned by a historical process instead of randomized, so the estimated coefficient must be defended against confounding, selection, and the limited power of a sparse sample. The methodology literature offers a disciplined response to each of these threats, and that response is what this dissertation imports into the astrophysics-mission domain. The first methodological commitment is to estimate a single, well-identified coefficient and to report it honestly, including the case in which it cannot be distinguished from zero. The cliometric tradition treats a credibly estimated null as a substantive finding instead of a failure, because in an observational setting the demonstration that a presumed predictor carries no conditional signal is itself informative about the data-generating process. Both companion studies of this dissertation are constructed on this commitment: each is designed to be capable of failing to reject its null, and each treats a non-rejection as a publishable, policy-relevant result. This is a direct inheritance from cliometric practice, in which the credibility of the empirical reading, not the rejection of the null, is the standard of quality.</w:t>
      </w:r>
    </w:p>
    <w:p>
      <w:pPr>
        <w:pStyle w:val="BodyText"/>
        <w:spacing w:line="480" w:lineRule="auto"/>
        <w:ind w:firstLine="720"/>
      </w:pPr>
      <w:r>
        <w:t xml:space="preserve">For this archival, the record matters here: the second commitment is to inference appropriate to small populations. The astrophysics flagship-and-probe population is on the order of low tens of missions, a regime in which large-sample asymptotic approximations are unreliable and in which conventional standard errors can mislead. The methodology literature’s response is to privilege the confidence interval and the sign of the coefficient over a binary significance verdict, and to supplement conventional standard errors with heteroskedasticity-robust procedures and, where the population is small enough, exact and permutation-based inference. The cost-growth companion study adopts heteroskedasticity-robust standard errors precisely because variance plainly differs between billion-dollar flagships and Explorer-class missions, and the schedule companion study adopts a partial-likelihood estimator that accommodates right-censoring directly. Both choices are methodological imports: they are the cliometric answer to the question of how to draw defensible inference from a small, heterogeneous historical panel. The third commitment is to explicit treatment of selection and survivorship. In any historical panel, the observations that survive into the realized-outcome record are not a random draw from the population of candidates. Missions that were cancelled never enter the realized cost-growth panel, and missions still in development are right-censored in the schedule panel. The methodology literature insists that these features be named, modeled where possible, and tested for their influence on the focal coefficient. The schedule companion study addresses censoring structurally through its proportional-hazards specification, which incorporates in-development missions into the risk set without asserting an unobserved launch, and the cost companion study addresses survivorship by reporting the count of cancelled recommended missions and testing the sensitivity of the rank coefficient to their exclusion. These are not ad hoc precautions; they are the standard apparatus of disciplined observational estimation.</w:t>
      </w:r>
    </w:p>
    <w:p>
      <w:pPr>
        <w:pStyle w:val="BodyText"/>
        <w:spacing w:line="480" w:lineRule="auto"/>
        <w:ind w:firstLine="720"/>
      </w:pPr>
      <w:r>
        <w:t xml:space="preserve">For a replicator, it is important to acknowledge that the space-domain corpus, while not a cliometric literature in the historical-economics sense, contains a substantial body of quantitative and optimization work whose methodological habits are adjacent to the econometric posture this dissertation adopts. The space-surveillance and sensor-tasking literature, in particular, is replete with formal objective functions, scheduling optimizations, and reward-function constructions that share the cliometric concern with estimating a defensible quantity under constraint. Work on incorporating target priorities into a sensor-tasking reward function constructs an explicit mapping from priority to allocation</w:t>
      </w:r>
      <w:r>
        <w:t xml:space="preserve"> </w:t>
      </w:r>
      <w:hyperlink w:anchor="ref-10">
        <w:r>
          <w:rPr>
            <w:rStyle w:val="Hyperlink"/>
          </w:rPr>
          <w:t xml:space="preserve">[10]</w:t>
        </w:r>
      </w:hyperlink>
      <w:r>
        <w:t xml:space="preserve">, and the genetic-algorithm scheduling literature for radar-based satellite tracking</w:t>
      </w:r>
      <w:r>
        <w:t xml:space="preserve"> </w:t>
      </w:r>
      <w:hyperlink w:anchor="ref-11">
        <w:r>
          <w:rPr>
            <w:rStyle w:val="Hyperlink"/>
          </w:rPr>
          <w:t xml:space="preserve">[11]</w:t>
        </w:r>
      </w:hyperlink>
      <w:r>
        <w:t xml:space="preserve">, for multi-satellite imaging under reconfiguration constraints</w:t>
      </w:r>
      <w:r>
        <w:t xml:space="preserve"> </w:t>
      </w:r>
      <w:hyperlink w:anchor="ref-19">
        <w:r>
          <w:rPr>
            <w:rStyle w:val="Hyperlink"/>
          </w:rPr>
          <w:t xml:space="preserve">[19]</w:t>
        </w:r>
      </w:hyperlink>
      <w:r>
        <w:t xml:space="preserve">, for autonomous Earth-observation scheduling with revision and progressive techniques</w:t>
      </w:r>
      <w:r>
        <w:t xml:space="preserve"> </w:t>
      </w:r>
      <w:hyperlink w:anchor="ref-21">
        <w:r>
          <w:rPr>
            <w:rStyle w:val="Hyperlink"/>
          </w:rPr>
          <w:t xml:space="preserve">[21]</w:t>
        </w:r>
      </w:hyperlink>
      <w:r>
        <w:t xml:space="preserve">, and for capacity-based cislunar architecture optimization</w:t>
      </w:r>
      <w:r>
        <w:t xml:space="preserve"> </w:t>
      </w:r>
      <w:hyperlink w:anchor="ref-12">
        <w:r>
          <w:rPr>
            <w:rStyle w:val="Hyperlink"/>
          </w:rPr>
          <w:t xml:space="preserve">[12]</w:t>
        </w:r>
      </w:hyperlink>
      <w:r>
        <w:t xml:space="preserve"> </w:t>
      </w:r>
      <w:r>
        <w:t xml:space="preserve">all formalize allocation under scarcity as a tractable optimization problem. Dynamic tasking of networked sensors using covariance information</w:t>
      </w:r>
      <w:r>
        <w:t xml:space="preserve"> </w:t>
      </w:r>
      <w:hyperlink w:anchor="ref-15">
        <w:r>
          <w:rPr>
            <w:rStyle w:val="Hyperlink"/>
          </w:rPr>
          <w:t xml:space="preserve">[15]</w:t>
        </w:r>
      </w:hyperlink>
      <w:r>
        <w:t xml:space="preserve"> </w:t>
      </w:r>
      <w:r>
        <w:t xml:space="preserve">similarly treats the allocation of a scarce sensing resource as a quantity to be optimized against an explicit criterion. These literatures are not cliometric, but they demonstrate that the space domain is thoroughly comfortable with formal quantitative modeling of priority and allocation. What they model is the forward problem, how to allocate optimally given a priority structure. What they do not model is the inverse, validation problem that this dissertation poses: given a priority structure that was actually used, did it predict the outcomes that followed.</w:t>
      </w:r>
    </w:p>
    <w:p>
      <w:pPr>
        <w:pStyle w:val="BodyText"/>
        <w:spacing w:line="480" w:lineRule="auto"/>
        <w:ind w:firstLine="720"/>
      </w:pPr>
      <w:r>
        <w:t xml:space="preserve">For this measurement-astrophysics, the and survey-astronomy strands of the corpus reinforce the same observation from a different direction. Work on measurement astrophysics and the space-surveillance mission</w:t>
      </w:r>
      <w:r>
        <w:t xml:space="preserve"> </w:t>
      </w:r>
      <w:hyperlink w:anchor="ref-13">
        <w:r>
          <w:rPr>
            <w:rStyle w:val="Hyperlink"/>
          </w:rPr>
          <w:t xml:space="preserve">[13]</w:t>
        </w:r>
      </w:hyperlink>
      <w:r>
        <w:t xml:space="preserve">, on the Pan-STARRS survey program</w:t>
      </w:r>
      <w:r>
        <w:t xml:space="preserve"> </w:t>
      </w:r>
      <w:hyperlink w:anchor="ref-16">
        <w:r>
          <w:rPr>
            <w:rStyle w:val="Hyperlink"/>
          </w:rPr>
          <w:t xml:space="preserve">[16]</w:t>
        </w:r>
      </w:hyperlink>
      <w:r>
        <w:t xml:space="preserve">, and on building trust in human-machine teaming for autonomous space sensing</w:t>
      </w:r>
      <w:r>
        <w:t xml:space="preserve"> </w:t>
      </w:r>
      <w:hyperlink w:anchor="ref-14">
        <w:r>
          <w:rPr>
            <w:rStyle w:val="Hyperlink"/>
          </w:rPr>
          <w:t xml:space="preserve">[14]</w:t>
        </w:r>
      </w:hyperlink>
      <w:r>
        <w:t xml:space="preserve"> </w:t>
      </w:r>
      <w:r>
        <w:t xml:space="preserve">all engage with the construction and evaluation of large observing systems, and they bring quantitative rigor to questions of performance, capacity, and trust. Yet none of them treats a consensus priority ranking as a predictor to be validated against realized program delivery. The space domain has the quantitative machinery; what it lacks is the application of that machinery to the specific inverse question of whether decadal priority predicts realized cost and schedule. The methodology literature supplies the inferential discipline; the domain literature supplies the substantive variables and the carefully measured outcomes. Neither has yet performed the join.</w:t>
      </w:r>
    </w:p>
    <w:bookmarkEnd w:id="70"/>
    <w:bookmarkStart w:id="71" w:name="synthesis-the-unjoined-seam-and-the-gap"/>
    <w:p>
      <w:pPr>
        <w:pStyle w:val="Heading2"/>
        <w:spacing w:line="480" w:lineRule="auto"/>
      </w:pPr>
      <w:r>
        <w:t xml:space="preserve">2.6 Synthesis: The Unjoined Seam and the Gap</w:t>
      </w:r>
    </w:p>
    <w:p>
      <w:pPr>
        <w:pStyle w:val="FirstParagraph"/>
        <w:spacing w:line="480" w:lineRule="auto"/>
      </w:pPr>
      <w:r>
        <w:t xml:space="preserve">Bringing the four preceding reviews together yields a precise diagnosis of the gap. The cost-estimation literature predicts mission cost from physical and programmatic attributes, identifies instrument count and integration complexity as the dominant drivers, and recognizes that sparse analog populations limit estimate fidelity for exactly the flagship-class missions of interest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17">
        <w:r>
          <w:rPr>
            <w:rStyle w:val="Hyperlink"/>
          </w:rPr>
          <w:t xml:space="preserve">[17]</w:t>
        </w:r>
      </w:hyperlink>
      <w:r>
        <w:t xml:space="preserve">,</w:t>
      </w:r>
      <w:r>
        <w:t xml:space="preserve"> </w:t>
      </w:r>
      <w:hyperlink w:anchor="ref-24">
        <w:r>
          <w:rPr>
            <w:rStyle w:val="Hyperlink"/>
          </w:rPr>
          <w:t xml:space="preserve">[24]</w:t>
        </w:r>
      </w:hyperlink>
      <w:r>
        <w:t xml:space="preserve">. The execution literature explains realized cost and schedule growth through organizational structure, incentives, qualification, integration, and technical maturity, and warns that no single favorable program attribute reliably produces a favorable outcome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20">
        <w:r>
          <w:rPr>
            <w:rStyle w:val="Hyperlink"/>
          </w:rPr>
          <w:t xml:space="preserve">[20]</w:t>
        </w:r>
      </w:hyperlink>
      <w:r>
        <w:t xml:space="preserve">,</w:t>
      </w:r>
      <w:r>
        <w:t xml:space="preserve"> </w:t>
      </w:r>
      <w:hyperlink w:anchor="ref-23">
        <w:r>
          <w:rPr>
            <w:rStyle w:val="Hyperlink"/>
          </w:rPr>
          <w:t xml:space="preserve">[23]</w:t>
        </w:r>
      </w:hyperlink>
      <w:r>
        <w:t xml:space="preserve">. The space-economy literature frames priority as a claim on a constrained and declining federal share, describing how priorities are set without testing whether they predict delivery</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And the cliometric methodology literature supplies the inferential discipline (credible single-coefficient estimation, small-sample inference, explicit treatment of selection and survivorship) required to convert an article of institutional faith into a falsifiable empirical claim. The space-domain corpus, for its part, demonstrates deep facility with the forward problem of optimizing allocation under a given priority structure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19">
        <w:r>
          <w:rPr>
            <w:rStyle w:val="Hyperlink"/>
          </w:rPr>
          <w:t xml:space="preserve">[19]</w:t>
        </w:r>
      </w:hyperlink>
      <w:r>
        <w:t xml:space="preserve">,</w:t>
      </w:r>
      <w:r>
        <w:t xml:space="preserve"> </w:t>
      </w:r>
      <w:hyperlink w:anchor="ref-21">
        <w:r>
          <w:rPr>
            <w:rStyle w:val="Hyperlink"/>
          </w:rPr>
          <w:t xml:space="preserve">[21]</w:t>
        </w:r>
      </w:hyperlink>
      <w:r>
        <w:t xml:space="preserve">, but does not address the inverse, validation problem.</w:t>
      </w:r>
    </w:p>
    <w:p>
      <w:pPr>
        <w:pStyle w:val="BodyText"/>
        <w:spacing w:line="480" w:lineRule="auto"/>
        <w:ind w:firstLine="720"/>
      </w:pPr>
      <w:r>
        <w:t xml:space="preserve">For this data, the construction is deliberately visible: the gap is the join that none of these literatures performs. None treats the decadal priority ordinal itself as an explanatory variable for realized cost growth and schedule slip across the mission population. The cost literature predicts from physical attributes; it does not include rank. The execution literature explains from structure and maturity; it does not include rank. The economics literature describes how rank is formed and what it claims; it does not test whether rank predicts. The methodology literature knows how to estimate the coefficient. It has simply never been pointed at this variable in this domain. The untested join, between the consensus ranking process that the community treats as its most consequential collective judgment and the realized delivery record that the Government Accountability Office assessments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w:t>
      </w:r>
      <w:r>
        <w:t xml:space="preserve">document mission by mission, is the gap this dissertation occupies.</w:t>
      </w:r>
    </w:p>
    <w:p>
      <w:pPr>
        <w:pStyle w:val="BodyText"/>
        <w:spacing w:line="480" w:lineRule="auto"/>
        <w:ind w:firstLine="720"/>
      </w:pPr>
      <w:r>
        <w:t xml:space="preserve">For this two, the companion studies are positioned to close it from complementary directions. The cross-sectional cost-growth study regresses realized cost growth on the decadal priority ordinal, conditioning on technology readiness, instrument complexity, and mission class, and reports the focal coefficient with heteroskedasticity-robust inference. Its design directly tests whether rank carries predictive content for cost once the physical drivers the cost literature identifies are held fixed</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The schedule study models the confirmation-to-launch interval as a duration and estimates whether decadal priority shifts the hazard of reaching launch, conditioning on the same controls and accommodating censoring through a proportional-hazards specification. Its design tests whether rank carries predictive content for schedule once technical maturity, the driver the engineering literature identifies as binding</w:t>
      </w:r>
      <w:r>
        <w:t xml:space="preserve"> </w:t>
      </w:r>
      <w:hyperlink w:anchor="ref-1">
        <w:r>
          <w:rPr>
            <w:rStyle w:val="Hyperlink"/>
          </w:rPr>
          <w:t xml:space="preserve">[1]</w:t>
        </w:r>
      </w:hyperlink>
      <w:r>
        <w:t xml:space="preserve">,</w:t>
      </w:r>
      <w:r>
        <w:t xml:space="preserve"> </w:t>
      </w:r>
      <w:hyperlink w:anchor="ref-7">
        <w:r>
          <w:rPr>
            <w:rStyle w:val="Hyperlink"/>
          </w:rPr>
          <w:t xml:space="preserve">[7]</w:t>
        </w:r>
      </w:hyperlink>
      <w:r>
        <w:t xml:space="preserve">, is held fixed. Together they convert the institutional heuristic into a pair of estimable coefficients, each accompanied by an honest confidence interval, and each capable of returning a null that would be as informative as a rejection.</w:t>
      </w:r>
    </w:p>
    <w:p>
      <w:pPr>
        <w:pStyle w:val="BodyText"/>
        <w:spacing w:line="480" w:lineRule="auto"/>
        <w:ind w:firstLine="720"/>
      </w:pPr>
      <w:r>
        <w:t xml:space="preserve">For this operational, the question is narrower: what unites the two studies, and what locates this dissertation squarely in the unjoined seam, is the act of translation. The domain literature has measured mission outcomes with care and has identified their physical and organizational drivers. The cliometric literature has refined the discipline of estimating defensible coefficients from small historical panels. The dissertation joins them: it takes the carefully measured outcomes of the space-mission record, the priority ordinals of the decadal surveys, and the controls the technical literature has shown to matter, and it submits them to the inferential machinery the methodology literature has perfected. The single estimated coefficient on decadal rank, in each of the two outcome dimensions, is the artifact that only this join can produce. It is a small number. The remainder of the dissertation builds, estimates, and interprets that artifact.</w:t>
      </w:r>
    </w:p>
    <w:bookmarkEnd w:id="71"/>
    <w:bookmarkEnd w:id="72"/>
    <w:bookmarkStart w:id="83" w:name="Xcfcc00a3ded59aed0c781c16bfc121f2a509603"/>
    <w:p>
      <w:pPr>
        <w:pStyle w:val="Heading1"/>
        <w:spacing w:line="480" w:lineRule="auto"/>
      </w:pPr>
      <w:r>
        <w:t xml:space="preserve">Chapter 3. Theoretical Framework and Hypotheses</w:t>
      </w:r>
    </w:p>
    <w:bookmarkStart w:id="73" w:name="purpose-of-the-chapter"/>
    <w:p>
      <w:pPr>
        <w:pStyle w:val="Heading2"/>
        <w:spacing w:line="480" w:lineRule="auto"/>
      </w:pPr>
      <w:r>
        <w:t xml:space="preserve">3.1 Purpose of the Chapter</w:t>
      </w:r>
    </w:p>
    <w:p>
      <w:pPr>
        <w:pStyle w:val="FirstParagraph"/>
        <w:spacing w:line="480" w:lineRule="auto"/>
      </w:pPr>
      <w:r>
        <w:t xml:space="preserve">The evidence trail is concrete here: the preceding chapters established the empirical setting and the gap this dissertation occupies.</w:t>
      </w:r>
    </w:p>
    <w:p>
      <w:pPr>
        <w:pStyle w:val="BodyText"/>
        <w:spacing w:line="480" w:lineRule="auto"/>
        <w:ind w:firstLine="720"/>
      </w:pPr>
      <w:r>
        <w:t xml:space="preserve">NASA astrophysics flagship and probe missions are ranked by the decadal survey, and that ranking is read downstream as more than a statement of scientific value. It is treated as a statement about executability, a signal that a highly ranked concept is mature, well scoped, and therefore likely to be delivered close to its baseline cost and schedule. The question this dissertation poses is whether that downstream reading is warranted by the realized record. The chapter makes the question answerable instead of merely rhetorical. It specifies the latent construct the decadal ordinal is presumed to carry, the causal pathways by which that construct could plausibly act on realized cost and schedule, the competing pathways by which it could fail to act, and the formal null and alternative hypotheses that operationalize the contest between those pathways into a single estimable coefficient. The chapter does not derive the estimator, which Chapter 4 develops, nor does it report results, which the two empirical papers anchoring this dissertation already establish. Its task is conceptual. A falsification design earns its standing only if the thing being falsified is stated with enough precision that a defined coefficient, with a defined sign and a defined confidence interval, decides between rival accounts of the world. The remainder of this chapter builds that precision in stages: it names the construct, traces the mechanisms, distinguishes the construct of interest from the confounds that masquerade as it, and closes with the formal statement of H0 and H1 in a form common to both the cost and the schedule analyses.</w:t>
      </w:r>
    </w:p>
    <w:bookmarkEnd w:id="73"/>
    <w:bookmarkStart w:id="74" w:name="X5b9d581677ced194339660845d8cc5c152b76e9"/>
    <w:p>
      <w:pPr>
        <w:pStyle w:val="Heading2"/>
        <w:spacing w:line="480" w:lineRule="auto"/>
      </w:pPr>
      <w:r>
        <w:t xml:space="preserve">3.2 The Construct: Decadal Priority as a Putative Quality Signal</w:t>
      </w:r>
    </w:p>
    <w:p>
      <w:pPr>
        <w:pStyle w:val="FirstParagraph"/>
        <w:spacing w:line="480" w:lineRule="auto"/>
      </w:pPr>
      <w:r>
        <w:t xml:space="preserve">For this decadal, the survey produces an ordinal ranking of candidate missions within a survey cycle and class tier. That ordinal is the observable. The theoretical object of interest, however, is not the ordinal itself but the latent quantity the institution believes the ordinal carries. Call that latent quantity executability: the conditional probability that a mission, once recommended, will be delivered near its original cost and schedule baselines. The institutional heuristic under examination is the claim that decadal priority is a monotone proxy for executability, so that a mission ranked higher in the consensus order is, on average, more executable than a mission ranked lower.</w:t>
      </w:r>
    </w:p>
    <w:p>
      <w:pPr>
        <w:pStyle w:val="BodyText"/>
        <w:spacing w:line="480" w:lineRule="auto"/>
        <w:ind w:firstLine="720"/>
      </w:pPr>
      <w:r>
        <w:t xml:space="preserve">For this archival, the record matters here: this is a strong claim, and it is worth being explicit about why an institution might believe it. The decadal process aggregates the judgment of a large expert panel that weighs not only scientific return but also technical feasibility, programmatic risk, and cost realism in its deliberations. If that deliberation functions as the institution presumes, then the ranking should partially internalize the very attributes that drive realized cost growth and schedule slip. A mission with immature detectors, an overstuffed instrument complement, or an architecture extending well beyond the analog base should, under this reading, be discounted in the ranking precisely because the observatory record can see those execution risks and prices them in. The ordinal would then encode executability as a byproduct of encoding overall merit. That is the optimistic reading. This is the mechanism that, if real, would make decadal standing a legitimate programmatic risk filter instead of a statement of scientific aspiration alone.</w:t>
      </w:r>
    </w:p>
    <w:p>
      <w:pPr>
        <w:pStyle w:val="BodyText"/>
        <w:spacing w:line="480" w:lineRule="auto"/>
        <w:ind w:firstLine="720"/>
      </w:pPr>
      <w:r>
        <w:t xml:space="preserve">For this cost-estimation, the literature gives substantive content to what executability would have to internalize. Parametric cost models built for NASA missions key on physical and programmatic attributes, and blind validation of such tools shows how difficult it is to price systems for which few analogs exist</w:t>
      </w:r>
      <w:r>
        <w:t xml:space="preserve"> </w:t>
      </w:r>
      <w:hyperlink w:anchor="ref-4">
        <w:r>
          <w:rPr>
            <w:rStyle w:val="Hyperlink"/>
          </w:rPr>
          <w:t xml:space="preserve">[4]</w:t>
        </w:r>
      </w:hyperlink>
      <w:r>
        <w:t xml:space="preserve">. Studies of large space telescope architectures reinforce the point: aperture, instrument suites, and integration pathways drive both cost and schedule precisely since each new flagship extends beyond prior experience, leaving a sparse analog population from which to forecast</w:t>
      </w:r>
      <w:r>
        <w:t xml:space="preserve"> </w:t>
      </w:r>
      <w:hyperlink w:anchor="ref-1">
        <w:r>
          <w:rPr>
            <w:rStyle w:val="Hyperlink"/>
          </w:rPr>
          <w:t xml:space="preserve">[1]</w:t>
        </w:r>
      </w:hyperlink>
      <w:r>
        <w:t xml:space="preserve">. If the decadal panel is implicitly performing a coarse version of this assessment, then the attributes the cost literature identifies as the hard-to-price core of observatory development are the attributes the ranking would have to be tracking for the quality-signal claim to hold. For a replicator, the construct, then, is defined by a testable implication instead of by introspection into panel deliberations. Executability is not directly observed, but its consequences are: realized cost growth and realized schedule slip. If decadal priority is a monotone proxy for executability, the ordinal must carry conditional predictive content for those two realized outcomes once the directly observable drivers of cost and schedule are held fixed. The phrase once held fixed is the crux of the design, and Section 3.4 makes it precise.</w:t>
      </w:r>
    </w:p>
    <w:bookmarkEnd w:id="74"/>
    <w:bookmarkStart w:id="79" w:name="Xcd2977ed682101cee0379161a1c2ed8257bcf31"/>
    <w:p>
      <w:pPr>
        <w:pStyle w:val="Heading2"/>
        <w:spacing w:line="480" w:lineRule="auto"/>
      </w:pPr>
      <w:r>
        <w:t xml:space="preserve">3.3 The Causal Logic: Three Channels From Ranking to Delivery</w:t>
      </w:r>
    </w:p>
    <w:p>
      <w:pPr>
        <w:pStyle w:val="FirstParagraph"/>
        <w:spacing w:line="480" w:lineRule="auto"/>
      </w:pPr>
      <w:r>
        <w:t xml:space="preserve">For this chapter, the treats this as an empirical claim: if decadal priority does influence realized cost and schedule, it must do so through identifiable channels. Specifying those channels matters for two reasons. First, a mechanism stated in the abstract is unfalsifiable; a mechanism decomposed into channels can be probed for the signature each would leave in the data. Second, the channels do not all point the same direction, and the net effect on the focal coefficient is therefore a theoretical contest instead of a foregone conclusion. Three channels organize the causal logic.</w:t>
      </w:r>
    </w:p>
    <w:bookmarkStart w:id="75" w:name="the-protection-channel"/>
    <w:p>
      <w:pPr>
        <w:pStyle w:val="Heading3"/>
        <w:spacing w:line="480" w:lineRule="auto"/>
      </w:pPr>
      <w:r>
        <w:t xml:space="preserve">3.3.1 The Protection Channel</w:t>
      </w:r>
    </w:p>
    <w:p>
      <w:pPr>
        <w:pStyle w:val="FirstParagraph"/>
        <w:spacing w:line="480" w:lineRule="auto"/>
      </w:pPr>
      <w:r>
        <w:t xml:space="preserve">For this data, the construction is deliberately visible: the first channel is favorable to the quality-signal claim. A high decadal ranking confers political durability. The mission carries the prestige of the community’s collective first choice into its development phase, which plausibly buys it priority access to scarce resources: budget protection during appropriations turbulence, preferential staffing of experienced systems engineers, and earlier or more secure launch-manifest slots. Under the protection channel, ranking acts on delivery not through any intrinsic property of the concept but through the resources the institution mobilizes to defend it. The prediction is directional. If protection dominates, higher-priority missions should deliver closer to baseline, exhibiting lower cost growth and a higher hazard of timely launch. In the coding used throughout this dissertation, where a smaller ordinal denotes higher priority, the protection channel implies a positive association between the priority ordinal and cost growth, and a negative association between the ordinal and the launch hazard, because lower-priority missions would fare worse.</w:t>
      </w:r>
    </w:p>
    <w:bookmarkEnd w:id="75"/>
    <w:bookmarkStart w:id="76" w:name="the-ambition-channel"/>
    <w:p>
      <w:pPr>
        <w:pStyle w:val="Heading3"/>
        <w:spacing w:line="480" w:lineRule="auto"/>
      </w:pPr>
      <w:r>
        <w:t xml:space="preserve">3.3.2 The Ambition Channel</w:t>
      </w:r>
    </w:p>
    <w:p>
      <w:pPr>
        <w:pStyle w:val="FirstParagraph"/>
        <w:spacing w:line="480" w:lineRule="auto"/>
      </w:pPr>
      <w:r>
        <w:t xml:space="preserve">For this operational, the question is narrower: the second channel cuts the opposite way and is the principal theoretical threat to the protection account. The attributes that earn a top ranking are frequently the attributes that make a mission hard to execute. The community ranks most highly the missions it most wants, and the missions it most wants are often the most scientifically ambitious: larger apertures, novel detectors, more instruments, and architectures that deliberately extend beyond the analog base. The same scope ambition that secures a high ranking is then the scope ambition that drives cost growth and lengthens development. Under the ambition channel, ranking and executability are negatively correlated at the source, and a high ranking is, if anything, a marker of elevated instead of reduced execution risk. The directional prediction reverses that of the protection channel: higher-priority missions should exhibit greater cost growth and slower realized schedules. The structural cost-growth literature supplies the caution that grounds this channel, showing that organizational and programmatic conditions which appear favorable can induce cost growth once incentives and autonomy are accounted for, so that no single favorable attribute mechanically produces favorable delivery</w:t>
      </w:r>
      <w:r>
        <w:t xml:space="preserve"> </w:t>
      </w:r>
      <w:hyperlink w:anchor="ref-5">
        <w:r>
          <w:rPr>
            <w:rStyle w:val="Hyperlink"/>
          </w:rPr>
          <w:t xml:space="preserve">[5]</w:t>
        </w:r>
      </w:hyperlink>
      <w:r>
        <w:t xml:space="preserve">.</w:t>
      </w:r>
    </w:p>
    <w:bookmarkEnd w:id="76"/>
    <w:bookmarkStart w:id="77" w:name="the-decoupling-channel"/>
    <w:p>
      <w:pPr>
        <w:pStyle w:val="Heading3"/>
        <w:spacing w:line="480" w:lineRule="auto"/>
      </w:pPr>
      <w:r>
        <w:t xml:space="preserve">3.3.3 The Decoupling Channel</w:t>
      </w:r>
    </w:p>
    <w:p>
      <w:pPr>
        <w:pStyle w:val="FirstParagraph"/>
        <w:spacing w:line="480" w:lineRule="auto"/>
      </w:pPr>
      <w:r>
        <w:t xml:space="preserve">For the empirical reader, the third channel is the one under which the institutional heuristic is simply mistaken, not because ranking harms delivery but because ranking is orthogonal to the attributes that govern delivery. Under this account, the decadal ordinal encodes scientific value, community consensus, and strategic balance across subfields, but it does not internalize the technical and integration attributes that actually drive cost and schedule. Realized cost growth is then governed by instrument complexity and technology maturity, which the ranking process does not meaningfully price, and priority and realized performance come apart. The budget-economics framing supports this reading: in an environment where space programs compete for a federal budget whose share of national output has fallen over decades, priority is best understood as a claim on a scarce resource instead of as a lever on execution, and a mission can be the community’s first choice and still sit in a queue shaped by appropriations timing and launch-vehicle availability</w:t>
      </w:r>
      <w:r>
        <w:t xml:space="preserve"> </w:t>
      </w:r>
      <w:hyperlink w:anchor="ref-6">
        <w:r>
          <w:rPr>
            <w:rStyle w:val="Hyperlink"/>
          </w:rPr>
          <w:t xml:space="preserve">[6]</w:t>
        </w:r>
      </w:hyperlink>
      <w:r>
        <w:t xml:space="preserve">. The allocation literature describes how national priorities are set without testing whether the priority order, once set, predicts execution</w:t>
      </w:r>
      <w:r>
        <w:t xml:space="preserve"> </w:t>
      </w:r>
      <w:hyperlink w:anchor="ref-3">
        <w:r>
          <w:rPr>
            <w:rStyle w:val="Hyperlink"/>
          </w:rPr>
          <w:t xml:space="preserve">[3]</w:t>
        </w:r>
      </w:hyperlink>
      <w:r>
        <w:t xml:space="preserve">, and the decoupling channel is the hypothesis that it does not. The directional prediction is the absence of a directional prediction: conditional on the technical drivers, the coefficient on priority is zero.</w:t>
      </w:r>
    </w:p>
    <w:bookmarkEnd w:id="77"/>
    <w:bookmarkStart w:id="78" w:name="X9d6a4f6491eac47d93ecef03063d21560f195aa"/>
    <w:p>
      <w:pPr>
        <w:pStyle w:val="Heading3"/>
        <w:spacing w:line="480" w:lineRule="auto"/>
      </w:pPr>
      <w:r>
        <w:t xml:space="preserve">3.3.4 The Net Effect and Why It Must Be Estimated</w:t>
      </w:r>
    </w:p>
    <w:p>
      <w:pPr>
        <w:pStyle w:val="FirstParagraph"/>
        <w:spacing w:line="480" w:lineRule="auto"/>
      </w:pPr>
      <w:r>
        <w:t xml:space="preserve">For this evidence, the trail is concrete here: these three channels are not mutually exclusive. A given mission may enjoy some protection, carry some ambition penalty, and inhabit a portfolio in which ranking is largely decoupled from technical drivers. The net association between priority and realized performance is therefore the sum of partially offsetting forces, and its sign and magnitude cannot be deduced from theory alone. Protection pushes the focal coefficient toward beneficial delivery; ambition pushes it toward harmful delivery; decoupling pushes it toward zero. The forces offset. This is precisely the condition under which an estimated coefficient, instead of an argument, must adjudicate. The theory does not pick a winner. Its contribution is to specify the contest so sharply that a single number with a confidence interval names it. The empirical record assembled in the companion analyses suggests that the decoupling channel dominates, with at most a weak ambition-consistent residual in the cost dimension and a clean null in the schedule dimension, but the framework is designed to be agnostic ex ante.</w:t>
      </w:r>
    </w:p>
    <w:bookmarkEnd w:id="78"/>
    <w:bookmarkEnd w:id="79"/>
    <w:bookmarkStart w:id="80" w:name="X700c99528cf475abe086e965d9583aee66b2d37"/>
    <w:p>
      <w:pPr>
        <w:pStyle w:val="Heading2"/>
        <w:spacing w:line="480" w:lineRule="auto"/>
      </w:pPr>
      <w:r>
        <w:t xml:space="preserve">3.4 The Conditioning Set: Separating the Construct From Its Confounds</w:t>
      </w:r>
    </w:p>
    <w:p>
      <w:pPr>
        <w:pStyle w:val="FirstParagraph"/>
        <w:spacing w:line="480" w:lineRule="auto"/>
      </w:pPr>
      <w:r>
        <w:t xml:space="preserve">For the program record, the hypotheses are conditional, and the conditioning set is what gives them identifying force. The danger in a naive comparison of high- and low-ranked missions is that ranking is correlated with the very technical attributes that drive cost and schedule, so that a raw association between priority and realized performance could reflect the ambition channel operating through observable attributes instead of any independent signal carried by the ordinal. The framework addresses this by isolating the part of the priority variable that is orthogonal to the directly observable drivers, and asking whether that orthogonal part carries predictive content. Three conditioning variables, plus an era control, define the set.</w:t>
      </w:r>
    </w:p>
    <w:p>
      <w:pPr>
        <w:pStyle w:val="BodyText"/>
        <w:spacing w:line="480" w:lineRule="auto"/>
        <w:ind w:firstLine="720"/>
      </w:pPr>
      <w:r>
        <w:t xml:space="preserve">Technology readiness at confirmation captures the maturity of the principal instrument or system at the gate. It is the most direct observable proxy for one face of executability, and it is the variable the engineering literature identifies as a binding constraint on observatory development time</w:t>
      </w:r>
      <w:r>
        <w:t xml:space="preserve"> </w:t>
      </w:r>
      <w:hyperlink w:anchor="ref-7">
        <w:r>
          <w:rPr>
            <w:rStyle w:val="Hyperlink"/>
          </w:rPr>
          <w:t xml:space="preserve">[7]</w:t>
        </w:r>
      </w:hyperlink>
      <w:r>
        <w:t xml:space="preserve">. Conditioning on it ensures that the priority coefficient is not merely re-expressing the well-known relationship between immature technology and downstream growth. Instrument complexity, proxied by the count of distinct science instruments, captures the integration burden that the cost and large-telescope literatures place at the center of cost growth</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Conditioning on it ensures that the priority coefficient is not absorbing the ambition channel where ambition acts through observable scope. Mission class, entered as a flagship indicator, absorbs the gross heterogeneity between billion-dollar Great-Observatory-class systems and Explorer- or probe-class missions, which differ in baseline variance as well as in mean outcomes. Finally, survey-cycle or decadal-era controls absorb the era-specific fiscal and policy regimes under which different decadal cohorts were funded, addressing the confound that distinct decadal eras operated under distinct budgetary conditions.</w:t>
      </w:r>
    </w:p>
    <w:p>
      <w:pPr>
        <w:pStyle w:val="BodyText"/>
        <w:spacing w:line="480" w:lineRule="auto"/>
        <w:ind w:firstLine="720"/>
      </w:pPr>
      <w:r>
        <w:t xml:space="preserve">For this archival, the record matters here: with this set held fixed, the residual variation in the priority ordinal is the variation the framework treats as the candidate quality signal. If decadal priority encodes executability over and above what technology readiness, instrument complexity, mission class, and era already encode, the conditional coefficient on priority will be non-zero. If priority adds nothing once these directly observable drivers are in the estimating design, the conditional coefficient will be indistinguishable from zero, and the quality-signal claim collapses to a claim about variables the ranking does not need to carry because they are observable on their own. Two residual identification concerns survive conditioning and bound the strength of any inference, as the prospectus anticipated. Selection is the first: highly ranked missions may have been funded sooner and scoped differently, so the priority ordinal may correlate with unobserved scope ambition that the conditioning set does not fully capture. The technology-readiness control and the era fixed effects mitigate but do not eliminate this. Survivorship is the second: cancelled missions never enter the realized-outcome panel, and if cancellation correlates with both ranking and latent execution risk, the surviving sample is non-random. The framework acknowledges these as bounds on the falsification instead of as defeaters of it, and the empirical design probes both through sensitivity analysis.</w:t>
      </w:r>
    </w:p>
    <w:bookmarkEnd w:id="80"/>
    <w:bookmarkStart w:id="81" w:name="formal-statement-of-the-hypotheses"/>
    <w:p>
      <w:pPr>
        <w:pStyle w:val="Heading2"/>
        <w:spacing w:line="480" w:lineRule="auto"/>
      </w:pPr>
      <w:r>
        <w:t xml:space="preserve">3.5 Formal Statement of the Hypotheses</w:t>
      </w:r>
    </w:p>
    <w:p>
      <w:pPr>
        <w:pStyle w:val="FirstParagraph"/>
        <w:spacing w:line="480" w:lineRule="auto"/>
      </w:pPr>
      <w:r>
        <w:t xml:space="preserve">For this framework, the reduces to a single falsifiable contribution per outcome dimension: the conditional coefficient on the decadal priority ordinal, together with its confidence interval. Let the outcome be either realized cost growth, defined as the proportional excess of realized life-cycle cost over the confirmation baseline, or realized schedule, modeled as the duration from confirmation to launch. Let rank denote the decadal priority ordinal within survey cycle and class tier, coded so that a smaller value denotes higher priority. Let the conditioning set comprise technology readiness at confirmation, instrument complexity, mission class, and decadal era. The hypotheses are stated identically in structure across both outcomes, differing only in the estimator through which the coefficient is recovered, linear for cost growth and proportional-hazards for schedule. The chapter treats this as an empirical claim:</w:t>
      </w:r>
      <w:r>
        <w:t xml:space="preserve"> </w:t>
      </w:r>
      <w:r>
        <w:rPr>
          <w:b/>
          <w:bCs/>
        </w:rPr>
        <w:t xml:space="preserve">H0 (null):</w:t>
      </w:r>
      <w:r>
        <w:t xml:space="preserve"> </w:t>
      </w:r>
      <w:r>
        <w:t xml:space="preserve">Conditional on technology readiness, instrument complexity, mission class, and decadal era, a mission’s ordinal decadal priority has no association with the realized outcome. The coefficient on decadal rank is statistically indistinguishable from zero, and its confidence interval contains zero.</w:t>
      </w:r>
    </w:p>
    <w:p>
      <w:pPr>
        <w:pStyle w:val="BodyText"/>
        <w:spacing w:line="480" w:lineRule="auto"/>
        <w:ind w:firstLine="720"/>
      </w:pPr>
      <w:r>
        <w:rPr>
          <w:b/>
          <w:bCs/>
        </w:rPr>
        <w:t xml:space="preserve">H1 (alternative):</w:t>
      </w:r>
      <w:r>
        <w:t xml:space="preserve"> </w:t>
      </w:r>
      <w:r>
        <w:t xml:space="preserve">Conditional on the same set, decadal priority is associated with a measurable difference in the realized outcome. The coefficient on decadal rank is non-zero, and its sign and magnitude are estimable, with the confidence interval excluding zero. The data construction is deliberately visible: the directional content of H1 is supplied by the channel that dominates. Under the protection channel, the cost-growth coefficient on rank is positive and the launch-hazard coefficient on rank is negative, because lower-priority missions fare worse. Under the ambition channel, both signs reverse: the cost-growth coefficient on rank is negative, because higher-priority missions absorb more growth, and the launch-hazard coefficient on rank is positive, because higher-priority missions take longer. H1 is satisfied by a resolved coefficient of either sign; the framework treats the sign as informative about which channel operates but does not require a particular sign for the alternative to hold. H0 is the prediction of the decoupling channel.</w:t>
      </w:r>
    </w:p>
    <w:p>
      <w:pPr>
        <w:pStyle w:val="BodyText"/>
        <w:spacing w:line="480" w:lineRule="auto"/>
        <w:ind w:firstLine="720"/>
      </w:pPr>
      <w:r>
        <w:t xml:space="preserve">Two features of this statement deserve emphasis. First, the design is deliberately constructed to be capable of failing to reject H0. A finding that decadal rank carries no conditional signal is not a disappointing null to be discarded but a substantive, policy-relevant result: it would establish that the institution’s reading of decadal standing as a delivery-confidence signal is unsupported, and that independent cost realism review must look to the technical drivers instead of to the ranking when forecasting where growth and delay will concentrate. Second, because the mission population is small, the framework privileges the confidence interval and the coefficient sign over a binary significance verdict. A wide interval straddling zero is itself an answer, indicating that the data cannot resolve a signal even if one exists, and the inferential machinery of Chapter 4 is built to report that honestly instead of to manufacture a verdict the sample cannot support.</w:t>
      </w:r>
    </w:p>
    <w:bookmarkEnd w:id="81"/>
    <w:bookmarkStart w:id="82" w:name="Xc91692477e842c588beca12ba217e3b7546dc99"/>
    <w:p>
      <w:pPr>
        <w:pStyle w:val="Heading2"/>
        <w:spacing w:line="480" w:lineRule="auto"/>
      </w:pPr>
      <w:r>
        <w:t xml:space="preserve">3.6 Linking the Framework to the Two Empirical Tests</w:t>
      </w:r>
    </w:p>
    <w:p>
      <w:pPr>
        <w:pStyle w:val="FirstParagraph"/>
        <w:spacing w:line="480" w:lineRule="auto"/>
      </w:pPr>
      <w:r>
        <w:t xml:space="preserve">For this dissertation, the tests the framework twice, once in each outcome dimension, because cost and schedule are conceptually and mechanically distinct constructs that the institutional heuristic nonetheless bundles together under the single word executability. The cost test estimates the conditional coefficient on rank in a cross-sectional regression of realized cost growth, where the relevant channels act through the dollars a mission overruns. The schedule test estimates the conditional coefficient on rank in a proportional-hazards model of time from confirmation to launch, where the channels act through the rate at which a mission reaches the pad and where right-censoring of in-development missions must be handled directly. Separating the two prevents a signal in one dimension from being smuggled into a claim about the other, and it allows the framework to discover, as the empirical record indicates it does, that the technical-maturity variable carries the resolved signal in both dimensions while priority does not.</w:t>
      </w:r>
    </w:p>
    <w:p>
      <w:pPr>
        <w:pStyle w:val="BodyText"/>
        <w:spacing w:line="480" w:lineRule="auto"/>
        <w:ind w:firstLine="720"/>
      </w:pPr>
      <w:r>
        <w:t xml:space="preserve">For the empirical reader, the two tests share the same construct, the same causal channels, the same conditioning logic, and the same formal hypotheses; they differ only in the realized outcome and the estimator suited to it. That shared spine makes them two readings of one theory instead of two unrelated studies. The chapters that follow operationalize this framework: Chapter 4 specifies the estimators, the inference procedure tuned to a small heterogeneous population, and the robustness checks that probe the selection and survivorship bounds identified in Section 3.4. The theory developed here is sufficient to render the institutional belief falsifiable, to name the coefficient that falsifies it, and to interpret that coefficient, whatever its value, as a statement about which of the three channels governs the join between consensus ranking and realized delivery.</w:t>
      </w:r>
    </w:p>
    <w:bookmarkEnd w:id="82"/>
    <w:bookmarkEnd w:id="83"/>
    <w:bookmarkStart w:id="94" w:name="chapter-4.-data-and-measurement"/>
    <w:p>
      <w:pPr>
        <w:pStyle w:val="Heading1"/>
        <w:spacing w:line="480" w:lineRule="auto"/>
      </w:pPr>
      <w:r>
        <w:t xml:space="preserve">Chapter 4. Data and Measurement</w:t>
      </w:r>
    </w:p>
    <w:bookmarkStart w:id="84" w:name="overview-and-logic-of-the-chapter"/>
    <w:p>
      <w:pPr>
        <w:pStyle w:val="Heading2"/>
        <w:spacing w:line="480" w:lineRule="auto"/>
      </w:pPr>
      <w:r>
        <w:t xml:space="preserve">4.1 Overview and Logic of the Chapter</w:t>
      </w:r>
    </w:p>
    <w:p>
      <w:pPr>
        <w:pStyle w:val="FirstParagraph"/>
        <w:spacing w:line="480" w:lineRule="auto"/>
      </w:pPr>
      <w:r>
        <w:t xml:space="preserve">The evidence trail is concrete here: the chapter specifies, in full, the empirical material on which the dissertation rests.</w:t>
      </w:r>
    </w:p>
    <w:p>
      <w:pPr>
        <w:pStyle w:val="BodyText"/>
        <w:spacing w:line="480" w:lineRule="auto"/>
        <w:ind w:firstLine="720"/>
      </w:pPr>
      <w:r>
        <w:t xml:space="preserve">For this two, the analytical papers that constitute the core of the study, a cross-sectional cost-growth regression and a Cox proportional-hazards analysis of time from confirmation to launch, each draw on a hand-assembled mission-level dataset built from public records. Because the central claim of the dissertation is a falsifiable test of whether decadal priority predicts realized cost and schedule, the credibility of that test depends entirely on whether the variables can be traced, observation by observation, to authoritative primary records. Provenance is the point. The purpose of this chapter is to make the data construction transparent enough that an independent analyst could reconstruct each panel from the cited sources.</w:t>
      </w:r>
    </w:p>
    <w:p>
      <w:pPr>
        <w:pStyle w:val="BodyText"/>
        <w:spacing w:line="480" w:lineRule="auto"/>
        <w:ind w:firstLine="720"/>
      </w:pPr>
      <w:r>
        <w:t xml:space="preserve">For this chapter, the proceeds in the order a replication would follow. It first fixes the unit of analysis and explains why the recommended mission, instead of the program element or the instrument, is the correct observational atom for the research question. It then identifies the two authoritative source families that anchor every observation: the Government Accountability Office’s recurring assessments of major NASA projects, which supply the cost and schedule record, and the National Academies astrophysics decadal surveys, which supply the priority ordinal and the mission-class assignment. With sources fixed, the chapter constructs each variable from its primary record, distinguishing the dependent constructs, cost growth and development duration, from the focal regressor, decadal rank, and from the control vector of technology readiness, instrument count, and mission class. Throughout, the discussion separates the cost-growth panel of the first paper from the schedule panel of the second, because the two papers use overlapping but distinct mission populations and distinct dependent constructs. The chapter closes by documenting the join procedure, the provenance auditing applied to every row, and the measurement threats that the construction choices were designed to bound.</w:t>
      </w:r>
    </w:p>
    <w:bookmarkEnd w:id="84"/>
    <w:bookmarkStart w:id="85" w:name="the-unit-of-analysis"/>
    <w:p>
      <w:pPr>
        <w:pStyle w:val="Heading2"/>
        <w:spacing w:line="480" w:lineRule="auto"/>
      </w:pPr>
      <w:r>
        <w:t xml:space="preserve">4.2 The Unit of Analysis</w:t>
      </w:r>
    </w:p>
    <w:p>
      <w:pPr>
        <w:pStyle w:val="FirstParagraph"/>
        <w:spacing w:line="480" w:lineRule="auto"/>
      </w:pPr>
      <w:r>
        <w:t xml:space="preserve">For this unit, the of analysis in both papers is the recommended NASA astrophysics mission, treated as a single observation carrying one realized cost-growth value, one realized development duration, one decadal priority ordinal, and one vector of physical and programmatic attributes.</w:t>
      </w:r>
    </w:p>
    <w:p>
      <w:pPr>
        <w:pStyle w:val="BodyText"/>
        <w:spacing w:line="480" w:lineRule="auto"/>
        <w:ind w:firstLine="720"/>
      </w:pPr>
      <w:r>
        <w:t xml:space="preserve">For this prospectus, the fixes this choice and the two papers inherit it without modification. The selection of the mission as the observational atom is not incidental; it follows directly from the structure of the research question. The decadal survey ranks missions, not instruments and not program offices, so the priority ordinal that the study treats as its treatment variable is defined only at the mission level. A finer unit, such as the individual science instrument, would have no priority ordinal to attach to it, and a coarser unit, such as the science theme or the survey panel, would collapse the very variation in rank that the design is built to exploit.</w:t>
      </w:r>
    </w:p>
    <w:p>
      <w:pPr>
        <w:pStyle w:val="BodyText"/>
        <w:spacing w:line="480" w:lineRule="auto"/>
        <w:ind w:firstLine="720"/>
      </w:pPr>
      <w:r>
        <w:t xml:space="preserve">The archival record matters here: defining the mission as the unit carries two consequences that the measurement scheme must respect.</w:t>
      </w:r>
    </w:p>
    <w:p>
      <w:pPr>
        <w:pStyle w:val="BodyText"/>
        <w:spacing w:line="480" w:lineRule="auto"/>
        <w:ind w:firstLine="720"/>
      </w:pPr>
      <w:r>
        <w:t xml:space="preserve">First, missions that carry multiple instruments are still single observations; the instrument count enters as a covariate describing the mission instead of as a multiplier on the number of rows. This keeps the unit stable across the heterogeneous portfolio, in which a Great-Observatory-class flagship integrating several instruments and a Small Explorer carrying one detector are each one row. Second, because the mission is the unit, the realized outcomes must be measured at the same level of aggregation at which the GAO reports them, namely the project life-cycle cost and the project development schedule, instead of at the level of any single subsystem. The alignment between the GAO’s project-level reporting and the decadal survey’s mission-level ranking is what makes the join coherent, and it is the reason the mission, instead of any sub-mission element, is the correct atom.</w:t>
      </w:r>
    </w:p>
    <w:p>
      <w:pPr>
        <w:pStyle w:val="BodyText"/>
        <w:spacing w:line="480" w:lineRule="auto"/>
        <w:ind w:firstLine="720"/>
      </w:pPr>
      <w:r>
        <w:t xml:space="preserve">For this two, the papers differ in the precise population of missions over which this unit is realized, and the difference is substantive instead of cosmetic. The cost-growth paper assembles a panel of twenty-two recommended NASA astrophysics missions spanning the 1972 through 2020 decadal cycles, reaching from the Great Observatories and their predecessors through the Roman and SPHEREx era. The schedule paper assembles a panel of thirty missions spanning the early-1980s Explorer line through missions confirmed in the early 2020s and still in development at the estimate cutoff, and it deliberately broadens the population to include Earth-science observatory missions alongside the astrophysics missions so that the mission-class indicator carries genuine variation instead of being a near-constant. The schedule panel is therefore both larger and wider in scope than the cost panel. This is a design decision instead of an inconsistency: the schedule analysis requires a risk set rich enough to support a proportional-hazards estimator with censoring, and the broader population supplies the variation in mission class and confirmation timing that the Cox model needs.</w:t>
      </w:r>
    </w:p>
    <w:bookmarkEnd w:id="85"/>
    <w:bookmarkStart w:id="86" w:name="authoritative-source-families"/>
    <w:p>
      <w:pPr>
        <w:pStyle w:val="Heading2"/>
        <w:spacing w:line="480" w:lineRule="auto"/>
      </w:pPr>
      <w:r>
        <w:t xml:space="preserve">4.3 Authoritative Source Families</w:t>
      </w:r>
    </w:p>
    <w:p>
      <w:pPr>
        <w:pStyle w:val="FirstParagraph"/>
        <w:spacing w:line="480" w:lineRule="auto"/>
      </w:pPr>
      <w:r>
        <w:t xml:space="preserve">Every observation in both panels traces to one of two authoritative public source families, with a small, explicitly flagged set of reconciled rows discussed in Section 4.7. The first family is the Government Accountability Office’s recurring assessment of major NASA projects. The GAO publishes an annual assessment that reports, for each tracked major project, the baseline cost and schedule established at confirmation and the current cost and schedule as of the report date, and it is the standing public instrument through which NASA’s largest projects are audited for cost and schedule performance</w:t>
      </w:r>
      <w:r>
        <w:t xml:space="preserve"> </w:t>
      </w:r>
      <w:hyperlink w:anchor="ref-8">
        <w:r>
          <w:rPr>
            <w:rStyle w:val="Hyperlink"/>
          </w:rPr>
          <w:t xml:space="preserve">[8]</w:t>
        </w:r>
      </w:hyperlink>
      <w:r>
        <w:t xml:space="preserve">. The schedule paper draws explicitly on a span of editions across more than a decade and a half of these assessments, including the editions numbered GAO-09-306SP, GAO-14-72, GAO-22-105555, GAO-24-106767, and GAO-25-107591, so that the baseline and actual schedule values for missions confirmed in different eras are each read from the edition contemporaneous with that mission’s tracking. The 2025 edition</w:t>
      </w:r>
      <w:r>
        <w:t xml:space="preserve"> </w:t>
      </w:r>
      <w:hyperlink w:anchor="ref-8">
        <w:r>
          <w:rPr>
            <w:rStyle w:val="Hyperlink"/>
          </w:rPr>
          <w:t xml:space="preserve">[8]</w:t>
        </w:r>
      </w:hyperlink>
      <w:r>
        <w:t xml:space="preserve"> </w:t>
      </w:r>
      <w:r>
        <w:t xml:space="preserve">and the 2024 edition serve as the most recent anchors for missions still in development at the estimate cutoff, while the earlier editions supply the baselines set for missions confirmed in the 2000s and 2010s. The companion GAO product on lessons from ongoing major projects</w:t>
      </w:r>
      <w:r>
        <w:t xml:space="preserve"> </w:t>
      </w:r>
      <w:hyperlink w:anchor="ref-9">
        <w:r>
          <w:rPr>
            <w:rStyle w:val="Hyperlink"/>
          </w:rPr>
          <w:t xml:space="preserve">[9]</w:t>
        </w:r>
      </w:hyperlink>
      <w:r>
        <w:t xml:space="preserve"> </w:t>
      </w:r>
      <w:r>
        <w:t xml:space="preserve">supplements the assessment series by documenting how baseline cost and schedule have moved on individual programs, which is used as a cross-check on the recurring-assessment figures instead of as a primary baseline source.</w:t>
      </w:r>
    </w:p>
    <w:p>
      <w:pPr>
        <w:pStyle w:val="BodyText"/>
        <w:spacing w:line="480" w:lineRule="auto"/>
        <w:ind w:firstLine="720"/>
      </w:pPr>
      <w:r>
        <w:t xml:space="preserve">For this chapter, the treats this as an empirical claim: the second authoritative family is the published National Academies astrophysics decadal surveys, from which the priority ordinal and the mission-class assignment are taken. Both relevant surveys are freely available from the National Academies Press. The prospectus names the two anchor volumes explicitly:</w:t>
      </w:r>
      <w:r>
        <w:t xml:space="preserve"> </w:t>
      </w:r>
      <w:r>
        <w:rPr>
          <w:i/>
          <w:iCs/>
        </w:rPr>
        <w:t xml:space="preserve">New Worlds, New Horizons in Astronomy and Astrophysics</w:t>
      </w:r>
      <w:r>
        <w:t xml:space="preserve">, published in 2010, and</w:t>
      </w:r>
      <w:r>
        <w:t xml:space="preserve"> </w:t>
      </w:r>
      <w:r>
        <w:rPr>
          <w:i/>
          <w:iCs/>
        </w:rPr>
        <w:t xml:space="preserve">Pathways to Discovery in Astronomy and Astrophysics for the 2020s</w:t>
      </w:r>
      <w:r>
        <w:t xml:space="preserve">, published in 2021. The cost-growth panel reaches further back than these two volumes, drawing decadal priority ordinals across cycles from the 1972 survey forward, so that the Great Observatories and their predecessors carry a rank read from their own survey era. The decadal volumes supply two distinct pieces of information per mission: the ordinal standing of the mission within its survey cycle and class tier, which becomes the focal regressor, and the mission-class assignment, flagship versus probe versus Explorer or Discovery class, which becomes the mission-class control. The same decadal volumes, together with NASA mission confirmation documentation, also supply the technology-readiness and instrument-complexity proxies, so that the survey volume is a source for both the treatment and part of the control vector.</w:t>
      </w:r>
    </w:p>
    <w:p>
      <w:pPr>
        <w:pStyle w:val="BodyText"/>
        <w:spacing w:line="480" w:lineRule="auto"/>
        <w:ind w:firstLine="720"/>
      </w:pPr>
      <w:r>
        <w:t xml:space="preserve">For this deliberate, the use of two independent source families, one for outcomes and one for the treatment, is itself a measurement safeguard. Because the GAO reports cost and schedule without reference to decadal rank, and the decadal surveys assign rank without reference to realized GAO outcomes, the focal regressor and the dependent variables are taken from records produced by different institutions for different purposes. The two records were built for different purposes. This separation reduces the risk that a single source’s internal conventions could mechanically manufacture an association between priority and realized performance.</w:t>
      </w:r>
    </w:p>
    <w:bookmarkEnd w:id="86"/>
    <w:bookmarkStart w:id="89" w:name="constructing-the-dependent-variables"/>
    <w:p>
      <w:pPr>
        <w:pStyle w:val="Heading2"/>
        <w:spacing w:line="480" w:lineRule="auto"/>
      </w:pPr>
      <w:r>
        <w:t xml:space="preserve">4.4 Constructing the Dependent Variables</w:t>
      </w:r>
    </w:p>
    <w:bookmarkStart w:id="87" w:name="realized-cost-growth"/>
    <w:p>
      <w:pPr>
        <w:pStyle w:val="Heading3"/>
        <w:spacing w:line="480" w:lineRule="auto"/>
      </w:pPr>
      <w:r>
        <w:t xml:space="preserve">4.4.1 Realized Cost Growth</w:t>
      </w:r>
    </w:p>
    <w:p>
      <w:pPr>
        <w:pStyle w:val="FirstParagraph"/>
        <w:spacing w:line="480" w:lineRule="auto"/>
      </w:pPr>
      <w:r>
        <w:t xml:space="preserve">For this operational, the question is narrower: the dependent variable in the first paper is realized cost growth, defined as the percentage by which a mission’s realized life-cycle cost exceeded its baseline at confirmation. The construction is a ratio anchored on two figures read from the GAO record: the baseline life-cycle cost established at the mission’s confirmation, and the realized or current life-cycle cost as reported in the most recent GAO assessment that tracks the mission. The growth measure is the proportional excess of the second over the first, expressed in percentage points, so that a mission delivered exactly to baseline records zero growth and a mission whose realized cost is half again its baseline records fifty. The prospectus frames the same construct as a ratio of the final or current life-cycle cost estimate to the cost baseline at confirmation, and the first paper operationalizes that framing as a percentage excess. The cost literature motivates this anchoring choice. Parametric cost-estimation tools such as SEER-H have been subjected to blind validation against the realized cost of NASA missions, and that validation work documents how difficult it is to price systems for which few analogs exist</w:t>
      </w:r>
      <w:r>
        <w:t xml:space="preserve"> </w:t>
      </w:r>
      <w:hyperlink w:anchor="ref-4">
        <w:r>
          <w:rPr>
            <w:rStyle w:val="Hyperlink"/>
          </w:rPr>
          <w:t xml:space="preserve">[4]</w:t>
        </w:r>
      </w:hyperlink>
      <w:r>
        <w:t xml:space="preserve">. The blind-validation evidence matters for the present design because it establishes that the gap between an early estimate and a realized cost is a real, structured quantity instead of measurement noise, which is precisely the quantity the cost-growth variable is meant to capture. The flagship cases that anchor the cost panel, the James Webb Space Telescope and the Nancy Grace Roman Space Telescope, grew from their early baselines by amounts measured in billions of dollars, while many lower-ranked Explorer missions delivered close to plan, and this dispersion is the variation the dependent variable must faithfully represent.</w:t>
      </w:r>
    </w:p>
    <w:p>
      <w:pPr>
        <w:pStyle w:val="BodyText"/>
        <w:spacing w:line="480" w:lineRule="auto"/>
        <w:ind w:firstLine="720"/>
      </w:pPr>
      <w:r>
        <w:t xml:space="preserve">For the empirical reader, a measurement decision internal to cost growth is the choice of baseline anchor, because the growth ratio depends on which baseline is taken as the denominator. The prospectus identifies baseline-definition sensitivity as a named threat and commits the design to re-estimating against multiple anchors and reporting the spread. In the first paper the operative anchor is the confirmation baseline, the cost figure set at the mission’s confirmation review, because that is the figure the GAO reports as the formal baseline and the figure against which agency cost performance is conventionally judged. Using the confirmation baseline instead of an earlier formulation-phase estimate yields a conservative growth measure, because formulation-phase numbers are typically lower and would inflate apparent growth. The robustness program inherited from the prospectus tests sensitivity to this choice.</w:t>
      </w:r>
    </w:p>
    <w:bookmarkEnd w:id="87"/>
    <w:bookmarkStart w:id="88" w:name="Xf8d6da91d6edf605e922d1aa5d1c3bb70776e58"/>
    <w:p>
      <w:pPr>
        <w:pStyle w:val="Heading3"/>
        <w:spacing w:line="480" w:lineRule="auto"/>
      </w:pPr>
      <w:r>
        <w:t xml:space="preserve">4.4.2 Realized Development Duration and the Launch Event</w:t>
      </w:r>
    </w:p>
    <w:p>
      <w:pPr>
        <w:pStyle w:val="FirstParagraph"/>
        <w:spacing w:line="480" w:lineRule="auto"/>
      </w:pPr>
      <w:r>
        <w:t xml:space="preserve">For this evidence, the trail is concrete here: the dependent construct in the second paper is realized schedule, modeled as a duration instead of as a scalar slip. For each mission the source record records the confirmation year, the launch-readiness date set at confirmation, and, for missions that have flown, the actual launch date, from which the development duration in months is computed as the interval from confirmation to launch. The schedule paper deliberately models this interval as a survival time instead of as the simple difference between baseline and actual durations that the prospectus describes as schedule slip, because the duration framing allows missions still in development to contribute information without forcing an unobserved completion date. The construction therefore requires an event indicator in addition to the duration. The dataset records an event indicator equal to one for missions that had reached launch by the empirical reading cutoff and zero for missions still in development, which enter the estimating design as right-censored observations. In the schedule panel, twenty-six of the thirty missions had reached launch by the cutoff and four were censored. The censored rows are not discarded; they inform the risk set across the months during which they remained in development without asserting a launch that had not yet occurred. This is the central reason the second paper adopts a Cox proportional-hazards estimator: the four in-development missions carry exactly the accumulating delay that a regression on completed durations alone would throw away, and the duration-plus-event construction preserves that information.</w:t>
      </w:r>
    </w:p>
    <w:p>
      <w:pPr>
        <w:pStyle w:val="BodyText"/>
        <w:spacing w:line="480" w:lineRule="auto"/>
        <w:ind w:firstLine="720"/>
      </w:pPr>
      <w:r>
        <w:t xml:space="preserve">For the program record, the schedule and confirmation values are read from the GAO assessment editions enumerated in Section 4.3, supplemented by NASA mission archives, mission press kits, and contemporaneous launch reporting for the actual launch dates of missions that have flown. The interval that the duration variable measures begins at confirmation, a measurement boundary the second paper makes explicit and treats as a limitation, because the often long pre-confirmation formulation phase lies outside the measured window. The McNutt account of an interstellar-probe concept illustrates how an ambitious observatory’s development timeline is driven by the maturity of its detectors and systems</w:t>
      </w:r>
      <w:r>
        <w:t xml:space="preserve"> </w:t>
      </w:r>
      <w:hyperlink w:anchor="ref-7">
        <w:r>
          <w:rPr>
            <w:rStyle w:val="Hyperlink"/>
          </w:rPr>
          <w:t xml:space="preserve">[7]</w:t>
        </w:r>
      </w:hyperlink>
      <w:r>
        <w:t xml:space="preserve">, which is the engineering rationale for measuring duration from the confirmation gate, the point at which a mission’s principal technology is nominally committed.</w:t>
      </w:r>
    </w:p>
    <w:bookmarkEnd w:id="88"/>
    <w:bookmarkEnd w:id="89"/>
    <w:bookmarkStart w:id="90" w:name="X6fa8db5f2d37fbcf40ad1c971258ac3a8df4162"/>
    <w:p>
      <w:pPr>
        <w:pStyle w:val="Heading2"/>
        <w:spacing w:line="480" w:lineRule="auto"/>
      </w:pPr>
      <w:r>
        <w:t xml:space="preserve">4.5 Constructing the Focal Regressor: Decadal Priority</w:t>
      </w:r>
    </w:p>
    <w:p>
      <w:pPr>
        <w:pStyle w:val="FirstParagraph"/>
        <w:spacing w:line="480" w:lineRule="auto"/>
      </w:pPr>
      <w:r>
        <w:t xml:space="preserve">For this archival, the record matters here: the treatment variable of interest in both papers is the mission’s ordinal decadal priority within its survey cycle and class tier, read from the published decadal surveys. The variable is an ordinal, so that the first-ranked mission in a given survey cycle and tier carries a smaller numerical value than a lower-ranked mission, and both papers are explicit that lower ordinal values denote higher priority. This coding convention has a direct interpretive consequence that the analyses carry through their results. In the cost-growth regression, a negative coefficient on the rank ordinal means that a larger ordinal, signifying lower priority, is associated with less cost growth, so that the negative sign corresponds to the highest-priority missions exhibiting more growth. In the Cox model, because a covariate that lengthens development lowers the launch hazard, a positive coefficient on the priority ordinal would mean that lower-priority missions reach launch faster, equivalently that higher-priority missions take longer. The sign convention matters. The measurement chapter flags it here because the substantive meaning of the focal coefficient is unintelligible without it.</w:t>
      </w:r>
    </w:p>
    <w:p>
      <w:pPr>
        <w:pStyle w:val="BodyText"/>
        <w:spacing w:line="480" w:lineRule="auto"/>
        <w:ind w:firstLine="720"/>
      </w:pPr>
      <w:r>
        <w:t xml:space="preserve">Constructing the ordinal requires reconciling rank across survey cycles and, in the schedule panel, across the astrophysics and Earth-science communities. The decadal surveys do not present a single continuous ranking across all missions and all eras; each survey ranks missions within its own cycle and within class tiers, so the analyst must place each mission’s within-cycle, within-tier ordinal onto a common scale that the regression can read. The second paper names this reconciliation explicitly as a source of measurement noise, observing that aligning decadal ordinals across survey cycles and across two science communities involves analyst judgment. This is an honest acknowledgment that the focal regressor is not a pristine administrative field but a constructed variable, and the robustness program inherited from the prospectus responds to it directly by re-estimating with rank entered ordinally and, alternatively, as tier dummies, so that the result does not hinge on a single coding of the ordinal.</w:t>
      </w:r>
    </w:p>
    <w:p>
      <w:pPr>
        <w:pStyle w:val="BodyText"/>
        <w:spacing w:line="480" w:lineRule="auto"/>
        <w:ind w:firstLine="720"/>
      </w:pPr>
      <w:r>
        <w:t xml:space="preserve">For a replicator, the allocation and policy literature frames why this constructed ordinal is worth treating as a treatment variable at all. National space investment is distributed through priority and allocation frameworks that govern which programs are funded</w:t>
      </w:r>
      <w:r>
        <w:t xml:space="preserve"> </w:t>
      </w:r>
      <w:hyperlink w:anchor="ref-3">
        <w:r>
          <w:rPr>
            <w:rStyle w:val="Hyperlink"/>
          </w:rPr>
          <w:t xml:space="preserve">[3]</w:t>
        </w:r>
      </w:hyperlink>
      <w:r>
        <w:t xml:space="preserve">, and the institutional reading downstream treats a high decadal placement as a signal of maturity and executability instead of merely of scientific merit. The decadal ordinal is the operational measure of that institutional signal, and constructing it faithfully from the published surveys is what allows the dissertation to test whether the signal has predictive content.</w:t>
      </w:r>
    </w:p>
    <w:bookmarkEnd w:id="90"/>
    <w:bookmarkStart w:id="91" w:name="constructing-the-control-vector"/>
    <w:p>
      <w:pPr>
        <w:pStyle w:val="Heading2"/>
        <w:spacing w:line="480" w:lineRule="auto"/>
      </w:pPr>
      <w:r>
        <w:t xml:space="preserve">4.6 Constructing the Control Vector</w:t>
      </w:r>
    </w:p>
    <w:p>
      <w:pPr>
        <w:pStyle w:val="FirstParagraph"/>
        <w:spacing w:line="480" w:lineRule="auto"/>
      </w:pPr>
      <w:r>
        <w:t xml:space="preserve">For this chapter, the treats this as an empirical claim: the control vector is identical in spirit across the two papers, comprising technology readiness, instrument complexity, and mission class, each constructed from primary records. Technology readiness is measured as the technology readiness level of the principal system or instrument at confirmation, a single ordinal level read from NASA mission confirmation documentation and the decadal volumes. The construct captures the maturity of the binding technology at the moment the mission committed to development, which the engineering literature identifies as a primary determinant of realized cost and schedule. The interstellar-probe concept study underscores that detector and systems maturity govern the development timeline of an ambitious observatory</w:t>
      </w:r>
      <w:r>
        <w:t xml:space="preserve"> </w:t>
      </w:r>
      <w:hyperlink w:anchor="ref-7">
        <w:r>
          <w:rPr>
            <w:rStyle w:val="Hyperlink"/>
          </w:rPr>
          <w:t xml:space="preserve">[7]</w:t>
        </w:r>
      </w:hyperlink>
      <w:r>
        <w:t xml:space="preserve">, and the second paper’s strong, statistically resolved technology-readiness effect is the empirical expression of that principle. Measuring readiness at confirmation, instead of at some later milestone, fixes the variable at the same temporal boundary as the duration variable, so that the covariate describes the mission’s state at the gate from which schedule is measured.</w:t>
      </w:r>
    </w:p>
    <w:p>
      <w:pPr>
        <w:pStyle w:val="BodyText"/>
        <w:spacing w:line="480" w:lineRule="auto"/>
        <w:ind w:firstLine="720"/>
      </w:pPr>
      <w:r>
        <w:t xml:space="preserve">For this data, the construction is deliberately visible: instrument complexity is operationalized as the count of distinct science instruments the mission must integrate, used as an integration-complexity proxy. The count is read from mission documentation and is a description of the mission as flown or as baselined. The first paper finds that this proxy is the control that carries the clearest signal in the cost-growth regression, with each additional instrument associated with a sizable increment of cost growth, and it grounds the interpretation in the cost-estimation and large-telescope literatures that identify integration of multiple instruments as the hard-to-price core of observatory development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The large-telescope architecture literature emphasizes that instrument suites and integration pathways drive both cost and schedule precisely since the analog population is sparse</w:t>
      </w:r>
      <w:r>
        <w:t xml:space="preserve"> </w:t>
      </w:r>
      <w:hyperlink w:anchor="ref-1">
        <w:r>
          <w:rPr>
            <w:rStyle w:val="Hyperlink"/>
          </w:rPr>
          <w:t xml:space="preserve">[1]</w:t>
        </w:r>
      </w:hyperlink>
      <w:r>
        <w:t xml:space="preserve">, which is the conceptual warrant for using instrument count as a complexity proxy instead of a more elaborate engineering index that the small mission population could not support.</w:t>
      </w:r>
    </w:p>
    <w:p>
      <w:pPr>
        <w:pStyle w:val="BodyText"/>
        <w:spacing w:line="480" w:lineRule="auto"/>
        <w:ind w:firstLine="720"/>
      </w:pPr>
      <w:r>
        <w:t xml:space="preserve">Mission class is captured by a flagship indicator separating Great-Observatory-class missions from Explorer, Discovery, and probe-class missions. The indicator is read from the decadal mission-class assignment described in Section 4.3. Its purpose is to absorb the coarse heterogeneity between the billion-dollar flagships and the far smaller Explorer-class missions, heterogeneity that the prospectus identifies as a principal confound. In the schedule paper the population is deliberately constructed to give this indicator real variation, mixing Small Explorer and Medium Explorer missions with Great-Observatory and designated-observable flagships, so that the flagship coefficient is estimated from genuine contrast instead of from a near-constant. The cost-growth paper additionally relies on the decadal era, the survey cycle from which each mission’s rank is read, to absorb survey-cycle heterogeneity, consistent with the prospectus’s commitment to survey-cycle fixed effects that absorb era-specific budget and policy conditions. The operational question is narrower: the structural reading of the cost-and-schedule literature motivates retaining the full control vector even where individual controls prove statistically weak. Work on the management of joint programs shows that organizational and institutional structure can itself induce cost growth, and that conditions that appear favorable can produce the opposite of their expected effect once incentives and autonomy are accounted for</w:t>
      </w:r>
      <w:r>
        <w:t xml:space="preserve"> </w:t>
      </w:r>
      <w:hyperlink w:anchor="ref-5">
        <w:r>
          <w:rPr>
            <w:rStyle w:val="Hyperlink"/>
          </w:rPr>
          <w:t xml:space="preserve">[5]</w:t>
        </w:r>
      </w:hyperlink>
      <w:r>
        <w:t xml:space="preserve">. The broader space-economy framing, in which missions compete for a federal budget whose share of national output has fallen markedly over decades</w:t>
      </w:r>
      <w:r>
        <w:t xml:space="preserve"> </w:t>
      </w:r>
      <w:hyperlink w:anchor="ref-6">
        <w:r>
          <w:rPr>
            <w:rStyle w:val="Hyperlink"/>
          </w:rPr>
          <w:t xml:space="preserve">[6]</w:t>
        </w:r>
      </w:hyperlink>
      <w:r>
        <w:t xml:space="preserve">, reinforces that no single favorable attribute, priority included, mechanically governs delivery, which is why the design conditions on readiness, complexity, and class simultaneously instead of examining priority in isolation.</w:t>
      </w:r>
    </w:p>
    <w:bookmarkEnd w:id="91"/>
    <w:bookmarkStart w:id="92" w:name="X332f8a29daf730ee935bbaf8459d49f715ee689"/>
    <w:p>
      <w:pPr>
        <w:pStyle w:val="Heading2"/>
        <w:spacing w:line="480" w:lineRule="auto"/>
      </w:pPr>
      <w:r>
        <w:t xml:space="preserve">4.7 Join Procedure, Provenance, and Reconciled Rows</w:t>
      </w:r>
    </w:p>
    <w:p>
      <w:pPr>
        <w:pStyle w:val="FirstParagraph"/>
        <w:spacing w:line="480" w:lineRule="auto"/>
      </w:pPr>
      <w:r>
        <w:t xml:space="preserve">For the empirical reader, the two source families are joined on the mission name, which is the only key shared between the GAO project list and the decadal recommendation list. The join key is the mission name reconciled across the GAO project list and the decadal recommendation list, as the prospectus specifies, and the reconciliation is non-trivial because a mission may appear under a concept name in a decadal volume and under a project name in the GAO record. Each row is matched by hand so that the GAO-sourced outcome figures and the decadal-sourced rank and class attributes belong to the same physical mission. Provenance is audited at the level of the individual observation. Both panels carry a source column recording, for each row, the named GAO report, the named decadal survey, or the documented NASA or mission-team source from which that row’s figures are drawn. This row-level provenance is what makes the claim of full public traceability auditable instead of rhetorical: an independent analyst can take any single mission and follow its outcome figures to a GAO edition and its rank to a decadal volume.</w:t>
      </w:r>
    </w:p>
    <w:p>
      <w:pPr>
        <w:pStyle w:val="BodyText"/>
        <w:spacing w:line="480" w:lineRule="auto"/>
        <w:ind w:firstLine="720"/>
      </w:pPr>
      <w:r>
        <w:t xml:space="preserve">For this evidence, the trail is concrete here: a minority of rows rest on reconciled public figures where a single authoritative baseline document was not obtainable, and these are flagged instead of concealed. In the cost-growth panel, three of the twenty-two cost anchors, fewer than one in seven observations, rely on reconciled public figures cross-checked against the GAO and NASA records, and they are flagged in the data. In the schedule panel, two of the thirty rows, representing a recently selected Astrophysics Pioneers SmallSat and a representative in-development Medium Explorer, are marked illustrative where firm public dates were unavailable; these constitute under seven percent of the sample, and both are censored observations, so they inform the risk set without asserting an unobserved launch. The decision to retain these rows under explicit flags, instead of to drop them, is a measurement judgment that preserves population coverage while quarantining the observations whose anchors are weakest, and the robustness program tests whether their exclusion moves the focal coefficient.</w:t>
      </w:r>
    </w:p>
    <w:bookmarkEnd w:id="92"/>
    <w:bookmarkStart w:id="93" w:name="Xf996d28ad3cd9d8e467fb4eeb2d9708c7204ed7"/>
    <w:p>
      <w:pPr>
        <w:pStyle w:val="Heading2"/>
        <w:spacing w:line="480" w:lineRule="auto"/>
      </w:pPr>
      <w:r>
        <w:t xml:space="preserve">4.8 Measurement Threats Bounded by Construction</w:t>
      </w:r>
    </w:p>
    <w:p>
      <w:pPr>
        <w:pStyle w:val="FirstParagraph"/>
        <w:spacing w:line="480" w:lineRule="auto"/>
      </w:pPr>
      <w:r>
        <w:t xml:space="preserve">For the program record, four measurement threats are addressed by the construction choices documented above, each inherited from the prospectus and carried into the two papers. The dominant threat is small sample size, because the flagship-and-probe astrophysics population is on the order of low tens of missions; the construction responds by maximizing population coverage, twenty-two missions in the cost panel and thirty in the schedule panel, retaining flagged rows instead of discarding them, and pairing the panels with inference procedures suited to small samples. The second threat is baseline-definition sensitivity, addressed by anchoring cost growth on the confirmation baseline and committing to re-estimation against alternative anchors. The third threat is the measurement noise introduced by reconciling decadal ordinals across cycles and communities, addressed by the alternative ordinal and tier-dummy codings of the focal regressor. The fourth threat is survivorship, because cancelled concepts never enter the realized panel; the schedule construction confronts this directly through right-censoring of in-development missions, and the cost analysis commits to reporting how many recommended missions were cancelled and testing whether their exclusion biases the rank coefficient. None of these threats is fatal to the falsification design. Documenting how each is bounded by the data construction is the necessary precondition for the analyses that follow.</w:t>
      </w:r>
    </w:p>
    <w:bookmarkEnd w:id="93"/>
    <w:bookmarkEnd w:id="94"/>
    <w:bookmarkStart w:id="102" w:name="chapter-5.-methods-and-identification"/>
    <w:p>
      <w:pPr>
        <w:pStyle w:val="Heading1"/>
        <w:spacing w:line="480" w:lineRule="auto"/>
      </w:pPr>
      <w:r>
        <w:t xml:space="preserve">Chapter 5. Methods and Identification</w:t>
      </w:r>
    </w:p>
    <w:bookmarkStart w:id="95" w:name="overview"/>
    <w:p>
      <w:pPr>
        <w:pStyle w:val="Heading2"/>
        <w:spacing w:line="480" w:lineRule="auto"/>
      </w:pPr>
      <w:r>
        <w:t xml:space="preserve">5.1 Overview</w:t>
      </w:r>
    </w:p>
    <w:p>
      <w:pPr>
        <w:pStyle w:val="FirstParagraph"/>
        <w:spacing w:line="480" w:lineRule="auto"/>
      </w:pPr>
      <w:r>
        <w:t xml:space="preserve">For this evidence, the trail is concrete here: the chapter specifies the estimators, the identification strategy, and the validity architecture that together convert the dissertation’s central question into a falsifiable empirical exercise.</w:t>
      </w:r>
    </w:p>
    <w:p>
      <w:pPr>
        <w:pStyle w:val="BodyText"/>
        <w:spacing w:line="480" w:lineRule="auto"/>
        <w:ind w:firstLine="720"/>
      </w:pPr>
      <w:r>
        <w:t xml:space="preserve">For this question, the is whether a mission’s ordinal decadal priority carries measurable predictive content for its realized cost and schedule performance once the technical and programmatic attributes that genuinely drive delivery are held fixed. Because the contribution is deliberately narrow, a single conditional coefficient on decadal rank and the determination of whether it is statistically distinguishable from zero, the methodological burden falls less on model complexity than on the credibility of the conditioning set, the robustness of inference in a small population, and the disciplined bounding of each threat that could manufacture a spurious rejection or non-rejection of the null.</w:t>
      </w:r>
    </w:p>
    <w:p>
      <w:pPr>
        <w:pStyle w:val="BodyText"/>
        <w:spacing w:line="480" w:lineRule="auto"/>
        <w:ind w:firstLine="720"/>
      </w:pPr>
      <w:r>
        <w:t xml:space="preserve">The empirical design proceeds along two parallel estimation tracks since the dependent constructs are structurally different.</w:t>
      </w:r>
    </w:p>
    <w:p>
      <w:pPr>
        <w:pStyle w:val="BodyText"/>
        <w:spacing w:line="480" w:lineRule="auto"/>
        <w:ind w:firstLine="720"/>
      </w:pPr>
      <w:r>
        <w:t xml:space="preserve">Realized cost growth is a continuous, fully observed outcome and is therefore estimated by ordinary least squares on the cross section of recommended missions. Realized schedule is a duration, exposed to right-censoring because several confirmed missions have not yet launched, and is therefore estimated by a Cox proportional-hazards regression on the interval from confirmation to launch. The two tracks share a common conditioning logic, a common treatment variable, and a common philosophy of inference. They differ only in the estimator that the measurement structure of the outcome compels. The chapter treats them in turn and then unifies them under a single identification claim and a single validity ledger.</w:t>
      </w:r>
    </w:p>
    <w:bookmarkEnd w:id="95"/>
    <w:bookmarkStart w:id="96" w:name="the-estimand"/>
    <w:p>
      <w:pPr>
        <w:pStyle w:val="Heading2"/>
        <w:spacing w:line="480" w:lineRule="auto"/>
      </w:pPr>
      <w:r>
        <w:t xml:space="preserve">5.2 The Estimand</w:t>
      </w:r>
    </w:p>
    <w:p>
      <w:pPr>
        <w:pStyle w:val="FirstParagraph"/>
        <w:spacing w:line="480" w:lineRule="auto"/>
      </w:pPr>
      <w:r>
        <w:t xml:space="preserve">For this object, the of inference is the partial association between decadal priority and realized performance, conditional on the covariates that prior work identifies as the operative drivers of cost and schedule. In the cost track the estimand is the coefficient on the decadal priority ordinal in a linear model of percentage cost growth, interpreted as the marginal change in realized cost growth associated with a one-position movement down the priority order, holding technology readiness, instrument complexity, and mission class fixed. In the schedule track the estimand is the coefficient on the same priority ordinal in the log-hazard of reaching launch, interpreted through its hazard ratio as the multiplicative change in the instantaneous rate of launch associated with a one-position movement down the order, holding the same covariates fixed. The archival record matters here: neither estimand is asserted to be a structural causal parameter. The design does not randomize priority, and no instrument for priority is available or claimed. What the estimand recovers is the conditional predictive association that the institutional heuristic presupposes. The heuristic asserts that decadal standing is informative about delivery risk after the obvious technical drivers are accounted for. That assertion is itself a conditional-association claim, and it is precisely the conditional association that the estimand isolates. The study is therefore correctly specified to test the heuristic on the heuristic’s own terms, while remaining explicit that a non-zero coefficient would establish predictive content instead of mechanism.</w:t>
      </w:r>
    </w:p>
    <w:bookmarkEnd w:id="96"/>
    <w:bookmarkStart w:id="97" w:name="the-cost-estimator"/>
    <w:p>
      <w:pPr>
        <w:pStyle w:val="Heading2"/>
        <w:spacing w:line="480" w:lineRule="auto"/>
      </w:pPr>
      <w:r>
        <w:t xml:space="preserve">5.3 The Cost Estimator</w:t>
      </w:r>
    </w:p>
    <w:p>
      <w:pPr>
        <w:pStyle w:val="FirstParagraph"/>
        <w:spacing w:line="480" w:lineRule="auto"/>
      </w:pPr>
      <w:r>
        <w:t xml:space="preserve">For a replicator, for cost, the track estimates a single cross-sectional ordinary least squares specification. Realized cost growth, defined as the percentage by which a mission’s realized life-cycle cost exceeded its confirmation baseline, is regressed on the decadal priority ordinal and a vector of controls comprising technology readiness level at confirmation, the count of distinct science instruments as an integration-complexity proxy, and a flagship indicator that separates Great-Observatory-class missions from Explorer, Discovery, and probe-class missions. The decadal era enters to absorb survey-cycle and fiscal-regime heterogeneity. Ordinary least squares is the appropriate baseline estimator here because the outcome is continuous and fully observed for the launched and tracked population, and because the contribution is a single interpretable coefficient whose sign, magnitude, and interval are the entire object of interest. Inference uses heteroskedasticity-robust standard errors of the HC1 form. This choice is not cosmetic. The population is small and heterogeneous. It spans billion-dollar flagships whose cost-growth variance is large and Explorer-class missions whose variance is comparatively contained. Conventional homoskedastic standard errors would misstate the precision of the rank coefficient under exactly this variance structure. The robust covariance estimator restores honest standard errors without imposing a functional form on the heteroskedasticity. The companion cost paper reports the consequences of these choices concretely: a model coefficient of determination of 0.61, an adjusted figure of 0.51, and a jointly significant regression with an F-statistic of 4.84 at a p-value of 0.009, within which the rank coefficient is approximately negative 7.2 with a robust standard error near 4.2 and a ninety-five percent confidence interval running from about negative 15.5 to about positive 1.1.</w:t>
      </w:r>
    </w:p>
    <w:p>
      <w:pPr>
        <w:pStyle w:val="BodyText"/>
        <w:spacing w:line="480" w:lineRule="auto"/>
        <w:ind w:firstLine="720"/>
      </w:pPr>
      <w:r>
        <w:t xml:space="preserve">For this chapter, the treats this as an empirical claim: because the population is small, the empirical reading privileges the confidence interval and the sign of the coefficient over a binary significance verdict. A coefficient interval that straddles zero is reported as straddling zero, and no rejection is asserted from a point estimate alone. The cost-estimation literature is explicit that sparse analog populations limit estimate fidelity for large observatories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and that the same sparsity that complicates parametric cost models complicates statistical inference over their realized outcomes. The estimator is chosen to be transparent about that constraint instead of to disguise it behind asymptotic machinery the sample cannot support.</w:t>
      </w:r>
    </w:p>
    <w:bookmarkEnd w:id="97"/>
    <w:bookmarkStart w:id="98" w:name="the-schedule-estimator"/>
    <w:p>
      <w:pPr>
        <w:pStyle w:val="Heading2"/>
        <w:spacing w:line="480" w:lineRule="auto"/>
      </w:pPr>
      <w:r>
        <w:t xml:space="preserve">5.4 The Schedule Estimator</w:t>
      </w:r>
    </w:p>
    <w:p>
      <w:pPr>
        <w:pStyle w:val="FirstParagraph"/>
        <w:spacing w:line="480" w:lineRule="auto"/>
      </w:pPr>
      <w:r>
        <w:t xml:space="preserve">For this data, the construction is deliberately visible: for schedule, the track estimates a Cox proportional-hazards regression fit by partial likelihood. The duration of interest is the interval in months from project confirmation to launch, the event is the mission reaching launch, and missions still in development at the empirical reading cutoff enter as right-censored observations that inform the risk set without asserting an unobserved launch date. The hazard of reaching launch at development month t is modeled as the product of an unspecified baseline hazard and an exponential function of the covariate vector, so that each coefficient is read through its hazard ratio. The covariates mirror the cost track: the decadal priority ordinal, technology readiness at confirmation, instrument count, and the flagship indicator.</w:t>
      </w:r>
    </w:p>
    <w:p>
      <w:pPr>
        <w:pStyle w:val="BodyText"/>
        <w:spacing w:line="480" w:lineRule="auto"/>
        <w:ind w:firstLine="720"/>
      </w:pPr>
      <w:r>
        <w:t xml:space="preserve">The Cox specification is the correct estimator for the schedule question for three reasons that the simpler alternative cannot satisfy. First, it accommodates right-censoring directly. A linear regression on completed durations alone would discard exactly the in-development missions whose delay is still accumulating, and discarding them would bias the empirical reading toward the subset that resolved quickly. Second, the Cox model imposes no parametric assumption on the shape of the baseline hazard, which is desirable because launch timing is governed by lumpy external events, appropriations cycles, and launch-manifest slots, that no smooth parametric duration family represents faithfully. Third, the hazard-ratio output translates directly into statements about whether a mission attribute speeds or slows the rate of reaching launch, which is the policy-relevant quantity. The companion schedule paper reports the fitted result on thirty missions and twenty-six launch events: a priority coefficient of negative 0.0902 with a standard error of 0.3367, a hazard ratio of 0.914, and a coefficient interval from negative 0.750 to 0.570 that straddles zero, against a technology-readiness coefficient of 1.0292 at a p-value of 0.0215 whose hazard ratio of 2.799 is the only resolved effect in the fitted specification.</w:t>
      </w:r>
    </w:p>
    <w:p>
      <w:pPr>
        <w:pStyle w:val="BodyText"/>
        <w:spacing w:line="480" w:lineRule="auto"/>
        <w:ind w:firstLine="720"/>
      </w:pPr>
      <w:r>
        <w:t xml:space="preserve">For this operational, the question is narrower: the proportional-hazards assumption itself is a maintained assumption instead of a free lunch, and the empirical reading treats it that way. It holds that covariate effects on the hazard stay constant in proportion across development time. In a population this size the assumption cannot be tested with high power, but it can be probed through scaled-residual diagnostics, and the empirical reading reports those diagnostics instead of presuming the assumption away. Where a covariate shows evidence of a time-varying effect, the qualitative conclusion is what the chapter reports, because the small sample does not support a fully interacted time-varying specification.</w:t>
      </w:r>
    </w:p>
    <w:bookmarkEnd w:id="98"/>
    <w:bookmarkStart w:id="99" w:name="identification-strategy"/>
    <w:p>
      <w:pPr>
        <w:pStyle w:val="Heading2"/>
        <w:spacing w:line="480" w:lineRule="auto"/>
      </w:pPr>
      <w:r>
        <w:t xml:space="preserve">5.5 Identification Strategy</w:t>
      </w:r>
    </w:p>
    <w:p>
      <w:pPr>
        <w:pStyle w:val="FirstParagraph"/>
        <w:spacing w:line="480" w:lineRule="auto"/>
      </w:pPr>
      <w:r>
        <w:t xml:space="preserve">For the empirical reader, identification rests on conditional independence of the priority coefficient from the principal confounders given the observed covariates, supported by structural absorption of era-specific and class-specific heterogeneity. The strategy is not an appeal to randomization, which the data do not provide, but a layered argument that the conditioning set spans the channels through which priority could be spuriously correlated with realized performance. The first layer is the conditioning set itself. The institutional concern is that high-priority missions are more ambitious, and that ambition instead of priority drives cost growth and schedule slip. The two covariates that operationalize ambition, instrument count as an integration-complexity proxy and technology readiness at confirmation as a maturity proxy, are entered directly. The companion analyses demonstrate that these covariates are not inert controls but the operative drivers: instrument count carries the resolved cost-growth signal of roughly fifteen percentage points per instrument, and technology readiness carries the resolved schedule signal of nearly a tripling of the launch hazard per maturity level. Because the very channels through which ambition would confound priority are measured and conditioned upon, the residual priority coefficient is identified against a conditioning set that contains the leading alternative explanation instead of omitting it.</w:t>
      </w:r>
    </w:p>
    <w:p>
      <w:pPr>
        <w:pStyle w:val="BodyText"/>
        <w:spacing w:line="480" w:lineRule="auto"/>
        <w:ind w:firstLine="720"/>
      </w:pPr>
      <w:r>
        <w:t xml:space="preserve">For this evidence, the trail is concrete here: second comes structural absorption of era effects. Different decadal cycles operated under different fiscal regimes, different launch-vehicle markets, and different agency cost-estimating practices. A priority ordinal compared naively across cycles would conflate a mission’s within-cycle standing with the budgetary climate of its era. The decadal-era term absorbs that confound by forcing the priority comparison to operate within the fiscal regime of each survey instead of across regimes. The space-economy literature is explicit that national investment is allocated through priority frameworks whose climate shifts over decades</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which is exactly why era must be absorbed instead of ignored. The third layer is the cross-estimator consistency check. Cost and schedule are distinct outcomes estimated by distinct estimators on overlapping but non-identical populations. If decadal priority carried a genuine, robust signal about executability, that signal should be visible in at least one of the two dimensions and should not be an artifact of a single specification. The dissertation’s identification claim is strengthened, not weakened, by the finding that priority is weakly and inconclusively associated with cost and cleanly null on schedule, because two estimators with different censoring structures, different functional forms, and different sample frames converge on the same qualitative reading. The two estimators disagree in structure and agree in verdict. A confound capable of producing that joint pattern by accident would have to act identically on a linear conditional mean and on a partial-likelihood hazard, which is a far stronger coincidence than confounding within either model alone.</w:t>
      </w:r>
    </w:p>
    <w:bookmarkEnd w:id="99"/>
    <w:bookmarkStart w:id="100" w:name="threats-to-validity-and-their-bounds"/>
    <w:p>
      <w:pPr>
        <w:pStyle w:val="Heading2"/>
        <w:spacing w:line="480" w:lineRule="auto"/>
      </w:pPr>
      <w:r>
        <w:t xml:space="preserve">5.6 Threats to Validity and Their Bounds</w:t>
      </w:r>
    </w:p>
    <w:p>
      <w:pPr>
        <w:pStyle w:val="FirstParagraph"/>
        <w:spacing w:line="480" w:lineRule="auto"/>
      </w:pPr>
      <w:r>
        <w:t xml:space="preserve">For this falsification, the design is robust to each of the following threats in the specific sense that none can convert a non-rejection into a rejection, or a rejection into a non-rejection, without leaving a detectable signature that the empirical reading reports.</w:t>
      </w:r>
    </w:p>
    <w:p>
      <w:pPr>
        <w:pStyle w:val="BodyText"/>
        <w:spacing w:line="480" w:lineRule="auto"/>
        <w:ind w:firstLine="720"/>
      </w:pPr>
      <w:r>
        <w:t xml:space="preserve">For this archival, the record matters here:</w:t>
      </w:r>
      <w:r>
        <w:t xml:space="preserve"> </w:t>
      </w:r>
      <w:r>
        <w:rPr>
          <w:b/>
          <w:bCs/>
        </w:rPr>
        <w:t xml:space="preserve">Small sample and statistical power.</w:t>
      </w:r>
      <w:r>
        <w:t xml:space="preserve"> </w:t>
      </w:r>
      <w:r>
        <w:t xml:space="preserve">The dominant threat is the size of the population. The flagship-and-probe astrophysics record is on the order of low tens of missions, with the cost track standing at twenty-two observations and the schedule track at thirty missions and twenty-six events. Small samples inflate standard errors and depress power, which is why a non-rejection of the null must be read as the absence of a detectable association instead of as proof of exact zero effect. This threat is bounded in three ways. First, inference privileges the confidence interval and the coefficient sign over a binary significance verdict, so the reported conclusion is an interval statement instead of an over-claimed point verdict. Second, the robust standard errors widen honestly under the heterogeneity the small sample exhibits, so precision is not overstated. Third, the cross-estimator consistency between the cost and schedule tracks provides corroboration that no single underpowered model could supply on its own. The bound is therefore explicit: the design can detect a large priority effect and would report it, but it cannot resolve a small one, and it says so.</w:t>
      </w:r>
    </w:p>
    <w:p>
      <w:pPr>
        <w:pStyle w:val="BodyText"/>
        <w:spacing w:line="480" w:lineRule="auto"/>
        <w:ind w:firstLine="720"/>
      </w:pPr>
      <w:r>
        <w:rPr>
          <w:b/>
          <w:bCs/>
        </w:rPr>
        <w:t xml:space="preserve">Selection on unobserved scope ambition.</w:t>
      </w:r>
      <w:r>
        <w:t xml:space="preserve"> </w:t>
      </w:r>
      <w:r>
        <w:t xml:space="preserve">Missions ranked highly may have been funded sooner and scoped more ambitiously, so priority could correlate with unobserved scope that drives realized performance. This is the central endogeneity threat. It is bounded by the conditioning set, which measures the two principal observable expressions of scope ambition, instrument count and technology readiness, and absorbs era effects that proxy for the funding climate in which scope decisions were made. The companion findings show that once these observables are in the estimating design, the headline priority and mission-class labels add little independent explanatory power, which is the signature one expects if the conditioning set has captured the operative scope channel. Residual confounding from genuinely unobserved scope cannot be excluded, and the chapter does not claim to exclude it; the bound is that any such residual would have to be orthogonal to instrument count, technology readiness, and era simultaneously, a demanding condition that narrows the space in which the threat can operate.</w:t>
      </w:r>
    </w:p>
    <w:p>
      <w:pPr>
        <w:pStyle w:val="BodyText"/>
        <w:spacing w:line="480" w:lineRule="auto"/>
        <w:ind w:firstLine="720"/>
      </w:pPr>
      <w:r>
        <w:t xml:space="preserve">For a replicator,</w:t>
      </w:r>
      <w:r>
        <w:t xml:space="preserve"> </w:t>
      </w:r>
      <w:r>
        <w:rPr>
          <w:b/>
          <w:bCs/>
        </w:rPr>
        <w:t xml:space="preserve">Baseline-definition sensitivity.</w:t>
      </w:r>
      <w:r>
        <w:t xml:space="preserve"> </w:t>
      </w:r>
      <w:r>
        <w:t xml:space="preserve">Cost growth depends on which baseline anchor is used, and confirmation baselines for older missions are not always documented by a single authoritative source. Three of the twenty-two cost anchors rest on reconciled public figures instead of a single baseline document, and these are flagged in the data. The threat is that an arbitrary anchor choice manufactures or suppresses the rank coefficient. It is bounded by re-estimation against multiple baseline anchors and by reporting the spread of the rank coefficient across those anchors, so that the conclusion is shown to be stable to the anchor choice instead of contingent on one definition. The flagging of reconciled anchors makes the dependence transparent, and the small share of affected observations, below one in seven, limits the leverage any single mis-anchored row can exert on the empirical reading.</w:t>
      </w:r>
      <w:r>
        <w:t xml:space="preserve"> </w:t>
      </w:r>
      <w:r>
        <w:rPr>
          <w:b/>
          <w:bCs/>
        </w:rPr>
        <w:t xml:space="preserve">Survivorship of cancelled concepts.</w:t>
      </w:r>
      <w:r>
        <w:t xml:space="preserve"> </w:t>
      </w:r>
      <w:r>
        <w:t xml:space="preserve">Cancelled missions never enter the realized-outcome panel, and they may have differed systematically in scope ambition from the missions that survived to deliver. If cancellation is correlated with both priority and latent cost or schedule risk, the surviving panel is a selected sample. The threat is bounded by enumerating how many recommended missions were cancelled and by testing whether their exclusion plausibly biases the rank coefficient, reporting the count and the direction of any plausible bias instead of treating the realized panel as the full population. The bound is honest instead of dispositive: the empirical reading cannot observe the counterfactual cost and schedule of a mission that never flew, but it can and does quantify the exposure of the result to that unobserved set.</w:t>
      </w:r>
    </w:p>
    <w:p>
      <w:pPr>
        <w:pStyle w:val="BodyText"/>
        <w:spacing w:line="480" w:lineRule="auto"/>
        <w:ind w:firstLine="720"/>
      </w:pPr>
      <w:r>
        <w:t xml:space="preserve">For this chapter, the treats this as an empirical claim:</w:t>
      </w:r>
      <w:r>
        <w:t xml:space="preserve"> </w:t>
      </w:r>
      <w:r>
        <w:rPr>
          <w:b/>
          <w:bCs/>
        </w:rPr>
        <w:t xml:space="preserve">Measurement noise in the priority variable.</w:t>
      </w:r>
      <w:r>
        <w:t xml:space="preserve"> </w:t>
      </w:r>
      <w:r>
        <w:t xml:space="preserve">Reconciling decadal ordinals across survey cycles, and across the astrophysics and Earth-science communities in the schedule track, involves analyst judgment that introduces noise into the focal regressor. Classical measurement error in a regressor attenuates its coefficient toward zero, which means this threat biases the design against rejecting the null. The bound is therefore directional and conservative: to the extent priority is measured with noise, the true association is at least as large as the estimated one in absolute terms, so a reported non-rejection is not an artifact of attenuation working in the rejection’s favor. The chapter reports the coding rules used for reconciliation so the noise is auditable.</w:t>
      </w:r>
      <w:r>
        <w:t xml:space="preserve"> </w:t>
      </w:r>
      <w:r>
        <w:rPr>
          <w:b/>
          <w:bCs/>
        </w:rPr>
        <w:t xml:space="preserve">Left-truncation of the pre-confirmation phase.</w:t>
      </w:r>
      <w:r>
        <w:t xml:space="preserve"> </w:t>
      </w:r>
      <w:r>
        <w:t xml:space="preserve">The schedule duration begins at confirmation and does not capture the often long pre-confirmation formulation phase, during which priority may exert effects the design cannot see. This bounds the scope of the schedule claim instead of its internal validity: the null on priority is a statement about the confirmation-to-launch interval specifically, not about the full lifecycle from survey ranking to launch. The chapter states this scope condition explicitly and identifies the full-lifecycle model as the natural extension, so that the downstream null is not over-read as an upstream null.</w:t>
      </w:r>
    </w:p>
    <w:p>
      <w:pPr>
        <w:pStyle w:val="BodyText"/>
        <w:spacing w:line="480" w:lineRule="auto"/>
        <w:ind w:firstLine="720"/>
      </w:pPr>
      <w:r>
        <w:t xml:space="preserve">For this data, the construction is deliberately visible:</w:t>
      </w:r>
      <w:r>
        <w:t xml:space="preserve"> </w:t>
      </w:r>
      <w:r>
        <w:rPr>
          <w:b/>
          <w:bCs/>
        </w:rPr>
        <w:t xml:space="preserve">Proportional-hazards and functional-form assumptions.</w:t>
      </w:r>
      <w:r>
        <w:t xml:space="preserve"> </w:t>
      </w:r>
      <w:r>
        <w:t xml:space="preserve">The Cox track maintains proportional hazards and the cost track maintains linearity in the conditional mean. Each is an assumption instead of a fact. Proportional hazards is probed through scaled-residual diagnostics, and the linear cost specification is checked through robustness re-estimation with rank entered both ordinally and as tier dummies. Where an assumption is not strongly supported by the small sample, the qualitative conclusion instead of a fragile parametric magnitude is what the chapter carries forward. The bound is that the headline conclusions, a weak and inconclusive cost association and a clean schedule null, do not depend on the precise functional form, because they survive the alternative specifications the robustness battery imposes.</w:t>
      </w:r>
    </w:p>
    <w:bookmarkEnd w:id="100"/>
    <w:bookmarkStart w:id="101" w:name="Xc4bfac1295007d8734efaf0a389814d56b0cc31"/>
    <w:p>
      <w:pPr>
        <w:pStyle w:val="Heading2"/>
        <w:spacing w:line="480" w:lineRule="auto"/>
      </w:pPr>
      <w:r>
        <w:t xml:space="preserve">5.7 Inference Philosophy and Reporting Standard</w:t>
      </w:r>
    </w:p>
    <w:p>
      <w:pPr>
        <w:pStyle w:val="FirstParagraph"/>
        <w:spacing w:line="480" w:lineRule="auto"/>
      </w:pPr>
      <w:r>
        <w:t xml:space="preserve">For this operational, the question is narrower: the unifying inferential commitment across both estimators is that a small, non-randomly-generated population is treated with the modesty it demands. Conclusions are reported as confidence intervals and signs, not as binary significance verdicts. Robust covariance estimation is used in the cost track and partial-likelihood inference with explicit censoring in the schedule track, each chosen to match the variance and observation structure of its outcome. Permutation-based and exact procedures are available as a check on the conventional standard errors where the sample is smallest, and the empirical reading reports the coefficient with a bootstrap confidence interval instead of leaning on large-sample asymptotics the population cannot justify. The reporting standard is that every observation traces to a named public source, a GAO assessment year or a named decadal survey chapter</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and that observations resting on reconciled or illustrative figures are flagged so that a reader can reweight or exclude them. This standard makes the falsification auditable. A reader who disputes a baseline anchor, a priority reconciliation, or a censoring decision can locate the affected rows and re-estimate. The estimators are not new. The methodological contribution of the chapter is a disciplined join of two standard estimators to a fully provenanced panel, with each threat to the resulting inference named, directionally signed where its direction is known, and bounded by a reported diagnostic instead of by assertion.</w:t>
      </w:r>
    </w:p>
    <w:bookmarkEnd w:id="101"/>
    <w:bookmarkEnd w:id="102"/>
    <w:bookmarkStart w:id="114" w:name="chapter-6.-results"/>
    <w:p>
      <w:pPr>
        <w:pStyle w:val="Heading1"/>
        <w:spacing w:line="480" w:lineRule="auto"/>
      </w:pPr>
      <w:r>
        <w:t xml:space="preserve">Chapter 6. Results</w:t>
      </w:r>
    </w:p>
    <w:p>
      <w:pPr>
        <w:pStyle w:val="FirstParagraph"/>
        <w:spacing w:line="480" w:lineRule="auto"/>
      </w:pPr>
      <w:r>
        <w:t xml:space="preserve">The chapter reports the empirical results of the two estimations that together constitute the falsifiable core of this dissertation.</w:t>
      </w:r>
    </w:p>
    <w:p>
      <w:pPr>
        <w:pStyle w:val="BodyText"/>
        <w:spacing w:line="480" w:lineRule="auto"/>
        <w:ind w:firstLine="720"/>
      </w:pPr>
      <w:r>
        <w:t xml:space="preserve">For this first, the estimation tests whether a mission’s ordinal decadal priority predicts the cost growth it ultimately realized relative to its confirmation baseline. The second tests whether that same priority ordinal predicts the rate at which a confirmed mission reaches launch, modeled as a time-to-event duration. The two outcomes, cost growth and schedule, are the two dimensions on which the institutional belief in decadal ranking as a delivery-confidence signal can be checked against the historical record. The prospectus framed the contribution as a single estimated coefficient on decadal rank and the determination of whether it is statistically distinguishable from zero. The chapter delivers that determination twice, once for each outcome construct, and reports the full set of estimated terms, their standard errors, and their p-values so that the reader can judge not only the focal coefficient but the structure of the estimating design around it. The tables, formulas, and source data underlying every figure reported below are reproduced in Appendix A; the text here states and interprets the numbers without restating the estimation machinery.</w:t>
      </w:r>
    </w:p>
    <w:p>
      <w:pPr>
        <w:pStyle w:val="BodyText"/>
        <w:spacing w:line="480" w:lineRule="auto"/>
        <w:ind w:firstLine="720"/>
      </w:pPr>
      <w:r>
        <w:t xml:space="preserve">The evidence trail is concrete here: throughout, the interpretive discipline is the one the prospectus set out.</w:t>
      </w:r>
    </w:p>
    <w:p>
      <w:pPr>
        <w:pStyle w:val="BodyText"/>
        <w:spacing w:line="480" w:lineRule="auto"/>
        <w:ind w:firstLine="720"/>
      </w:pPr>
      <w:r>
        <w:t xml:space="preserve">Because the mission population is small, the empirical reading privileges the sign and the confidence interval of the focal coefficient over a binary significance verdict, and it treats a failure to reject the null as a substantive and publishable finding instead of as a result to be discarded. The two estimations are reported in turn, the cost-growth regression first and the schedule hazard model second, after which the chapter draws the two threads together into a single statement about what decadal priority does and does not predict.</w:t>
      </w:r>
    </w:p>
    <w:bookmarkStart w:id="107" w:name="the-cost-growth-regression"/>
    <w:p>
      <w:pPr>
        <w:pStyle w:val="Heading2"/>
        <w:spacing w:line="480" w:lineRule="auto"/>
      </w:pPr>
      <w:r>
        <w:t xml:space="preserve">6.1 The Cost-Growth Regression</w:t>
      </w:r>
    </w:p>
    <w:bookmarkStart w:id="103" w:name="model-fit-and-joint-significance"/>
    <w:p>
      <w:pPr>
        <w:pStyle w:val="Heading3"/>
        <w:spacing w:line="480" w:lineRule="auto"/>
      </w:pPr>
      <w:r>
        <w:t xml:space="preserve">6.1.1 Model fit and joint significance</w:t>
      </w:r>
    </w:p>
    <w:p>
      <w:pPr>
        <w:pStyle w:val="FirstParagraph"/>
        <w:spacing w:line="480" w:lineRule="auto"/>
      </w:pPr>
      <w:r>
        <w:t xml:space="preserve">For this first, the estimation is a cross-sectional ordinary least squares regression of realized cost growth on the decadal priority ordinal and a vector of three controls: the technology readiness level of the principal system at confirmation, the count of distinct science instruments as an integration-complexity proxy, and a flagship indicator separating Great-Observatory-class missions from Explorer, Discovery, and probe-class missions. The dependent variable is realized cost growth expressed as the percentage by which a mission’s realized life-cycle cost exceeded its confirmation baseline. Inference uses heteroskedasticity-robust HC1 standard errors, which is the appropriate choice for a population in which the residual variance plainly differs between billion-dollar flagships and Explorer-class missions. The estimation is fit on a panel of twenty-two missions spanning the decadal cycles that the data chapter described.</w:t>
      </w:r>
    </w:p>
    <w:p>
      <w:pPr>
        <w:pStyle w:val="BodyText"/>
        <w:spacing w:line="480" w:lineRule="auto"/>
        <w:ind w:firstLine="720"/>
      </w:pPr>
      <w:r>
        <w:t xml:space="preserve">The archival record matters here: the model explains a substantial share of the variation in realized cost growth.</w:t>
      </w:r>
    </w:p>
    <w:p>
      <w:pPr>
        <w:pStyle w:val="BodyText"/>
        <w:spacing w:line="480" w:lineRule="auto"/>
        <w:ind w:firstLine="720"/>
      </w:pPr>
      <w:r>
        <w:t xml:space="preserve">For this coefficient, the of determination is 0.6071, and the adjusted coefficient of determination, which penalizes the four estimated slope terms against the twenty-two observations, is 0.5146. The regression is jointly significant: the F-statistic is 4.8405 on the fitted specification’s degrees of freedom, with an associated p-value of 0.0086. The joint test therefore rejects, at better than the one-percent level, the hypothesis that the four regressors collectively carry no information about cost growth. This is the first substantive result of the chapter. It is worth stating plainly before turning to the individual terms. The cost-growth record of the astrophysics portfolio is not random with respect to the measured attributes. Something in the combination of priority, technology readiness, instrument complexity, and mission class is doing real explanatory work, and the estimating design recovers roughly three-fifths of the variance in the outcome. The question the rest of the regression answers is which of those four attributes is responsible.</w:t>
      </w:r>
    </w:p>
    <w:bookmarkEnd w:id="103"/>
    <w:bookmarkStart w:id="104" w:name="the-focal-coefficient-on-decadal-rank"/>
    <w:p>
      <w:pPr>
        <w:pStyle w:val="Heading3"/>
        <w:spacing w:line="480" w:lineRule="auto"/>
      </w:pPr>
      <w:r>
        <w:t xml:space="preserve">6.1.2 The focal coefficient on decadal rank</w:t>
      </w:r>
    </w:p>
    <w:p>
      <w:pPr>
        <w:pStyle w:val="FirstParagraph"/>
        <w:spacing w:line="480" w:lineRule="auto"/>
      </w:pPr>
      <w:r>
        <w:t xml:space="preserve">For a replicator, the coefficient of central interest is the one on the decadal priority ordinal. Its point estimate is -7.1976, with a robust standard error of 4.2285. The implied t-statistic is the ratio of those two quantities, approximately -1.70, and the associated two-sided p-value is 0.0887. A ninety-five percent confidence interval constructed from the point estimate and the robust standard error runs from roughly -15.49 to roughly 1.09 and for that reason contains zero.</w:t>
      </w:r>
    </w:p>
    <w:p>
      <w:pPr>
        <w:pStyle w:val="BodyText"/>
        <w:spacing w:line="480" w:lineRule="auto"/>
        <w:ind w:firstLine="720"/>
      </w:pPr>
      <w:r>
        <w:t xml:space="preserve">Two features of this estimate deserve careful interpretation. The first is the sign. The decadal ordinal is coded so that a larger value denotes a lower priority: rank one is the community’s top choice, and higher ordinals are progressively lower-ranked concepts. A negative coefficient therefore means that as the ordinal rises, that is, as priority falls, predicted cost growth declines. Read in the direction the prospectus framed, the highest-priority missions, those with the smallest ordinals, are the ones associated with the larger cost growth, and the lower-priority missions are associated with somewhat less. This is the sign that the alternative hypothesis would predict if decadal rank carried any signal at all, but it is the inverse of the comforting institutional reading. The institutional heuristic holds that a high decadal placement marks a mission as mature, well scoped, and therefore a safe bet to deliver near baseline. The estimated sign points the other way: in this population, higher priority is associated with more cost growth, not less, consistent with the highest-ranked flagships being precisely the most ambitious and the most exposed to overrun.</w:t>
      </w:r>
    </w:p>
    <w:p>
      <w:pPr>
        <w:pStyle w:val="BodyText"/>
        <w:spacing w:line="480" w:lineRule="auto"/>
        <w:ind w:firstLine="720"/>
      </w:pPr>
      <w:r>
        <w:t xml:space="preserve">For this chapter, the treats this as an empirical claim: the second feature is the magnitude of the uncertainty. The p-value of 0.0887 does not clear the conventional five-percent threshold, and the confidence interval crosses zero. On the evidence of this specification, the null hypothesis that decadal priority has no conditional association with realized cost growth cannot be rejected at the five-percent level. The estimate is marginally detectable, sitting just inside the ten-percent band, but it is too imprecise to support a confident claim that the association is real. The honest reading, and the one the prospectus committed to in advance, is that decadal priority carries at most a weak, marginally suggestive association with realized cost growth once complexity and readiness are held fixed, and that its sign, if the association is real at all, runs opposite to the institutional presumption. The cost-estimation literature anticipates exactly this kind of result: pricing large observatories is hard precisely since the analog population is sparse and each new flagship extends beyond prior experience</w:t>
      </w:r>
      <w:r>
        <w:t xml:space="preserve"> </w:t>
      </w:r>
      <w:hyperlink w:anchor="ref-1">
        <w:r>
          <w:rPr>
            <w:rStyle w:val="Hyperlink"/>
          </w:rPr>
          <w:t xml:space="preserve">[1]</w:t>
        </w:r>
      </w:hyperlink>
      <w:r>
        <w:t xml:space="preserve">, and a consensus ranking that is not built around that engineering reality should not be expected to forecast it.</w:t>
      </w:r>
    </w:p>
    <w:bookmarkEnd w:id="104"/>
    <w:bookmarkStart w:id="105" w:name="X34a69be9e33b8841fdacb70b87123b925533c38"/>
    <w:p>
      <w:pPr>
        <w:pStyle w:val="Heading3"/>
        <w:spacing w:line="480" w:lineRule="auto"/>
      </w:pPr>
      <w:r>
        <w:t xml:space="preserve">6.1.3 The controls: instrument complexity as the operative driver</w:t>
      </w:r>
    </w:p>
    <w:p>
      <w:pPr>
        <w:pStyle w:val="FirstParagraph"/>
        <w:spacing w:line="480" w:lineRule="auto"/>
      </w:pPr>
      <w:r>
        <w:t xml:space="preserve">For this data, the construction is deliberately visible: the control that carries a clear and resolved signal is instrument complexity. The coefficient on instrument count is 15.5334, with a robust standard error of 7.7514. The implied t-statistic is approximately 2.00, and the p-value is 0.0451, which clears the five-percent threshold. The ninety-five percent confidence interval runs from roughly 0.34 to roughly 30.73 and excludes zero, though only narrowly at its lower bound. The interpretation is concrete: each additional distinct science instrument that a mission must integrate is associated with approximately fifteen and a half percentage points of additional realized cost growth. This is the firm positive finding of the cost-growth estimation, and it is the attribute that the parametric cost-estimation literature and the large-telescope architecture literature both identify as the hard-to-price core of observatory development</w:t>
      </w:r>
      <w:r>
        <w:t xml:space="preserve"> </w:t>
      </w:r>
      <w:hyperlink w:anchor="ref-1">
        <w:r>
          <w:rPr>
            <w:rStyle w:val="Hyperlink"/>
          </w:rPr>
          <w:t xml:space="preserve">[1]</w:t>
        </w:r>
      </w:hyperlink>
      <w:r>
        <w:t xml:space="preserve">. Instrument count is a proxy for the integration and verification burden that compounds as a mission stacks detectors, optics, and science payloads, and the regression recovers that burden as the dominant measured driver of cost growth in the portfolio.</w:t>
      </w:r>
    </w:p>
    <w:p>
      <w:pPr>
        <w:pStyle w:val="BodyText"/>
        <w:spacing w:line="480" w:lineRule="auto"/>
        <w:ind w:firstLine="720"/>
      </w:pPr>
      <w:r>
        <w:t xml:space="preserve">For this remaining, the two controls are not statistically distinguishable from zero. Technology readiness level at confirmation carries a coefficient of -8.0541 with a robust standard error of 9.5432, a t-statistic of roughly -0.84, and a p-value of 0.3987. The negative sign is intuitive, in that missions confirming with more mature technology might be expected to grow less, but the standard error is so large relative to the point estimate that the confidence interval comprehensively straddles zero, and no claim about a technology-readiness effect on cost growth can be supported by this specification. The flagship indicator carries a coefficient of -11.8609 with a very large robust standard error of 23.652, a t-statistic near -0.50, and a p-value of 0.616. The wide standard error is the direct signature of the small number of flagship observations in the observatory record; with only a handful of Great-Observatory-class missions, the indicator simply cannot be estimated with any precision, and its coefficient is uninformative.</w:t>
      </w:r>
    </w:p>
    <w:p>
      <w:pPr>
        <w:pStyle w:val="BodyText"/>
        <w:spacing w:line="480" w:lineRule="auto"/>
        <w:ind w:firstLine="720"/>
      </w:pPr>
      <w:r>
        <w:t xml:space="preserve">For this operational, the question is narrower: reported for completeness, the constant term is 96.2451 with a standard error of 70.0505 and a p-value of 0.1695. As an intercept in a model with a non-centered ordinal regressor and a binary indicator, it is not of direct substantive interest and is not interpreted as an effect; it is reported here for completeness and reproduced in Appendix A.</w:t>
      </w:r>
    </w:p>
    <w:bookmarkEnd w:id="105"/>
    <w:bookmarkStart w:id="106" w:name="interpretation-of-the-cost-growth-model"/>
    <w:p>
      <w:pPr>
        <w:pStyle w:val="Heading3"/>
        <w:spacing w:line="480" w:lineRule="auto"/>
      </w:pPr>
      <w:r>
        <w:t xml:space="preserve">6.1.4 Interpretation of the cost-growth model</w:t>
      </w:r>
    </w:p>
    <w:p>
      <w:pPr>
        <w:pStyle w:val="FirstParagraph"/>
        <w:spacing w:line="480" w:lineRule="auto"/>
      </w:pPr>
      <w:r>
        <w:t xml:space="preserve">For the empirical reader, the internal structure of the regression is coherent and points to a single reading. The model as a whole explains roughly three-fifths of the variance in cost growth and is jointly significant, so the portfolio’s overrun record is far from random with respect to the measured attributes. But when the four regressors are allowed to compete, only instrument complexity emerges as a statistically resolved driver. Decadal rank carries a marginal, sub-five-percent association whose sign runs opposite to the institutional presumption; technology readiness and the flagship label add no independent explanatory power once instrument count is in the estimating design. The pattern is exactly what one would expect if cost growth in this portfolio is governed by the engineering difficulty of integrating instruments instead of by where a mission sat in the consensus order. The consensus ranking process and the realized cost record come apart because the ranking is built around scientific value and the cost growth is built around integration complexity, and those are different things. The allocation framework that distributes national space investment through priority</w:t>
      </w:r>
      <w:r>
        <w:t xml:space="preserve"> </w:t>
      </w:r>
      <w:hyperlink w:anchor="ref-3">
        <w:r>
          <w:rPr>
            <w:rStyle w:val="Hyperlink"/>
          </w:rPr>
          <w:t xml:space="preserve">[3]</w:t>
        </w:r>
      </w:hyperlink>
      <w:r>
        <w:t xml:space="preserve"> </w:t>
      </w:r>
      <w:r>
        <w:t xml:space="preserve">is silent on instrument count, which is the variable that actually moves the outcome.</w:t>
      </w:r>
    </w:p>
    <w:p>
      <w:pPr>
        <w:pStyle w:val="BodyText"/>
        <w:spacing w:line="480" w:lineRule="auto"/>
        <w:ind w:firstLine="720"/>
      </w:pPr>
      <w:r>
        <w:t xml:space="preserve">For this qualified, the non-rejection of the null on rank is therefore not a weak or inconclusive result. It is a precise statement: the data cannot support the claim that high decadal standing signals lower cost-growth risk, and the only attribute that does forecast cost growth is one the survey does not rank on. That is a falsifiable institutional belief failing its test, accompanied by a positive identification of what does the explanatory work instead.</w:t>
      </w:r>
    </w:p>
    <w:bookmarkEnd w:id="106"/>
    <w:bookmarkEnd w:id="107"/>
    <w:bookmarkStart w:id="112" w:name="the-schedule-hazard-model"/>
    <w:p>
      <w:pPr>
        <w:pStyle w:val="Heading2"/>
        <w:spacing w:line="480" w:lineRule="auto"/>
      </w:pPr>
      <w:r>
        <w:t xml:space="preserve">6.2 The Schedule Hazard Model</w:t>
      </w:r>
    </w:p>
    <w:bookmarkStart w:id="108" w:name="estimator-and-sample"/>
    <w:p>
      <w:pPr>
        <w:pStyle w:val="Heading3"/>
        <w:spacing w:line="480" w:lineRule="auto"/>
      </w:pPr>
      <w:r>
        <w:t xml:space="preserve">6.2.1 Estimator and sample</w:t>
      </w:r>
    </w:p>
    <w:p>
      <w:pPr>
        <w:pStyle w:val="FirstParagraph"/>
        <w:spacing w:line="480" w:lineRule="auto"/>
      </w:pPr>
      <w:r>
        <w:t xml:space="preserve">For the program record, the second estimation moves from cost to schedule and from a linear regression to a duration model. The construct of interest is the interval from project confirmation to launch, treated as a time-to-event duration in which the event is the mission reaching launch. The estimator is a Cox proportional-hazards regression fit by partial likelihood, which is the appropriate framework for three reasons that the method chapter set out and that the results bear out. It accommodates right-censoring directly, which the in-development missions require; it imposes no parametric form on the baseline hazard, which is desirable because launch timing is governed by lumpy external events such as appropriations cycles and launch-manifest slots; and it expresses each covariate’s effect as a hazard ratio, the multiplicative effect of a one-unit change on the instantaneous rate of reaching launch. The covariates are the same four as in the cost model: the decadal priority ordinal, the technology readiness level at confirmation, the instrument count, and the flagship indicator.</w:t>
      </w:r>
    </w:p>
    <w:p>
      <w:pPr>
        <w:pStyle w:val="BodyText"/>
        <w:spacing w:line="480" w:lineRule="auto"/>
        <w:ind w:firstLine="720"/>
      </w:pPr>
      <w:r>
        <w:t xml:space="preserve">For this model, the is fit on thirty missions, of which twenty-six reached launch and four were right-censored as still in development at the empirical reading cutoff. The mixed-class composition of the sample, spanning Small Explorer and Medium Explorer missions through Great-Observatory and designated-observable flagships, ensures that the flagship indicator carries genuine variation instead of being a near-constant. Because a Cox model estimates the hazard of the launch event, the sign convention is the mirror of an ordinary regression on duration: a covariate that lengthens development lowers the hazard of launch, and a covariate that shortens development raises it.</w:t>
      </w:r>
    </w:p>
    <w:bookmarkEnd w:id="108"/>
    <w:bookmarkStart w:id="109" w:name="the-focal-coefficient-on-decadal-rank-1"/>
    <w:p>
      <w:pPr>
        <w:pStyle w:val="Heading3"/>
        <w:spacing w:line="480" w:lineRule="auto"/>
      </w:pPr>
      <w:r>
        <w:t xml:space="preserve">6.2.2 The focal coefficient on decadal rank</w:t>
      </w:r>
    </w:p>
    <w:p>
      <w:pPr>
        <w:pStyle w:val="FirstParagraph"/>
        <w:spacing w:line="480" w:lineRule="auto"/>
      </w:pPr>
      <w:r>
        <w:t xml:space="preserve">For this coefficient, the on decadal priority is, for practical purposes, zero. The point estimate is -0.0902 with a standard error of 0.3367. The z-statistic is -0.268, and the p-value is 0.7887. The implied hazard ratio, obtained by exponentiating the coefficient, is approximately 0.914. A confidence interval on the coefficient runs from roughly -0.750 to roughly 0.570 and straddles zero comfortably, with the point estimate sitting almost at the center of that interval. The study fails to reject the null hypothesis. Conditional on the other covariates, a mission’s decadal priority has no detectable association with the hazard of reaching launch, and by extension no detectable association with realized confirmation-to-launch duration.</w:t>
      </w:r>
    </w:p>
    <w:p>
      <w:pPr>
        <w:pStyle w:val="BodyText"/>
        <w:spacing w:line="480" w:lineRule="auto"/>
        <w:ind w:firstLine="720"/>
      </w:pPr>
      <w:r>
        <w:t xml:space="preserve">For a replicator, this is a cleaner null than the cost-growth result. In the cost regression the rank coefficient was marginal and signed against the institutional reading; here it is simply indistinguishable from zero in both magnitude and direction. The hazard ratio of 0.914 is so close to one, and its associated p-value of 0.7887 so far from any conventional threshold, that there is no basis even for a directional claim. Priority does not buy schedule protection, which would have shown up as a hazard ratio above one and a faster route to launch for higher-priority missions; and priority does not buy delay through ambition, which would have shown up as a hazard ratio below one large enough to resolve. In the schedule dimension, decadal priority is neither a shield nor a curse. It simply does not register. This aligns with the structural reading of the cost-growth literature, in which a single favorable program attribute does not by itself govern delivery outcomes</w:t>
      </w:r>
      <w:r>
        <w:t xml:space="preserve"> </w:t>
      </w:r>
      <w:hyperlink w:anchor="ref-1">
        <w:r>
          <w:rPr>
            <w:rStyle w:val="Hyperlink"/>
          </w:rPr>
          <w:t xml:space="preserve">[1]</w:t>
        </w:r>
      </w:hyperlink>
      <w:r>
        <w:t xml:space="preserve">, and with the budget framing in which priority is best understood as a claim on a scarce federal resource instead of as a lever on execution speed</w:t>
      </w:r>
      <w:r>
        <w:t xml:space="preserve"> </w:t>
      </w:r>
      <w:hyperlink w:anchor="ref-3">
        <w:r>
          <w:rPr>
            <w:rStyle w:val="Hyperlink"/>
          </w:rPr>
          <w:t xml:space="preserve">[3]</w:t>
        </w:r>
      </w:hyperlink>
      <w:r>
        <w:t xml:space="preserve">.</w:t>
      </w:r>
    </w:p>
    <w:bookmarkEnd w:id="109"/>
    <w:bookmarkStart w:id="110" w:name="X8777e4177d4dabd46bdf2bbb20ac039cba9ff20"/>
    <w:p>
      <w:pPr>
        <w:pStyle w:val="Heading3"/>
        <w:spacing w:line="480" w:lineRule="auto"/>
      </w:pPr>
      <w:r>
        <w:t xml:space="preserve">6.2.3 Technology readiness as the binding schedule constraint</w:t>
      </w:r>
    </w:p>
    <w:p>
      <w:pPr>
        <w:pStyle w:val="FirstParagraph"/>
        <w:spacing w:line="480" w:lineRule="auto"/>
      </w:pPr>
      <w:r>
        <w:t xml:space="preserve">For this chapter, the treats this as an empirical claim: the technology readiness level of the principal instrument at confirmation tells a sharply different story. Its coefficient is 1.0292 with a standard error of 0.4478. The z-statistic is 2.298, and the p-value is 0.0215, which clears the five-percent threshold. The coefficient confidence interval runs from roughly 0.151 to roughly 1.907 and excludes zero. Exponentiating the coefficient gives a hazard ratio of approximately 2.799. Read in plain terms, each one-level increase in instrument technology readiness at confirmation is associated with nearly a tripling of the instantaneous rate of reaching launch. Missions that confirmed with more mature principal technology moved to the pad substantially faster, and this is the only covariate in the estimating design that attains conventional statistical significance.</w:t>
      </w:r>
    </w:p>
    <w:p>
      <w:pPr>
        <w:pStyle w:val="BodyText"/>
        <w:spacing w:line="480" w:lineRule="auto"/>
        <w:ind w:firstLine="720"/>
      </w:pPr>
      <w:r>
        <w:t xml:space="preserve">This finding is the schedule counterpart to the cost model’s instrument-complexity result, and the two together form the empirical backbone of the dissertation’s positive contribution. In the cost dimension, what predicts overrun is how many instruments a mission must integrate; in the schedule dimension, what predicts the rate of reaching launch is how mature the principal instrument’s technology was at the confirmation gate. Both are engineering attributes of the payload, and neither is the consensus ranking. The technology-readiness effect is consistent with the engineering literature’s emphasis on detector and systems maturity as the binding constraint on observatory development time</w:t>
      </w:r>
      <w:r>
        <w:t xml:space="preserve"> </w:t>
      </w:r>
      <w:hyperlink w:anchor="ref-1">
        <w:r>
          <w:rPr>
            <w:rStyle w:val="Hyperlink"/>
          </w:rPr>
          <w:t xml:space="preserve">[1]</w:t>
        </w:r>
      </w:hyperlink>
      <w:r>
        <w:t xml:space="preserve">. It also carries a direct management implication, which the discussion chapter develops: the most reliable way to compress the confirmation-to-launch interval is to confirm missions only when their principal technology is genuinely mature, instead of to rely on the protective weight of a high decadal ranking that, on this evidence, exerts no measurable downstream effect on schedule.</w:t>
      </w:r>
    </w:p>
    <w:bookmarkEnd w:id="110"/>
    <w:bookmarkStart w:id="111" w:name="the-remaining-covariates"/>
    <w:p>
      <w:pPr>
        <w:pStyle w:val="Heading3"/>
        <w:spacing w:line="480" w:lineRule="auto"/>
      </w:pPr>
      <w:r>
        <w:t xml:space="preserve">6.2.4 The remaining covariates</w:t>
      </w:r>
    </w:p>
    <w:p>
      <w:pPr>
        <w:pStyle w:val="FirstParagraph"/>
        <w:spacing w:line="480" w:lineRule="auto"/>
      </w:pPr>
      <w:r>
        <w:t xml:space="preserve">For this other, the two covariates are not statistically resolved. Instrument count has a coefficient of 0.0394 with a standard error of 0.3676 and a p-value of 0.9147. The hazard ratio is approximately 1.040, indistinguishable from one. On its own and conditional on the other terms, the count of instruments does not move the launch hazard in this sample. This is a notable contrast with the cost model, where instrument count was the dominant resolved driver. The two findings are not in tension: integration complexity can drive cost growth, through the verification and rework burden that accumulates in dollars, without compressing or extending the calendar interval from confirmation to launch by any amount the duration model can detect at this sample size. Cost and schedule are distinct outcome constructs, and the data treat them that way, which is precisely why the dissertation models them with two different estimators instead of collapsing them into one.</w:t>
      </w:r>
    </w:p>
    <w:p>
      <w:pPr>
        <w:pStyle w:val="BodyText"/>
        <w:spacing w:line="480" w:lineRule="auto"/>
        <w:ind w:firstLine="720"/>
      </w:pPr>
      <w:r>
        <w:t xml:space="preserve">For this operational, the question is narrower: the flagship indicator has a coefficient of -1.0627 with a standard error of 0.7950 and a p-value of 0.1813. The hazard ratio is approximately 0.346. The direction is intuitive and substantively interesting, in that a hazard ratio below one means flagship-class missions are associated with a lower rate of reaching launch and therefore longer development, which matches the prior that flagships are slow. The magnitude is sizable. But the standard error is large, the confidence interval on the coefficient runs from roughly -2.621 to roughly 0.496 and includes zero, and the p-value of 0.1813 does not approach significance. With thirty observations and only a handful of flagships, the estimating design cannot establish the flagship effect with confidence. The imprecision of this estimate is a direct consequence of the sample-size constraint that the prospectus identified as the dominant threat to validity, and it is the clearest place in the schedule model where a larger population would be required to resolve a suggestive but unproven pattern.</w:t>
      </w:r>
    </w:p>
    <w:bookmarkEnd w:id="111"/>
    <w:bookmarkEnd w:id="112"/>
    <w:bookmarkStart w:id="113" w:name="synthesis-of-the-two-estimations"/>
    <w:p>
      <w:pPr>
        <w:pStyle w:val="Heading2"/>
        <w:spacing w:line="480" w:lineRule="auto"/>
      </w:pPr>
      <w:r>
        <w:t xml:space="preserve">6.3 Synthesis of the Two Estimations</w:t>
      </w:r>
    </w:p>
    <w:p>
      <w:pPr>
        <w:pStyle w:val="FirstParagraph"/>
        <w:spacing w:line="480" w:lineRule="auto"/>
      </w:pPr>
      <w:r>
        <w:t xml:space="preserve">For the empirical reader, the two estimations converge on a single, robust conclusion about the focal question of this dissertation. Across two distinct outcome constructs, two distinct estimators, and two overlapping but non-identical mission samples, decadal priority does not behave the way the institutional heuristic assumes. In the cost dimension, the rank coefficient is -7.1976 with a p-value of 0.0887, marginal and signed against the comforting reading, so that the null of no conditional association cannot be rejected at five percent and the only suggestive signal points toward higher-priority missions absorbing more cost growth instead of less. In the schedule dimension, the rank coefficient is -0.0902 with a p-value of 0.7887, a clean and unambiguous null with a hazard ratio of 0.914 that is indistinguishable from one. The verdict is the same in both dimensions. Neither estimation supports the premise that high decadal standing marks a mission as a safer bet to deliver near its baselines.</w:t>
      </w:r>
    </w:p>
    <w:p>
      <w:pPr>
        <w:pStyle w:val="BodyText"/>
        <w:spacing w:line="480" w:lineRule="auto"/>
        <w:ind w:firstLine="720"/>
      </w:pPr>
      <w:r>
        <w:t xml:space="preserve">What both estimations do identify, with statistical resolution in each case, is that the operative drivers of delivery performance are payload engineering attributes instead of the consensus ranking. In the cost model, instrument count carries a coefficient of 15.5334 with a p-value of 0.0451, associating each additional instrument with roughly fifteen and a half percentage points of additional cost growth. In the schedule model, technology readiness at confirmation carries a coefficient of 1.0292 with a p-value of 0.0215 and a hazard ratio of 2.799, associating each level of additional instrument maturity with nearly a tripling of the launch hazard. The two resolved drivers are different attributes, integration complexity for cost and technology maturity for schedule, but they share a character: both are concrete features of what a mission is built to do and how ready its hardware is, and both are the kind of attribute the cost-estimation and large-telescope engineering literatures identify as the hard core of observatory development</w:t>
      </w:r>
      <w:r>
        <w:t xml:space="preserve"> </w:t>
      </w:r>
      <w:hyperlink w:anchor="ref-1">
        <w:r>
          <w:rPr>
            <w:rStyle w:val="Hyperlink"/>
          </w:rPr>
          <w:t xml:space="preserve">[1]</w:t>
        </w:r>
      </w:hyperlink>
      <w:r>
        <w:t xml:space="preserve">. The allocation framework that sets national priorities through consensus ranking</w:t>
      </w:r>
      <w:r>
        <w:t xml:space="preserve"> </w:t>
      </w:r>
      <w:hyperlink w:anchor="ref-3">
        <w:r>
          <w:rPr>
            <w:rStyle w:val="Hyperlink"/>
          </w:rPr>
          <w:t xml:space="preserve">[3]</w:t>
        </w:r>
      </w:hyperlink>
      <w:r>
        <w:t xml:space="preserve"> </w:t>
      </w:r>
      <w:r>
        <w:t xml:space="preserve">does not rank on either of them, which is the structural reason that priority and realized performance come apart in both dimensions.</w:t>
      </w:r>
    </w:p>
    <w:p>
      <w:pPr>
        <w:pStyle w:val="BodyText"/>
        <w:spacing w:line="480" w:lineRule="auto"/>
        <w:ind w:firstLine="720"/>
      </w:pPr>
      <w:r>
        <w:t xml:space="preserve">For this evidence, the trail is concrete here: these results are reported here without their full policy interpretation, which Chapter 7 develops, and without restating the estimation tables, formulas, and underlying data, which appear in Appendix A. The findings are also bounded by the threats to validity that the prospectus laid out and that the discussion sections of both papers acknowledged: the small population that motivates the reliance on confidence intervals over significance verdicts and that leaves the flagship effect imprecise, the baseline-anchor sensitivity that affects a small minority of the cost observations, the measurement noise involved in reconciling decadal ordinals across survey cycles, and the survivorship and pre-confirmation considerations that bound any causal reading. None of these threats overturns the central empirical result. In this population, across both cost and schedule, the attributes a mission carries, the instruments it must integrate and the maturity of the technology it confirms with, are what its delivery performance tracks, and the rank it was assigned is not.</w:t>
      </w:r>
    </w:p>
    <w:bookmarkEnd w:id="113"/>
    <w:bookmarkEnd w:id="114"/>
    <w:bookmarkStart w:id="120" w:name="X21322cb5e29cbf4eb576afddcad42f86ace4e0d"/>
    <w:p>
      <w:pPr>
        <w:pStyle w:val="Heading1"/>
        <w:spacing w:line="480" w:lineRule="auto"/>
      </w:pPr>
      <w:r>
        <w:t xml:space="preserve">Chapter 7. Discussion and Governance Implications</w:t>
      </w:r>
    </w:p>
    <w:bookmarkStart w:id="115" w:name="what-the-findings-mean-stated-plainly"/>
    <w:p>
      <w:pPr>
        <w:pStyle w:val="Heading2"/>
        <w:spacing w:line="480" w:lineRule="auto"/>
      </w:pPr>
      <w:r>
        <w:t xml:space="preserve">7.1 What the Findings Mean, Stated Plainly</w:t>
      </w:r>
    </w:p>
    <w:p>
      <w:pPr>
        <w:pStyle w:val="FirstParagraph"/>
        <w:spacing w:line="480" w:lineRule="auto"/>
      </w:pPr>
      <w:r>
        <w:t xml:space="preserve">For this evidence, the trail is concrete here: the dissertation set out to convert an article of institutional faith into a testable empirical claim.</w:t>
      </w:r>
    </w:p>
    <w:p>
      <w:pPr>
        <w:pStyle w:val="BodyText"/>
        <w:spacing w:line="480" w:lineRule="auto"/>
        <w:ind w:firstLine="720"/>
      </w:pPr>
      <w:r>
        <w:t xml:space="preserve">For this faith, the is widely held: a mission that the astrophysics community ranks highly in its decadal survey is presumed to be more mature, better scoped, and therefore a safer bet to deliver close to its baseline. The two estimation chapters tested that presumption against the realized record on the two dimensions where mission promises most often break, cost and schedule, and they returned a consistent verdict. Decadal priority does not behave as the heuristic assumes. The record is plain. On cost growth, the coefficient on rank was negative and marginal, with a confidence interval that contained zero, so the null could not be rejected at the conventional level, and the only attribute that carried a firm signal was instrument complexity at roughly fifteen percentage points of additional cost growth per science instrument. On schedule, the priority coefficient was essentially zero, with a hazard ratio of 0.914 and a p-value near 0.79, while the technology readiness level of the principal instrument at confirmation was the one covariate that attained significance, with a hazard ratio of 2.799 indicating that more mature confirmation technology nearly tripled the instantaneous rate of reaching launch.</w:t>
      </w:r>
    </w:p>
    <w:p>
      <w:pPr>
        <w:pStyle w:val="BodyText"/>
        <w:spacing w:line="480" w:lineRule="auto"/>
        <w:ind w:firstLine="720"/>
      </w:pPr>
      <w:r>
        <w:t xml:space="preserve">The two results are not redundant; they are complementary, and read together they sharpen the conclusion.</w:t>
      </w:r>
    </w:p>
    <w:p>
      <w:pPr>
        <w:pStyle w:val="BodyText"/>
        <w:spacing w:line="480" w:lineRule="auto"/>
        <w:ind w:firstLine="720"/>
      </w:pPr>
      <w:r>
        <w:t xml:space="preserve">For this cost, the chapter found that what a mission carries, the count of distinct instruments that must be integrated and verified, governs how far its cost will drift. The schedule chapter found that how mature that hardware was at the confirmation gate governs how fast the mission reaches the pad. Both findings point the explanatory weight away from the ordinal that the survey assigns and toward the physical and programmatic attributes of the mission itself. The decadal ranking, in other words, is a statement of scientific desire, and the realized record shows that scientific desire and execution risk come apart. The community can want a mission very badly and the mission can still be hard to build. Wanting does not make building easier.</w:t>
      </w:r>
    </w:p>
    <w:p>
      <w:pPr>
        <w:pStyle w:val="BodyText"/>
        <w:spacing w:line="480" w:lineRule="auto"/>
        <w:ind w:firstLine="720"/>
      </w:pPr>
      <w:r>
        <w:t xml:space="preserve">For the program record, this is precisely the kind of result the study was designed to be capable of producing.</w:t>
      </w:r>
    </w:p>
    <w:p>
      <w:pPr>
        <w:pStyle w:val="BodyText"/>
        <w:spacing w:line="480" w:lineRule="auto"/>
        <w:ind w:firstLine="720"/>
      </w:pPr>
      <w:r>
        <w:t xml:space="preserve">For this falsification, the logic of the prospectus committed in advance to treating a non-rejection of the null as a publishable and policy-relevant finding instead of a disappointment to be buried. That commitment matters here because the temptation, when the headline variable fails to predict, is to retreat into hedging. The discipline of the design resists that retreat. The finding is not that decadal priority is meaningless; it is that decadal priority is not a delivery-confidence signal, and treating it as one is a category error. The survey answers the question of what the nation should try to fly. It does not answer, and was never constructed to answer, the question of how close to baseline a given mission will come.</w:t>
      </w:r>
    </w:p>
    <w:bookmarkEnd w:id="115"/>
    <w:bookmarkStart w:id="116" w:name="implications-for-nasa-program-management"/>
    <w:p>
      <w:pPr>
        <w:pStyle w:val="Heading2"/>
        <w:spacing w:line="480" w:lineRule="auto"/>
      </w:pPr>
      <w:r>
        <w:t xml:space="preserve">7.2 Implications for NASA Program Management</w:t>
      </w:r>
    </w:p>
    <w:p>
      <w:pPr>
        <w:pStyle w:val="FirstParagraph"/>
        <w:spacing w:line="480" w:lineRule="auto"/>
      </w:pPr>
      <w:r>
        <w:t xml:space="preserve">For this archival, the record matters here: the first and most direct implication is for how NASA and its oversight bodies should read decadal standing during budget formulation and independent cost realism review. The institutional record documents persistent cost growth and schedule slip in the major-project portfolio, and the Government Accountability Office has repeatedly drawn lessons from ongoing projects intended to inform the management of future ones</w:t>
      </w:r>
      <w:r>
        <w:t xml:space="preserve"> </w:t>
      </w:r>
      <w:hyperlink w:anchor="ref-9">
        <w:r>
          <w:rPr>
            <w:rStyle w:val="Hyperlink"/>
          </w:rPr>
          <w:t xml:space="preserve">[9]</w:t>
        </w:r>
      </w:hyperlink>
      <w:r>
        <w:t xml:space="preserve">. The present findings add a specific caution to that body of lessons: decadal rank should not enter the risk assessment as a proxy for executability. A program manager who treats a top-ranked mission as inherently lower-risk is importing a correlation that the data do not support, and is doing so at exactly the moment, confirmation, when the most consequential cost and schedule commitments are locked. Its constructive corollary is that the variables which do predict are observable and actionable at the confirmation gate. Instrument count is known before confirmation; technology readiness level of the principal instrument is assessed before confirmation. Both are already collected in the documentation that the GAO assessments draw upon</w:t>
      </w:r>
      <w:r>
        <w:t xml:space="preserve"> </w:t>
      </w:r>
      <w:hyperlink w:anchor="ref-8">
        <w:r>
          <w:rPr>
            <w:rStyle w:val="Hyperlink"/>
          </w:rPr>
          <w:t xml:space="preserve">[8]</w:t>
        </w:r>
      </w:hyperlink>
      <w:r>
        <w:t xml:space="preserve">. The management implication is therefore not that NASA needs new data, but that it should weight the data it already has differently. Independent cost realism review should foreground integration complexity, the number of distinct instruments and their verification burden, as the leading indicator of where cost growth will concentrate, ahead of the consensus ranking. This recommendation aligns the agency’s internal risk posture with the structure of its own realized outcomes instead of with the prestige hierarchy of the survey.</w:t>
      </w:r>
    </w:p>
    <w:p>
      <w:pPr>
        <w:pStyle w:val="BodyText"/>
        <w:spacing w:line="480" w:lineRule="auto"/>
        <w:ind w:firstLine="720"/>
      </w:pPr>
      <w:r>
        <w:t xml:space="preserve">For a replicator, on schedule, the result carries an equally concrete management lever. The technology readiness finding implies that the single most reliable way to compress the confirmation-to-launch interval is to confirm missions only when their principal technology is genuinely mature, and to resist the institutional pressure to confirm an ambitious concept early on the strength of its ranking. The parametric cost-estimation literature reaches the same destination from a different direction: blind validation of cost tools against realized NASA mission cost shows how badly estimates degrade when a system extends beyond the analog population from which the tool was calibrated</w:t>
      </w:r>
      <w:r>
        <w:t xml:space="preserve"> </w:t>
      </w:r>
      <w:hyperlink w:anchor="ref-4">
        <w:r>
          <w:rPr>
            <w:rStyle w:val="Hyperlink"/>
          </w:rPr>
          <w:t xml:space="preserve">[4]</w:t>
        </w:r>
      </w:hyperlink>
      <w:r>
        <w:t xml:space="preserve">. A mission confirmed with immature technology is, by construction, a mission with few analogs and a thin estimating basis, and the present schedule chapter shows it is also a mission that moves to the pad slowly. The two literatures and the present evidence converge. Maturity at the gate, not standing in the survey, is the binding constraint on delivery.</w:t>
      </w:r>
    </w:p>
    <w:p>
      <w:pPr>
        <w:pStyle w:val="BodyText"/>
        <w:spacing w:line="480" w:lineRule="auto"/>
        <w:ind w:firstLine="720"/>
      </w:pPr>
      <w:r>
        <w:t xml:space="preserve">A third management implication concerns the joint-program and organizational-structure dimension. Dwyer and colleagues demonstrate that organizational and institutional structure can itself induce cost growth, and that arrangements which appear cost-reducing can do the reverse once incentives and program autonomy are accounted for</w:t>
      </w:r>
      <w:r>
        <w:t xml:space="preserve"> </w:t>
      </w:r>
      <w:hyperlink w:anchor="ref-5">
        <w:r>
          <w:rPr>
            <w:rStyle w:val="Hyperlink"/>
          </w:rPr>
          <w:t xml:space="preserve">[5]</w:t>
        </w:r>
      </w:hyperlink>
      <w:r>
        <w:t xml:space="preserve">. The present results are consistent with that structural reading. If a favorable single attribute such as priority does not by itself produce favorable delivery, then the agency should be skeptical of any management reform premised on a single lever, including reforms that lean on the protective political weight of a high ranking to shepherd a mission through. The evidence points instead toward attribute-level discipline, scoping instrument suites realistically and maturing technology before commitment, instead of toward reliance on the durability that a top ranking confers. The chapter treats this as an empirical claim: it is worth being precise about what these implications do not assert. They do not assert that the decadal survey should be weakened or that its rankings should be ignored in mission selection. The survey performs a function, aggregating community judgment about scientific value, that no cost model can replace, and that function is upstream of and distinct from execution risk. The argument is narrower and, in its narrowness, more useful: the survey output should be kept in its lane. Scientific priority belongs in the selection decision; execution risk belongs in the confirmation decision; and the latter should be assessed on the mission’s measurable attributes, not on its inherited rank.</w:t>
      </w:r>
    </w:p>
    <w:bookmarkEnd w:id="116"/>
    <w:bookmarkStart w:id="117" w:name="implications-for-jpl-decision-making"/>
    <w:p>
      <w:pPr>
        <w:pStyle w:val="Heading2"/>
        <w:spacing w:line="480" w:lineRule="auto"/>
      </w:pPr>
      <w:r>
        <w:t xml:space="preserve">7.3 Implications for JPL Decision-Making</w:t>
      </w:r>
    </w:p>
    <w:p>
      <w:pPr>
        <w:pStyle w:val="FirstParagraph"/>
        <w:spacing w:line="480" w:lineRule="auto"/>
      </w:pPr>
      <w:r>
        <w:t xml:space="preserve">For this data, the construction is deliberately visible: for a flagship-capable center such as the Jet Propulsion Laboratory, the findings bear on three decisions: which concepts to propose, how to scope them, and how to manage the gap between a concept’s decadal standing and its real execution risk. The center competes for and executes precisely the class of mission, instrument-rich observatories with sparse analog populations, that the cost chapter identifies as most exposed to growth. The result that each additional instrument is associated with roughly fifteen percentage points of cost growth is a direct input to concept design. It quantifies the cost of instrument-suite ambition in a form that can be carried into trade studies, and it argues for treating instrument count as a first-order cost driver to be defended explicitly instead of accumulated by default as each discipline lobbies for its payload. The history of high-ambition concept studies in the planetary and astrophysics communities illustrates the tension the center must manage. Concept studies routinely propose rich instrument complements precisely because richness maximizes science return per launch, and the literature is full of such concepts, from Uranus orbiter studies carrying broad instrument suites</w:t>
      </w:r>
      <w:r>
        <w:t xml:space="preserve"> </w:t>
      </w:r>
      <w:hyperlink w:anchor="ref-18">
        <w:r>
          <w:rPr>
            <w:rStyle w:val="Hyperlink"/>
          </w:rPr>
          <w:t xml:space="preserve">[18]</w:t>
        </w:r>
      </w:hyperlink>
      <w:r>
        <w:t xml:space="preserve">,</w:t>
      </w:r>
      <w:r>
        <w:t xml:space="preserve"> </w:t>
      </w:r>
      <w:hyperlink w:anchor="ref-22">
        <w:r>
          <w:rPr>
            <w:rStyle w:val="Hyperlink"/>
          </w:rPr>
          <w:t xml:space="preserve">[22]</w:t>
        </w:r>
      </w:hyperlink>
      <w:r>
        <w:t xml:space="preserve"> </w:t>
      </w:r>
      <w:r>
        <w:t xml:space="preserve">to high-science-return architectures that deliberately pair ambitious payloads with cost-conscious framing</w:t>
      </w:r>
      <w:r>
        <w:t xml:space="preserve"> </w:t>
      </w:r>
      <w:hyperlink w:anchor="ref-18">
        <w:r>
          <w:rPr>
            <w:rStyle w:val="Hyperlink"/>
          </w:rPr>
          <w:t xml:space="preserve">[18]</w:t>
        </w:r>
      </w:hyperlink>
      <w:r>
        <w:t xml:space="preserve">. The present finding does not argue against scientific ambition; it argues that ambition expressed through instrument count has a measurable and recurring cost signature that the proposing center should price into its own internal risk reserves instead of discover after confirmation. A center that internalizes the fifteen-point-per-instrument relationship will set more defensible reserves and will be less surprised by the growth that the portfolio history makes predictable.</w:t>
      </w:r>
    </w:p>
    <w:p>
      <w:pPr>
        <w:pStyle w:val="BodyText"/>
        <w:spacing w:line="480" w:lineRule="auto"/>
        <w:ind w:firstLine="720"/>
      </w:pPr>
      <w:r>
        <w:t xml:space="preserve">For this operational, the question is narrower: on technology maturity, the schedule chapter speaks directly to the center’s confirmation-readiness posture. The finding that confirmation-stage technology readiness nearly triples the launch hazard implies that the center’s interest, and the agency’s, is best served by maturing principal instrument technology before the confirmation gate instead of carrying immature technology across it on the strength of a high ranking. Large-telescope architecture studies make the same point from the engineering side, emphasizing that detector and optics maturity and the systems-engineering burden of a flagship architecture are the predominant determinants of realized development time</w:t>
      </w:r>
      <w:r>
        <w:t xml:space="preserve"> </w:t>
      </w:r>
      <w:hyperlink w:anchor="ref-1">
        <w:r>
          <w:rPr>
            <w:rStyle w:val="Hyperlink"/>
          </w:rPr>
          <w:t xml:space="preserve">[1]</w:t>
        </w:r>
      </w:hyperlink>
      <w:r>
        <w:t xml:space="preserve">, and concept work on next-generation observatory telescopes underscores how much predicted performance and schedule hinge on the maturity of the optical and detector chain</w:t>
      </w:r>
      <w:r>
        <w:t xml:space="preserve"> </w:t>
      </w:r>
      <w:hyperlink w:anchor="ref-17">
        <w:r>
          <w:rPr>
            <w:rStyle w:val="Hyperlink"/>
          </w:rPr>
          <w:t xml:space="preserve">[17]</w:t>
        </w:r>
      </w:hyperlink>
      <w:r>
        <w:t xml:space="preserve">. For JPL, the operational translation is to invest in pre-confirmation technology maturation as the most reliable schedule-compression strategy available, and to treat a strong decadal ranking as a reason to mature technology aggressively instead of as a substitute for having done so.</w:t>
      </w:r>
    </w:p>
    <w:p>
      <w:pPr>
        <w:pStyle w:val="BodyText"/>
        <w:spacing w:line="480" w:lineRule="auto"/>
        <w:ind w:firstLine="720"/>
      </w:pPr>
      <w:r>
        <w:t xml:space="preserve">For this third, the implication for JPL is strategic and concerns how the center positions itself relative to the survey’s prestige. Because priority does not predict delivery, the center cannot rely on a mission’s high ranking to insulate it from cost and schedule scrutiny, nor should it expect that scrutiny to be lighter for a top-ranked concept. The defensible strategy is to compete on demonstrated execution credibility, realistic scoping and mature technology, instead of on the political durability of standing. This posture is consistent with the broader space-economy framing in which priority is a claim on a scarce federal resource whose share of national output has declined over decades</w:t>
      </w:r>
      <w:r>
        <w:t xml:space="preserve"> </w:t>
      </w:r>
      <w:hyperlink w:anchor="ref-6">
        <w:r>
          <w:rPr>
            <w:rStyle w:val="Hyperlink"/>
          </w:rPr>
          <w:t xml:space="preserve">[6]</w:t>
        </w:r>
      </w:hyperlink>
      <w:r>
        <w:t xml:space="preserve">, so that a high ranking secures a place in the queue but not accelerated execution within it. A center that markets execution discipline, and that can show its reserves and maturation plans are calibrated to the attribute-level drivers the data identify, is better positioned in a constrained budget environment than one that leans on the survey’s imprimatur.</w:t>
      </w:r>
    </w:p>
    <w:bookmarkEnd w:id="117"/>
    <w:bookmarkStart w:id="118" w:name="limitations"/>
    <w:p>
      <w:pPr>
        <w:pStyle w:val="Heading2"/>
        <w:spacing w:line="480" w:lineRule="auto"/>
      </w:pPr>
      <w:r>
        <w:t xml:space="preserve">7.4 Limitations</w:t>
      </w:r>
    </w:p>
    <w:p>
      <w:pPr>
        <w:pStyle w:val="FirstParagraph"/>
        <w:spacing w:line="480" w:lineRule="auto"/>
      </w:pPr>
      <w:r>
        <w:t xml:space="preserve">For this findings, the are bounded by limitations that the design acknowledged in advance and that honesty requires restating here. The dominant limitation is sample size. The cost chapter rests on twenty-two missions and the schedule chapter on thirty missions with twenty-six launch events, populations that reflect the genuine scarcity of flagship and probe-class astrophysics missions instead of any deficiency of data collection. Small samples constrain statistical power, which is why both chapters privileged confidence-interval reporting and the sign of the coefficient over a binary significance verdict, and it is why the null on priority must be read as the absence of a detectable association instead of as proof of an exact zero effect. The imprecisely estimated flagship coefficient in the schedule chapter, large in magnitude but with a confidence interval straddling zero, is a direct consequence of this power constraint, and a larger population would be required to resolve whether mission class lengthens schedule independently of the attributes already in the estimating design.</w:t>
      </w:r>
    </w:p>
    <w:p>
      <w:pPr>
        <w:pStyle w:val="BodyText"/>
        <w:spacing w:line="480" w:lineRule="auto"/>
        <w:ind w:firstLine="720"/>
      </w:pPr>
      <w:r>
        <w:t xml:space="preserve">For this evidence, the trail is concrete here: a second limitation is measurement. Reconciling decadal priority ordinals across successive survey cycles, and in the schedule chapter across the astrophysics and Earth-science communities, involves analyst judgment that introduces noise into the focal regressor. Survey cycles differed in how explicitly they ordered candidate missions and in the tier structure they used, so the construction of a single comparable ordinal is an act of reconciliation instead of transcription. Measurement error in the explanatory variable of interest biases its estimated coefficient toward zero, which means the null results on priority should be read with the understanding that some of the absence of signal could reflect noise in the priority measure instead of a true absence of effect. This does not overturn the finding, because the positive findings on instrument count and technology readiness are measured with less ambiguity, but it tempers any strong claim that priority has exactly no effect.</w:t>
      </w:r>
    </w:p>
    <w:p>
      <w:pPr>
        <w:pStyle w:val="BodyText"/>
        <w:spacing w:line="480" w:lineRule="auto"/>
        <w:ind w:firstLine="720"/>
      </w:pPr>
      <w:r>
        <w:t xml:space="preserve">A third limitation is baseline and anchor definition. Cost growth depends on which baseline is treated as the point of comparison, and the older missions in the cost panel predate the standardized GAO baseline reporting that anchors the recent ones. Three of the twenty-two cost anchors rely on reconciled public figures where a single authoritative baseline document was not obtainable, and these were flagged in the data. The schedule chapter carries an analogous flag on two illustrative rows representing in-development missions without firm public dates, both of which are censored observations that inform the risk set without asserting an unobserved launch. These reconciled and illustrative rows constitute under one in seven and under seven percent of their respective samples, but they are a reminder that the historical record is uneven and that the precision implied by the reported coefficients is conditional on the anchoring choices documented in the data chapters.</w:t>
      </w:r>
    </w:p>
    <w:p>
      <w:pPr>
        <w:pStyle w:val="BodyText"/>
        <w:spacing w:line="480" w:lineRule="auto"/>
        <w:ind w:firstLine="720"/>
      </w:pPr>
      <w:r>
        <w:t xml:space="preserve">For the program record, a fourth limitation is selection and survivorship. Missions that were cancelled before delivery never enter the realized-outcome panels, and cancelled concepts may have differed systematically in scope ambition from those that survived to fly. If the most ambitious high-priority concepts were disproportionately cancelled, the surviving panel would understate the association between priority and cost or schedule growth, and the true relationship could be stronger than the estimates suggest. The survey-cycle fixed effects and the technology-readiness control partially address the related confound that highly ranked missions may have been funded sooner and scoped differently, but residual confounding from unobserved scope ambition cannot be excluded. The honest statement is that the design identifies an association conditional on the observed survivors and the measured controls, not a structural causal parameter cleansed of all selection. A fifth limitation concerns the window of observation. The schedule chapter measures duration from confirmation to launch and therefore cannot see the often lengthy pre-confirmation formulation phase, during which priority may exert effects that leave no signature downstream of the gate. It is entirely possible that a high ranking accelerates a concept’s passage from survey recommendation to confirmation, even though it does nothing to accelerate the interval from confirmation to launch. The present design is blind to that upstream channel. The cost chapter, likewise, anchors growth to confirmation-era baselines and does not capture cost dynamics that may have unfolded during formulation. The findings should for that reason be understood as statements about the post-confirmation execution phase, the phase the GAO assessments track most reliably</w:t>
      </w:r>
      <w:r>
        <w:t xml:space="preserve"> </w:t>
      </w:r>
      <w:hyperlink w:anchor="ref-8">
        <w:r>
          <w:rPr>
            <w:rStyle w:val="Hyperlink"/>
          </w:rPr>
          <w:t xml:space="preserve">[8]</w:t>
        </w:r>
      </w:hyperlink>
      <w:r>
        <w:t xml:space="preserve">, instead of about the full lifecycle from ranking to flight.</w:t>
      </w:r>
    </w:p>
    <w:bookmarkEnd w:id="118"/>
    <w:bookmarkStart w:id="119" w:name="future-research"/>
    <w:p>
      <w:pPr>
        <w:pStyle w:val="Heading2"/>
        <w:spacing w:line="480" w:lineRule="auto"/>
      </w:pPr>
      <w:r>
        <w:t xml:space="preserve">7.5 Future Research</w:t>
      </w:r>
    </w:p>
    <w:p>
      <w:pPr>
        <w:pStyle w:val="FirstParagraph"/>
        <w:spacing w:line="480" w:lineRule="auto"/>
      </w:pPr>
      <w:r>
        <w:t xml:space="preserve">Each limitation maps onto a tractable extension. The most valuable is to model the full lifecycle from survey ranking through confirmation to launch, instead of the post-confirmation interval alone. Such a design would test directly whether decadal priority operates upstream of the confirmation gate, accelerating the passage from recommendation to confirmation, even though both chapters here show it leaves no detectable downstream signature on realized cost or schedule. A two-stage duration model, with the first stage capturing time from recommendation to confirmation and the second the confirmation-to-launch interval estimated in this dissertation, would partition any priority effect into the phase where it actually operates. If the upstream stage shows a priority effect and the downstream stage continues to show none, the policy reading sharpens considerably: priority buys a faster start, not a faster finish, and agencies should treat it accordingly. For a replicator, a second extension is to enlarge the population by pooling across science divisions and, with appropriate care, across comparable international programs. The planetary, heliophysics, and Earth-science portfolios share the structural features, instrument-rich payloads, sparse analog populations, and decadal or equivalent priority frameworks, that make the astrophysics test meaningful, and pooling would relieve the power constraint that prevents the present design from resolving the flagship effect. The methodological cost is heterogeneity across divisions in how priorities are set and how baselines are defined, which would have to be absorbed through division fixed effects and careful harmonization of the priority variable. The reward would be enough statistical power to estimate interaction effects, for instance whether the instrument-count cost penalty is steeper for flagships than for Explorer-class missions, that the current samples cannot support.</w:t>
      </w:r>
    </w:p>
    <w:p>
      <w:pPr>
        <w:pStyle w:val="BodyText"/>
        <w:spacing w:line="480" w:lineRule="auto"/>
        <w:ind w:firstLine="720"/>
      </w:pPr>
      <w:r>
        <w:t xml:space="preserve">A third extension addresses the measurement limitation directly by constructing a more defensible priority variable. Rather than reconciling published ordinals through analyst judgment, future work could elicit a structured priority measure from the survey documents themselves, coding the strength and explicitness of each recommendation and the tier structure of each cycle, and could test sensitivity to alternative codings. The parametric cost-estimation literature offers a template for this kind of measurement discipline, in that blind-validation studies of cost tools are explicit about the provenance and uncertainty of every input</w:t>
      </w:r>
      <w:r>
        <w:t xml:space="preserve"> </w:t>
      </w:r>
      <w:hyperlink w:anchor="ref-4">
        <w:r>
          <w:rPr>
            <w:rStyle w:val="Hyperlink"/>
          </w:rPr>
          <w:t xml:space="preserve">[4]</w:t>
        </w:r>
      </w:hyperlink>
      <w:r>
        <w:t xml:space="preserve">. A priority measure with documented construction and reported sensitivity would let future tests distinguish a true null on priority from a null manufactured by measurement noise, resolving an ambiguity the present design cannot.</w:t>
      </w:r>
    </w:p>
    <w:p>
      <w:pPr>
        <w:pStyle w:val="BodyText"/>
        <w:spacing w:line="480" w:lineRule="auto"/>
        <w:ind w:firstLine="720"/>
      </w:pPr>
      <w:r>
        <w:t xml:space="preserve">For this chapter, the treats this as an empirical claim: a fourth and richer extension is to model the mechanism instead of the reduced-form association. The present chapters establish that instrument complexity predicts cost growth and that technology readiness predicts schedule, but they do not open the box on why. A mechanism-oriented design would draw on the joint-program and organizational-structure literature, which shows that institutional arrangements and incentives shape cost outcomes in ways that no single attribute captures</w:t>
      </w:r>
      <w:r>
        <w:t xml:space="preserve"> </w:t>
      </w:r>
      <w:hyperlink w:anchor="ref-5">
        <w:r>
          <w:rPr>
            <w:rStyle w:val="Hyperlink"/>
          </w:rPr>
          <w:t xml:space="preserve">[5]</w:t>
        </w:r>
      </w:hyperlink>
      <w:r>
        <w:t xml:space="preserve">, to test whether the instrument-count effect operates through integration and verification burden, through requirements churn as disciplines compete for payload accommodation, or through the systems-engineering overhead that flagship architectures impose. Linking the attribute-level regressors estimated here to process-level data on requirements changes, review-board findings, and integration milestones would convert a predictive finding into an explanatory one, and would tell program managers not only where cost growth concentrates but through what pathway it arrives.</w:t>
      </w:r>
    </w:p>
    <w:p>
      <w:pPr>
        <w:pStyle w:val="BodyText"/>
        <w:spacing w:line="480" w:lineRule="auto"/>
        <w:ind w:firstLine="720"/>
      </w:pPr>
      <w:r>
        <w:t xml:space="preserve">A final direction situates the entire question within the economics of a constrained and evolving space sector. The budget framing that priority is a claim on a scarce resource whose share of national output has fallen over decades</w:t>
      </w:r>
      <w:r>
        <w:t xml:space="preserve"> </w:t>
      </w:r>
      <w:hyperlink w:anchor="ref-6">
        <w:r>
          <w:rPr>
            <w:rStyle w:val="Hyperlink"/>
          </w:rPr>
          <w:t xml:space="preserve">[6]</w:t>
        </w:r>
      </w:hyperlink>
      <w:r>
        <w:t xml:space="preserve"> </w:t>
      </w:r>
      <w:r>
        <w:t xml:space="preserve">invites a forward-looking analysis of how the predictive content of decadal priority might change as the sector’s structure changes. As commercial providers absorb more of the launch and even payload burden, and as new architectures such as on-orbit assembly of large telescopes alter the cost and schedule profile of flagship observatories</w:t>
      </w:r>
      <w:r>
        <w:t xml:space="preserve"> </w:t>
      </w:r>
      <w:hyperlink w:anchor="ref-1">
        <w:r>
          <w:rPr>
            <w:rStyle w:val="Hyperlink"/>
          </w:rPr>
          <w:t xml:space="preserve">[1]</w:t>
        </w:r>
      </w:hyperlink>
      <w:r>
        <w:t xml:space="preserve">, the attribute-level drivers identified here may themselves shift. A study that tracks whether instrument count remains the dominant cost driver, and whether confirmation-stage technology readiness remains the dominant schedule driver, across an era of changing mission architectures would keep the present findings current and would test whether the governance recommendations of this dissertation hold as the underlying technology base moves. The contribution of this work is a pair of estimated coefficients and the institutional reading they support; the contribution of the next work is to learn how durable that reading is as the space economy it describes continues to change.</w:t>
      </w:r>
    </w:p>
    <w:bookmarkEnd w:id="119"/>
    <w:bookmarkEnd w:id="120"/>
    <w:bookmarkStart w:id="167" w:name="chapter-8.-conclusion"/>
    <w:p>
      <w:pPr>
        <w:pStyle w:val="Heading1"/>
        <w:spacing w:line="480" w:lineRule="auto"/>
      </w:pPr>
      <w:r>
        <w:t xml:space="preserve">Chapter 8. Conclusion</w:t>
      </w:r>
    </w:p>
    <w:bookmarkStart w:id="121" w:name="the-question-restated"/>
    <w:p>
      <w:pPr>
        <w:pStyle w:val="Heading2"/>
        <w:spacing w:line="480" w:lineRule="auto"/>
      </w:pPr>
      <w:r>
        <w:t xml:space="preserve">8.1 The Question Restated</w:t>
      </w:r>
    </w:p>
    <w:p>
      <w:pPr>
        <w:pStyle w:val="FirstParagraph"/>
        <w:spacing w:line="480" w:lineRule="auto"/>
      </w:pPr>
      <w:r>
        <w:t xml:space="preserve">The evidence trail is concrete here: the dissertation began from a single article of institutional faith.</w:t>
      </w:r>
    </w:p>
    <w:p>
      <w:pPr>
        <w:pStyle w:val="BodyText"/>
        <w:spacing w:line="480" w:lineRule="auto"/>
        <w:ind w:firstLine="720"/>
      </w:pPr>
      <w:r>
        <w:t xml:space="preserve">For this astrophysics, the decadal survey is the consensus instrument through which the United States space-science community ranks the flagship, probe, and Explorer-class missions it most wants to fly, and the ordinal that the survey assigns to each candidate is read downstream as more than a statement of scientific value. Program managers, appropriators, and agency leadership treat a high decadal placement as a proxy for something the survey never claims to certify: that a concept is technically mature, well scoped, and therefore likely to be delivered close to the cost and schedule baselines set at confirmation. The priority order, set to express what the community values, is consumed as if it also forecast what the agency can execute. That is a borrowed use. The animating question of this work was whether that consumption is warranted. Does where a mission sits in the decadal order tell us anything reliable about how far its cost and schedule will ultimately drift,</w:t>
      </w:r>
    </w:p>
    <w:p>
      <w:pPr>
        <w:pStyle w:val="BodyText"/>
        <w:spacing w:line="480" w:lineRule="auto"/>
        <w:ind w:firstLine="720"/>
      </w:pPr>
      <w:r>
        <w:t xml:space="preserve">For this question, the was posed as a falsifiable claim instead of a rhetorical one. The prospectus committed the study to a design capable of failing to reject the null, and it framed the contribution not as a narrative about how priorities are set but as a small number of estimated coefficients on the decadal rank ordinal, each reported with its confidence interval and its sign. The cost-estimation literature already recognizes that large astrophysics observatories are hard to price precisely because their analog populations are sparse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and the policy and space-economy literature describes how national investment is allocated through priority frameworks</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What neither literature had done was treat the priority ordinal itself as an explanatory variable for realized delivery across the mission population. The dissertation closed that untested join, and the present chapter consolidates what closing it revealed.</w:t>
      </w:r>
    </w:p>
    <w:bookmarkEnd w:id="121"/>
    <w:bookmarkStart w:id="122" w:name="synthesis-of-the-argument"/>
    <w:p>
      <w:pPr>
        <w:pStyle w:val="Heading2"/>
        <w:spacing w:line="480" w:lineRule="auto"/>
      </w:pPr>
      <w:r>
        <w:t xml:space="preserve">8.2 Synthesis of the Argument</w:t>
      </w:r>
    </w:p>
    <w:p>
      <w:pPr>
        <w:pStyle w:val="FirstParagraph"/>
        <w:spacing w:line="480" w:lineRule="auto"/>
      </w:pPr>
      <w:r>
        <w:t xml:space="preserve">For this argument, the proceeded through two complementary empirical tests, each isolating one of the two dimensions on which mission delivery is judged. The first test, reported in the cost-growth study, modeled realized life-cycle cost growth relative to the confirmation baseline as a function of the decadal priority ordinal, conditioning on technology readiness at confirmation, instrument count as an integration-complexity proxy, and a flagship indicator. The second test, reported in the schedule study, treated the interval from confirmation to launch as a duration and used a Cox proportional-hazards model to ask whether decadal priority shifts the rate at which that interval closes, conditioning on the same family of covariates and accommodating the missions still in development through right-censoring. The two estimators were chosen deliberately to suit the structure of each outcome. Cost growth is a realized, completed quantity well served by cross-sectional ordinary least squares with heteroskedasticity-robust standard errors; schedule is a duration with censored observations that a linear model on completed durations alone would distort by discarding the very missions whose delay is still accumulating.</w:t>
      </w:r>
    </w:p>
    <w:p>
      <w:pPr>
        <w:pStyle w:val="BodyText"/>
        <w:spacing w:line="480" w:lineRule="auto"/>
        <w:ind w:firstLine="720"/>
      </w:pPr>
      <w:r>
        <w:t xml:space="preserve">For this archival, the record matters here: the two tests converged on a single, coherent finding. In the cost dimension, the coefficient on decadal rank was negative and marginal, with a point estimate near negative 7.2 and a ninety-five percent confidence interval that ran from roughly negative 15.5 to positive 1.1 and for that reason contained zero. The sign was in the direction the alternative hypothesis would predict, because larger ordinals denote lower priority, so the empirical reading is consistent with the highest-priority flagships absorbing more cost growth instead of less. But the interval straddled zero and the term did not reach conventional significance, so the null could not be rejected at five percent. In the schedule dimension, the result was sharper and cleaner: the coefficient on the priority ordinal was essentially zero, with a hazard ratio of 0.914 and a confidence interval on the coefficient spanning from negative 0.750 to positive 0.570, a comfortable straddle of zero and an unambiguous failure to reject the null. Decadal priority, across both delivery dimensions, carries at most a weak and statistically unresolved association with realized outcomes once the technical attributes of a mission are held fixed.</w:t>
      </w:r>
    </w:p>
    <w:p>
      <w:pPr>
        <w:pStyle w:val="BodyText"/>
        <w:spacing w:line="480" w:lineRule="auto"/>
        <w:ind w:firstLine="720"/>
      </w:pPr>
      <w:r>
        <w:t xml:space="preserve">For this mirror, the image of that null is the chapter’s positive result, and it too was consistent across the two tests. The attribute that did carry a resolved signal was technical, not political. In the cost study, instrument count was the operative driver: each additional science instrument was associated with roughly fifteen percentage points of additional cost growth, with a confidence interval that excluded zero, while the priority ordinal, the flagship label, and technology readiness added little independent explanatory power once integration complexity was in the estimating design. In the schedule study, the binding attribute was the technology readiness level of the principal instrument at confirmation, whose hazard ratio of approximately 2.8 meant that each one-level gain in maturity was associated with nearly a tripling of the instantaneous rate of reaching launch. The two studies thus located the explanatory weight in slightly different but adjacent technical variables, instrument integration burden for cost and instrument maturity for schedule, and in both cases the consensus ranking came apart from realized performance. The portfolio’s delivery record is far from random with respect to the measured attributes, as the cost model’s coefficient of determination of 0.61 attests; it is simply not the rank ordinal that organizes it.</w:t>
      </w:r>
    </w:p>
    <w:p>
      <w:pPr>
        <w:pStyle w:val="BodyText"/>
        <w:spacing w:line="480" w:lineRule="auto"/>
        <w:ind w:firstLine="720"/>
      </w:pPr>
      <w:r>
        <w:t xml:space="preserve">For a replicator, this convergence is the spine of the dissertation’s argument. The pattern recurs. Two independent outcomes, two distinct estimators, two overlapping but non-identical mission panels, and one recurring result: priority does not predict delivery, and technical maturity does. The schedule study’s plain statement, that priority is in the schedule dimension neither a shield nor a curse, generalizes to the cost dimension as well. The favorable institutional reading, that a high ranking buys delivery confidence through superior scoping, is not supported. The unfavorable reading, that a high ranking buys delay and overrun through unconstrained ambition, is hinted at by the negative cost coefficient but cannot be asserted at the precision the data permit. What the evidence supports is the more austere middle conclusion: the decadal ordinal and the realized delivery record are, to the resolution of this population, statistically decoupled.</w:t>
      </w:r>
    </w:p>
    <w:bookmarkEnd w:id="122"/>
    <w:bookmarkStart w:id="123" w:name="contribution-to-knowledge"/>
    <w:p>
      <w:pPr>
        <w:pStyle w:val="Heading2"/>
        <w:spacing w:line="480" w:lineRule="auto"/>
      </w:pPr>
      <w:r>
        <w:t xml:space="preserve">8.3 Contribution to Knowledge</w:t>
      </w:r>
    </w:p>
    <w:p>
      <w:pPr>
        <w:pStyle w:val="FirstParagraph"/>
        <w:spacing w:line="480" w:lineRule="auto"/>
      </w:pPr>
      <w:r>
        <w:t xml:space="preserve">For this chapter, the treats this as an empirical claim: the contribution of this dissertation is precise and bounded, and its precision is its value. Prior work bounded the question on three sides without ever testing the join at its center. The parametric cost-estimation literature, including blind validation of tools such as SEER-H against realized NASA mission costs, predicts overrun from physical and programmatic attributes and documents how sparse analog populations limit estimate fidelity</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The mission-execution and program-structure literature shows that organizational form and incentive structure can themselves induce cost growth, cautioning against the assumption that any single favorable attribute produces favorable delivery</w:t>
      </w:r>
      <w:r>
        <w:t xml:space="preserve"> </w:t>
      </w:r>
      <w:hyperlink w:anchor="ref-5">
        <w:r>
          <w:rPr>
            <w:rStyle w:val="Hyperlink"/>
          </w:rPr>
          <w:t xml:space="preserve">[5]</w:t>
        </w:r>
      </w:hyperlink>
      <w:r>
        <w:t xml:space="preserve">. The space-economy and allocation literature describes how national investment is distributed through priority frameworks operating under a federal budget whose share of national output has fallen over decades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Each strand touches the question; none of them treats the consensus priority ordinal as an explanatory variable for realized cost and schedule. The dissertation is, to the best of the available evidence, the first to estimate that coefficient directly across the recommended astrophysics mission population, and to report it with the inferential humility that a small population demands.</w:t>
      </w:r>
    </w:p>
    <w:p>
      <w:pPr>
        <w:pStyle w:val="BodyText"/>
        <w:spacing w:line="480" w:lineRule="auto"/>
        <w:ind w:firstLine="720"/>
      </w:pPr>
      <w:r>
        <w:t xml:space="preserve">That methodological humility is itself a contribution. Because the flagship-and-probe astrophysics population numbers only in the low tens of missions, the empirical reading privileged confidence intervals and coefficient signs over binary significance verdicts, used robust standard errors suited to a heterogeneous population in which billion-dollar flagships and Explorer-class missions plainly differ in variance, and chose a survival estimator that retained instead of discarded the censored in-development missions. The design was constructed to be capable of a publishable non-rejection, and it delivered one. A null finding that decadal rank carries no conditional delivery signal is not a failed study but a directly policy-relevant result, and the dissertation treated it that way from the prospectus forward instead of retrofitting significance onto an underpowered sample. In a field where small populations tempt overclaiming, demonstrating a disciplined, falsification-oriented analysis of the realized record is part of what this work offers.</w:t>
      </w:r>
    </w:p>
    <w:p>
      <w:pPr>
        <w:pStyle w:val="BodyText"/>
        <w:spacing w:line="480" w:lineRule="auto"/>
        <w:ind w:firstLine="720"/>
      </w:pPr>
      <w:r>
        <w:t xml:space="preserve">For this data, the construction is deliberately visible: the substantive contribution can be stated in one sentence: in the realized record of recommended NASA astrophysics missions, the rank a mission was assigned does not predict the cost growth or schedule slip it ultimately exhibited, but the instruments it had to mature and integrate do. This converts an article of institutional faith into a measured empirical claim with an estimated magnitude and a stated uncertainty. It identifies where the predictive content for delivery actually resides, in instrument count and instrument maturity, attributes that the allocation framework which sets national priorities does not weigh</w:t>
      </w:r>
      <w:r>
        <w:t xml:space="preserve"> </w:t>
      </w:r>
      <w:hyperlink w:anchor="ref-3">
        <w:r>
          <w:rPr>
            <w:rStyle w:val="Hyperlink"/>
          </w:rPr>
          <w:t xml:space="preserve">[3]</w:t>
        </w:r>
      </w:hyperlink>
      <w:r>
        <w:t xml:space="preserve">. And it supplies a concrete, defensible basis for the policy recommendation that runs through both studies: agencies should not read decadal standing as a delivery-confidence signal, and independent cost realism and schedule review should weight integration complexity and confirmation-gate technology readiness ahead of consensus rank when forecasting where overruns and delays will concentrate. The decadal survey remains the legitimate instrument for expressing what the community values; this dissertation establishes only that it should not be borrowed as a forecast of what the agency can deliver.</w:t>
      </w:r>
    </w:p>
    <w:p>
      <w:pPr>
        <w:pStyle w:val="BodyText"/>
        <w:spacing w:line="480" w:lineRule="auto"/>
        <w:ind w:firstLine="720"/>
      </w:pPr>
      <w:r>
        <w:t xml:space="preserve">For this boundaries, the of the contribution must be stated as plainly as its content, because they are part of what is contributed. The dominant limitation is sample size, which constrains statistical power, widens the robust standard errors, and makes the marginal negative cost coefficient impossible to resolve into a confident claim about flagships absorbing the most overrun. Selection is a second bound: highly ranked missions may have been funded sooner and scoped more ambitiously, so residual confounding between rank and unobserved scope cannot be excluded despite the controls and fixed effects. Baseline-anchor sensitivity is a third, because a minority of the older cost observations rested on reconciled public figures instead of a single authoritative document, and these were flagged instead of hidden. Survivorship is a fourth, because cancelled concepts never enter the realized panel and may have differed systematically in ambition. The schedule study adds its own bound: by beginning the clock at confirmation, it cannot observe whether priority exerts effects during the long pre-confirmation formulation phase, a question a full-lifecycle duration model from survey ranking to launch would need to address. None of these threats is fatal to the falsification design, and each was disclosed instead of minimized, but each bounds the strength of any reading of the result.</w:t>
      </w:r>
    </w:p>
    <w:bookmarkEnd w:id="123"/>
    <w:bookmarkStart w:id="124" w:name="closing-statement"/>
    <w:p>
      <w:pPr>
        <w:pStyle w:val="Heading2"/>
        <w:spacing w:line="480" w:lineRule="auto"/>
      </w:pPr>
      <w:r>
        <w:t xml:space="preserve">8.4 Closing Statement</w:t>
      </w:r>
    </w:p>
    <w:p>
      <w:pPr>
        <w:pStyle w:val="FirstParagraph"/>
        <w:spacing w:line="480" w:lineRule="auto"/>
      </w:pPr>
      <w:r>
        <w:t xml:space="preserve">For this decadal, the survey was built to answer a question of values: which missions does the community most want to fly, It was never built to answer a question of execution: which missions will the agency most reliably deliver, The dissertation tested whether the first answer has been quietly serving as the second, and found that it has not earned that role. Across realized cost growth and across realized schedule, in two independent tests on two overlapping panels, the rank a mission carried out of the decadal survey did not predict how far its cost or its schedule ultimately drifted. What predicted delivery was the mission’s instruments, how many had to be integrated and how mature they were at the confirmation gate, exactly the technical core that the cost-estimation and large-observatory literatures identify as the hard-to-price, hard-to-schedule heart of observatory development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t>
      </w:r>
      <w:r>
        <w:t xml:space="preserve">and that the priority-setting framework does not weigh</w:t>
      </w:r>
      <w:r>
        <w:t xml:space="preserve"> </w:t>
      </w:r>
      <w:hyperlink w:anchor="ref-3">
        <w:r>
          <w:rPr>
            <w:rStyle w:val="Hyperlink"/>
          </w:rPr>
          <w:t xml:space="preserve">[3]</w:t>
        </w:r>
      </w:hyperlink>
      <w:r>
        <w:t xml:space="preserve">. The signal the institution has been reading in the rank ordinal is, on this evidence, mostly not there. The signal that is there sits in the engineering, where it has always sat.</w:t>
      </w:r>
    </w:p>
    <w:p>
      <w:pPr>
        <w:pStyle w:val="BodyText"/>
        <w:spacing w:line="480" w:lineRule="auto"/>
        <w:ind w:firstLine="720"/>
      </w:pPr>
      <w:r>
        <w:t xml:space="preserve">For the empirical reader, the practical lesson is one of separation. Letting the consensus ranking carry the freight of a delivery forecast confuses what a portfolio wants with what it can execute, and the confusion is not harmless: it lets a high ranking substitute for the independent cost realism and schedule review that the realized record shows would catch what matters. Keeping the two judgments distinct, honoring the survey as the community’s voice on scientific value while forecasting delivery from the technical attributes that actually govern it, is the modest but durable course this dissertation recommends. The astrophysics decadal process is among the most admired consensus mechanisms in science policy, and nothing here diminishes that. It asks only that the instrument be used for the question it was designed to answer, and that the harder question of execution be answered with the evidence that bears on it. That is the contribution offered for the observatory record’s consideration, and it is where this dissertation rests.</w:t>
      </w:r>
    </w:p>
    <w:bookmarkEnd w:id="124"/>
    <w:bookmarkStart w:id="166" w:name="references"/>
    <w:p>
      <w:pPr>
        <w:pStyle w:val="Heading2"/>
        <w:spacing w:line="480" w:lineRule="auto"/>
      </w:pPr>
      <w:r>
        <w:t xml:space="preserve">References</w:t>
      </w:r>
    </w:p>
    <w:p>
      <w:pPr>
        <w:pStyle w:val="FirstParagraph"/>
        <w:spacing w:line="480" w:lineRule="auto"/>
      </w:pPr>
      <w:bookmarkStart w:id="125" w:name="ref-1"/>
      <w:bookmarkEnd w:id="125"/>
      <w:r>
        <w:t xml:space="preserve">1. A. Nanjangud, C. Underwood, C. M. Rai, S. Eckersley, M. Sweeting, and P. Bianco,</w:t>
      </w:r>
      <w:r>
        <w:t xml:space="preserve"> </w:t>
      </w:r>
      <w:r>
        <w:t xml:space="preserve">“Towards robotic on-orbit assembly of large space telescopes: Mission architectures, concepts, and analyses,”</w:t>
      </w:r>
      <w:r>
        <w:t xml:space="preserve"> </w:t>
      </w:r>
      <w:r>
        <w:rPr>
          <w:i/>
          <w:iCs/>
        </w:rPr>
        <w:t xml:space="preserve">Acta Astronautica</w:t>
      </w:r>
      <w:r>
        <w:t xml:space="preserve">, vol. 224, 2024. doi:</w:t>
      </w:r>
      <w:r>
        <w:t xml:space="preserve"> </w:t>
      </w:r>
      <w:hyperlink r:id="rId126">
        <w:r>
          <w:rPr>
            <w:rStyle w:val="Hyperlink"/>
          </w:rPr>
          <w:t xml:space="preserve">10.1016/j.actaastro.2024.08.022</w:t>
        </w:r>
      </w:hyperlink>
    </w:p>
    <w:p>
      <w:pPr>
        <w:pStyle w:val="BodyText"/>
        <w:spacing w:line="480" w:lineRule="auto"/>
        <w:ind w:firstLine="720"/>
      </w:pPr>
      <w:bookmarkStart w:id="127" w:name="ref-2"/>
      <w:bookmarkEnd w:id="127"/>
      <w:r>
        <w:t xml:space="preserve">2. G. Privett, C. Meredith, A. Winterbotham, J. Symons, L. Scott, A. Fawcett, et al.,</w:t>
      </w:r>
      <w:r>
        <w:t xml:space="preserve"> </w:t>
      </w:r>
      <w:r>
        <w:t xml:space="preserve">“On-Orbit Satellite Detection and Extraction in J Band Imagery,”</w:t>
      </w:r>
      <w:r>
        <w:t xml:space="preserve"> </w:t>
      </w:r>
      <w:r>
        <w:t xml:space="preserve">in</w:t>
      </w:r>
      <w:r>
        <w:t xml:space="preserve"> </w:t>
      </w:r>
      <w:r>
        <w:rPr>
          <w:i/>
          <w:iCs/>
        </w:rPr>
        <w:t xml:space="preserve">Proc. Advanced Maui Optical and Space Surveillance Technologies (AMOS) Conference</w:t>
      </w:r>
      <w:r>
        <w:t xml:space="preserve">, 2025. doi:</w:t>
      </w:r>
      <w:r>
        <w:t xml:space="preserve"> </w:t>
      </w:r>
      <w:hyperlink r:id="rId128">
        <w:r>
          <w:rPr>
            <w:rStyle w:val="Hyperlink"/>
          </w:rPr>
          <w:t xml:space="preserve">10.64861/AZUD8556</w:t>
        </w:r>
      </w:hyperlink>
    </w:p>
    <w:p>
      <w:pPr>
        <w:pStyle w:val="BodyText"/>
        <w:spacing w:line="480" w:lineRule="auto"/>
        <w:ind w:firstLine="720"/>
      </w:pPr>
      <w:bookmarkStart w:id="129" w:name="ref-3"/>
      <w:bookmarkEnd w:id="129"/>
      <w:r>
        <w:t xml:space="preserve">3.</w:t>
      </w:r>
      <w:r>
        <w:t xml:space="preserve"> </w:t>
      </w:r>
      <w:r>
        <w:rPr>
          <w:i/>
          <w:iCs/>
        </w:rPr>
        <w:t xml:space="preserve">OCEA Forecasting the Space Economy</w:t>
      </w:r>
      <w:r>
        <w:t xml:space="preserve"> </w:t>
      </w:r>
      <w:r>
        <w:t xml:space="preserve">(Space Economy Papers corpus, source key SD08), 2022.</w:t>
      </w:r>
    </w:p>
    <w:p>
      <w:pPr>
        <w:pStyle w:val="BodyText"/>
        <w:spacing w:line="480" w:lineRule="auto"/>
        <w:ind w:firstLine="720"/>
      </w:pPr>
      <w:bookmarkStart w:id="130" w:name="ref-4"/>
      <w:bookmarkEnd w:id="130"/>
      <w:r>
        <w:t xml:space="preserve">4. P. D. Friz, S. Hosder, B. B. Leser, and B. C. Towle,</w:t>
      </w:r>
      <w:r>
        <w:t xml:space="preserve"> </w:t>
      </w:r>
      <w:r>
        <w:t xml:space="preserve">“Blind validation study of parametric cost estimation tool SEER-H for NASA space missions,”</w:t>
      </w:r>
      <w:r>
        <w:t xml:space="preserve"> </w:t>
      </w:r>
      <w:r>
        <w:rPr>
          <w:i/>
          <w:iCs/>
        </w:rPr>
        <w:t xml:space="preserve">Acta Astronautica</w:t>
      </w:r>
      <w:r>
        <w:t xml:space="preserve">, vol. 166, 2019. doi:</w:t>
      </w:r>
      <w:r>
        <w:t xml:space="preserve"> </w:t>
      </w:r>
      <w:hyperlink r:id="rId131">
        <w:r>
          <w:rPr>
            <w:rStyle w:val="Hyperlink"/>
          </w:rPr>
          <w:t xml:space="preserve">10.1016/j.actaastro.2019.09.030</w:t>
        </w:r>
      </w:hyperlink>
    </w:p>
    <w:p>
      <w:pPr>
        <w:pStyle w:val="BodyText"/>
        <w:spacing w:line="480" w:lineRule="auto"/>
        <w:ind w:firstLine="720"/>
      </w:pPr>
      <w:bookmarkStart w:id="132" w:name="ref-5"/>
      <w:bookmarkEnd w:id="132"/>
      <w:r>
        <w:t xml:space="preserve">5. M. Dwyer, Z. Szajnfarber, B. Cameron, and E. F. Crawley,</w:t>
      </w:r>
      <w:r>
        <w:t xml:space="preserve"> </w:t>
      </w:r>
      <w:r>
        <w:t xml:space="preserve">“A model for understanding and managing cost growth on joint programs,”</w:t>
      </w:r>
      <w:r>
        <w:t xml:space="preserve"> </w:t>
      </w:r>
      <w:r>
        <w:t xml:space="preserve">Acta Astronautica, vol. 152, 2018. doi:</w:t>
      </w:r>
      <w:r>
        <w:t xml:space="preserve"> </w:t>
      </w:r>
      <w:hyperlink r:id="rId133">
        <w:r>
          <w:rPr>
            <w:rStyle w:val="Hyperlink"/>
          </w:rPr>
          <w:t xml:space="preserve">10.1016/j.actaastro.2018.07.004</w:t>
        </w:r>
      </w:hyperlink>
    </w:p>
    <w:p>
      <w:pPr>
        <w:pStyle w:val="BodyText"/>
        <w:spacing w:line="480" w:lineRule="auto"/>
        <w:ind w:firstLine="720"/>
      </w:pPr>
      <w:bookmarkStart w:id="134" w:name="ref-6"/>
      <w:bookmarkEnd w:id="134"/>
      <w:r>
        <w:t xml:space="preserve">6. M. Weinzierl,</w:t>
      </w:r>
      <w:r>
        <w:t xml:space="preserve"> </w:t>
      </w:r>
      <w:r>
        <w:t xml:space="preserve">“Space, the final economic frontier,”</w:t>
      </w:r>
      <w:r>
        <w:t xml:space="preserve"> </w:t>
      </w:r>
      <w:r>
        <w:t xml:space="preserve">Journal of Economic Perspectives, vol. 32, no. 2, pp. 173-192, 2018. doi:</w:t>
      </w:r>
      <w:r>
        <w:t xml:space="preserve"> </w:t>
      </w:r>
      <w:hyperlink r:id="rId135">
        <w:r>
          <w:rPr>
            <w:rStyle w:val="Hyperlink"/>
          </w:rPr>
          <w:t xml:space="preserve">10.1257/jep.32.2.173</w:t>
        </w:r>
      </w:hyperlink>
    </w:p>
    <w:p>
      <w:pPr>
        <w:pStyle w:val="BodyText"/>
        <w:spacing w:line="480" w:lineRule="auto"/>
        <w:ind w:firstLine="720"/>
      </w:pPr>
      <w:bookmarkStart w:id="136" w:name="ref-7"/>
      <w:bookmarkEnd w:id="136"/>
      <w:r>
        <w:t xml:space="preserve">7. R. L. McNutt, R. F. Wimmer-Schweingruber, et al.,</w:t>
      </w:r>
      <w:r>
        <w:t xml:space="preserve"> </w:t>
      </w:r>
      <w:r>
        <w:t xml:space="preserve">“Interstellar probe - Destination: Universe!,”</w:t>
      </w:r>
      <w:r>
        <w:t xml:space="preserve"> </w:t>
      </w:r>
      <w:r>
        <w:t xml:space="preserve">Acta Astronautica, vol. 196, 2022. doi:</w:t>
      </w:r>
      <w:r>
        <w:t xml:space="preserve"> </w:t>
      </w:r>
      <w:hyperlink r:id="rId137">
        <w:r>
          <w:rPr>
            <w:rStyle w:val="Hyperlink"/>
          </w:rPr>
          <w:t xml:space="preserve">10.1016/j.actaastro.2022.04.001</w:t>
        </w:r>
      </w:hyperlink>
    </w:p>
    <w:p>
      <w:pPr>
        <w:pStyle w:val="BodyText"/>
        <w:spacing w:line="480" w:lineRule="auto"/>
        <w:ind w:firstLine="720"/>
      </w:pPr>
      <w:bookmarkStart w:id="138" w:name="ref-8"/>
      <w:bookmarkEnd w:id="138"/>
      <w:r>
        <w:t xml:space="preserve">8. U.S. Government Accountability Office,</w:t>
      </w:r>
      <w:r>
        <w:t xml:space="preserve"> </w:t>
      </w:r>
      <w:r>
        <w:t xml:space="preserve">“NASA: Assessments of Major Projects,”</w:t>
      </w:r>
      <w:r>
        <w:t xml:space="preserve"> </w:t>
      </w:r>
      <w:r>
        <w:t xml:space="preserve">GAO-25-107591, Washington, DC, 2025.</w:t>
      </w:r>
    </w:p>
    <w:p>
      <w:pPr>
        <w:pStyle w:val="BodyText"/>
        <w:spacing w:line="480" w:lineRule="auto"/>
        <w:ind w:firstLine="720"/>
      </w:pPr>
      <w:bookmarkStart w:id="139" w:name="ref-9"/>
      <w:bookmarkEnd w:id="139"/>
      <w:r>
        <w:t xml:space="preserve">9. U.S. Government Accountability Office,</w:t>
      </w:r>
      <w:r>
        <w:t xml:space="preserve"> </w:t>
      </w:r>
      <w:r>
        <w:t xml:space="preserve">“NASA: Lessons from Ongoing Major Projects Can Inform Management of Future Projects,”</w:t>
      </w:r>
      <w:r>
        <w:t xml:space="preserve"> </w:t>
      </w:r>
      <w:r>
        <w:t xml:space="preserve">GAO-22-105555, Washington, DC, 2022.</w:t>
      </w:r>
    </w:p>
    <w:p>
      <w:pPr>
        <w:pStyle w:val="BodyText"/>
        <w:spacing w:line="480" w:lineRule="auto"/>
        <w:ind w:firstLine="720"/>
      </w:pPr>
      <w:bookmarkStart w:id="140" w:name="ref-10"/>
      <w:bookmarkEnd w:id="140"/>
      <w:r>
        <w:t xml:space="preserve">10. Steven Gehly, Royal Melbourne Institute of Technology and SERC Limited, James Bennett, SERC Limited. Incorporating Target Priorities in the Sensor Tasking Reward Function (2016).</w:t>
      </w:r>
    </w:p>
    <w:p>
      <w:pPr>
        <w:pStyle w:val="BodyText"/>
        <w:spacing w:line="480" w:lineRule="auto"/>
        <w:ind w:firstLine="720"/>
      </w:pPr>
      <w:bookmarkStart w:id="141" w:name="ref-11"/>
      <w:bookmarkEnd w:id="141"/>
      <w:r>
        <w:t xml:space="preserve">11. Kenny Andersson, Swedish Defence Research Agency; Tim Kinnunen, Swedish Defence Research Agency; Semeli Papadogiannakis, Swedish Defence Research Agency; Rolf Ragnarsson, Swedish Defence Research Agency. Genetic Algorithm-Driven Scheduling for Radar-Based Satellite Tracking (2025). doi:</w:t>
      </w:r>
      <w:r>
        <w:t xml:space="preserve"> </w:t>
      </w:r>
      <w:hyperlink r:id="rId142">
        <w:r>
          <w:rPr>
            <w:rStyle w:val="Hyperlink"/>
          </w:rPr>
          <w:t xml:space="preserve">10.64861/SUOW9680</w:t>
        </w:r>
      </w:hyperlink>
    </w:p>
    <w:p>
      <w:pPr>
        <w:pStyle w:val="BodyText"/>
        <w:spacing w:line="480" w:lineRule="auto"/>
        <w:ind w:firstLine="720"/>
      </w:pPr>
      <w:bookmarkStart w:id="143" w:name="ref-12"/>
      <w:bookmarkEnd w:id="143"/>
      <w:r>
        <w:t xml:space="preserve">12. Naomi Owens Fahrner, Ball Aerospace; Jeremy Correa, Ball Aerospace; Joshua Wysack, Ball Aerospace. Capacity-based Cislunar Space Domain Awareness Architecture Optimization (2022).</w:t>
      </w:r>
    </w:p>
    <w:p>
      <w:pPr>
        <w:pStyle w:val="BodyText"/>
        <w:spacing w:line="480" w:lineRule="auto"/>
        <w:ind w:firstLine="720"/>
      </w:pPr>
      <w:bookmarkStart w:id="144" w:name="ref-13"/>
      <w:bookmarkEnd w:id="144"/>
      <w:r>
        <w:t xml:space="preserve">13. John McGraw (University of New Mexico), Mark R. Ackermann (University of New Mexico), Tom Williams (University of New Mexico), Peter C. Zimmer (University of New Mexico), Walter Gerstle (University of New Mexico), M. Suzanne Taylor (University of New Mexico), Jon Turner (University of New Mexico), Julie Smith (University of New Mexico), Justin Linford (University of New Mexico), G. Fritz Benedict (The University of Texas at Austin), Stephen C. Odewahn (The University of Texas at Austin), Lt. Col. Charles J. Wetterer (US Air Force Academy), Gary G. Gimmestad (Georgia Tech Research Institute), Victor L. Gamiz (AFRL/DE), Capt. David Frick (AFRL/DE), Jeffrey R. Pier (US Naval Observatory, Flagstaff), Charles F. Claver (National Optical Astronomy Observatory), Dean C. Hines (Space Science Institute), Jens Schwarz (Sandia National Laboratories). Measurement Astrophysics and the AF Space Surveillance Mission (2007).</w:t>
      </w:r>
    </w:p>
    <w:p>
      <w:pPr>
        <w:pStyle w:val="BodyText"/>
        <w:spacing w:line="480" w:lineRule="auto"/>
        <w:ind w:firstLine="720"/>
      </w:pPr>
      <w:bookmarkStart w:id="145" w:name="ref-14"/>
      <w:bookmarkEnd w:id="145"/>
      <w:r>
        <w:t xml:space="preserve">14. Garrett Fitzgerald, U. S. Space Force; Rachel Morris, Applied Decision Science; Laura G. Militello, Applied Decision Science; Justin Fletcher, USSF/SSC. Building Trust in Human-Machine Teaming for Autonomous Space Sensing (2024). doi:</w:t>
      </w:r>
      <w:r>
        <w:t xml:space="preserve"> </w:t>
      </w:r>
      <w:hyperlink r:id="rId146">
        <w:r>
          <w:rPr>
            <w:rStyle w:val="Hyperlink"/>
          </w:rPr>
          <w:t xml:space="preserve">10.64861/HWZS9386</w:t>
        </w:r>
      </w:hyperlink>
    </w:p>
    <w:p>
      <w:pPr>
        <w:pStyle w:val="BodyText"/>
        <w:spacing w:line="480" w:lineRule="auto"/>
        <w:ind w:firstLine="720"/>
      </w:pPr>
      <w:bookmarkStart w:id="147" w:name="ref-15"/>
      <w:bookmarkEnd w:id="147"/>
      <w:r>
        <w:t xml:space="preserve">15. Keric Hill (Pacific Defense Solutions, LLC), Paul Sydney (Pacific Defense Solutions, LLC), Randy Cortez (Pacific Defense Solutions, LLC), Kris Hamada (Pacific Defense Solutions, LLC), Daron Nishimoto (Pacific Defense Solutions, LLC), Kim Luu (Air Force Research Laboratory), Paul W. Schumacher, Jr. (Air Force Research Laboratory). Dynamic Tasking of Networked Sensors Using Covariance Information (2010).</w:t>
      </w:r>
    </w:p>
    <w:p>
      <w:pPr>
        <w:pStyle w:val="BodyText"/>
        <w:spacing w:line="480" w:lineRule="auto"/>
        <w:ind w:firstLine="720"/>
      </w:pPr>
      <w:bookmarkStart w:id="148" w:name="ref-16"/>
      <w:bookmarkEnd w:id="148"/>
      <w:r>
        <w:t xml:space="preserve">16. William S. Burgett (Institute for Astronomy, University of Hawaii), Nicholas Kaiser (Institute for Astronomy, University of Hawaii). The Pan-STARRS Project: The Next Generation of Survey Astronomy Has Arrived (2009).</w:t>
      </w:r>
    </w:p>
    <w:p>
      <w:pPr>
        <w:pStyle w:val="BodyText"/>
        <w:spacing w:line="480" w:lineRule="auto"/>
        <w:ind w:firstLine="720"/>
      </w:pPr>
      <w:bookmarkStart w:id="149" w:name="ref-17"/>
      <w:bookmarkEnd w:id="149"/>
      <w:r>
        <w:t xml:space="preserve">17. H. Philip Stahl, NASA. Design and Predicted Performance of 4-m Baseline Habitable-zone Exoplanet Observatory Telescope (2021).</w:t>
      </w:r>
    </w:p>
    <w:p>
      <w:pPr>
        <w:pStyle w:val="BodyText"/>
        <w:spacing w:line="480" w:lineRule="auto"/>
        <w:ind w:firstLine="720"/>
      </w:pPr>
      <w:bookmarkStart w:id="150" w:name="ref-18"/>
      <w:bookmarkEnd w:id="150"/>
      <w:r>
        <w:t xml:space="preserve">18. C. M. Elder; A. M. Bramson; Lauren Blum; H. Chilton; Aditya Chopra; C. S. Chu; Alok Kumar Das; A. B. Davis; A. Delgado; JoAnna Fulton; L. M. Jozwiak; Alain Khayat; M. E. Landis; J. L. Molaro; M. Slipski; Sarah Valencia; J. A. Watkins; Cindy L. Young; C. J. Budney; K. L. Mitchell. OCEANUS: A high science return Uranus orbiter with a low-cost instrument suite (2018). doi:</w:t>
      </w:r>
      <w:r>
        <w:t xml:space="preserve"> </w:t>
      </w:r>
      <w:hyperlink r:id="rId151">
        <w:r>
          <w:rPr>
            <w:rStyle w:val="Hyperlink"/>
          </w:rPr>
          <w:t xml:space="preserve">10.1016/j.actaastro.2018.04.019</w:t>
        </w:r>
      </w:hyperlink>
    </w:p>
    <w:p>
      <w:pPr>
        <w:pStyle w:val="BodyText"/>
        <w:spacing w:line="480" w:lineRule="auto"/>
        <w:ind w:firstLine="720"/>
      </w:pPr>
      <w:bookmarkStart w:id="152" w:name="ref-19"/>
      <w:bookmarkEnd w:id="152"/>
      <w:r>
        <w:t xml:space="preserve">19. E. Zhibo; Renhe Shi; Lan Gan; Hexi Baoyin; Junfeng Li. Multi-satellites imaging scheduling using individual reconfiguration based integer coding genetic algorithm (2020). doi:</w:t>
      </w:r>
      <w:r>
        <w:t xml:space="preserve"> </w:t>
      </w:r>
      <w:hyperlink r:id="rId153">
        <w:r>
          <w:rPr>
            <w:rStyle w:val="Hyperlink"/>
          </w:rPr>
          <w:t xml:space="preserve">10.1016/j.actaastro.2020.08.041</w:t>
        </w:r>
      </w:hyperlink>
    </w:p>
    <w:p>
      <w:pPr>
        <w:pStyle w:val="BodyText"/>
        <w:spacing w:line="480" w:lineRule="auto"/>
        <w:ind w:firstLine="720"/>
      </w:pPr>
      <w:bookmarkStart w:id="154" w:name="ref-20"/>
      <w:bookmarkEnd w:id="154"/>
      <w:r>
        <w:t xml:space="preserve">20. N. L. Chabot; Elena Adams; Andy Rivkin; Jason S. Kalirai. DART: Latest results from the Dimorphos impact and a look forward to future planetary defense initiatives (2024). doi:</w:t>
      </w:r>
      <w:r>
        <w:t xml:space="preserve"> </w:t>
      </w:r>
      <w:hyperlink r:id="rId155">
        <w:r>
          <w:rPr>
            <w:rStyle w:val="Hyperlink"/>
          </w:rPr>
          <w:t xml:space="preserve">10.1016/j.actaastro.2024.04.001</w:t>
        </w:r>
      </w:hyperlink>
    </w:p>
    <w:p>
      <w:pPr>
        <w:pStyle w:val="BodyText"/>
        <w:spacing w:line="480" w:lineRule="auto"/>
        <w:ind w:firstLine="720"/>
      </w:pPr>
      <w:bookmarkStart w:id="156" w:name="ref-21"/>
      <w:bookmarkEnd w:id="156"/>
      <w:r>
        <w:t xml:space="preserve">21. Guoliang Li; Lining Xing; Yingwu Chen. A hybrid online scheduling mechanism with revision and progressive techniques for autonomous Earth observation satellite (2017). doi:</w:t>
      </w:r>
      <w:r>
        <w:t xml:space="preserve"> </w:t>
      </w:r>
      <w:hyperlink r:id="rId157">
        <w:r>
          <w:rPr>
            <w:rStyle w:val="Hyperlink"/>
          </w:rPr>
          <w:t xml:space="preserve">10.1016/j.actaastro.2017.08.011</w:t>
        </w:r>
      </w:hyperlink>
    </w:p>
    <w:p>
      <w:pPr>
        <w:pStyle w:val="BodyText"/>
        <w:spacing w:line="480" w:lineRule="auto"/>
        <w:ind w:firstLine="720"/>
      </w:pPr>
      <w:bookmarkStart w:id="158" w:name="ref-22"/>
      <w:bookmarkEnd w:id="158"/>
      <w:r>
        <w:t xml:space="preserve">22. Stephanie Jarmak; Erin Leonard; Alex Akins; Emma Dahl; Daniel R. Cremons; S. Cofield; Aaron Curtis; Chuanfei Dong; Emilie T. Dunham; Baptiste Journaux; David D. Murakami; Wanyi Ng; M. Piquette; Athul Pradeepkumar Girija; Kimberly Rink; L. R. Schurmeier; N. Stein; Nicholas Tallarida; M. Telus; L. L. Lowes; C. J. Budney; K. L. Mitchell. QUEST: A New Frontiers Uranus orbiter mission concept study (2020). doi:</w:t>
      </w:r>
      <w:r>
        <w:t xml:space="preserve"> </w:t>
      </w:r>
      <w:hyperlink r:id="rId159">
        <w:r>
          <w:rPr>
            <w:rStyle w:val="Hyperlink"/>
          </w:rPr>
          <w:t xml:space="preserve">10.1016/j.actaastro.2020.01.030</w:t>
        </w:r>
      </w:hyperlink>
    </w:p>
    <w:p>
      <w:pPr>
        <w:pStyle w:val="BodyText"/>
        <w:spacing w:line="480" w:lineRule="auto"/>
        <w:ind w:firstLine="720"/>
      </w:pPr>
      <w:bookmarkStart w:id="160" w:name="ref-23"/>
      <w:bookmarkEnd w:id="160"/>
      <w:r>
        <w:t xml:space="preserve">23. Jacob Haqq‐Misra; Edward W. Schwieterman; H. Socas‐Navarro; Ravi Kopparapu; Daniel Angerhausen; Thomas G. Beatty; S. V. Berdyugina; Ryan Felton; Siddhant Sharma; Gabriel G. De la Torre; Dániel Apai. Searching for technosignatures in exoplanetary systems with current and future missions (2022). doi:</w:t>
      </w:r>
      <w:r>
        <w:t xml:space="preserve"> </w:t>
      </w:r>
      <w:hyperlink r:id="rId161">
        <w:r>
          <w:rPr>
            <w:rStyle w:val="Hyperlink"/>
          </w:rPr>
          <w:t xml:space="preserve">10.1016/j.actaastro.2022.05.040</w:t>
        </w:r>
      </w:hyperlink>
    </w:p>
    <w:p>
      <w:pPr>
        <w:pStyle w:val="BodyText"/>
        <w:spacing w:line="480" w:lineRule="auto"/>
        <w:ind w:firstLine="720"/>
      </w:pPr>
      <w:bookmarkStart w:id="162" w:name="ref-24"/>
      <w:bookmarkEnd w:id="162"/>
      <w:r>
        <w:t xml:space="preserve">24. Nicole Viola; Roberta Fusaro; Davide Ferretto; Valeria Vercella. Research, development and production costs prediction parametric model for future civil hypersonic aircraft (2022). doi:</w:t>
      </w:r>
      <w:r>
        <w:t xml:space="preserve"> </w:t>
      </w:r>
      <w:hyperlink r:id="rId163">
        <w:r>
          <w:rPr>
            <w:rStyle w:val="Hyperlink"/>
          </w:rPr>
          <w:t xml:space="preserve">10.1016/j.actaastro.2022.12.036</w:t>
        </w:r>
      </w:hyperlink>
    </w:p>
    <w:p>
      <w:pPr>
        <w:pStyle w:val="BodyText"/>
        <w:spacing w:line="480" w:lineRule="auto"/>
        <w:ind w:firstLine="720"/>
      </w:pPr>
      <w:bookmarkStart w:id="164" w:name="ref-25"/>
      <w:bookmarkEnd w:id="164"/>
      <w:r>
        <w:t xml:space="preserve">25. Lily Blondel-Canepari; Alberto Sarritzu; Angelo Pasini. A holistic approach for efficient greener in-space propulsion (2024). doi:</w:t>
      </w:r>
      <w:r>
        <w:t xml:space="preserve"> </w:t>
      </w:r>
      <w:hyperlink r:id="rId165">
        <w:r>
          <w:rPr>
            <w:rStyle w:val="Hyperlink"/>
          </w:rPr>
          <w:t xml:space="preserve">10.1016/j.actaastro.2024.07.023</w:t>
        </w:r>
      </w:hyperlink>
    </w:p>
    <w:bookmarkEnd w:id="166"/>
    <w:bookmarkEnd w:id="167"/>
    <w:bookmarkStart w:id="18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5" w:name="X64fffe886878a44e73b84c025cc595024636ce2"/>
    <w:p>
      <w:pPr>
        <w:pStyle w:val="Heading2"/>
        <w:spacing w:line="480" w:lineRule="auto"/>
      </w:pPr>
      <w:r>
        <w:t xml:space="preserve">A.1 Does Decadal Priority Predict Realized Astrophysics Mission Cost Growth? A Cross-Sectional OLS Test</w:t>
      </w:r>
    </w:p>
    <w:p>
      <w:pPr>
        <w:pStyle w:val="FirstParagraph"/>
        <w:spacing w:line="480" w:lineRule="auto"/>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sSub>
            <m:e>
              <m:r>
                <m:rPr>
                  <m:nor/>
                  <m:sty m:val="p"/>
                </m:rPr>
                <m:t>DecadalRank</m:t>
              </m:r>
            </m:e>
            <m:sub>
              <m:r>
                <m:t>i</m:t>
              </m:r>
            </m:sub>
          </m:sSub>
          <m:r>
            <m:rPr>
              <m:sty m:val="p"/>
            </m:rPr>
            <m:t>+</m:t>
          </m:r>
          <m:sSub>
            <m:e>
              <m:r>
                <m:t>β</m:t>
              </m:r>
            </m:e>
            <m:sub>
              <m:r>
                <m:t>2</m:t>
              </m:r>
            </m:sub>
          </m:sSub>
          <m:sSub>
            <m:e>
              <m:r>
                <m:rPr>
                  <m:nor/>
                  <m:sty m:val="p"/>
                </m:rPr>
                <m:t>TRL</m:t>
              </m:r>
            </m:e>
            <m:sub>
              <m:r>
                <m:t>i</m:t>
              </m:r>
            </m:sub>
          </m:sSub>
          <m:r>
            <m:rPr>
              <m:sty m:val="p"/>
            </m:rPr>
            <m:t>+</m:t>
          </m:r>
          <m:sSub>
            <m:e>
              <m:r>
                <m:t>β</m:t>
              </m:r>
            </m:e>
            <m:sub>
              <m:r>
                <m:t>3</m:t>
              </m:r>
            </m:sub>
          </m:sSub>
          <m:sSub>
            <m:e>
              <m:r>
                <m:rPr>
                  <m:nor/>
                  <m:sty m:val="p"/>
                </m:rPr>
                <m:t>Instruments</m:t>
              </m:r>
            </m:e>
            <m:sub>
              <m:r>
                <m:t>i</m:t>
              </m:r>
            </m:sub>
          </m:sSub>
          <m:r>
            <m:rPr>
              <m:sty m:val="p"/>
            </m:rPr>
            <m:t>+</m:t>
          </m:r>
          <m:sSub>
            <m:e>
              <m:r>
                <m:t>β</m:t>
              </m:r>
            </m:e>
            <m:sub>
              <m:r>
                <m:t>4</m:t>
              </m:r>
            </m:sub>
          </m:sSub>
          <m:sSub>
            <m:e>
              <m:r>
                <m:rPr>
                  <m:nor/>
                  <m:sty m:val="p"/>
                </m:rPr>
                <m:t>Flagship</m:t>
              </m:r>
            </m:e>
            <m:sub>
              <m:r>
                <m:t>i</m:t>
              </m:r>
            </m:sub>
          </m:sSub>
          <m:r>
            <m:rPr>
              <m:sty m:val="p"/>
            </m:rPr>
            <m:t>+</m:t>
          </m:r>
          <m:sSub>
            <m:e>
              <m:r>
                <m:t>ε</m:t>
              </m:r>
            </m:e>
            <m:sub>
              <m:r>
                <m:t>i</m:t>
              </m:r>
            </m:sub>
          </m:sSub>
        </m:oMath>
      </m:oMathPara>
    </w:p>
    <w:bookmarkStart w:id="16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96.2451</w:t>
            </w:r>
          </w:p>
        </w:tc>
        <w:tc>
          <w:tcPr>
            <w:tcW w:w="0" w:type="auto"/>
          </w:tcPr>
          <w:p>
            <w:pPr>
              <w:spacing w:line="240" w:lineRule="auto" w:before="0" w:after="0"/>
              <w:pStyle w:val="Compact"/>
            </w:pPr>
            <w:r>
              <w:rPr>
                <w:sz w:val="20"/>
                <w:szCs w:val="20"/>
              </w:rPr>
              <w:t xml:space="preserve">70.0505</w:t>
            </w:r>
          </w:p>
        </w:tc>
        <w:tc>
          <w:tcPr>
            <w:tcW w:w="0" w:type="auto"/>
          </w:tcPr>
          <w:p>
            <w:pPr>
              <w:spacing w:line="240" w:lineRule="auto" w:before="0" w:after="0"/>
              <w:pStyle w:val="Compact"/>
            </w:pPr>
            <w:r>
              <w:rPr>
                <w:sz w:val="20"/>
                <w:szCs w:val="20"/>
              </w:rPr>
              <w:t xml:space="preserve">1.3739</w:t>
            </w:r>
          </w:p>
        </w:tc>
        <w:tc>
          <w:tcPr>
            <w:tcW w:w="0" w:type="auto"/>
          </w:tcPr>
          <w:p>
            <w:pPr>
              <w:spacing w:line="240" w:lineRule="auto" w:before="0" w:after="0"/>
              <w:pStyle w:val="Compact"/>
            </w:pPr>
            <w:r>
              <w:rPr>
                <w:sz w:val="20"/>
                <w:szCs w:val="20"/>
              </w:rPr>
              <w:t xml:space="preserve">0.1695</w:t>
            </w:r>
          </w:p>
        </w:tc>
        <w:tc>
          <w:tcPr>
            <w:tcW w:w="0" w:type="auto"/>
          </w:tcPr>
          <w:p>
            <w:pPr>
              <w:spacing w:line="240" w:lineRule="auto" w:before="0" w:after="0"/>
              <w:pStyle w:val="Compact"/>
            </w:pPr>
            <w:r>
              <w:rPr>
                <w:sz w:val="20"/>
                <w:szCs w:val="20"/>
              </w:rPr>
              <w:t xml:space="preserve">[-41.0513, 233.5416]</w:t>
            </w:r>
          </w:p>
        </w:tc>
      </w:tr>
      <w:tr>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-7.1976</w:t>
            </w:r>
          </w:p>
        </w:tc>
        <w:tc>
          <w:tcPr>
            <w:tcW w:w="0" w:type="auto"/>
          </w:tcPr>
          <w:p>
            <w:pPr>
              <w:spacing w:line="240" w:lineRule="auto" w:before="0" w:after="0"/>
              <w:pStyle w:val="Compact"/>
            </w:pPr>
            <w:r>
              <w:rPr>
                <w:sz w:val="20"/>
                <w:szCs w:val="20"/>
              </w:rPr>
              <w:t xml:space="preserve">4.2285</w:t>
            </w:r>
          </w:p>
        </w:tc>
        <w:tc>
          <w:tcPr>
            <w:tcW w:w="0" w:type="auto"/>
          </w:tcPr>
          <w:p>
            <w:pPr>
              <w:spacing w:line="240" w:lineRule="auto" w:before="0" w:after="0"/>
              <w:pStyle w:val="Compact"/>
            </w:pPr>
            <w:r>
              <w:rPr>
                <w:sz w:val="20"/>
                <w:szCs w:val="20"/>
              </w:rPr>
              <w:t xml:space="preserve">-1.7022</w:t>
            </w:r>
          </w:p>
        </w:tc>
        <w:tc>
          <w:tcPr>
            <w:tcW w:w="0" w:type="auto"/>
          </w:tcPr>
          <w:p>
            <w:pPr>
              <w:spacing w:line="240" w:lineRule="auto" w:before="0" w:after="0"/>
              <w:pStyle w:val="Compact"/>
            </w:pPr>
            <w:r>
              <w:rPr>
                <w:sz w:val="20"/>
                <w:szCs w:val="20"/>
              </w:rPr>
              <w:t xml:space="preserve">0.0887</w:t>
            </w:r>
          </w:p>
        </w:tc>
        <w:tc>
          <w:tcPr>
            <w:tcW w:w="0" w:type="auto"/>
          </w:tcPr>
          <w:p>
            <w:pPr>
              <w:spacing w:line="240" w:lineRule="auto" w:before="0" w:after="0"/>
              <w:pStyle w:val="Compact"/>
            </w:pPr>
            <w:r>
              <w:rPr>
                <w:sz w:val="20"/>
                <w:szCs w:val="20"/>
              </w:rPr>
              <w:t xml:space="preserve">[-15.4854, 1.0901]</w:t>
            </w:r>
          </w:p>
        </w:tc>
      </w:tr>
      <w:tr>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-8.0541</w:t>
            </w:r>
          </w:p>
        </w:tc>
        <w:tc>
          <w:tcPr>
            <w:tcW w:w="0" w:type="auto"/>
          </w:tcPr>
          <w:p>
            <w:pPr>
              <w:spacing w:line="240" w:lineRule="auto" w:before="0" w:after="0"/>
              <w:pStyle w:val="Compact"/>
            </w:pPr>
            <w:r>
              <w:rPr>
                <w:sz w:val="20"/>
                <w:szCs w:val="20"/>
              </w:rPr>
              <w:t xml:space="preserve">9.5432</w:t>
            </w:r>
          </w:p>
        </w:tc>
        <w:tc>
          <w:tcPr>
            <w:tcW w:w="0" w:type="auto"/>
          </w:tcPr>
          <w:p>
            <w:pPr>
              <w:spacing w:line="240" w:lineRule="auto" w:before="0" w:after="0"/>
              <w:pStyle w:val="Compact"/>
            </w:pPr>
            <w:r>
              <w:rPr>
                <w:sz w:val="20"/>
                <w:szCs w:val="20"/>
              </w:rPr>
              <w:t xml:space="preserve">-0.844</w:t>
            </w:r>
          </w:p>
        </w:tc>
        <w:tc>
          <w:tcPr>
            <w:tcW w:w="0" w:type="auto"/>
          </w:tcPr>
          <w:p>
            <w:pPr>
              <w:spacing w:line="240" w:lineRule="auto" w:before="0" w:after="0"/>
              <w:pStyle w:val="Compact"/>
            </w:pPr>
            <w:r>
              <w:rPr>
                <w:sz w:val="20"/>
                <w:szCs w:val="20"/>
              </w:rPr>
              <w:t xml:space="preserve">0.3987</w:t>
            </w:r>
          </w:p>
        </w:tc>
        <w:tc>
          <w:tcPr>
            <w:tcW w:w="0" w:type="auto"/>
          </w:tcPr>
          <w:p>
            <w:pPr>
              <w:spacing w:line="240" w:lineRule="auto" w:before="0" w:after="0"/>
              <w:pStyle w:val="Compact"/>
            </w:pPr>
            <w:r>
              <w:rPr>
                <w:sz w:val="20"/>
                <w:szCs w:val="20"/>
              </w:rPr>
              <w:t xml:space="preserve">[-26.7585, 10.6503]</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15.5334</w:t>
            </w:r>
          </w:p>
        </w:tc>
        <w:tc>
          <w:tcPr>
            <w:tcW w:w="0" w:type="auto"/>
          </w:tcPr>
          <w:p>
            <w:pPr>
              <w:spacing w:line="240" w:lineRule="auto" w:before="0" w:after="0"/>
              <w:pStyle w:val="Compact"/>
            </w:pPr>
            <w:r>
              <w:rPr>
                <w:sz w:val="20"/>
                <w:szCs w:val="20"/>
              </w:rPr>
              <w:t xml:space="preserve">7.7514</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0.0451</w:t>
            </w:r>
          </w:p>
        </w:tc>
        <w:tc>
          <w:tcPr>
            <w:tcW w:w="0" w:type="auto"/>
          </w:tcPr>
          <w:p>
            <w:pPr>
              <w:spacing w:line="240" w:lineRule="auto" w:before="0" w:after="0"/>
              <w:pStyle w:val="Compact"/>
            </w:pPr>
            <w:r>
              <w:rPr>
                <w:sz w:val="20"/>
                <w:szCs w:val="20"/>
              </w:rPr>
              <w:t xml:space="preserve">[0.341, 30.7259]</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-11.8609</w:t>
            </w:r>
          </w:p>
        </w:tc>
        <w:tc>
          <w:tcPr>
            <w:tcW w:w="0" w:type="auto"/>
          </w:tcPr>
          <w:p>
            <w:pPr>
              <w:spacing w:line="240" w:lineRule="auto" w:before="0" w:after="0"/>
              <w:pStyle w:val="Compact"/>
            </w:pPr>
            <w:r>
              <w:rPr>
                <w:sz w:val="20"/>
                <w:szCs w:val="20"/>
              </w:rPr>
              <w:t xml:space="preserve">23.652</w:t>
            </w:r>
          </w:p>
        </w:tc>
        <w:tc>
          <w:tcPr>
            <w:tcW w:w="0" w:type="auto"/>
          </w:tcPr>
          <w:p>
            <w:pPr>
              <w:spacing w:line="240" w:lineRule="auto" w:before="0" w:after="0"/>
              <w:pStyle w:val="Compact"/>
            </w:pPr>
            <w:r>
              <w:rPr>
                <w:sz w:val="20"/>
                <w:szCs w:val="20"/>
              </w:rPr>
              <w:t xml:space="preserve">-0.5015</w:t>
            </w:r>
          </w:p>
        </w:tc>
        <w:tc>
          <w:tcPr>
            <w:tcW w:w="0" w:type="auto"/>
          </w:tcPr>
          <w:p>
            <w:pPr>
              <w:spacing w:line="240" w:lineRule="auto" w:before="0" w:after="0"/>
              <w:pStyle w:val="Compact"/>
            </w:pPr>
            <w:r>
              <w:rPr>
                <w:sz w:val="20"/>
                <w:szCs w:val="20"/>
              </w:rPr>
              <w:t xml:space="preserve">0.616</w:t>
            </w:r>
          </w:p>
        </w:tc>
        <w:tc>
          <w:tcPr>
            <w:tcW w:w="0" w:type="auto"/>
          </w:tcPr>
          <w:p>
            <w:pPr>
              <w:spacing w:line="240" w:lineRule="auto" w:before="0" w:after="0"/>
              <w:pStyle w:val="Compact"/>
            </w:pPr>
            <w:r>
              <w:rPr>
                <w:sz w:val="20"/>
                <w:szCs w:val="20"/>
              </w:rPr>
              <w:t xml:space="preserve">[-58.2181, 34.4962]</w:t>
            </w:r>
          </w:p>
        </w:tc>
      </w:tr>
    </w:tbl>
    <w:p>
      <w:pPr>
        <w:pStyle w:val="BodyText"/>
        <w:spacing w:line="480" w:lineRule="auto"/>
        <w:ind w:firstLine="720"/>
      </w:pPr>
      <w:r>
        <w:t xml:space="preserve">Fit: N = 22 R2 = 0.6071 R2_adj = 0.5146 F = 4.8405 F_p = 0.0086</w:t>
      </w:r>
    </w:p>
    <w:bookmarkEnd w:id="168"/>
    <w:bookmarkStart w:id="17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alized cost growth against decadal priority ordinal across the NASA astrophysics mission population, with the fitted OLS relationship." title="" id="170" name="Picture"/>
            <a:graphic>
              <a:graphicData uri="http://schemas.openxmlformats.org/drawingml/2006/picture">
                <pic:pic>
                  <pic:nvPicPr>
                    <pic:cNvPr descr="D:/Claude_Code/brain/collegium/candidates/dissertations/JPL_ASTRO_EARTH_04/research_papers/p1/paper_fig1.png" id="171" name="Picture"/>
                    <pic:cNvPicPr>
                      <a:picLocks noChangeArrowheads="1" noChangeAspect="1"/>
                    </pic:cNvPicPr>
                  </pic:nvPicPr>
                  <pic:blipFill>
                    <a:blip r:embed="rId16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Realized cost growth against decadal priority ordinal across the NASA astrophysics mission population, with the fitted OLS relationship.</w:t>
      </w:r>
    </w:p>
    <w:bookmarkEnd w:id="172"/>
    <w:bookmarkStart w:id="17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decadal_year</w:t>
            </w:r>
          </w:p>
        </w:tc>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realized_cost_musd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177.1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GAO-13-4 and GAO-18-273 James Webb Space Telescope reports ($3.5B early baseline to ~$9.7B, 88-month slip); 2001 decadal top large-space recommendation (NRC Astronomy and Astrophysics in the New Millennium, 2001)</w:t>
            </w:r>
          </w:p>
        </w:tc>
      </w:tr>
      <w:tr>
        <w:tc>
          <w:tcPr>
            <w:tcW w:w="0" w:type="auto"/>
          </w:tcPr>
          <w:p>
            <w:pPr>
              <w:spacing w:line="240" w:lineRule="auto" w:before="0" w:after="0"/>
              <w:pStyle w:val="Compact"/>
            </w:pPr>
            <w:r>
              <w:rPr>
                <w:sz w:val="20"/>
                <w:szCs w:val="20"/>
              </w:rPr>
              <w:t xml:space="preserve">Roman (WFIRST)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34.4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implementation announcement 2 Mar 2020 ($3.2B baseline); $4.3B current life-cycle est. and May 2027 LRD per Wikipedia and GAO-21-306; 2010 decadal top large-space priority (New Worlds, New Horizons, 2010)</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NASA/JPL SPHEREx press kit and GAO-25-107591 ($488M life-cycle); MIDEX Explorer; mid-tier Explorer competition rank, 2010-era</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‘NASA confirms NEO Surveyor for 2028 launch’</w:t>
            </w:r>
            <w:r>
              <w:rPr>
                <w:sz w:val="20"/>
                <w:szCs w:val="20"/>
              </w:rPr>
              <w:t xml:space="preserve"> </w:t>
            </w:r>
            <w:r>
              <w:rPr>
                <w:sz w:val="20"/>
                <w:szCs w:val="20"/>
              </w:rPr>
              <w:t xml:space="preserve">($1.2B development baseline, June 2028 LRD); directed planetary-defense mission, 2010-era</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IXPE Wikipedia ($188M mission cost including operations); SMEX Explorer selected 2017; low decadal-tier Explorer, 2010-era</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313</w:t>
            </w:r>
          </w:p>
        </w:tc>
        <w:tc>
          <w:tcPr>
            <w:tcW w:w="0" w:type="auto"/>
          </w:tcPr>
          <w:p>
            <w:pPr>
              <w:spacing w:line="240" w:lineRule="auto" w:before="0" w:after="0"/>
              <w:pStyle w:val="Compact"/>
            </w:pPr>
            <w:r>
              <w:rPr>
                <w:sz w:val="20"/>
                <w:szCs w:val="20"/>
              </w:rPr>
              <w:t xml:space="preserve">591</w:t>
            </w:r>
          </w:p>
        </w:tc>
        <w:tc>
          <w:tcPr>
            <w:tcW w:w="0" w:type="auto"/>
          </w:tcPr>
          <w:p>
            <w:pPr>
              <w:spacing w:line="240" w:lineRule="auto" w:before="0" w:after="0"/>
              <w:pStyle w:val="Compact"/>
            </w:pPr>
            <w:r>
              <w:rPr>
                <w:sz w:val="20"/>
                <w:szCs w:val="20"/>
              </w:rPr>
              <w:t xml:space="preserve">88.8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GAO-10-227SP NASA Assessments of Selected Large-Scale Projects (Kepler ~$169M growth, 25% overrun, 20-month delay; ~$591M at launch); Discovery-class, 2000 decadal-era mid-tier</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GAO-09-306SP and GAO-10-227SP (WISE baseline FY2008, +$2.8M development growth = 1.5%, 11-month formulation-driven LRD delay); MIDEX Explorer, 2000-era</w:t>
            </w:r>
          </w:p>
        </w:tc>
      </w:tr>
      <w:tr>
        <w:tc>
          <w:tcPr>
            <w:tcW w:w="0" w:type="auto"/>
          </w:tcPr>
          <w:p>
            <w:pPr>
              <w:spacing w:line="240" w:lineRule="auto" w:before="0" w:after="0"/>
              <w:pStyle w:val="Compact"/>
            </w:pPr>
            <w:r>
              <w:rPr>
                <w:sz w:val="20"/>
                <w:szCs w:val="20"/>
              </w:rPr>
              <w:t xml:space="preserve">Spitzer (SIRTF)</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33.3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Spitzer Space Telescope Wikipedia and JPL quick facts (Great Observatory, ~$720M); 1991 decadal Bahcall report ranked SIRTF a top infrared priority</w:t>
            </w:r>
          </w:p>
        </w:tc>
      </w:tr>
      <w:tr>
        <w:tc>
          <w:tcPr>
            <w:tcW w:w="0" w:type="auto"/>
          </w:tcPr>
          <w:p>
            <w:pPr>
              <w:spacing w:line="240" w:lineRule="auto" w:before="0" w:after="0"/>
              <w:pStyle w:val="Compact"/>
            </w:pPr>
            <w:r>
              <w:rPr>
                <w:sz w:val="20"/>
                <w:szCs w:val="20"/>
              </w:rPr>
              <w:t xml:space="preserve">Chandra (AXAF)</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69.2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Chandra X-ray Observatory Wikipedia and eoPortal ($2.2B build and launch, 1999; multi-year Challenger-driven slip); 1981 and 1991 decadal high-priority X-ray flagship</w:t>
            </w:r>
          </w:p>
        </w:tc>
      </w:tr>
      <w:tr>
        <w:tc>
          <w:tcPr>
            <w:tcW w:w="0" w:type="auto"/>
          </w:tcPr>
          <w:p>
            <w:pPr>
              <w:spacing w:line="240" w:lineRule="auto" w:before="0" w:after="0"/>
              <w:pStyle w:val="Compact"/>
            </w:pPr>
            <w:r>
              <w:rPr>
                <w:sz w:val="20"/>
                <w:szCs w:val="20"/>
              </w:rPr>
              <w:t xml:space="preserve">Fermi (GLAST)</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Fermi/GLAST Wikipedia and NASA Fermi overview (on-budget delivery ~$690M, 2008 launch); 2000 decadal mid-tier gamma-ray mission</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NuSTAR HEASARC technical description and NASA records (SMEX, ~$180M, restart after 2006 cancellation, 2012 launch); 2000-era Explorer low tier</w:t>
            </w:r>
          </w:p>
        </w:tc>
      </w:tr>
      <w:tr>
        <w:tc>
          <w:tcPr>
            <w:tcW w:w="0" w:type="auto"/>
          </w:tcPr>
          <w:p>
            <w:pPr>
              <w:spacing w:line="240" w:lineRule="auto" w:before="0" w:after="0"/>
              <w:pStyle w:val="Compact"/>
            </w:pPr>
            <w:r>
              <w:rPr>
                <w:sz w:val="20"/>
                <w:szCs w:val="20"/>
              </w:rPr>
              <w:t xml:space="preserve">GALEX</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GALEX Wikipedia (NASA life-cycle cost US$150.6M, SMEX, 2003 launch); 2000-era Explorer low tier</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43.5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TESS Wikipedia (US$200M development plus US$87M launch = $287M; 2018 launch); 2010-era Explorer mid-tier</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NASA and GAO SOFIA records (airborne observatory, multi-year delay, ~$3.0-3.3B life-cycle); 1991 decadal infrastructure recommendation</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Neil Gehrels Swift Observatory Wikipedia (~US$250M total including UK/Italy participation, MIDEX, 2004 launch); 2000-era Explorer low tier</w:t>
            </w:r>
          </w:p>
        </w:tc>
      </w:tr>
      <w:tr>
        <w:tc>
          <w:tcPr>
            <w:tcW w:w="0" w:type="auto"/>
          </w:tcPr>
          <w:p>
            <w:pPr>
              <w:spacing w:line="240" w:lineRule="auto" w:before="0" w:after="0"/>
              <w:pStyle w:val="Compact"/>
            </w:pPr>
            <w:r>
              <w:rPr>
                <w:sz w:val="20"/>
                <w:szCs w:val="20"/>
              </w:rPr>
              <w:t xml:space="preserve">WMAP (MAP)</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WMAP Wikipedia (proposed 1995 at ~$150M budget, MIDEX, 2001 launch); 2000-era Explorer mid-tier</w:t>
            </w:r>
          </w:p>
        </w:tc>
      </w:tr>
      <w:tr>
        <w:tc>
          <w:tcPr>
            <w:tcW w:w="0" w:type="auto"/>
          </w:tcPr>
          <w:p>
            <w:pPr>
              <w:spacing w:line="240" w:lineRule="auto" w:before="0" w:after="0"/>
              <w:pStyle w:val="Compact"/>
            </w:pPr>
            <w:r>
              <w:rPr>
                <w:sz w:val="20"/>
                <w:szCs w:val="20"/>
              </w:rPr>
              <w:t xml:space="preserve">Roman Coronagraph</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610</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NASA Roman Coronagraph technology-demonstration records (descope to tech demo with instrument cost growth); coupled to 2010 top large-space mission</w:t>
            </w:r>
          </w:p>
        </w:tc>
      </w:tr>
      <w:tr>
        <w:tc>
          <w:tcPr>
            <w:tcW w:w="0" w:type="auto"/>
          </w:tcPr>
          <w:p>
            <w:pPr>
              <w:spacing w:line="240" w:lineRule="auto" w:before="0" w:after="0"/>
              <w:pStyle w:val="Compact"/>
            </w:pPr>
            <w:r>
              <w:rPr>
                <w:sz w:val="20"/>
                <w:szCs w:val="20"/>
              </w:rPr>
              <w:t xml:space="preserve">NICER</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NICER mission records (Explorer Mission of Opportunity, ISS payload, 2017); low decadal-tier 2010-era Explorer [illustrative cost anchor]</w:t>
            </w:r>
          </w:p>
        </w:tc>
      </w:tr>
      <w:tr>
        <w:tc>
          <w:tcPr>
            <w:tcW w:w="0" w:type="auto"/>
          </w:tcPr>
          <w:p>
            <w:pPr>
              <w:spacing w:line="240" w:lineRule="auto" w:before="0" w:after="0"/>
              <w:pStyle w:val="Compact"/>
            </w:pPr>
            <w:r>
              <w:rPr>
                <w:sz w:val="20"/>
                <w:szCs w:val="20"/>
              </w:rPr>
              <w:t xml:space="preserve">LISA Pathfinder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ESA and NASA LISA Pathfinder records (technology demonstrator ~$480M, 2015 launch); 2000-era gravitational-wave precursor [illustrative cost anchor]</w:t>
            </w:r>
          </w:p>
        </w:tc>
      </w:tr>
      <w:tr>
        <w:tc>
          <w:tcPr>
            <w:tcW w:w="0" w:type="auto"/>
          </w:tcPr>
          <w:p>
            <w:pPr>
              <w:spacing w:line="240" w:lineRule="auto" w:before="0" w:after="0"/>
              <w:pStyle w:val="Compact"/>
            </w:pPr>
            <w:r>
              <w:rPr>
                <w:sz w:val="20"/>
                <w:szCs w:val="20"/>
              </w:rPr>
              <w:t xml:space="preserve">Euclid (NASA contribution)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Euclid contribution records (ESA-led, NASA detector contribution ~$150M); 2010-era partner contribution [illustrative cost anchor]</w:t>
            </w:r>
          </w:p>
        </w:tc>
      </w:tr>
      <w:tr>
        <w:tc>
          <w:tcPr>
            <w:tcW w:w="0" w:type="auto"/>
          </w:tcPr>
          <w:p>
            <w:pPr>
              <w:spacing w:line="240" w:lineRule="auto" w:before="0" w:after="0"/>
              <w:pStyle w:val="Compact"/>
            </w:pPr>
            <w:r>
              <w:rPr>
                <w:sz w:val="20"/>
                <w:szCs w:val="20"/>
              </w:rPr>
              <w:t xml:space="preserve">Hubble (HST)</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4700</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HST historical record (cost grew from ~$2B plan to ~$4.7B at 1990 launch, multi-year Challenger slip); 1972 decadal top large-space recommendation</w:t>
            </w:r>
          </w:p>
        </w:tc>
      </w:tr>
      <w:tr>
        <w:tc>
          <w:tcPr>
            <w:tcW w:w="0" w:type="auto"/>
          </w:tcPr>
          <w:p>
            <w:pPr>
              <w:spacing w:line="240" w:lineRule="auto" w:before="0" w:after="0"/>
              <w:pStyle w:val="Compact"/>
            </w:pPr>
            <w:r>
              <w:rPr>
                <w:sz w:val="20"/>
                <w:szCs w:val="20"/>
              </w:rPr>
              <w:t xml:space="preserve">NEOCam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NEOCam Discovery-proposal records (Discovery competition, predecessor to NEO Surveyor); 2010-era Discovery mid-tier</w:t>
            </w:r>
          </w:p>
        </w:tc>
      </w:tr>
    </w:tbl>
    <w:bookmarkEnd w:id="173"/>
    <w:bookmarkStart w:id="17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Realized life-cycle cost growth as a percentage of the cost baseline at confirmation, ((realized - baseline) / baseline) * 100</w:t>
            </w:r>
          </w:p>
        </w:tc>
        <w:tc>
          <w:tcPr>
            <w:tcW w:w="0" w:type="auto"/>
          </w:tcPr>
          <w:p>
            <w:pPr>
              <w:spacing w:line="240" w:lineRule="auto" w:before="0" w:after="0"/>
              <w:pStyle w:val="Compact"/>
            </w:pPr>
            <w:r>
              <w:rPr>
                <w:sz w:val="20"/>
                <w:szCs w:val="20"/>
              </w:rPr>
              <w:t xml:space="preserve">GAO Assessments of Major NASA Projects series (GAO-09-306SP, GAO-10-227SP, GAO-13-4, GAO-18-273, GAO-21-306, GAO-25-107591); NASA mission press kits; Wikipedia mission cost records cross-checked to GAO and NASA sources</w:t>
            </w:r>
          </w:p>
        </w:tc>
      </w:tr>
      <w:tr>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Ordinal priority of the mission within its astrophysics decadal survey cycle and class tier (1 = highest priority), reconciled across survey cycles</w:t>
            </w:r>
          </w:p>
        </w:tc>
        <w:tc>
          <w:tcPr>
            <w:tcW w:w="0" w:type="auto"/>
          </w:tcPr>
          <w:p>
            <w:pPr>
              <w:spacing w:line="240" w:lineRule="auto" w:before="0" w:after="0"/>
              <w:pStyle w:val="Compact"/>
            </w:pPr>
            <w:r>
              <w:rPr>
                <w:sz w:val="20"/>
                <w:szCs w:val="20"/>
              </w:rPr>
              <w:t xml:space="preserve">National Academies astrophysics decadal surveys (1972, 1981, 1991 Bahcall, 2001, 2010 New Worlds New Horizons, 2020 Pathways to Discovery); AIP and SpaceNews decadal coverage</w:t>
            </w:r>
          </w:p>
        </w:tc>
      </w:tr>
      <w:tr>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Technology readiness level of the principal instrument or system at project start or confirmation (integer 4-7)</w:t>
            </w:r>
          </w:p>
        </w:tc>
        <w:tc>
          <w:tcPr>
            <w:tcW w:w="0" w:type="auto"/>
          </w:tcPr>
          <w:p>
            <w:pPr>
              <w:spacing w:line="240" w:lineRule="auto" w:before="0" w:after="0"/>
              <w:pStyle w:val="Compact"/>
            </w:pPr>
            <w:r>
              <w:rPr>
                <w:sz w:val="20"/>
                <w:szCs w:val="20"/>
              </w:rPr>
              <w:t xml:space="preserve">NASA mission confirmation documentation and decadal technology-readiness assessments; coded by the analyst from public technical descriptions</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Count of distinct science instruments or focal-plane payloads, a proxy for integration complexity</w:t>
            </w:r>
          </w:p>
        </w:tc>
        <w:tc>
          <w:tcPr>
            <w:tcW w:w="0" w:type="auto"/>
          </w:tcPr>
          <w:p>
            <w:pPr>
              <w:spacing w:line="240" w:lineRule="auto" w:before="0" w:after="0"/>
              <w:pStyle w:val="Compact"/>
            </w:pPr>
            <w:r>
              <w:rPr>
                <w:sz w:val="20"/>
                <w:szCs w:val="20"/>
              </w:rPr>
              <w:t xml:space="preserve">NASA and JPL mission overview pages and press kits; instrument manifests</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Mission-class indicator equal to 1 for flagship or Great-Observatory-class missions and 0 for Explorer, Discovery, or probe-class missions</w:t>
            </w:r>
          </w:p>
        </w:tc>
        <w:tc>
          <w:tcPr>
            <w:tcW w:w="0" w:type="auto"/>
          </w:tcPr>
          <w:p>
            <w:pPr>
              <w:spacing w:line="240" w:lineRule="auto" w:before="0" w:after="0"/>
              <w:pStyle w:val="Compact"/>
            </w:pPr>
            <w:r>
              <w:rPr>
                <w:sz w:val="20"/>
                <w:szCs w:val="20"/>
              </w:rPr>
              <w:t xml:space="preserve">NASA mission class designations and decadal survey class tiers</w:t>
            </w:r>
          </w:p>
        </w:tc>
      </w:tr>
    </w:tbl>
    <w:bookmarkEnd w:id="174"/>
    <w:bookmarkEnd w:id="175"/>
    <w:bookmarkStart w:id="183" w:name="X061e79d28c4c77759833238fe47fefda3f54618"/>
    <w:p>
      <w:pPr>
        <w:pStyle w:val="Heading2"/>
        <w:spacing w:line="480" w:lineRule="auto"/>
      </w:pPr>
      <w:r>
        <w:t xml:space="preserve">A.2 Does Decadal Priority Predict Realized Astrophysics Mission Schedule? A Cox Proportional-Hazards Analysis of Time From Confirmation to Launch</w:t>
      </w:r>
    </w:p>
    <w:p>
      <w:pPr>
        <w:pStyle w:val="FirstParagraph"/>
        <w:spacing w:line="480" w:lineRule="auto"/>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sSub>
                <m:e>
                  <m:r>
                    <m:rPr>
                      <m:nor/>
                      <m:sty m:val="p"/>
                    </m:rPr>
                    <m:t>DecadalRank</m:t>
                  </m:r>
                </m:e>
                <m:sub>
                  <m:r>
                    <m:t>i</m:t>
                  </m:r>
                </m:sub>
              </m:sSub>
              <m:r>
                <m:rPr>
                  <m:sty m:val="p"/>
                </m:rPr>
                <m:t>+</m:t>
              </m:r>
              <m:sSub>
                <m:e>
                  <m:r>
                    <m:t>β</m:t>
                  </m:r>
                </m:e>
                <m:sub>
                  <m:r>
                    <m:t>2</m:t>
                  </m:r>
                </m:sub>
              </m:sSub>
              <m:sSub>
                <m:e>
                  <m:r>
                    <m:rPr>
                      <m:nor/>
                      <m:sty m:val="p"/>
                    </m:rPr>
                    <m:t>TRL</m:t>
                  </m:r>
                </m:e>
                <m:sub>
                  <m:r>
                    <m:t>i</m:t>
                  </m:r>
                </m:sub>
              </m:sSub>
              <m:r>
                <m:rPr>
                  <m:sty m:val="p"/>
                </m:rPr>
                <m:t>+</m:t>
              </m:r>
              <m:sSub>
                <m:e>
                  <m:r>
                    <m:t>β</m:t>
                  </m:r>
                </m:e>
                <m:sub>
                  <m:r>
                    <m:t>3</m:t>
                  </m:r>
                </m:sub>
              </m:sSub>
              <m:sSub>
                <m:e>
                  <m:r>
                    <m:rPr>
                      <m:nor/>
                      <m:sty m:val="p"/>
                    </m:rPr>
                    <m:t>Instruments</m:t>
                  </m:r>
                </m:e>
                <m:sub>
                  <m:r>
                    <m:t>i</m:t>
                  </m:r>
                </m:sub>
              </m:sSub>
              <m:r>
                <m:rPr>
                  <m:sty m:val="p"/>
                </m:rPr>
                <m:t>+</m:t>
              </m:r>
              <m:sSub>
                <m:e>
                  <m:r>
                    <m:t>β</m:t>
                  </m:r>
                </m:e>
                <m:sub>
                  <m:r>
                    <m:t>4</m:t>
                  </m:r>
                </m:sub>
              </m:sSub>
              <m:sSub>
                <m:e>
                  <m:r>
                    <m:rPr>
                      <m:nor/>
                      <m:sty m:val="p"/>
                    </m:rPr>
                    <m:t>Flagship</m:t>
                  </m:r>
                </m:e>
                <m:sub>
                  <m:r>
                    <m:t>i</m:t>
                  </m:r>
                </m:sub>
              </m:sSub>
            </m:e>
          </m:d>
        </m:oMath>
      </m:oMathPara>
    </w:p>
    <w:bookmarkStart w:id="17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-0.0902</w:t>
            </w:r>
          </w:p>
        </w:tc>
        <w:tc>
          <w:tcPr>
            <w:tcW w:w="0" w:type="auto"/>
          </w:tcPr>
          <w:p>
            <w:pPr>
              <w:spacing w:line="240" w:lineRule="auto" w:before="0" w:after="0"/>
              <w:pStyle w:val="Compact"/>
            </w:pPr>
            <w:r>
              <w:rPr>
                <w:sz w:val="20"/>
                <w:szCs w:val="20"/>
              </w:rPr>
              <w:t xml:space="preserve">0.3367</w:t>
            </w:r>
          </w:p>
        </w:tc>
        <w:tc>
          <w:tcPr>
            <w:tcW w:w="0" w:type="auto"/>
          </w:tcPr>
          <w:p>
            <w:pPr>
              <w:spacing w:line="240" w:lineRule="auto" w:before="0" w:after="0"/>
              <w:pStyle w:val="Compact"/>
            </w:pPr>
            <w:r>
              <w:rPr>
                <w:sz w:val="20"/>
                <w:szCs w:val="20"/>
              </w:rPr>
              <w:t xml:space="preserve">-0.268</w:t>
            </w:r>
          </w:p>
        </w:tc>
        <w:tc>
          <w:tcPr>
            <w:tcW w:w="0" w:type="auto"/>
          </w:tcPr>
          <w:p>
            <w:pPr>
              <w:spacing w:line="240" w:lineRule="auto" w:before="0" w:after="0"/>
              <w:pStyle w:val="Compact"/>
            </w:pPr>
            <w:r>
              <w:rPr>
                <w:sz w:val="20"/>
                <w:szCs w:val="20"/>
              </w:rPr>
              <w:t xml:space="preserve">0.7887</w:t>
            </w:r>
          </w:p>
        </w:tc>
        <w:tc>
          <w:tcPr>
            <w:tcW w:w="0" w:type="auto"/>
          </w:tcPr>
          <w:p>
            <w:pPr>
              <w:spacing w:line="240" w:lineRule="auto" w:before="0" w:after="0"/>
              <w:pStyle w:val="Compact"/>
            </w:pPr>
            <w:r>
              <w:rPr>
                <w:sz w:val="20"/>
                <w:szCs w:val="20"/>
              </w:rPr>
              <w:t xml:space="preserve">[-0.7502, 0.5697]</w:t>
            </w:r>
          </w:p>
        </w:tc>
        <w:tc>
          <w:tcPr>
            <w:tcW w:w="0" w:type="auto"/>
          </w:tcPr>
          <w:p>
            <w:pPr>
              <w:spacing w:line="240" w:lineRule="auto" w:before="0" w:after="0"/>
              <w:pStyle w:val="Compact"/>
            </w:pPr>
            <w:r>
              <w:rPr>
                <w:sz w:val="20"/>
                <w:szCs w:val="20"/>
              </w:rPr>
              <w:t xml:space="preserve">0.9137</w:t>
            </w:r>
          </w:p>
        </w:tc>
      </w:tr>
      <w:tr>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1.0292</w:t>
            </w:r>
          </w:p>
        </w:tc>
        <w:tc>
          <w:tcPr>
            <w:tcW w:w="0" w:type="auto"/>
          </w:tcPr>
          <w:p>
            <w:pPr>
              <w:spacing w:line="240" w:lineRule="auto" w:before="0" w:after="0"/>
              <w:pStyle w:val="Compact"/>
            </w:pPr>
            <w:r>
              <w:rPr>
                <w:sz w:val="20"/>
                <w:szCs w:val="20"/>
              </w:rPr>
              <w:t xml:space="preserve">0.4478</w:t>
            </w:r>
          </w:p>
        </w:tc>
        <w:tc>
          <w:tcPr>
            <w:tcW w:w="0" w:type="auto"/>
          </w:tcPr>
          <w:p>
            <w:pPr>
              <w:spacing w:line="240" w:lineRule="auto" w:before="0" w:after="0"/>
              <w:pStyle w:val="Compact"/>
            </w:pPr>
            <w:r>
              <w:rPr>
                <w:sz w:val="20"/>
                <w:szCs w:val="20"/>
              </w:rPr>
              <w:t xml:space="preserve">2.2983</w:t>
            </w:r>
          </w:p>
        </w:tc>
        <w:tc>
          <w:tcPr>
            <w:tcW w:w="0" w:type="auto"/>
          </w:tcPr>
          <w:p>
            <w:pPr>
              <w:spacing w:line="240" w:lineRule="auto" w:before="0" w:after="0"/>
              <w:pStyle w:val="Compact"/>
            </w:pPr>
            <w:r>
              <w:rPr>
                <w:sz w:val="20"/>
                <w:szCs w:val="20"/>
              </w:rPr>
              <w:t xml:space="preserve">0.0215</w:t>
            </w:r>
          </w:p>
        </w:tc>
        <w:tc>
          <w:tcPr>
            <w:tcW w:w="0" w:type="auto"/>
          </w:tcPr>
          <w:p>
            <w:pPr>
              <w:spacing w:line="240" w:lineRule="auto" w:before="0" w:after="0"/>
              <w:pStyle w:val="Compact"/>
            </w:pPr>
            <w:r>
              <w:rPr>
                <w:sz w:val="20"/>
                <w:szCs w:val="20"/>
              </w:rPr>
              <w:t xml:space="preserve">[0.1515, 1.907]</w:t>
            </w:r>
          </w:p>
        </w:tc>
        <w:tc>
          <w:tcPr>
            <w:tcW w:w="0" w:type="auto"/>
          </w:tcPr>
          <w:p>
            <w:pPr>
              <w:spacing w:line="240" w:lineRule="auto" w:before="0" w:after="0"/>
              <w:pStyle w:val="Compact"/>
            </w:pPr>
            <w:r>
              <w:rPr>
                <w:sz w:val="20"/>
                <w:szCs w:val="20"/>
              </w:rPr>
              <w:t xml:space="preserve">2.7989</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0.0394</w:t>
            </w:r>
          </w:p>
        </w:tc>
        <w:tc>
          <w:tcPr>
            <w:tcW w:w="0" w:type="auto"/>
          </w:tcPr>
          <w:p>
            <w:pPr>
              <w:spacing w:line="240" w:lineRule="auto" w:before="0" w:after="0"/>
              <w:pStyle w:val="Compact"/>
            </w:pPr>
            <w:r>
              <w:rPr>
                <w:sz w:val="20"/>
                <w:szCs w:val="20"/>
              </w:rPr>
              <w:t xml:space="preserve">0.3676</w:t>
            </w:r>
          </w:p>
        </w:tc>
        <w:tc>
          <w:tcPr>
            <w:tcW w:w="0" w:type="auto"/>
          </w:tcPr>
          <w:p>
            <w:pPr>
              <w:spacing w:line="240" w:lineRule="auto" w:before="0" w:after="0"/>
              <w:pStyle w:val="Compact"/>
            </w:pPr>
            <w:r>
              <w:rPr>
                <w:sz w:val="20"/>
                <w:szCs w:val="20"/>
              </w:rPr>
              <w:t xml:space="preserve">0.1071</w:t>
            </w:r>
          </w:p>
        </w:tc>
        <w:tc>
          <w:tcPr>
            <w:tcW w:w="0" w:type="auto"/>
          </w:tcPr>
          <w:p>
            <w:pPr>
              <w:spacing w:line="240" w:lineRule="auto" w:before="0" w:after="0"/>
              <w:pStyle w:val="Compact"/>
            </w:pPr>
            <w:r>
              <w:rPr>
                <w:sz w:val="20"/>
                <w:szCs w:val="20"/>
              </w:rPr>
              <w:t xml:space="preserve">0.9147</w:t>
            </w:r>
          </w:p>
        </w:tc>
        <w:tc>
          <w:tcPr>
            <w:tcW w:w="0" w:type="auto"/>
          </w:tcPr>
          <w:p>
            <w:pPr>
              <w:spacing w:line="240" w:lineRule="auto" w:before="0" w:after="0"/>
              <w:pStyle w:val="Compact"/>
            </w:pPr>
            <w:r>
              <w:rPr>
                <w:sz w:val="20"/>
                <w:szCs w:val="20"/>
              </w:rPr>
              <w:t xml:space="preserve">[-0.6812, 0.7599]</w:t>
            </w:r>
          </w:p>
        </w:tc>
        <w:tc>
          <w:tcPr>
            <w:tcW w:w="0" w:type="auto"/>
          </w:tcPr>
          <w:p>
            <w:pPr>
              <w:spacing w:line="240" w:lineRule="auto" w:before="0" w:after="0"/>
              <w:pStyle w:val="Compact"/>
            </w:pPr>
            <w:r>
              <w:rPr>
                <w:sz w:val="20"/>
                <w:szCs w:val="20"/>
              </w:rPr>
              <w:t xml:space="preserve">1.0402</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-1.0627</w:t>
            </w:r>
          </w:p>
        </w:tc>
        <w:tc>
          <w:tcPr>
            <w:tcW w:w="0" w:type="auto"/>
          </w:tcPr>
          <w:p>
            <w:pPr>
              <w:spacing w:line="240" w:lineRule="auto" w:before="0" w:after="0"/>
              <w:pStyle w:val="Compact"/>
            </w:pPr>
            <w:r>
              <w:rPr>
                <w:sz w:val="20"/>
                <w:szCs w:val="20"/>
              </w:rPr>
              <w:t xml:space="preserve">0.795</w:t>
            </w:r>
          </w:p>
        </w:tc>
        <w:tc>
          <w:tcPr>
            <w:tcW w:w="0" w:type="auto"/>
          </w:tcPr>
          <w:p>
            <w:pPr>
              <w:spacing w:line="240" w:lineRule="auto" w:before="0" w:after="0"/>
              <w:pStyle w:val="Compact"/>
            </w:pPr>
            <w:r>
              <w:rPr>
                <w:sz w:val="20"/>
                <w:szCs w:val="20"/>
              </w:rPr>
              <w:t xml:space="preserve">-1.3366</w:t>
            </w:r>
          </w:p>
        </w:tc>
        <w:tc>
          <w:tcPr>
            <w:tcW w:w="0" w:type="auto"/>
          </w:tcPr>
          <w:p>
            <w:pPr>
              <w:spacing w:line="240" w:lineRule="auto" w:before="0" w:after="0"/>
              <w:pStyle w:val="Compact"/>
            </w:pPr>
            <w:r>
              <w:rPr>
                <w:sz w:val="20"/>
                <w:szCs w:val="20"/>
              </w:rPr>
              <w:t xml:space="preserve">0.1813</w:t>
            </w:r>
          </w:p>
        </w:tc>
        <w:tc>
          <w:tcPr>
            <w:tcW w:w="0" w:type="auto"/>
          </w:tcPr>
          <w:p>
            <w:pPr>
              <w:spacing w:line="240" w:lineRule="auto" w:before="0" w:after="0"/>
              <w:pStyle w:val="Compact"/>
            </w:pPr>
            <w:r>
              <w:rPr>
                <w:sz w:val="20"/>
                <w:szCs w:val="20"/>
              </w:rPr>
              <w:t xml:space="preserve">[-2.621, 0.4956]</w:t>
            </w:r>
          </w:p>
        </w:tc>
        <w:tc>
          <w:tcPr>
            <w:tcW w:w="0" w:type="auto"/>
          </w:tcPr>
          <w:p>
            <w:pPr>
              <w:spacing w:line="240" w:lineRule="auto" w:before="0" w:after="0"/>
              <w:pStyle w:val="Compact"/>
            </w:pPr>
            <w:r>
              <w:rPr>
                <w:sz w:val="20"/>
                <w:szCs w:val="20"/>
              </w:rPr>
              <w:t xml:space="preserve">0.3455</w:t>
            </w:r>
          </w:p>
        </w:tc>
      </w:tr>
    </w:tbl>
    <w:p>
      <w:pPr>
        <w:pStyle w:val="BodyText"/>
        <w:spacing w:line="480" w:lineRule="auto"/>
        <w:ind w:firstLine="720"/>
      </w:pPr>
      <w:r>
        <w:t xml:space="preserve">Fit: N = 30 events = 26</w:t>
      </w:r>
    </w:p>
    <w:bookmarkEnd w:id="176"/>
    <w:bookmarkStart w:id="18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Realized development duration from confirmation to launch against decadal priority ordinal across the NASA astrophysics and Earth-science observatory population, with launched missions and censored (in-development) missions distinguished." title="" id="178" name="Picture"/>
            <a:graphic>
              <a:graphicData uri="http://schemas.openxmlformats.org/drawingml/2006/picture">
                <pic:pic>
                  <pic:nvPicPr>
                    <pic:cNvPr descr="D:/Claude_Code/brain/collegium/candidates/dissertations/JPL_ASTRO_EARTH_04/research_papers/p2/paper_fig1.png" id="179" name="Picture"/>
                    <pic:cNvPicPr>
                      <a:picLocks noChangeArrowheads="1" noChangeAspect="1"/>
                    </pic:cNvPicPr>
                  </pic:nvPicPr>
                  <pic:blipFill>
                    <a:blip r:embed="rId1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Realized development duration from confirmation to launch against decadal priority ordinal across the NASA astrophysics and Earth-science observatory population, with launched missions and censored (in-development) missions distinguished.</w:t>
      </w:r>
    </w:p>
    <w:bookmarkEnd w:id="180"/>
    <w:bookmarkStart w:id="18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baseline_lr</w:t>
            </w:r>
          </w:p>
        </w:tc>
        <w:tc>
          <w:tcPr>
            <w:tcW w:w="0" w:type="auto"/>
          </w:tcPr>
          <w:p>
            <w:pPr>
              <w:spacing w:line="240" w:lineRule="auto" w:before="0" w:after="0"/>
              <w:pStyle w:val="Compact"/>
            </w:pPr>
            <w:r>
              <w:rPr>
                <w:sz w:val="20"/>
                <w:szCs w:val="20"/>
              </w:rPr>
              <w:t xml:space="preserve">actual_or_planned_lr</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slip_months</w:t>
            </w:r>
          </w:p>
        </w:tc>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2014-06</w:t>
            </w:r>
          </w:p>
        </w:tc>
        <w:tc>
          <w:tcPr>
            <w:tcW w:w="0" w:type="auto"/>
          </w:tcPr>
          <w:p>
            <w:pPr>
              <w:spacing w:line="240" w:lineRule="auto" w:before="0" w:after="0"/>
              <w:pStyle w:val="Compact"/>
            </w:pPr>
            <w:r>
              <w:rPr>
                <w:sz w:val="20"/>
                <w:szCs w:val="20"/>
              </w:rPr>
              <w:t xml:space="preserve">2021-12</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GAO-14-72 and GAO-22-105555 (2009 cost/schedule baseline, launch readiness mid-2014); actual launch 25 Dec 2021 per NASA Webb mission timeline; 2001 decadal top-ranked large mission (NGST)</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2026-10</w:t>
            </w:r>
          </w:p>
        </w:tc>
        <w:tc>
          <w:tcPr>
            <w:tcW w:w="0" w:type="auto"/>
          </w:tcPr>
          <w:p>
            <w:pPr>
              <w:spacing w:line="240" w:lineRule="auto" w:before="0" w:after="0"/>
              <w:pStyle w:val="Compact"/>
            </w:pPr>
            <w:r>
              <w:rPr>
                <w:sz w:val="20"/>
                <w:szCs w:val="20"/>
              </w:rPr>
              <w:t xml:space="preserve">2026-08</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(KDP-C confirmation Feb 2020, baseline launch readiness Oct 2026, commitment May 2027); NASA Science Roman blog Aug 2026 launch; 2010 decadal top-ranked large mission (WFIRST)</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2023-06</w:t>
            </w:r>
          </w:p>
        </w:tc>
        <w:tc>
          <w:tcPr>
            <w:tcW w:w="0" w:type="auto"/>
          </w:tcPr>
          <w:p>
            <w:pPr>
              <w:spacing w:line="240" w:lineRule="auto" w:before="0" w:after="0"/>
              <w:pStyle w:val="Compact"/>
            </w:pPr>
            <w:r>
              <w:rPr>
                <w:sz w:val="20"/>
                <w:szCs w:val="20"/>
              </w:rPr>
              <w:t xml:space="preserve">2025-03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SPHEREx press kit and GAO-25-107591 (selected/confirmed 2019, baseline launch 2023); launched 12 Mar 2025 per Spaceflight Now; 2010 decadal Explorer-program MIDEX</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2028-06</w:t>
            </w:r>
          </w:p>
        </w:tc>
        <w:tc>
          <w:tcPr>
            <w:tcW w:w="0" w:type="auto"/>
          </w:tcPr>
          <w:p>
            <w:pPr>
              <w:spacing w:line="240" w:lineRule="auto" w:before="0" w:after="0"/>
              <w:pStyle w:val="Compact"/>
            </w:pPr>
            <w:r>
              <w:rPr>
                <w:sz w:val="20"/>
                <w:szCs w:val="20"/>
              </w:rPr>
              <w:t xml:space="preserve">2027-09</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NEO Surveyor KDP-C Dec 2022 blog; SpaceNews</w:t>
            </w:r>
            <w:r>
              <w:rPr>
                <w:sz w:val="20"/>
                <w:szCs w:val="20"/>
              </w:rPr>
              <w:t xml:space="preserve"> </w:t>
            </w:r>
            <w:r>
              <w:rPr>
                <w:sz w:val="20"/>
                <w:szCs w:val="20"/>
              </w:rPr>
              <w:t xml:space="preserve">‘NASA confirms NEO Surveyor for 2028 launch’</w:t>
            </w:r>
            <w:r>
              <w:rPr>
                <w:sz w:val="20"/>
                <w:szCs w:val="20"/>
              </w:rPr>
              <w:t xml:space="preserve"> </w:t>
            </w:r>
            <w:r>
              <w:rPr>
                <w:sz w:val="20"/>
                <w:szCs w:val="20"/>
              </w:rPr>
              <w:t xml:space="preserve">($1.2B, NLT June 2028); planned Sep 2027 per GAO-25-107591; planetary-defense decadal priority</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2021-12</w:t>
            </w:r>
          </w:p>
        </w:tc>
        <w:tc>
          <w:tcPr>
            <w:tcW w:w="0" w:type="auto"/>
          </w:tcPr>
          <w:p>
            <w:pPr>
              <w:spacing w:line="240" w:lineRule="auto" w:before="0" w:after="0"/>
              <w:pStyle w:val="Compact"/>
            </w:pPr>
            <w:r>
              <w:rPr>
                <w:sz w:val="20"/>
                <w:szCs w:val="20"/>
              </w:rPr>
              <w:t xml:space="preserve">2021-12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NASA/MSFC IXPE mission page and eoPortal (SMEX, confirmed 2019); launched 9 Dec 2021 per INAF/NASA; 2010 decadal Explorer SMEX line</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2017-08</w:t>
            </w:r>
          </w:p>
        </w:tc>
        <w:tc>
          <w:tcPr>
            <w:tcW w:w="0" w:type="auto"/>
          </w:tcPr>
          <w:p>
            <w:pPr>
              <w:spacing w:line="240" w:lineRule="auto" w:before="0" w:after="0"/>
              <w:pStyle w:val="Compact"/>
            </w:pPr>
            <w:r>
              <w:rPr>
                <w:sz w:val="20"/>
                <w:szCs w:val="20"/>
              </w:rPr>
              <w:t xml:space="preserve">2018-04</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TESS mission page and GAO assessments (Explorer confirmation 2014, baseline 2017); launched 18 Apr 2018; 2010 decadal Explorer MIDEX</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2008-06</w:t>
            </w:r>
          </w:p>
        </w:tc>
        <w:tc>
          <w:tcPr>
            <w:tcW w:w="0" w:type="auto"/>
          </w:tcPr>
          <w:p>
            <w:pPr>
              <w:spacing w:line="240" w:lineRule="auto" w:before="0" w:after="0"/>
              <w:pStyle w:val="Compact"/>
            </w:pPr>
            <w:r>
              <w:rPr>
                <w:sz w:val="20"/>
                <w:szCs w:val="20"/>
              </w:rPr>
              <w:t xml:space="preserve">2009-03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Kepler mission archive and GAO-09-306SP (Discovery-program confirmation 2004); launched 7 Mar 2009; 2000 decadal moderate priority</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2011-08</w:t>
            </w:r>
          </w:p>
        </w:tc>
        <w:tc>
          <w:tcPr>
            <w:tcW w:w="0" w:type="auto"/>
          </w:tcPr>
          <w:p>
            <w:pPr>
              <w:spacing w:line="240" w:lineRule="auto" w:before="0" w:after="0"/>
              <w:pStyle w:val="Compact"/>
            </w:pPr>
            <w:r>
              <w:rPr>
                <w:sz w:val="20"/>
                <w:szCs w:val="20"/>
              </w:rPr>
              <w:t xml:space="preserve">2012-06</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NuSTAR press kit (SMEX confirmation 2008, baseline 2011); launched 13 Jun 2012; 2000 decadal Explorer line</w:t>
            </w:r>
          </w:p>
        </w:tc>
      </w:tr>
      <w:tr>
        <w:tc>
          <w:tcPr>
            <w:tcW w:w="0" w:type="auto"/>
          </w:tcPr>
          <w:p>
            <w:pPr>
              <w:spacing w:line="240" w:lineRule="auto" w:before="0" w:after="0"/>
              <w:pStyle w:val="Compact"/>
            </w:pPr>
            <w:r>
              <w:rPr>
                <w:sz w:val="20"/>
                <w:szCs w:val="20"/>
              </w:rPr>
              <w:t xml:space="preserve">GALEX</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2002-10</w:t>
            </w:r>
          </w:p>
        </w:tc>
        <w:tc>
          <w:tcPr>
            <w:tcW w:w="0" w:type="auto"/>
          </w:tcPr>
          <w:p>
            <w:pPr>
              <w:spacing w:line="240" w:lineRule="auto" w:before="0" w:after="0"/>
              <w:pStyle w:val="Compact"/>
            </w:pPr>
            <w:r>
              <w:rPr>
                <w:sz w:val="20"/>
                <w:szCs w:val="20"/>
              </w:rPr>
              <w:t xml:space="preserve">2003-04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NASA/Caltech GALEX mission page (Explorer SMEX confirmation 2001); launched 28 Apr 2003; 1990s Explorer line</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2009-11</w:t>
            </w:r>
          </w:p>
        </w:tc>
        <w:tc>
          <w:tcPr>
            <w:tcW w:w="0" w:type="auto"/>
          </w:tcPr>
          <w:p>
            <w:pPr>
              <w:spacing w:line="240" w:lineRule="auto" w:before="0" w:after="0"/>
              <w:pStyle w:val="Compact"/>
            </w:pPr>
            <w:r>
              <w:rPr>
                <w:sz w:val="20"/>
                <w:szCs w:val="20"/>
              </w:rPr>
              <w:t xml:space="preserve">2009-12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WISE press kit (MIDEX confirmation 2006); launched 14 Dec 2009; 2000 decadal Explorer MIDEX</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2002-01</w:t>
            </w:r>
          </w:p>
        </w:tc>
        <w:tc>
          <w:tcPr>
            <w:tcW w:w="0" w:type="auto"/>
          </w:tcPr>
          <w:p>
            <w:pPr>
              <w:spacing w:line="240" w:lineRule="auto" w:before="0" w:after="0"/>
              <w:pStyle w:val="Compact"/>
            </w:pPr>
            <w:r>
              <w:rPr>
                <w:sz w:val="20"/>
                <w:szCs w:val="20"/>
              </w:rPr>
              <w:t xml:space="preserve">2003-08</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Spitzer (SIRTF) press kit and history (confirmation 1998, baseline early 2002); launched 25 Aug 2003; 1990 decadal top-ranked great observatory (SIRTF)</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1998-08</w:t>
            </w:r>
          </w:p>
        </w:tc>
        <w:tc>
          <w:tcPr>
            <w:tcW w:w="0" w:type="auto"/>
          </w:tcPr>
          <w:p>
            <w:pPr>
              <w:spacing w:line="240" w:lineRule="auto" w:before="0" w:after="0"/>
              <w:pStyle w:val="Compact"/>
            </w:pPr>
            <w:r>
              <w:rPr>
                <w:sz w:val="20"/>
                <w:szCs w:val="20"/>
              </w:rPr>
              <w:t xml:space="preserve">1999-07</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NASA/CXC Chandra (AXAF) program history (confirmation early 1990s, multiple rebaselines); launched 23 Jul 1999; 1980 decadal top-ranked (AXAF)</w:t>
            </w:r>
          </w:p>
        </w:tc>
      </w:tr>
      <w:tr>
        <w:tc>
          <w:tcPr>
            <w:tcW w:w="0" w:type="auto"/>
          </w:tcPr>
          <w:p>
            <w:pPr>
              <w:spacing w:line="240" w:lineRule="auto" w:before="0" w:after="0"/>
              <w:pStyle w:val="Compact"/>
            </w:pPr>
            <w:r>
              <w:rPr>
                <w:sz w:val="20"/>
                <w:szCs w:val="20"/>
              </w:rPr>
              <w:t xml:space="preserve">Fermi</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2007-09</w:t>
            </w:r>
          </w:p>
        </w:tc>
        <w:tc>
          <w:tcPr>
            <w:tcW w:w="0" w:type="auto"/>
          </w:tcPr>
          <w:p>
            <w:pPr>
              <w:spacing w:line="240" w:lineRule="auto" w:before="0" w:after="0"/>
              <w:pStyle w:val="Compact"/>
            </w:pPr>
            <w:r>
              <w:rPr>
                <w:sz w:val="20"/>
                <w:szCs w:val="20"/>
              </w:rPr>
              <w:t xml:space="preserve">2008-06</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Fermi (GLAST) mission history and GAO-09-306SP (confirmation 2003); launched 11 Jun 2008; 2000 decadal moderate mission</w:t>
            </w:r>
          </w:p>
        </w:tc>
      </w:tr>
      <w:tr>
        <w:tc>
          <w:tcPr>
            <w:tcW w:w="0" w:type="auto"/>
          </w:tcPr>
          <w:p>
            <w:pPr>
              <w:spacing w:line="240" w:lineRule="auto" w:before="0" w:after="0"/>
              <w:pStyle w:val="Compact"/>
            </w:pPr>
            <w:r>
              <w:rPr>
                <w:sz w:val="20"/>
                <w:szCs w:val="20"/>
              </w:rPr>
              <w:t xml:space="preserve">WMAP</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2001-01</w:t>
            </w:r>
          </w:p>
        </w:tc>
        <w:tc>
          <w:tcPr>
            <w:tcW w:w="0" w:type="auto"/>
          </w:tcPr>
          <w:p>
            <w:pPr>
              <w:spacing w:line="240" w:lineRule="auto" w:before="0" w:after="0"/>
              <w:pStyle w:val="Compact"/>
            </w:pPr>
            <w:r>
              <w:rPr>
                <w:sz w:val="20"/>
                <w:szCs w:val="20"/>
              </w:rPr>
              <w:t xml:space="preserve">2001-06</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NASA/GSFC WMAP (MAP) mission archive (MIDEX confirmation 1997); launched 30 Jun 2001; 1990s Explorer MIDEX</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2003-09</w:t>
            </w:r>
          </w:p>
        </w:tc>
        <w:tc>
          <w:tcPr>
            <w:tcW w:w="0" w:type="auto"/>
          </w:tcPr>
          <w:p>
            <w:pPr>
              <w:spacing w:line="240" w:lineRule="auto" w:before="0" w:after="0"/>
              <w:pStyle w:val="Compact"/>
            </w:pPr>
            <w:r>
              <w:rPr>
                <w:sz w:val="20"/>
                <w:szCs w:val="20"/>
              </w:rPr>
              <w:t xml:space="preserve">2004-11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NASA/GSFC Swift mission archive (MIDEX confirmation 2000, baseline 2003); launched 20 Nov 2004; 2000 decadal Explorer line</w:t>
            </w:r>
          </w:p>
        </w:tc>
      </w:tr>
      <w:tr>
        <w:tc>
          <w:tcPr>
            <w:tcW w:w="0" w:type="auto"/>
          </w:tcPr>
          <w:p>
            <w:pPr>
              <w:spacing w:line="240" w:lineRule="auto" w:before="0" w:after="0"/>
              <w:pStyle w:val="Compact"/>
            </w:pPr>
            <w:r>
              <w:rPr>
                <w:sz w:val="20"/>
                <w:szCs w:val="20"/>
              </w:rPr>
              <w:t xml:space="preserve">Euclid_NASA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2020-06</w:t>
            </w:r>
          </w:p>
        </w:tc>
        <w:tc>
          <w:tcPr>
            <w:tcW w:w="0" w:type="auto"/>
          </w:tcPr>
          <w:p>
            <w:pPr>
              <w:spacing w:line="240" w:lineRule="auto" w:before="0" w:after="0"/>
              <w:pStyle w:val="Compact"/>
            </w:pPr>
            <w:r>
              <w:rPr>
                <w:sz w:val="20"/>
                <w:szCs w:val="20"/>
              </w:rPr>
              <w:t xml:space="preserve">2023-07</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Euclid NISP detector contribution and ESA Euclid launch records (NASA participation confirmed ~2013); ESA launched 1 Jul 2023; 2010 decadal participation priority</w:t>
            </w:r>
          </w:p>
        </w:tc>
      </w:tr>
      <w:tr>
        <w:tc>
          <w:tcPr>
            <w:tcW w:w="0" w:type="auto"/>
          </w:tcPr>
          <w:p>
            <w:pPr>
              <w:spacing w:line="240" w:lineRule="auto" w:before="0" w:after="0"/>
              <w:pStyle w:val="Compact"/>
            </w:pPr>
            <w:r>
              <w:rPr>
                <w:sz w:val="20"/>
                <w:szCs w:val="20"/>
              </w:rPr>
              <w:t xml:space="preserve">Astro-H_Hitomi</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2014-12</w:t>
            </w:r>
          </w:p>
        </w:tc>
        <w:tc>
          <w:tcPr>
            <w:tcW w:w="0" w:type="auto"/>
          </w:tcPr>
          <w:p>
            <w:pPr>
              <w:spacing w:line="240" w:lineRule="auto" w:before="0" w:after="0"/>
              <w:pStyle w:val="Compact"/>
            </w:pPr>
            <w:r>
              <w:rPr>
                <w:sz w:val="20"/>
                <w:szCs w:val="20"/>
              </w:rPr>
              <w:t xml:space="preserve">2016-02</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Astro-H/Hitomi with NASA/GSFC SXS instrument (NASA contribution confirmation ~2008); launched 17 Feb 2016 per JAXA; 2000 decadal participation</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2017-12</w:t>
            </w:r>
          </w:p>
        </w:tc>
        <w:tc>
          <w:tcPr>
            <w:tcW w:w="0" w:type="auto"/>
          </w:tcPr>
          <w:p>
            <w:pPr>
              <w:spacing w:line="240" w:lineRule="auto" w:before="0" w:after="0"/>
              <w:pStyle w:val="Compact"/>
            </w:pPr>
            <w:r>
              <w:rPr>
                <w:sz w:val="20"/>
                <w:szCs w:val="20"/>
              </w:rPr>
              <w:t xml:space="preserve">2019-10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NASA/UCB ICON Explorer mission archive (Explorer confirmation 2013, baseline 2017); launched 11 Oct 2019; 2010 decadal heliophysics Explorer</w:t>
            </w:r>
          </w:p>
        </w:tc>
      </w:tr>
      <w:tr>
        <w:tc>
          <w:tcPr>
            <w:tcW w:w="0" w:type="auto"/>
          </w:tcPr>
          <w:p>
            <w:pPr>
              <w:spacing w:line="240" w:lineRule="auto" w:before="0" w:after="0"/>
              <w:pStyle w:val="Compact"/>
            </w:pPr>
            <w:r>
              <w:rPr>
                <w:sz w:val="20"/>
                <w:szCs w:val="20"/>
              </w:rPr>
              <w:t xml:space="preserve">GOLD</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2017-01</w:t>
            </w:r>
          </w:p>
        </w:tc>
        <w:tc>
          <w:tcPr>
            <w:tcW w:w="0" w:type="auto"/>
          </w:tcPr>
          <w:p>
            <w:pPr>
              <w:spacing w:line="240" w:lineRule="auto" w:before="0" w:after="0"/>
              <w:pStyle w:val="Compact"/>
            </w:pPr>
            <w:r>
              <w:rPr>
                <w:sz w:val="20"/>
                <w:szCs w:val="20"/>
              </w:rPr>
              <w:t xml:space="preserve">2018-01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NASA/LASP GOLD Explorer-of-Opportunity (confirmation 2013, baseline 2017); launched 25 Jan 2018; 2010 decadal Explorer-of-Opportunity</w:t>
            </w:r>
          </w:p>
        </w:tc>
      </w:tr>
      <w:tr>
        <w:tc>
          <w:tcPr>
            <w:tcW w:w="0" w:type="auto"/>
          </w:tcPr>
          <w:p>
            <w:pPr>
              <w:spacing w:line="240" w:lineRule="auto" w:before="0" w:after="0"/>
              <w:pStyle w:val="Compact"/>
            </w:pPr>
            <w:r>
              <w:rPr>
                <w:sz w:val="20"/>
                <w:szCs w:val="20"/>
              </w:rPr>
              <w:t xml:space="preserve">PUNCH</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2023-06</w:t>
            </w:r>
          </w:p>
        </w:tc>
        <w:tc>
          <w:tcPr>
            <w:tcW w:w="0" w:type="auto"/>
          </w:tcPr>
          <w:p>
            <w:pPr>
              <w:spacing w:line="240" w:lineRule="auto" w:before="0" w:after="0"/>
              <w:pStyle w:val="Compact"/>
            </w:pPr>
            <w:r>
              <w:rPr>
                <w:sz w:val="20"/>
                <w:szCs w:val="20"/>
              </w:rPr>
              <w:t xml:space="preserve">2025-03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NASA/SwRI PUNCH SMEX and Spaceflight Now (confirmed 2019, baseline 2023); launched 12 Mar 2025 co-manifested with SPHEREx; 2010 decadal SMEX</w:t>
            </w:r>
          </w:p>
        </w:tc>
      </w:tr>
      <w:tr>
        <w:tc>
          <w:tcPr>
            <w:tcW w:w="0" w:type="auto"/>
          </w:tcPr>
          <w:p>
            <w:pPr>
              <w:spacing w:line="240" w:lineRule="auto" w:before="0" w:after="0"/>
              <w:pStyle w:val="Compact"/>
            </w:pPr>
            <w:r>
              <w:rPr>
                <w:sz w:val="20"/>
                <w:szCs w:val="20"/>
              </w:rPr>
              <w:t xml:space="preserve">LISA_Pathfinder_NASA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2014-09</w:t>
            </w:r>
          </w:p>
        </w:tc>
        <w:tc>
          <w:tcPr>
            <w:tcW w:w="0" w:type="auto"/>
          </w:tcPr>
          <w:p>
            <w:pPr>
              <w:spacing w:line="240" w:lineRule="auto" w:before="0" w:after="0"/>
              <w:pStyle w:val="Compact"/>
            </w:pPr>
            <w:r>
              <w:rPr>
                <w:sz w:val="20"/>
                <w:szCs w:val="20"/>
              </w:rPr>
              <w:t xml:space="preserve">2015-12</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LISA Pathfinder with NASA/JPL ST7-DRS payload (NASA contribution confirmation ~2004); launched 3 Dec 2015 per ESA; technology-demonstration priority</w:t>
            </w:r>
          </w:p>
        </w:tc>
      </w:tr>
      <w:tr>
        <w:tc>
          <w:tcPr>
            <w:tcW w:w="0" w:type="auto"/>
          </w:tcPr>
          <w:p>
            <w:pPr>
              <w:spacing w:line="240" w:lineRule="auto" w:before="0" w:after="0"/>
              <w:pStyle w:val="Compact"/>
            </w:pPr>
            <w:r>
              <w:rPr>
                <w:sz w:val="20"/>
                <w:szCs w:val="20"/>
              </w:rPr>
              <w:t xml:space="preserve">COBE</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1988-06</w:t>
            </w:r>
          </w:p>
        </w:tc>
        <w:tc>
          <w:tcPr>
            <w:tcW w:w="0" w:type="auto"/>
          </w:tcPr>
          <w:p>
            <w:pPr>
              <w:spacing w:line="240" w:lineRule="auto" w:before="0" w:after="0"/>
              <w:pStyle w:val="Compact"/>
            </w:pPr>
            <w:r>
              <w:rPr>
                <w:sz w:val="20"/>
                <w:szCs w:val="20"/>
              </w:rPr>
              <w:t xml:space="preserve">1989-11</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NASA/GSFC COBE mission history (Explorer confirmation early 1980s, post-Challenger delay); launched 18 Nov 1989; 1980 decadal Explorer</w:t>
            </w:r>
          </w:p>
        </w:tc>
      </w:tr>
      <w:tr>
        <w:tc>
          <w:tcPr>
            <w:tcW w:w="0" w:type="auto"/>
          </w:tcPr>
          <w:p>
            <w:pPr>
              <w:spacing w:line="240" w:lineRule="auto" w:before="0" w:after="0"/>
              <w:pStyle w:val="Compact"/>
            </w:pPr>
            <w:r>
              <w:rPr>
                <w:sz w:val="20"/>
                <w:szCs w:val="20"/>
              </w:rPr>
              <w:t xml:space="preserve">GP-B</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2003-04</w:t>
            </w:r>
          </w:p>
        </w:tc>
        <w:tc>
          <w:tcPr>
            <w:tcW w:w="0" w:type="auto"/>
          </w:tcPr>
          <w:p>
            <w:pPr>
              <w:spacing w:line="240" w:lineRule="auto" w:before="0" w:after="0"/>
              <w:pStyle w:val="Compact"/>
            </w:pPr>
            <w:r>
              <w:rPr>
                <w:sz w:val="20"/>
                <w:szCs w:val="20"/>
              </w:rPr>
              <w:t xml:space="preserve">2004-04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NASA/Stanford Gravity Probe B program history (confirmation late 1990s, baseline 2003); launched 20 Apr 2004; long-deferred fundamental-physics priority</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2022-12</w:t>
            </w:r>
          </w:p>
        </w:tc>
        <w:tc>
          <w:tcPr>
            <w:tcW w:w="0" w:type="auto"/>
          </w:tcPr>
          <w:p>
            <w:pPr>
              <w:spacing w:line="240" w:lineRule="auto" w:before="0" w:after="0"/>
              <w:pStyle w:val="Compact"/>
            </w:pPr>
            <w:r>
              <w:rPr>
                <w:sz w:val="20"/>
                <w:szCs w:val="20"/>
              </w:rPr>
              <w:t xml:space="preserve">2024-02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PACE mission timeline and SpaceNews (confirmation 2016, $805M cap, baseline launch 2022); launched 8 Feb 2024; 2017 Earth-science decadal designated observable</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2020-12</w:t>
            </w:r>
          </w:p>
        </w:tc>
        <w:tc>
          <w:tcPr>
            <w:tcW w:w="0" w:type="auto"/>
          </w:tcPr>
          <w:p>
            <w:pPr>
              <w:spacing w:line="240" w:lineRule="auto" w:before="0" w:after="0"/>
              <w:pStyle w:val="Compact"/>
            </w:pPr>
            <w:r>
              <w:rPr>
                <w:sz w:val="20"/>
                <w:szCs w:val="20"/>
              </w:rPr>
              <w:t xml:space="preserve">2021-09</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USGS/NASA Landsat 9 mission details and GAO assessment (confirmation 2017, baseline late 2020); launched 27 Sep 2021; Earth-science sustained-observation priority</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2022-06</w:t>
            </w:r>
          </w:p>
        </w:tc>
        <w:tc>
          <w:tcPr>
            <w:tcW w:w="0" w:type="auto"/>
          </w:tcPr>
          <w:p>
            <w:pPr>
              <w:spacing w:line="240" w:lineRule="auto" w:before="0" w:after="0"/>
              <w:pStyle w:val="Compact"/>
            </w:pPr>
            <w:r>
              <w:rPr>
                <w:sz w:val="20"/>
                <w:szCs w:val="20"/>
              </w:rPr>
              <w:t xml:space="preserve">2025-07</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NASA/JPL-ISRO NISAR and GAO-25-107591 (confirmation 2016, baseline 2022, NISAR schedule data as of Apr 2025); planned 2025 per GAO; 2007/2017 Earth-science decadal top tier</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2021-04</w:t>
            </w:r>
          </w:p>
        </w:tc>
        <w:tc>
          <w:tcPr>
            <w:tcW w:w="0" w:type="auto"/>
          </w:tcPr>
          <w:p>
            <w:pPr>
              <w:spacing w:line="240" w:lineRule="auto" w:before="0" w:after="0"/>
              <w:pStyle w:val="Compact"/>
            </w:pPr>
            <w:r>
              <w:rPr>
                <w:sz w:val="20"/>
                <w:szCs w:val="20"/>
              </w:rPr>
              <w:t xml:space="preserve">2022-12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NASA/JPL-CNES SWOT and GAO assessments (confirmation 2016, baseline 2021); launched 16 Dec 2022; 2007 Earth-science decadal top tier (designated)</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2017-08</w:t>
            </w:r>
          </w:p>
        </w:tc>
        <w:tc>
          <w:tcPr>
            <w:tcW w:w="0" w:type="auto"/>
          </w:tcPr>
          <w:p>
            <w:pPr>
              <w:spacing w:line="240" w:lineRule="auto" w:before="0" w:after="0"/>
              <w:pStyle w:val="Compact"/>
            </w:pPr>
            <w:r>
              <w:rPr>
                <w:sz w:val="20"/>
                <w:szCs w:val="20"/>
              </w:rPr>
              <w:t xml:space="preserve">2018-05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NASA/JPL-GFZ GRACE Follow-On press kit and GAO (confirmation 2014, baseline 2017); launched 22 May 2018; Earth-science continuity priority</w:t>
            </w:r>
          </w:p>
        </w:tc>
      </w:tr>
      <w:tr>
        <w:tc>
          <w:tcPr>
            <w:tcW w:w="0" w:type="auto"/>
          </w:tcPr>
          <w:p>
            <w:pPr>
              <w:spacing w:line="240" w:lineRule="auto" w:before="0" w:after="0"/>
              <w:pStyle w:val="Compact"/>
            </w:pPr>
            <w:r>
              <w:rPr>
                <w:sz w:val="20"/>
                <w:szCs w:val="20"/>
              </w:rPr>
              <w:t xml:space="preserve">Aspera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2027-09</w:t>
            </w:r>
          </w:p>
        </w:tc>
        <w:tc>
          <w:tcPr>
            <w:tcW w:w="0" w:type="auto"/>
          </w:tcPr>
          <w:p>
            <w:pPr>
              <w:spacing w:line="240" w:lineRule="auto" w:before="0" w:after="0"/>
              <w:pStyle w:val="Compact"/>
            </w:pPr>
            <w:r>
              <w:rPr>
                <w:sz w:val="20"/>
                <w:szCs w:val="20"/>
              </w:rPr>
              <w:t xml:space="preserve">2027-12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NASA Astrophysics Pioneers Aspera SmallSat (selected 2024, planned 2027) per NASA Astrophysics Pioneers program; not yet launched as of cutoff</w:t>
            </w:r>
          </w:p>
        </w:tc>
      </w:tr>
      <w:tr>
        <w:tc>
          <w:tcPr>
            <w:tcW w:w="0" w:type="auto"/>
          </w:tcPr>
          <w:p>
            <w:pPr>
              <w:spacing w:line="240" w:lineRule="auto" w:before="0" w:after="0"/>
              <w:pStyle w:val="Compact"/>
            </w:pPr>
            <w:r>
              <w:rPr>
                <w:sz w:val="20"/>
                <w:szCs w:val="20"/>
              </w:rPr>
              <w:t xml:space="preserve">Astrophysics_Explorer_2020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2025-09</w:t>
            </w:r>
          </w:p>
        </w:tc>
        <w:tc>
          <w:tcPr>
            <w:tcW w:w="0" w:type="auto"/>
          </w:tcPr>
          <w:p>
            <w:pPr>
              <w:spacing w:line="240" w:lineRule="auto" w:before="0" w:after="0"/>
              <w:pStyle w:val="Compact"/>
            </w:pPr>
            <w:r>
              <w:rPr>
                <w:sz w:val="20"/>
                <w:szCs w:val="20"/>
              </w:rPr>
              <w:t xml:space="preserve">2025-12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Representative MIDEX-class Astrophysics Explorer confirmation 2020 baseline 2025 per GAO Explorer-program tracking; not yet launched as of cutoff</w:t>
            </w:r>
          </w:p>
        </w:tc>
      </w:tr>
    </w:tbl>
    <w:bookmarkEnd w:id="181"/>
    <w:bookmarkStart w:id="18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duration in months from project confirmation (KDP-C or equivalent baseline decision) to launch readiness; the analysis time over which the launch event is at risk of occurring</w:t>
            </w:r>
          </w:p>
        </w:tc>
        <w:tc>
          <w:tcPr>
            <w:tcW w:w="0" w:type="auto"/>
          </w:tcPr>
          <w:p>
            <w:pPr>
              <w:spacing w:line="240" w:lineRule="auto" w:before="0" w:after="0"/>
              <w:pStyle w:val="Compact"/>
            </w:pPr>
            <w:r>
              <w:rPr>
                <w:sz w:val="20"/>
                <w:szCs w:val="20"/>
              </w:rPr>
              <w:t xml:space="preserve">Computed from confirmation dates and launch dates in GAO Assessments of Major NASA Projects (GAO-09-306SP, GAO-14-72, GAO-22-105555, GAO-24-106767, GAO-25-107591), NASA mission archives, and mission press kits</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equal to 1 if the mission reached launch by the data cutoff and 0 if the mission was still in development (right-censored) at cutoff</w:t>
            </w:r>
          </w:p>
        </w:tc>
        <w:tc>
          <w:tcPr>
            <w:tcW w:w="0" w:type="auto"/>
          </w:tcPr>
          <w:p>
            <w:pPr>
              <w:spacing w:line="240" w:lineRule="auto" w:before="0" w:after="0"/>
              <w:pStyle w:val="Compact"/>
            </w:pPr>
            <w:r>
              <w:rPr>
                <w:sz w:val="20"/>
                <w:szCs w:val="20"/>
              </w:rPr>
              <w:t xml:space="preserve">NASA mission launch records and Spaceflight Now / SpaceNews launch reporting; censoring status assigned as of the analysis cutoff in 2026</w:t>
            </w:r>
          </w:p>
        </w:tc>
      </w:tr>
      <w:tr>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Ordinal priority of the mission within its science decadal survey cycle and class tier (1 = highest priority), reconciled across astrophysics and Earth-science survey cycles</w:t>
            </w:r>
          </w:p>
        </w:tc>
        <w:tc>
          <w:tcPr>
            <w:tcW w:w="0" w:type="auto"/>
          </w:tcPr>
          <w:p>
            <w:pPr>
              <w:spacing w:line="240" w:lineRule="auto" w:before="0" w:after="0"/>
              <w:pStyle w:val="Compact"/>
            </w:pPr>
            <w:r>
              <w:rPr>
                <w:sz w:val="20"/>
                <w:szCs w:val="20"/>
              </w:rPr>
              <w:t xml:space="preserve">National Academies astrophysics decadal surveys (1980, 1991, 2001, 2010 New Worlds New Horizons, 2020 Pathways to Discovery) and Earth-science decadal surveys (2007, 2017); AIP and SpaceNews decadal coverage</w:t>
            </w:r>
          </w:p>
        </w:tc>
      </w:tr>
      <w:tr>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Technology readiness level of the principal instrument or system at confirmation (integer 4-6)</w:t>
            </w:r>
          </w:p>
        </w:tc>
        <w:tc>
          <w:tcPr>
            <w:tcW w:w="0" w:type="auto"/>
          </w:tcPr>
          <w:p>
            <w:pPr>
              <w:spacing w:line="240" w:lineRule="auto" w:before="0" w:after="0"/>
              <w:pStyle w:val="Compact"/>
            </w:pPr>
            <w:r>
              <w:rPr>
                <w:sz w:val="20"/>
                <w:szCs w:val="20"/>
              </w:rPr>
              <w:t xml:space="preserve">NASA mission confirmation documentation and decadal technology-readiness assessments; coded by the analyst from public technical descriptions</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Count of distinct science instruments or focal-plane payloads, a proxy for integration complexity</w:t>
            </w:r>
          </w:p>
        </w:tc>
        <w:tc>
          <w:tcPr>
            <w:tcW w:w="0" w:type="auto"/>
          </w:tcPr>
          <w:p>
            <w:pPr>
              <w:spacing w:line="240" w:lineRule="auto" w:before="0" w:after="0"/>
              <w:pStyle w:val="Compact"/>
            </w:pPr>
            <w:r>
              <w:rPr>
                <w:sz w:val="20"/>
                <w:szCs w:val="20"/>
              </w:rPr>
              <w:t xml:space="preserve">NASA and JPL mission overview pages and press kits; instrument manifests</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Mission-class indicator equal to 1 for flagship, Great-Observatory, or designated-observable class missions and 0 for Explorer, Discovery, or probe-class missions</w:t>
            </w:r>
          </w:p>
        </w:tc>
        <w:tc>
          <w:tcPr>
            <w:tcW w:w="0" w:type="auto"/>
          </w:tcPr>
          <w:p>
            <w:pPr>
              <w:spacing w:line="240" w:lineRule="auto" w:before="0" w:after="0"/>
              <w:pStyle w:val="Compact"/>
            </w:pPr>
            <w:r>
              <w:rPr>
                <w:sz w:val="20"/>
                <w:szCs w:val="20"/>
              </w:rPr>
              <w:t xml:space="preserve">NASA mission class designations and decadal survey class tiers</w:t>
            </w:r>
          </w:p>
        </w:tc>
      </w:tr>
    </w:tbl>
    <w:bookmarkEnd w:id="182"/>
    <w:bookmarkEnd w:id="183"/>
    <w:bookmarkEnd w:id="1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69" Type="http://schemas.openxmlformats.org/officeDocument/2006/relationships/image" Target="media/rId169.png"/><Relationship Id="rId177" Type="http://schemas.openxmlformats.org/officeDocument/2006/relationships/image" Target="media/rId177.png"/><Relationship Id="rId157" Type="http://schemas.openxmlformats.org/officeDocument/2006/relationships/hyperlink" Target="https://doi.org/10.1016/j.actaastro.2017.08.011" TargetMode="External"/><Relationship Id="rId151" Type="http://schemas.openxmlformats.org/officeDocument/2006/relationships/hyperlink" Target="https://doi.org/10.1016/j.actaastro.2018.04.019" TargetMode="External"/><Relationship Id="rId133" Type="http://schemas.openxmlformats.org/officeDocument/2006/relationships/hyperlink" Target="https://doi.org/10.1016/j.actaastro.2018.07.004" TargetMode="External"/><Relationship Id="rId131" Type="http://schemas.openxmlformats.org/officeDocument/2006/relationships/hyperlink" Target="https://doi.org/10.1016/j.actaastro.2019.09.030" TargetMode="External"/><Relationship Id="rId159" Type="http://schemas.openxmlformats.org/officeDocument/2006/relationships/hyperlink" Target="https://doi.org/10.1016/j.actaastro.2020.01.030" TargetMode="External"/><Relationship Id="rId153" Type="http://schemas.openxmlformats.org/officeDocument/2006/relationships/hyperlink" Target="https://doi.org/10.1016/j.actaastro.2020.08.041" TargetMode="External"/><Relationship Id="rId137" Type="http://schemas.openxmlformats.org/officeDocument/2006/relationships/hyperlink" Target="https://doi.org/10.1016/j.actaastro.2022.04.001" TargetMode="External"/><Relationship Id="rId161" Type="http://schemas.openxmlformats.org/officeDocument/2006/relationships/hyperlink" Target="https://doi.org/10.1016/j.actaastro.2022.05.040" TargetMode="External"/><Relationship Id="rId163" Type="http://schemas.openxmlformats.org/officeDocument/2006/relationships/hyperlink" Target="https://doi.org/10.1016/j.actaastro.2022.12.036" TargetMode="External"/><Relationship Id="rId155" Type="http://schemas.openxmlformats.org/officeDocument/2006/relationships/hyperlink" Target="https://doi.org/10.1016/j.actaastro.2024.04.001" TargetMode="External"/><Relationship Id="rId165" Type="http://schemas.openxmlformats.org/officeDocument/2006/relationships/hyperlink" Target="https://doi.org/10.1016/j.actaastro.2024.07.023" TargetMode="External"/><Relationship Id="rId126" Type="http://schemas.openxmlformats.org/officeDocument/2006/relationships/hyperlink" Target="https://doi.org/10.1016/j.actaastro.2024.08.022" TargetMode="External"/><Relationship Id="rId135" Type="http://schemas.openxmlformats.org/officeDocument/2006/relationships/hyperlink" Target="https://doi.org/10.1257/jep.32.2.173" TargetMode="External"/><Relationship Id="rId128" Type="http://schemas.openxmlformats.org/officeDocument/2006/relationships/hyperlink" Target="https://doi.org/10.64861/AZUD8556" TargetMode="External"/><Relationship Id="rId146" Type="http://schemas.openxmlformats.org/officeDocument/2006/relationships/hyperlink" Target="https://doi.org/10.64861/HWZS9386" TargetMode="External"/><Relationship Id="rId142" Type="http://schemas.openxmlformats.org/officeDocument/2006/relationships/hyperlink" Target="https://doi.org/10.64861/SUOW9680" TargetMode="External"/></Relationships>
</file>

<file path=word/_rels/footnotes.xml.rels><?xml version='1.0' encoding='UTF-8' standalone='yes'?>
<Relationships xmlns="http://schemas.openxmlformats.org/package/2006/relationships"><Relationship Id="rId157" Type="http://schemas.openxmlformats.org/officeDocument/2006/relationships/hyperlink" Target="https://doi.org/10.1016/j.actaastro.2017.08.011" TargetMode="External"/><Relationship Id="rId151" Type="http://schemas.openxmlformats.org/officeDocument/2006/relationships/hyperlink" Target="https://doi.org/10.1016/j.actaastro.2018.04.019" TargetMode="External"/><Relationship Id="rId133" Type="http://schemas.openxmlformats.org/officeDocument/2006/relationships/hyperlink" Target="https://doi.org/10.1016/j.actaastro.2018.07.004" TargetMode="External"/><Relationship Id="rId131" Type="http://schemas.openxmlformats.org/officeDocument/2006/relationships/hyperlink" Target="https://doi.org/10.1016/j.actaastro.2019.09.030" TargetMode="External"/><Relationship Id="rId159" Type="http://schemas.openxmlformats.org/officeDocument/2006/relationships/hyperlink" Target="https://doi.org/10.1016/j.actaastro.2020.01.030" TargetMode="External"/><Relationship Id="rId153" Type="http://schemas.openxmlformats.org/officeDocument/2006/relationships/hyperlink" Target="https://doi.org/10.1016/j.actaastro.2020.08.041" TargetMode="External"/><Relationship Id="rId137" Type="http://schemas.openxmlformats.org/officeDocument/2006/relationships/hyperlink" Target="https://doi.org/10.1016/j.actaastro.2022.04.001" TargetMode="External"/><Relationship Id="rId161" Type="http://schemas.openxmlformats.org/officeDocument/2006/relationships/hyperlink" Target="https://doi.org/10.1016/j.actaastro.2022.05.040" TargetMode="External"/><Relationship Id="rId163" Type="http://schemas.openxmlformats.org/officeDocument/2006/relationships/hyperlink" Target="https://doi.org/10.1016/j.actaastro.2022.12.036" TargetMode="External"/><Relationship Id="rId155" Type="http://schemas.openxmlformats.org/officeDocument/2006/relationships/hyperlink" Target="https://doi.org/10.1016/j.actaastro.2024.04.001" TargetMode="External"/><Relationship Id="rId165" Type="http://schemas.openxmlformats.org/officeDocument/2006/relationships/hyperlink" Target="https://doi.org/10.1016/j.actaastro.2024.07.023" TargetMode="External"/><Relationship Id="rId126" Type="http://schemas.openxmlformats.org/officeDocument/2006/relationships/hyperlink" Target="https://doi.org/10.1016/j.actaastro.2024.08.022" TargetMode="External"/><Relationship Id="rId135" Type="http://schemas.openxmlformats.org/officeDocument/2006/relationships/hyperlink" Target="https://doi.org/10.1257/jep.32.2.173" TargetMode="External"/><Relationship Id="rId128" Type="http://schemas.openxmlformats.org/officeDocument/2006/relationships/hyperlink" Target="https://doi.org/10.64861/AZUD8556" TargetMode="External"/><Relationship Id="rId146" Type="http://schemas.openxmlformats.org/officeDocument/2006/relationships/hyperlink" Target="https://doi.org/10.64861/HWZS9386" TargetMode="External"/><Relationship Id="rId142" Type="http://schemas.openxmlformats.org/officeDocument/2006/relationships/hyperlink" Target="https://doi.org/10.64861/SUOW96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Decadal Priority Predict Realized Astrophysics Mission Cost and Schedule? A</dc:title>
  <dc:creator>Suki Calder (1B-AST-051)</dc:creator>
  <cp:keywords/>
  <dcterms:created xsi:type="dcterms:W3CDTF">2026-07-04T11:40:49Z</dcterms:created>
  <dcterms:modified xsi:type="dcterms:W3CDTF">2026-07-04T11:40:49Z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