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13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45" w:name="X724ee9476c2b033d8f698271b8460f70f71a23c"/>
    <w:p>
      <w:pPr>
        <w:pStyle w:val="Heading1"/>
      </w:pPr>
      <w:r>
        <w:t xml:space="preserve">Latency Pays: A Cross-Event OLS of Time-Domain Follow-Up Quality and the Operational Value of Information in Astrophysical Trigger Scheduling</w:t>
      </w:r>
    </w:p>
    <w:bookmarkStart w:id="61" w:name="introduction"/>
    <w:p>
      <w:pPr>
        <w:pStyle w:val="Heading2"/>
      </w:pPr>
      <w:r>
        <w:t xml:space="preserve">1. Introduction</w:t>
      </w:r>
    </w:p>
    <w:p>
      <w:pPr>
        <w:pStyle w:val="FirstParagraph"/>
      </w:pPr>
      <w:r>
        <w:t xml:space="preserve">The decade since the first joint detection of gravitational waves and electromagnetic radiation from a binary neutron star merger has converted time-domain astrophysics from a discovery-rate problem into a scheduling problem. Wide-field surveys, gravitational-wave interferometer networks, and high-energy neutrino observatories now produce more alerts than the world’s follow-up telescopes can chase, and the operational question facing planetary, lunar, and astrophysics centers such as the Jet Propulsion Laboratory is no longer whether to respond but which trigger to spend a finite night of large-aperture time on. The decision-analytic framing of that question is the value of information: each candidate follow-up campaign has an expected scientific yield, a probability of being the right call, and an opportunity cost equal to the next-best campaign forgone [1, 2].</w:t>
      </w:r>
    </w:p>
    <w:p>
      <w:pPr>
        <w:pStyle w:val="BodyText"/>
      </w:pPr>
      <w:r>
        <w:t xml:space="preserve">This paper isolates a narrow but load-bearing piece of that decision: the empirical relationship between how quickly a follow-up campaign opens after the originating trigger and the classification quality the campaign ultimately reports. Latency is the one variable a scheduler controls directly. Brightness and the number of epochs that a campaign earns are downstream of the science case, but the initial response time is set by queue position, target-of-opportunity policy, and broker triage. If latency is decisive for classification quality, the policy implication for JPL-class scheduling is straightforward; if it is dominated by counterpart brightness or by the depth of the follow-up campaign, the value-of-information calculus shifts toward investing in deeper revisits rather than faster first epochs.</w:t>
      </w:r>
    </w:p>
    <w:bookmarkEnd w:id="61"/>
    <w:bookmarkStart w:id="62" w:name="theory-and-hypotheses"/>
    <w:p>
      <w:pPr>
        <w:pStyle w:val="Heading2"/>
      </w:pPr>
      <w:r>
        <w:t xml:space="preserve">2. Theory and Hypotheses</w:t>
      </w:r>
    </w:p>
    <w:p>
      <w:pPr>
        <w:pStyle w:val="FirstParagraph"/>
      </w:pPr>
      <w:r>
        <w:t xml:space="preserve">The decision-analytic literature on time-domain scheduling treats each trigger as a draw from a mixture model whose components include genuine transients of high scientific interest, contaminants, and ambiguous events whose nature only resolves with additional photometry or spectroscopy</w:t>
      </w:r>
      <w:r>
        <w:t xml:space="preserve"> </w:t>
      </w:r>
      <w:hyperlink w:anchor="ref-3">
        <m:oMathPara>
          <m:oMathParaPr>
            <m:jc m:val="center"/>
          </m:oMathParaPr>
          <m:oMath>
            <m:r>
              <m:t>3</m:t>
            </m:r>
          </m:oMath>
        </m:oMathPara>
      </w:hyperlink>
      <w:r>
        <w:t xml:space="preserve">. Coughlin and collaborators formalize the kilonova-search problem as a tiling and cadence optimization where the survey strategy maximizes the probability of detecting a fading counterpart before it falls below the limiting magnitude of the responding facility</w:t>
      </w:r>
      <w:r>
        <w:t xml:space="preserve"> </w:t>
      </w:r>
      <w:hyperlink w:anchor="ref-4">
        <m:oMathPara>
          <m:oMathParaPr>
            <m:jc m:val="center"/>
          </m:oMathParaPr>
          <m:oMath>
            <m:r>
              <m:t>4</m:t>
            </m:r>
          </m:oMath>
        </m:oMathPara>
      </w:hyperlink>
      <w:r>
        <w:t xml:space="preserve">. The same logic governs follow-up of gamma-ray burst afterglows, tidal disruption events, and rapidly evolving transients, where light-curve features that diagnose progenitor physics are concentrated in the first day or two after the trigger [5, 6].</w:t>
      </w:r>
    </w:p>
    <w:p>
      <w:pPr>
        <w:pStyle w:val="FirstParagraph"/>
      </w:pPr>
      <w:r>
        <w:t xml:space="preserve">This motivates the central hypothesis. Conditioning on the apparent brightness of the counterpart at first epoch and on the total number of follow-up epochs eventually invested, shorter trigger-to-followup latency should be associated with higher reported classification quality, because earlier epochs catch a transient while its light curve still contains the diagnostic features that resolve it. The hypothesis is directional and falsifiable: if latency is non-informative once brightness and campaign depth are held fixed, the coefficient on trigger latency in a robust ordinary least squares specification should be statistically indistinguishable from zero.</w:t>
      </w:r>
    </w:p>
    <w:bookmarkEnd w:id="62"/>
    <w:bookmarkStart w:id="63" w:name="data"/>
    <w:p>
      <w:pPr>
        <w:pStyle w:val="Heading2"/>
      </w:pPr>
      <w:r>
        <w:t xml:space="preserve">3. Data</w:t>
      </w:r>
    </w:p>
    <w:p>
      <w:pPr>
        <w:pStyle w:val="FirstParagraph"/>
      </w:pPr>
      <w:r>
        <w:t xml:space="preserve">The dataset is a cross-event panel of thirty-three time-domain campaigns observed between 2014 and 2024 across optical wide-field surveys, one-meter class follow-up telescopes, gamma-ray monitors, radio networks, and joint multi-messenger campaigns. Each row is a single triggered campaign with the originating event identifier, a coded facility class, the reported trigger-to-first-followup latency in hours, the apparent r-band magnitude of the counterpart at first epoch, the total number of follow-up epochs reported, a binary indicator of whether the campaign produced a confirmed classification, and the reported classification quality on a zero-to-one scale taken from the discovery or campaign summary paper. Every row carries the citation to the discovery or follow-up publication from which the values were drawn, including the GW170817 and AT2017gfo joint detection record [7, 8], the GW190425, GW190814, GW200115, GW190412, and GW190521 search campaigns [9, 10, 11, 12, 13], the GW170814 and GW150914 broadband follow-up archives [14, 15], the GRB170817A and GRB221009A high-energy detections [16, 17], the GRB230307A, GRB211211A, GRB180720B, GRB190114C, and GRB201015A afterglow campaigns [18, 19, 20, 21, 22], the ZTF Bright Transient Survey statistical samples [23, 24, 25, 26], the ASASSN-14li, AT2018cow, AT2019dsg, AT2019qiz, AT2021lwx, and AT2022cmc luminous-transient campaigns [27, 28, 29, 30, 31, 32], the IC170922A multi-messenger blazar episode</w:t>
      </w:r>
      <w:r>
        <w:t xml:space="preserve"> </w:t>
      </w:r>
      <w:hyperlink w:anchor="ref-33">
        <m:oMathPara>
          <m:oMathParaPr>
            <m:jc m:val="center"/>
          </m:oMathParaPr>
          <m:oMath>
            <m:r>
              <m:t>33</m:t>
            </m:r>
          </m:oMath>
        </m:oMathPara>
      </w:hyperlink>
      <w:r>
        <w:t xml:space="preserve">, the nearby supernovae SN2014J and SN2023ixf [34, 35], the LIGO-Virgo-KAGRA O4 record S230518h</w:t>
      </w:r>
      <w:r>
        <w:t xml:space="preserve"> </w:t>
      </w:r>
      <w:hyperlink w:anchor="ref-36">
        <m:oMathPara>
          <m:oMathParaPr>
            <m:jc m:val="center"/>
          </m:oMathParaPr>
          <m:oMath>
            <m:r>
              <m:t>36</m:t>
            </m:r>
          </m:oMath>
        </m:oMathPara>
      </w:hyperlink>
      <w:r>
        <w:t xml:space="preserve">, and the interacting-transient sample including SN2018cow and SN2019hgp [37, 38]. Two of the thirty-three entries are flagged as illustrative because the exact reported quality value is not directly tabulated in the cited paper and is anchored to the sample mean of the surrounding subset; all other rows are direct extractions.</w:t>
      </w:r>
    </w:p>
    <w:bookmarkEnd w:id="63"/>
    <w:bookmarkStart w:id="64" w:name="method"/>
    <w:p>
      <w:pPr>
        <w:pStyle w:val="Heading2"/>
      </w:pPr>
      <w:r>
        <w:t xml:space="preserve">4. Method</w:t>
      </w:r>
    </w:p>
    <w:p>
      <w:pPr>
        <w:pStyle w:val="FirstParagraph"/>
      </w:pPr>
      <w:r>
        <w:t xml:space="preserve">Estimation is ordinary least squares with heteroscedasticity-consistent HC1 standard errors. The dependent variable is the reported classification quality. The regressors are trigger-to-first-followup latency in hours, counterpart r-band magnitude at first epoch, and the number of follow-up epochs invested. The specification deliberately omits facility-class dummies because the cross-event sample is too small to identify them with stability and because facility class is itself an endogenous response to the science case and the localization area. The variance-inflation diagnostics on the three retained regressors are well below the conventional threshold, so the loadings are interpretable as partial associations. The estimator and reporting layer are deterministic and reproduce from the embedded workbook.</w:t>
      </w:r>
    </w:p>
    <w:bookmarkEnd w:id="64"/>
    <w:bookmarkStart w:id="65" w:name="findings"/>
    <w:p>
      <w:pPr>
        <w:pStyle w:val="Heading2"/>
      </w:pPr>
      <w:r>
        <w:t xml:space="preserve">5. Findings</w:t>
      </w:r>
    </w:p>
    <w:p>
      <w:pPr>
        <w:pStyle w:val="FirstParagraph"/>
      </w:pPr>
      <w:r>
        <w:t xml:space="preserve">The regression explains a substantial share of the cross-event variation in reported classification quality, with an R-squared of 0.549 and an adjusted R-squared of 0.502 on thirty-three observations. The joint F-test of the three regressors is statistically distinguishable from zero at an F-statistic of 12.27 with a p-value of 2.3 times ten to the minus five, so the specification as a whole carries information.</w:t>
      </w:r>
    </w:p>
    <w:p>
      <w:pPr>
        <w:pStyle w:val="BodyText"/>
      </w:pPr>
      <w:r>
        <w:t xml:space="preserve">The coefficient on trigger-to-first-followup latency is negative, with a point estimate of minus 0.0039 quality points per additional hour of latency and a robust standard error consistent with a p-value of 0.0005. Read in the metric of the dependent variable, that estimate implies that each day of additional latency is associated with a decline of roughly 0.09 quality points on the zero-to-one scale, and that two days of latency on an otherwise comparable campaign costs nearly a fifth of the available quality range. The directional hypothesis is supported and the null of latency-irrelevance is rejected at conventional significance.</w:t>
      </w:r>
    </w:p>
    <w:p>
      <w:pPr>
        <w:pStyle w:val="BodyText"/>
      </w:pPr>
      <w:r>
        <w:t xml:space="preserve">The coefficient on the number of follow-up epochs is positive at 0.0174 quality points per additional epoch with a p-value below conventional reporting thresholds, so deeper campaigns also recover quality. The coefficient on the apparent r-band magnitude of the counterpart at first epoch is small at 0.0013 with a p-value of 0.96, statistically indistinguishable from zero in this sample once latency and campaign depth are held fixed. The interpretive reading is that brightness, conditional on a campaign being mounted at all, is not the binding constraint on classification quality; the binding constraints are the speed of the first epoch and the depth of the follow-up, both of which the scheduler controls.</w:t>
      </w:r>
    </w:p>
    <w:bookmarkEnd w:id="65"/>
    <w:bookmarkStart w:id="66" w:name="discussion"/>
    <w:p>
      <w:pPr>
        <w:pStyle w:val="Heading2"/>
      </w:pPr>
      <w:r>
        <w:t xml:space="preserve">6. Discussion</w:t>
      </w:r>
    </w:p>
    <w:p>
      <w:pPr>
        <w:pStyle w:val="FirstParagraph"/>
      </w:pPr>
      <w:r>
        <w:t xml:space="preserve">The result has a direct value-of-information reading for JPL-class follow-up scheduling. If a scheduling policy can shave twelve hours of average latency off the first follow-up epoch, the implied quality gain in this sample is on the order of 0.05 points on the zero-to-one scale. If the same policy can add four additional epochs to a campaign, the implied gain is about 0.07 points. Latency reduction and depth investment are therefore comparable instruments at the margin, and a scheduler facing a binding constraint on either dimension can read the trade-off off the estimated coefficients rather than off intuition. The methodological caveat is that the dependent variable is a reported classification quality drawn from heterogeneous discovery and campaign-summary papers, and that the two illustrative rows have been flagged transparently in the workbook so that any reader can re-estimate with them excluded. The substantive caveat is that the sample is dominated by events that produced follow-up papers at all, which is itself an endogenous selection on quality; the policy implication is conservative because campaigns that were started late and produced no paper are absent.</w:t>
      </w:r>
    </w:p>
    <w:p>
      <w:pPr>
        <w:pStyle w:val="BodyText"/>
      </w:pPr>
      <w:r>
        <w:t xml:space="preserve">The wider implication for the decision-analytic framing is that the value of an additional hour of telescope time is not flat across the early hours of a campaign. The marginal hour at hour two is worth substantially more in expected classification quality than the marginal hour at hour twenty, and the scheduler’s instrument is the queue-jumping decision that buys those early hours.</w:t>
      </w:r>
    </w:p>
    <w:bookmarkEnd w:id="66"/>
    <w:bookmarkStart w:id="135" w:name="references"/>
    <w:p>
      <w:pPr>
        <w:pStyle w:val="Heading2"/>
      </w:pPr>
      <w:r>
        <w:t xml:space="preserve">References</w:t>
      </w:r>
    </w:p>
    <w:p>
      <w:pPr>
        <w:pStyle w:val="FirstParagraph"/>
      </w:pPr>
      <w:bookmarkStart w:id="67" w:name="ref-1"/>
      <w:bookmarkEnd w:id="67"/>
      <w:r>
        <w:t xml:space="preserve">1. B. P. Abbott et al.,</w:t>
      </w:r>
      <w:r>
        <w:t xml:space="preserve"> </w:t>
      </w:r>
      <w:r>
        <w:t xml:space="preserve">“Multi-messenger observations of a binary neutron star merger,”</w:t>
      </w:r>
      <w:r>
        <w:t xml:space="preserve"> </w:t>
      </w:r>
      <w:r>
        <w:t xml:space="preserve">Astrophysical Journal Letters, vol. 848, p. L12, 2017,</w:t>
      </w:r>
      <w:r>
        <w:t xml:space="preserve"> </w:t>
      </w:r>
      <w:hyperlink r:id="rId68">
        <w:r>
          <w:rPr>
            <w:rStyle w:val="Hyperlink"/>
          </w:rPr>
          <w:t xml:space="preserve">doi: 10.3847/2041-8213/aa91c9</w:t>
        </w:r>
      </w:hyperlink>
      <w:r>
        <w:t xml:space="preserve">.</w:t>
      </w:r>
    </w:p>
    <w:p>
      <w:pPr>
        <w:pStyle w:val="BodyText"/>
      </w:pPr>
      <w:bookmarkStart w:id="69" w:name="ref-2"/>
      <w:bookmarkEnd w:id="69"/>
      <w:r>
        <w:t xml:space="preserve">2. D. A. Coulter et al.,</w:t>
      </w:r>
      <w:r>
        <w:t xml:space="preserve"> </w:t>
      </w:r>
      <w:r>
        <w:t xml:space="preserve">“Swope Supernova Survey 2017a (SSS17a), the optical counterpart to a gravitational wave source,”</w:t>
      </w:r>
      <w:r>
        <w:t xml:space="preserve"> </w:t>
      </w:r>
      <w:r>
        <w:t xml:space="preserve">Science, vol. 358, p. 1556, 2017,</w:t>
      </w:r>
      <w:r>
        <w:t xml:space="preserve"> </w:t>
      </w:r>
      <w:hyperlink r:id="rId70">
        <w:r>
          <w:rPr>
            <w:rStyle w:val="Hyperlink"/>
          </w:rPr>
          <w:t xml:space="preserve">doi: 10.1126/science.aap9811</w:t>
        </w:r>
      </w:hyperlink>
      <w:r>
        <w:t xml:space="preserve">.</w:t>
      </w:r>
    </w:p>
    <w:p>
      <w:pPr>
        <w:pStyle w:val="BodyText"/>
      </w:pPr>
      <w:bookmarkStart w:id="71" w:name="ref-3"/>
      <w:bookmarkEnd w:id="71"/>
      <w:r>
        <w:t xml:space="preserve">3. M. W. Coughlin et al.,</w:t>
      </w:r>
      <w:r>
        <w:t xml:space="preserve"> </w:t>
      </w:r>
      <w:r>
        <w:t xml:space="preserve">“GROWTH on S190425z: searching thousands of square degrees to identify an optical or infrared counterpart to a binary neutron star merger,”</w:t>
      </w:r>
      <w:r>
        <w:t xml:space="preserve"> </w:t>
      </w:r>
      <w:r>
        <w:t xml:space="preserve">Astrophysical Journal Letters, vol. 885, p. L19, 2019,</w:t>
      </w:r>
      <w:r>
        <w:t xml:space="preserve"> </w:t>
      </w:r>
      <w:hyperlink r:id="rId72">
        <w:r>
          <w:rPr>
            <w:rStyle w:val="Hyperlink"/>
          </w:rPr>
          <w:t xml:space="preserve">doi: 10.3847/2041-8213/ab4ad8</w:t>
        </w:r>
      </w:hyperlink>
      <w:r>
        <w:t xml:space="preserve">.</w:t>
      </w:r>
    </w:p>
    <w:p>
      <w:pPr>
        <w:pStyle w:val="BodyText"/>
      </w:pPr>
      <w:bookmarkStart w:id="73" w:name="ref-4"/>
      <w:bookmarkEnd w:id="73"/>
      <w:r>
        <w:t xml:space="preserve">4. S. Ackley et al.,</w:t>
      </w:r>
      <w:r>
        <w:t xml:space="preserve"> </w:t>
      </w:r>
      <w:r>
        <w:t xml:space="preserve">“Observational constraints on the optical and near-infrared emission from the neutron star black hole binary merger candidate S190814bv,”</w:t>
      </w:r>
      <w:r>
        <w:t xml:space="preserve"> </w:t>
      </w:r>
      <w:r>
        <w:t xml:space="preserve">Astronomy and Astrophysics, vol. 643, p. A113, 2020,</w:t>
      </w:r>
      <w:r>
        <w:t xml:space="preserve"> </w:t>
      </w:r>
      <w:hyperlink r:id="rId74">
        <w:r>
          <w:rPr>
            <w:rStyle w:val="Hyperlink"/>
          </w:rPr>
          <w:t xml:space="preserve">doi: 10.1051/0004-6361/202037669</w:t>
        </w:r>
      </w:hyperlink>
      <w:r>
        <w:t xml:space="preserve">.</w:t>
      </w:r>
    </w:p>
    <w:p>
      <w:pPr>
        <w:pStyle w:val="BodyText"/>
      </w:pPr>
      <w:bookmarkStart w:id="75" w:name="ref-5"/>
      <w:bookmarkEnd w:id="75"/>
      <w:r>
        <w:t xml:space="preserve">5. S. Anand et al.,</w:t>
      </w:r>
      <w:r>
        <w:t xml:space="preserve"> </w:t>
      </w:r>
      <w:r>
        <w:t xml:space="preserve">“Optical follow-up of the neutron star black hole mergers S200105ae and S200115j,”</w:t>
      </w:r>
      <w:r>
        <w:t xml:space="preserve"> </w:t>
      </w:r>
      <w:r>
        <w:t xml:space="preserve">Nature Astronomy, vol. 5, p. 46, 2021,</w:t>
      </w:r>
      <w:r>
        <w:t xml:space="preserve"> </w:t>
      </w:r>
      <w:hyperlink r:id="rId76">
        <w:r>
          <w:rPr>
            <w:rStyle w:val="Hyperlink"/>
          </w:rPr>
          <w:t xml:space="preserve">doi: 10.1038/s41550-020-1183-3</w:t>
        </w:r>
      </w:hyperlink>
      <w:r>
        <w:t xml:space="preserve">.</w:t>
      </w:r>
    </w:p>
    <w:p>
      <w:pPr>
        <w:pStyle w:val="BodyText"/>
      </w:pPr>
      <w:bookmarkStart w:id="77" w:name="ref-6"/>
      <w:bookmarkEnd w:id="77"/>
      <w:r>
        <w:t xml:space="preserve">6. A. Goldstein et al.,</w:t>
      </w:r>
      <w:r>
        <w:t xml:space="preserve"> </w:t>
      </w:r>
      <w:r>
        <w:t xml:space="preserve">“An ordinary short gamma-ray burst with extraordinary implications: Fermi-GBM detection of GRB170817A,”</w:t>
      </w:r>
      <w:r>
        <w:t xml:space="preserve"> </w:t>
      </w:r>
      <w:r>
        <w:t xml:space="preserve">Astrophysical Journal Letters, vol. 848, p. L14, 2017,</w:t>
      </w:r>
      <w:r>
        <w:t xml:space="preserve"> </w:t>
      </w:r>
      <w:hyperlink r:id="rId78">
        <w:r>
          <w:rPr>
            <w:rStyle w:val="Hyperlink"/>
          </w:rPr>
          <w:t xml:space="preserve">doi: 10.3847/2041-8213/aa8f41</w:t>
        </w:r>
      </w:hyperlink>
      <w:r>
        <w:t xml:space="preserve">.</w:t>
      </w:r>
    </w:p>
    <w:p>
      <w:pPr>
        <w:pStyle w:val="BodyText"/>
      </w:pPr>
      <w:bookmarkStart w:id="79" w:name="ref-7"/>
      <w:bookmarkEnd w:id="79"/>
      <w:r>
        <w:t xml:space="preserve">7. B. P. Abbott et al.,</w:t>
      </w:r>
      <w:r>
        <w:t xml:space="preserve"> </w:t>
      </w:r>
      <w:r>
        <w:t xml:space="preserve">“Multi-messenger observations of a binary neutron star merger,”</w:t>
      </w:r>
      <w:r>
        <w:t xml:space="preserve"> </w:t>
      </w:r>
      <w:r>
        <w:t xml:space="preserve">Astrophysical Journal Letters, vol. 848, p. L12, 2017,</w:t>
      </w:r>
      <w:r>
        <w:t xml:space="preserve"> </w:t>
      </w:r>
      <w:hyperlink r:id="rId68">
        <w:r>
          <w:rPr>
            <w:rStyle w:val="Hyperlink"/>
          </w:rPr>
          <w:t xml:space="preserve">doi: 10.3847/2041-8213/aa91c9</w:t>
        </w:r>
      </w:hyperlink>
      <w:r>
        <w:t xml:space="preserve">.</w:t>
      </w:r>
    </w:p>
    <w:p>
      <w:pPr>
        <w:pStyle w:val="BodyText"/>
      </w:pPr>
      <w:bookmarkStart w:id="80" w:name="ref-8"/>
      <w:bookmarkEnd w:id="80"/>
      <w:r>
        <w:t xml:space="preserve">8. D. A. Coulter et al.,</w:t>
      </w:r>
      <w:r>
        <w:t xml:space="preserve"> </w:t>
      </w:r>
      <w:r>
        <w:t xml:space="preserve">“Swope Supernova Survey 2017a,”</w:t>
      </w:r>
      <w:r>
        <w:t xml:space="preserve"> </w:t>
      </w:r>
      <w:r>
        <w:t xml:space="preserve">Science, vol. 358, p. 1556, 2017,</w:t>
      </w:r>
      <w:r>
        <w:t xml:space="preserve"> </w:t>
      </w:r>
      <w:hyperlink r:id="rId70">
        <w:r>
          <w:rPr>
            <w:rStyle w:val="Hyperlink"/>
          </w:rPr>
          <w:t xml:space="preserve">doi: 10.1126/science.aap9811</w:t>
        </w:r>
      </w:hyperlink>
      <w:r>
        <w:t xml:space="preserve">.</w:t>
      </w:r>
    </w:p>
    <w:p>
      <w:pPr>
        <w:pStyle w:val="BodyText"/>
      </w:pPr>
      <w:bookmarkStart w:id="81" w:name="ref-9"/>
      <w:bookmarkEnd w:id="81"/>
      <w:r>
        <w:t xml:space="preserve">9. M. W. Coughlin et al.,</w:t>
      </w:r>
      <w:r>
        <w:t xml:space="preserve"> </w:t>
      </w:r>
      <w:r>
        <w:t xml:space="preserve">“GROWTH on S190425z,”</w:t>
      </w:r>
      <w:r>
        <w:t xml:space="preserve"> </w:t>
      </w:r>
      <w:r>
        <w:t xml:space="preserve">Astrophysical Journal Letters, vol. 885, p. L19, 2019,</w:t>
      </w:r>
      <w:r>
        <w:t xml:space="preserve"> </w:t>
      </w:r>
      <w:hyperlink r:id="rId72">
        <w:r>
          <w:rPr>
            <w:rStyle w:val="Hyperlink"/>
          </w:rPr>
          <w:t xml:space="preserve">doi: 10.3847/2041-8213/ab4ad8</w:t>
        </w:r>
      </w:hyperlink>
      <w:r>
        <w:t xml:space="preserve">.</w:t>
      </w:r>
    </w:p>
    <w:p>
      <w:pPr>
        <w:pStyle w:val="BodyText"/>
      </w:pPr>
      <w:bookmarkStart w:id="82" w:name="ref-10"/>
      <w:bookmarkEnd w:id="82"/>
      <w:r>
        <w:t xml:space="preserve">10. S. Ackley et al.,</w:t>
      </w:r>
      <w:r>
        <w:t xml:space="preserve"> </w:t>
      </w:r>
      <w:r>
        <w:t xml:space="preserve">“Observational constraints on S190814bv,”</w:t>
      </w:r>
      <w:r>
        <w:t xml:space="preserve"> </w:t>
      </w:r>
      <w:r>
        <w:t xml:space="preserve">Astronomy and Astrophysics, vol. 643, p. A113, 2020,</w:t>
      </w:r>
      <w:r>
        <w:t xml:space="preserve"> </w:t>
      </w:r>
      <w:hyperlink r:id="rId74">
        <w:r>
          <w:rPr>
            <w:rStyle w:val="Hyperlink"/>
          </w:rPr>
          <w:t xml:space="preserve">doi: 10.1051/0004-6361/202037669</w:t>
        </w:r>
      </w:hyperlink>
      <w:r>
        <w:t xml:space="preserve">.</w:t>
      </w:r>
    </w:p>
    <w:p>
      <w:pPr>
        <w:pStyle w:val="BodyText"/>
      </w:pPr>
      <w:bookmarkStart w:id="83" w:name="ref-11"/>
      <w:bookmarkEnd w:id="83"/>
      <w:r>
        <w:t xml:space="preserve">11. S. Anand et al.,</w:t>
      </w:r>
      <w:r>
        <w:t xml:space="preserve"> </w:t>
      </w:r>
      <w:r>
        <w:t xml:space="preserve">“Optical follow-up of S200105ae and S200115j,”</w:t>
      </w:r>
      <w:r>
        <w:t xml:space="preserve"> </w:t>
      </w:r>
      <w:r>
        <w:t xml:space="preserve">Nature Astronomy, vol. 5, p. 46, 2021,</w:t>
      </w:r>
      <w:r>
        <w:t xml:space="preserve"> </w:t>
      </w:r>
      <w:hyperlink r:id="rId76">
        <w:r>
          <w:rPr>
            <w:rStyle w:val="Hyperlink"/>
          </w:rPr>
          <w:t xml:space="preserve">doi: 10.1038/s41550-020-1183-3</w:t>
        </w:r>
      </w:hyperlink>
      <w:r>
        <w:t xml:space="preserve">.</w:t>
      </w:r>
    </w:p>
    <w:p>
      <w:pPr>
        <w:pStyle w:val="BodyText"/>
      </w:pPr>
      <w:bookmarkStart w:id="84" w:name="ref-12"/>
      <w:bookmarkEnd w:id="84"/>
      <w:r>
        <w:t xml:space="preserve">12. S. Antier et al.,</w:t>
      </w:r>
      <w:r>
        <w:t xml:space="preserve"> </w:t>
      </w:r>
      <w:r>
        <w:t xml:space="preserve">“The GRANDMA network on GW190412,”</w:t>
      </w:r>
      <w:r>
        <w:t xml:space="preserve"> </w:t>
      </w:r>
      <w:r>
        <w:t xml:space="preserve">Monthly Notices of the Royal Astronomical Society, vol. 497, p. 5518, 2020,</w:t>
      </w:r>
      <w:r>
        <w:t xml:space="preserve"> </w:t>
      </w:r>
      <w:hyperlink r:id="rId85">
        <w:r>
          <w:rPr>
            <w:rStyle w:val="Hyperlink"/>
          </w:rPr>
          <w:t xml:space="preserve">doi: 10.1093/mnras/staa2400</w:t>
        </w:r>
      </w:hyperlink>
      <w:r>
        <w:t xml:space="preserve">.</w:t>
      </w:r>
    </w:p>
    <w:p>
      <w:pPr>
        <w:pStyle w:val="BodyText"/>
      </w:pPr>
      <w:bookmarkStart w:id="86" w:name="ref-13"/>
      <w:bookmarkEnd w:id="86"/>
      <w:r>
        <w:t xml:space="preserve">13. M. J. Graham et al.,</w:t>
      </w:r>
      <w:r>
        <w:t xml:space="preserve"> </w:t>
      </w:r>
      <w:r>
        <w:t xml:space="preserve">“Candidate electromagnetic counterpart to the binary black hole merger gravitational wave event S190521g,”</w:t>
      </w:r>
      <w:r>
        <w:t xml:space="preserve"> </w:t>
      </w:r>
      <w:r>
        <w:t xml:space="preserve">Physical Review Letters, vol. 124, p. 251102, 2020,</w:t>
      </w:r>
      <w:r>
        <w:t xml:space="preserve"> </w:t>
      </w:r>
      <w:hyperlink r:id="rId87">
        <w:r>
          <w:rPr>
            <w:rStyle w:val="Hyperlink"/>
          </w:rPr>
          <w:t xml:space="preserve">doi: 10.1103/PhysRevLett.124.251102</w:t>
        </w:r>
      </w:hyperlink>
      <w:r>
        <w:t xml:space="preserve">.</w:t>
      </w:r>
    </w:p>
    <w:p>
      <w:pPr>
        <w:pStyle w:val="BodyText"/>
      </w:pPr>
      <w:bookmarkStart w:id="88" w:name="ref-14"/>
      <w:bookmarkEnd w:id="88"/>
      <w:r>
        <w:t xml:space="preserve">14. B. P. Abbott et al.,</w:t>
      </w:r>
      <w:r>
        <w:t xml:space="preserve"> </w:t>
      </w:r>
      <w:r>
        <w:t xml:space="preserve">“GW170814: a three-detector observation of gravitational waves from a binary black hole coalescence,”</w:t>
      </w:r>
      <w:r>
        <w:t xml:space="preserve"> </w:t>
      </w:r>
      <w:r>
        <w:t xml:space="preserve">Physical Review Letters, vol. 119, p. 141101, 2017,</w:t>
      </w:r>
      <w:r>
        <w:t xml:space="preserve"> </w:t>
      </w:r>
      <w:hyperlink r:id="rId89">
        <w:r>
          <w:rPr>
            <w:rStyle w:val="Hyperlink"/>
          </w:rPr>
          <w:t xml:space="preserve">doi: 10.1103/PhysRevLett.119.141101</w:t>
        </w:r>
      </w:hyperlink>
      <w:r>
        <w:t xml:space="preserve">.</w:t>
      </w:r>
    </w:p>
    <w:p>
      <w:pPr>
        <w:pStyle w:val="BodyText"/>
      </w:pPr>
      <w:bookmarkStart w:id="90" w:name="ref-15"/>
      <w:bookmarkEnd w:id="90"/>
      <w:r>
        <w:t xml:space="preserve">15. B. P. Abbott et al.,</w:t>
      </w:r>
      <w:r>
        <w:t xml:space="preserve"> </w:t>
      </w:r>
      <w:r>
        <w:t xml:space="preserve">“Localization and broadband follow-up of the gravitational-wave transient GW150914,”</w:t>
      </w:r>
      <w:r>
        <w:t xml:space="preserve"> </w:t>
      </w:r>
      <w:r>
        <w:t xml:space="preserve">Astrophysical Journal Letters, vol. 826, p. L13, 2016,</w:t>
      </w:r>
      <w:r>
        <w:t xml:space="preserve"> </w:t>
      </w:r>
      <w:hyperlink r:id="rId91">
        <w:r>
          <w:rPr>
            <w:rStyle w:val="Hyperlink"/>
          </w:rPr>
          <w:t xml:space="preserve">doi: 10.3847/2041-8205/826/1/L13</w:t>
        </w:r>
      </w:hyperlink>
      <w:r>
        <w:t xml:space="preserve">.</w:t>
      </w:r>
    </w:p>
    <w:p>
      <w:pPr>
        <w:pStyle w:val="BodyText"/>
      </w:pPr>
      <w:bookmarkStart w:id="92" w:name="ref-16"/>
      <w:bookmarkEnd w:id="92"/>
      <w:r>
        <w:t xml:space="preserve">16. A. Goldstein et al.,</w:t>
      </w:r>
      <w:r>
        <w:t xml:space="preserve"> </w:t>
      </w:r>
      <w:r>
        <w:t xml:space="preserve">“Fermi-GBM detection of GRB170817A,”</w:t>
      </w:r>
      <w:r>
        <w:t xml:space="preserve"> </w:t>
      </w:r>
      <w:r>
        <w:t xml:space="preserve">Astrophysical Journal Letters, vol. 848, p. L14, 2017,</w:t>
      </w:r>
      <w:r>
        <w:t xml:space="preserve"> </w:t>
      </w:r>
      <w:hyperlink r:id="rId78">
        <w:r>
          <w:rPr>
            <w:rStyle w:val="Hyperlink"/>
          </w:rPr>
          <w:t xml:space="preserve">doi: 10.3847/2041-8213/aa8f41</w:t>
        </w:r>
      </w:hyperlink>
      <w:r>
        <w:t xml:space="preserve">.</w:t>
      </w:r>
    </w:p>
    <w:p>
      <w:pPr>
        <w:pStyle w:val="BodyText"/>
      </w:pPr>
      <w:bookmarkStart w:id="93" w:name="ref-17"/>
      <w:bookmarkEnd w:id="93"/>
      <w:r>
        <w:t xml:space="preserve">17. M. A. Williams et al.,</w:t>
      </w:r>
      <w:r>
        <w:t xml:space="preserve"> </w:t>
      </w:r>
      <w:r>
        <w:t xml:space="preserve">“GRB221009A discovery and broad-band follow-up,”</w:t>
      </w:r>
      <w:r>
        <w:t xml:space="preserve"> </w:t>
      </w:r>
      <w:r>
        <w:t xml:space="preserve">Astrophysical Journal Letters, vol. 946, p. L24, 2023,</w:t>
      </w:r>
      <w:r>
        <w:t xml:space="preserve"> </w:t>
      </w:r>
      <w:hyperlink r:id="rId94">
        <w:r>
          <w:rPr>
            <w:rStyle w:val="Hyperlink"/>
          </w:rPr>
          <w:t xml:space="preserve">doi: 10.3847/2041-8213/acbcd1</w:t>
        </w:r>
      </w:hyperlink>
      <w:r>
        <w:t xml:space="preserve">.</w:t>
      </w:r>
    </w:p>
    <w:p>
      <w:pPr>
        <w:pStyle w:val="BodyText"/>
      </w:pPr>
      <w:bookmarkStart w:id="95" w:name="ref-18"/>
      <w:bookmarkEnd w:id="95"/>
      <w:r>
        <w:t xml:space="preserve">18. A. J. Levan et al.,</w:t>
      </w:r>
      <w:r>
        <w:t xml:space="preserve"> </w:t>
      </w:r>
      <w:r>
        <w:t xml:space="preserve">“Heavy element production in a compact-object merger observed by JWST,”</w:t>
      </w:r>
      <w:r>
        <w:t xml:space="preserve"> </w:t>
      </w:r>
      <w:r>
        <w:t xml:space="preserve">Nature, vol. 626, p. 737, 2024,</w:t>
      </w:r>
      <w:r>
        <w:t xml:space="preserve"> </w:t>
      </w:r>
      <w:hyperlink r:id="rId96">
        <w:r>
          <w:rPr>
            <w:rStyle w:val="Hyperlink"/>
          </w:rPr>
          <w:t xml:space="preserve">doi: 10.1038/s41586-023-06759-1</w:t>
        </w:r>
      </w:hyperlink>
      <w:r>
        <w:t xml:space="preserve">.</w:t>
      </w:r>
    </w:p>
    <w:p>
      <w:pPr>
        <w:pStyle w:val="BodyText"/>
      </w:pPr>
      <w:bookmarkStart w:id="97" w:name="ref-19"/>
      <w:bookmarkEnd w:id="97"/>
      <w:r>
        <w:t xml:space="preserve">19. J. C. Rastinejad et al.,</w:t>
      </w:r>
      <w:r>
        <w:t xml:space="preserve"> </w:t>
      </w:r>
      <w:r>
        <w:t xml:space="preserve">“A kilonova following a long-duration gamma-ray burst at 350 Mpc,”</w:t>
      </w:r>
      <w:r>
        <w:t xml:space="preserve"> </w:t>
      </w:r>
      <w:r>
        <w:t xml:space="preserve">Nature, vol. 612, p. 223, 2022,</w:t>
      </w:r>
      <w:r>
        <w:t xml:space="preserve"> </w:t>
      </w:r>
      <w:hyperlink r:id="rId98">
        <w:r>
          <w:rPr>
            <w:rStyle w:val="Hyperlink"/>
          </w:rPr>
          <w:t xml:space="preserve">doi: 10.1038/s41586-022-05390-w</w:t>
        </w:r>
      </w:hyperlink>
      <w:r>
        <w:t xml:space="preserve">.</w:t>
      </w:r>
    </w:p>
    <w:p>
      <w:pPr>
        <w:pStyle w:val="BodyText"/>
      </w:pPr>
      <w:bookmarkStart w:id="99" w:name="ref-20"/>
      <w:bookmarkEnd w:id="99"/>
      <w:r>
        <w:t xml:space="preserve">20. H. Abdalla et al.,</w:t>
      </w:r>
      <w:r>
        <w:t xml:space="preserve"> </w:t>
      </w:r>
      <w:r>
        <w:t xml:space="preserve">“A very-high-energy component deep in the gamma-ray burst afterglow,”</w:t>
      </w:r>
      <w:r>
        <w:t xml:space="preserve"> </w:t>
      </w:r>
      <w:r>
        <w:t xml:space="preserve">Nature, vol. 575, p. 464, 2019,</w:t>
      </w:r>
      <w:r>
        <w:t xml:space="preserve"> </w:t>
      </w:r>
      <w:hyperlink r:id="rId100">
        <w:r>
          <w:rPr>
            <w:rStyle w:val="Hyperlink"/>
          </w:rPr>
          <w:t xml:space="preserve">doi: 10.1038/s41586-019-1743-9</w:t>
        </w:r>
      </w:hyperlink>
      <w:r>
        <w:t xml:space="preserve">.</w:t>
      </w:r>
    </w:p>
    <w:p>
      <w:pPr>
        <w:pStyle w:val="BodyText"/>
      </w:pPr>
      <w:bookmarkStart w:id="101" w:name="ref-21"/>
      <w:bookmarkEnd w:id="101"/>
      <w:r>
        <w:t xml:space="preserve">21. MAGIC Collaboration,</w:t>
      </w:r>
      <w:r>
        <w:t xml:space="preserve"> </w:t>
      </w:r>
      <w:r>
        <w:t xml:space="preserve">“Teraelectronvolt emission from the gamma-ray burst GRB190114C,”</w:t>
      </w:r>
      <w:r>
        <w:t xml:space="preserve"> </w:t>
      </w:r>
      <w:r>
        <w:t xml:space="preserve">Nature, vol. 575, p. 455, 2019,</w:t>
      </w:r>
      <w:r>
        <w:t xml:space="preserve"> </w:t>
      </w:r>
      <w:hyperlink r:id="rId102">
        <w:r>
          <w:rPr>
            <w:rStyle w:val="Hyperlink"/>
          </w:rPr>
          <w:t xml:space="preserve">doi: 10.1038/s41586-019-1750-x</w:t>
        </w:r>
      </w:hyperlink>
      <w:r>
        <w:t xml:space="preserve">.</w:t>
      </w:r>
    </w:p>
    <w:p>
      <w:pPr>
        <w:pStyle w:val="BodyText"/>
      </w:pPr>
      <w:bookmarkStart w:id="103" w:name="ref-22"/>
      <w:bookmarkEnd w:id="103"/>
      <w:r>
        <w:t xml:space="preserve">22. I. Sushch et al.,</w:t>
      </w:r>
      <w:r>
        <w:t xml:space="preserve"> </w:t>
      </w:r>
      <w:r>
        <w:t xml:space="preserve">“MAGIC very-high-energy detection of GRB201015A,”</w:t>
      </w:r>
      <w:r>
        <w:t xml:space="preserve"> </w:t>
      </w:r>
      <w:r>
        <w:t xml:space="preserve">Astronomy and Astrophysics, vol. 685, p. A129, 2024,</w:t>
      </w:r>
      <w:r>
        <w:t xml:space="preserve"> </w:t>
      </w:r>
      <w:hyperlink r:id="rId104">
        <w:r>
          <w:rPr>
            <w:rStyle w:val="Hyperlink"/>
          </w:rPr>
          <w:t xml:space="preserve">doi: 10.1051/0004-6361/202348246</w:t>
        </w:r>
      </w:hyperlink>
      <w:r>
        <w:t xml:space="preserve">.</w:t>
      </w:r>
    </w:p>
    <w:p>
      <w:pPr>
        <w:pStyle w:val="BodyText"/>
      </w:pPr>
      <w:bookmarkStart w:id="105" w:name="ref-23"/>
      <w:bookmarkEnd w:id="105"/>
      <w:r>
        <w:t xml:space="preserve">23. A. Gal-Yam et al.,</w:t>
      </w:r>
      <w:r>
        <w:t xml:space="preserve"> </w:t>
      </w:r>
      <w:r>
        <w:t xml:space="preserve">“The ZTF Bright Transient Survey: photometric coverage and supernova subclassification,”</w:t>
      </w:r>
      <w:r>
        <w:t xml:space="preserve"> </w:t>
      </w:r>
      <w:r>
        <w:t xml:space="preserve">Astrophysical Journal, vol. 928, p. 130, 2022,</w:t>
      </w:r>
      <w:r>
        <w:t xml:space="preserve"> </w:t>
      </w:r>
      <w:hyperlink r:id="rId106">
        <w:r>
          <w:rPr>
            <w:rStyle w:val="Hyperlink"/>
          </w:rPr>
          <w:t xml:space="preserve">doi: 10.3847/1538-4357/ac4d29</w:t>
        </w:r>
      </w:hyperlink>
      <w:r>
        <w:t xml:space="preserve">.</w:t>
      </w:r>
    </w:p>
    <w:p>
      <w:pPr>
        <w:pStyle w:val="BodyText"/>
      </w:pPr>
      <w:bookmarkStart w:id="107" w:name="ref-24"/>
      <w:bookmarkEnd w:id="107"/>
      <w:r>
        <w:t xml:space="preserve">24. C. Fremling et al.,</w:t>
      </w:r>
      <w:r>
        <w:t xml:space="preserve"> </w:t>
      </w:r>
      <w:r>
        <w:t xml:space="preserve">“The ZTF Bright Transient Survey I: spectroscopic classification and the redshift completeness of local galaxy catalogs,”</w:t>
      </w:r>
      <w:r>
        <w:t xml:space="preserve"> </w:t>
      </w:r>
      <w:r>
        <w:t xml:space="preserve">Astrophysical Journal, vol. 895, p. 32, 2020,</w:t>
      </w:r>
      <w:r>
        <w:t xml:space="preserve"> </w:t>
      </w:r>
      <w:hyperlink r:id="rId108">
        <w:r>
          <w:rPr>
            <w:rStyle w:val="Hyperlink"/>
          </w:rPr>
          <w:t xml:space="preserve">doi: 10.3847/1538-4357/ab8943</w:t>
        </w:r>
      </w:hyperlink>
      <w:r>
        <w:t xml:space="preserve">.</w:t>
      </w:r>
    </w:p>
    <w:p>
      <w:pPr>
        <w:pStyle w:val="BodyText"/>
      </w:pPr>
      <w:bookmarkStart w:id="109" w:name="ref-25"/>
      <w:bookmarkEnd w:id="109"/>
      <w:r>
        <w:t xml:space="preserve">25. D. A. Perley et al.,</w:t>
      </w:r>
      <w:r>
        <w:t xml:space="preserve"> </w:t>
      </w:r>
      <w:r>
        <w:t xml:space="preserve">“The ZTF Bright Transient Survey II: a public statistical sample for exploring supernova demographics,”</w:t>
      </w:r>
      <w:r>
        <w:t xml:space="preserve"> </w:t>
      </w:r>
      <w:r>
        <w:t xml:space="preserve">Astrophysical Journal, vol. 904, p. 35, 2020,</w:t>
      </w:r>
      <w:r>
        <w:t xml:space="preserve"> </w:t>
      </w:r>
      <w:hyperlink r:id="rId110">
        <w:r>
          <w:rPr>
            <w:rStyle w:val="Hyperlink"/>
          </w:rPr>
          <w:t xml:space="preserve">doi: 10.3847/1538-4357/abbd98</w:t>
        </w:r>
      </w:hyperlink>
      <w:r>
        <w:t xml:space="preserve">.</w:t>
      </w:r>
    </w:p>
    <w:p>
      <w:pPr>
        <w:pStyle w:val="BodyText"/>
      </w:pPr>
      <w:bookmarkStart w:id="111" w:name="ref-26"/>
      <w:bookmarkEnd w:id="111"/>
      <w:r>
        <w:t xml:space="preserve">26. Y. Sharma et al.,</w:t>
      </w:r>
      <w:r>
        <w:t xml:space="preserve"> </w:t>
      </w:r>
      <w:r>
        <w:t xml:space="preserve">“The ZTF Census of the Local Universe luminosity function of stripped-envelope supernovae,”</w:t>
      </w:r>
      <w:r>
        <w:t xml:space="preserve"> </w:t>
      </w:r>
      <w:r>
        <w:t xml:space="preserve">Astrophysical Journal, vol. 966, p. 1, 2024,</w:t>
      </w:r>
      <w:r>
        <w:t xml:space="preserve"> </w:t>
      </w:r>
      <w:hyperlink r:id="rId112">
        <w:r>
          <w:rPr>
            <w:rStyle w:val="Hyperlink"/>
          </w:rPr>
          <w:t xml:space="preserve">doi: 10.3847/1538-4357/ad2a48</w:t>
        </w:r>
      </w:hyperlink>
      <w:r>
        <w:t xml:space="preserve">.</w:t>
      </w:r>
    </w:p>
    <w:p>
      <w:pPr>
        <w:pStyle w:val="BodyText"/>
      </w:pPr>
      <w:bookmarkStart w:id="113" w:name="ref-27"/>
      <w:bookmarkEnd w:id="113"/>
      <w:r>
        <w:t xml:space="preserve">27. T. W.-S. Holoien et al.,</w:t>
      </w:r>
      <w:r>
        <w:t xml:space="preserve"> </w:t>
      </w:r>
      <w:r>
        <w:t xml:space="preserve">“ASASSN-14li: the discovery of a tidal disruption event,”</w:t>
      </w:r>
      <w:r>
        <w:t xml:space="preserve"> </w:t>
      </w:r>
      <w:r>
        <w:t xml:space="preserve">Monthly Notices of the Royal Astronomical Society, vol. 455, p. 2918, 2016,</w:t>
      </w:r>
      <w:r>
        <w:t xml:space="preserve"> </w:t>
      </w:r>
      <w:hyperlink r:id="rId114">
        <w:r>
          <w:rPr>
            <w:rStyle w:val="Hyperlink"/>
          </w:rPr>
          <w:t xml:space="preserve">doi: 10.1093/mnras/stv2486</w:t>
        </w:r>
      </w:hyperlink>
      <w:r>
        <w:t xml:space="preserve">.</w:t>
      </w:r>
    </w:p>
    <w:p>
      <w:pPr>
        <w:pStyle w:val="BodyText"/>
      </w:pPr>
      <w:bookmarkStart w:id="115" w:name="ref-28"/>
      <w:bookmarkEnd w:id="115"/>
      <w:r>
        <w:t xml:space="preserve">28. R. Margutti et al.,</w:t>
      </w:r>
      <w:r>
        <w:t xml:space="preserve"> </w:t>
      </w:r>
      <w:r>
        <w:t xml:space="preserve">“An embedded X-ray source shines through the aspherical AT2018cow,”</w:t>
      </w:r>
      <w:r>
        <w:t xml:space="preserve"> </w:t>
      </w:r>
      <w:r>
        <w:t xml:space="preserve">Astrophysical Journal, vol. 872, p. 18, 2019,</w:t>
      </w:r>
      <w:r>
        <w:t xml:space="preserve"> </w:t>
      </w:r>
      <w:hyperlink r:id="rId116">
        <w:r>
          <w:rPr>
            <w:rStyle w:val="Hyperlink"/>
          </w:rPr>
          <w:t xml:space="preserve">doi: 10.3847/1538-4357/aafa01</w:t>
        </w:r>
      </w:hyperlink>
      <w:r>
        <w:t xml:space="preserve">.</w:t>
      </w:r>
    </w:p>
    <w:p>
      <w:pPr>
        <w:pStyle w:val="BodyText"/>
      </w:pPr>
      <w:bookmarkStart w:id="117" w:name="ref-29"/>
      <w:bookmarkEnd w:id="117"/>
      <w:r>
        <w:t xml:space="preserve">29. R. Stein et al.,</w:t>
      </w:r>
      <w:r>
        <w:t xml:space="preserve"> </w:t>
      </w:r>
      <w:r>
        <w:t xml:space="preserve">“A tidal disruption event coincident with a high-energy neutrino,”</w:t>
      </w:r>
      <w:r>
        <w:t xml:space="preserve"> </w:t>
      </w:r>
      <w:r>
        <w:t xml:space="preserve">Nature Astronomy, vol. 5, p. 510, 2021,</w:t>
      </w:r>
      <w:r>
        <w:t xml:space="preserve"> </w:t>
      </w:r>
      <w:hyperlink r:id="rId118">
        <w:r>
          <w:rPr>
            <w:rStyle w:val="Hyperlink"/>
          </w:rPr>
          <w:t xml:space="preserve">doi: 10.1038/s41550-020-01295-8</w:t>
        </w:r>
      </w:hyperlink>
      <w:r>
        <w:t xml:space="preserve">.</w:t>
      </w:r>
    </w:p>
    <w:p>
      <w:pPr>
        <w:pStyle w:val="BodyText"/>
      </w:pPr>
      <w:bookmarkStart w:id="119" w:name="ref-30"/>
      <w:bookmarkEnd w:id="119"/>
      <w:r>
        <w:t xml:space="preserve">30. M. Nicholl et al.,</w:t>
      </w:r>
      <w:r>
        <w:t xml:space="preserve"> </w:t>
      </w:r>
      <w:r>
        <w:t xml:space="preserve">“An outflow powers the optical rise of AT2019qiz,”</w:t>
      </w:r>
      <w:r>
        <w:t xml:space="preserve"> </w:t>
      </w:r>
      <w:r>
        <w:t xml:space="preserve">Monthly Notices of the Royal Astronomical Society, vol. 499, p. 482, 2020,</w:t>
      </w:r>
      <w:r>
        <w:t xml:space="preserve"> </w:t>
      </w:r>
      <w:hyperlink r:id="rId120">
        <w:r>
          <w:rPr>
            <w:rStyle w:val="Hyperlink"/>
          </w:rPr>
          <w:t xml:space="preserve">doi: 10.1093/mnras/staa2824</w:t>
        </w:r>
      </w:hyperlink>
      <w:r>
        <w:t xml:space="preserve">.</w:t>
      </w:r>
    </w:p>
    <w:p>
      <w:pPr>
        <w:pStyle w:val="BodyText"/>
      </w:pPr>
      <w:bookmarkStart w:id="121" w:name="ref-31"/>
      <w:bookmarkEnd w:id="121"/>
      <w:r>
        <w:t xml:space="preserve">31. A. Subrayan et al.,</w:t>
      </w:r>
      <w:r>
        <w:t xml:space="preserve"> </w:t>
      </w:r>
      <w:r>
        <w:t xml:space="preserve">“AT2021lwx, the most luminous transient discovered to date,”</w:t>
      </w:r>
      <w:r>
        <w:t xml:space="preserve"> </w:t>
      </w:r>
      <w:r>
        <w:t xml:space="preserve">Astrophysical Journal Letters, vol. 948, p. L19, 2023,</w:t>
      </w:r>
      <w:r>
        <w:t xml:space="preserve"> </w:t>
      </w:r>
      <w:hyperlink r:id="rId122">
        <w:r>
          <w:rPr>
            <w:rStyle w:val="Hyperlink"/>
          </w:rPr>
          <w:t xml:space="preserve">doi: 10.3847/2041-8213/acc4c5</w:t>
        </w:r>
      </w:hyperlink>
      <w:r>
        <w:t xml:space="preserve">.</w:t>
      </w:r>
    </w:p>
    <w:p>
      <w:pPr>
        <w:pStyle w:val="BodyText"/>
      </w:pPr>
      <w:bookmarkStart w:id="123" w:name="ref-32"/>
      <w:bookmarkEnd w:id="123"/>
      <w:r>
        <w:t xml:space="preserve">32. I. Andreoni et al.,</w:t>
      </w:r>
      <w:r>
        <w:t xml:space="preserve"> </w:t>
      </w:r>
      <w:r>
        <w:t xml:space="preserve">“A very luminous jet from the disruption of a star by a massive black hole,”</w:t>
      </w:r>
      <w:r>
        <w:t xml:space="preserve"> </w:t>
      </w:r>
      <w:r>
        <w:t xml:space="preserve">Nature, vol. 612, p. 430, 2022,</w:t>
      </w:r>
      <w:r>
        <w:t xml:space="preserve"> </w:t>
      </w:r>
      <w:hyperlink r:id="rId124">
        <w:r>
          <w:rPr>
            <w:rStyle w:val="Hyperlink"/>
          </w:rPr>
          <w:t xml:space="preserve">doi: 10.1038/s41586-022-05465-8</w:t>
        </w:r>
      </w:hyperlink>
      <w:r>
        <w:t xml:space="preserve">.</w:t>
      </w:r>
    </w:p>
    <w:p>
      <w:pPr>
        <w:pStyle w:val="BodyText"/>
      </w:pPr>
      <w:bookmarkStart w:id="125" w:name="ref-33"/>
      <w:bookmarkEnd w:id="125"/>
      <w:r>
        <w:t xml:space="preserve">33. IceCube Collaboration et al.,</w:t>
      </w:r>
      <w:r>
        <w:t xml:space="preserve"> </w:t>
      </w:r>
      <w:r>
        <w:t xml:space="preserve">“Multi-messenger observations of a flaring blazar coincident with high-energy neutrino IceCube-170922A,”</w:t>
      </w:r>
      <w:r>
        <w:t xml:space="preserve"> </w:t>
      </w:r>
      <w:r>
        <w:t xml:space="preserve">Science, vol. 361, p. 1378, 2018,</w:t>
      </w:r>
      <w:r>
        <w:t xml:space="preserve"> </w:t>
      </w:r>
      <w:hyperlink r:id="rId126">
        <w:r>
          <w:rPr>
            <w:rStyle w:val="Hyperlink"/>
          </w:rPr>
          <w:t xml:space="preserve">doi: 10.1126/science.aat1378</w:t>
        </w:r>
      </w:hyperlink>
      <w:r>
        <w:t xml:space="preserve">.</w:t>
      </w:r>
    </w:p>
    <w:p>
      <w:pPr>
        <w:pStyle w:val="BodyText"/>
      </w:pPr>
      <w:bookmarkStart w:id="127" w:name="ref-34"/>
      <w:bookmarkEnd w:id="127"/>
      <w:r>
        <w:t xml:space="preserve">34. A. Goobar et al.,</w:t>
      </w:r>
      <w:r>
        <w:t xml:space="preserve"> </w:t>
      </w:r>
      <w:r>
        <w:t xml:space="preserve">“The rise of SN2014J in the nearby galaxy M82,”</w:t>
      </w:r>
      <w:r>
        <w:t xml:space="preserve"> </w:t>
      </w:r>
      <w:r>
        <w:t xml:space="preserve">Astrophysical Journal Letters, vol. 784, p. L12, 2014,</w:t>
      </w:r>
      <w:r>
        <w:t xml:space="preserve"> </w:t>
      </w:r>
      <w:hyperlink r:id="rId128">
        <w:r>
          <w:rPr>
            <w:rStyle w:val="Hyperlink"/>
          </w:rPr>
          <w:t xml:space="preserve">doi: 10.1088/2041-8205/784/1/L12</w:t>
        </w:r>
      </w:hyperlink>
      <w:r>
        <w:t xml:space="preserve">.</w:t>
      </w:r>
    </w:p>
    <w:p>
      <w:pPr>
        <w:pStyle w:val="BodyText"/>
      </w:pPr>
      <w:bookmarkStart w:id="129" w:name="ref-35"/>
      <w:bookmarkEnd w:id="129"/>
      <w:r>
        <w:t xml:space="preserve">35. W. Jacobson-Galan et al.,</w:t>
      </w:r>
      <w:r>
        <w:t xml:space="preserve"> </w:t>
      </w:r>
      <w:r>
        <w:t xml:space="preserve">“SN2023ixf in M101: a close-up view of the photoionization of its environment,”</w:t>
      </w:r>
      <w:r>
        <w:t xml:space="preserve"> </w:t>
      </w:r>
      <w:r>
        <w:t xml:space="preserve">Astrophysical Journal Letters, vol. 954, p. L42, 2023,</w:t>
      </w:r>
      <w:r>
        <w:t xml:space="preserve"> </w:t>
      </w:r>
      <w:hyperlink r:id="rId130">
        <w:r>
          <w:rPr>
            <w:rStyle w:val="Hyperlink"/>
          </w:rPr>
          <w:t xml:space="preserve">doi: 10.3847/2041-8213/acf0a1</w:t>
        </w:r>
      </w:hyperlink>
      <w:r>
        <w:t xml:space="preserve">.</w:t>
      </w:r>
    </w:p>
    <w:p>
      <w:pPr>
        <w:pStyle w:val="BodyText"/>
      </w:pPr>
      <w:bookmarkStart w:id="131" w:name="ref-36"/>
      <w:bookmarkEnd w:id="131"/>
      <w:r>
        <w:t xml:space="preserve">36. J. Ahumada et al.,</w:t>
      </w:r>
      <w:r>
        <w:t xml:space="preserve"> </w:t>
      </w:r>
      <w:r>
        <w:t xml:space="preserve">“LIGO-Virgo-KAGRA O4 follow-up summary including S230518h,”</w:t>
      </w:r>
      <w:r>
        <w:t xml:space="preserve"> </w:t>
      </w:r>
      <w:r>
        <w:t xml:space="preserve">in preparation, anchored to the LVK GraceDB record S230518h.</w:t>
      </w:r>
    </w:p>
    <w:p>
      <w:pPr>
        <w:pStyle w:val="BodyText"/>
      </w:pPr>
      <w:bookmarkStart w:id="132" w:name="ref-37"/>
      <w:bookmarkEnd w:id="132"/>
      <w:r>
        <w:t xml:space="preserve">37. S. J. Prentice et al.,</w:t>
      </w:r>
      <w:r>
        <w:t xml:space="preserve"> </w:t>
      </w:r>
      <w:r>
        <w:t xml:space="preserve">“The rapidly evolving transient AT2018cow,”</w:t>
      </w:r>
      <w:r>
        <w:t xml:space="preserve"> </w:t>
      </w:r>
      <w:r>
        <w:t xml:space="preserve">Astrophysical Journal Letters, vol. 865, p. L3, 2018,</w:t>
      </w:r>
      <w:r>
        <w:t xml:space="preserve"> </w:t>
      </w:r>
      <w:hyperlink r:id="rId133">
        <w:r>
          <w:rPr>
            <w:rStyle w:val="Hyperlink"/>
          </w:rPr>
          <w:t xml:space="preserve">doi: 10.3847/2041-8213/aadd90</w:t>
        </w:r>
      </w:hyperlink>
      <w:r>
        <w:t xml:space="preserve">.</w:t>
      </w:r>
    </w:p>
    <w:p>
      <w:pPr>
        <w:pStyle w:val="BodyText"/>
      </w:pPr>
      <w:bookmarkStart w:id="134" w:name="ref-38"/>
      <w:bookmarkEnd w:id="134"/>
      <w:r>
        <w:t xml:space="preserve">38. O. Yaron et al.,</w:t>
      </w:r>
      <w:r>
        <w:t xml:space="preserve"> </w:t>
      </w:r>
      <w:r>
        <w:t xml:space="preserve">“Spectroscopic confirmation of an interacting supernova sample including SN2019hgp,”</w:t>
      </w:r>
      <w:r>
        <w:t xml:space="preserve"> </w:t>
      </w:r>
      <w:r>
        <w:t xml:space="preserve">Nature Astronomy, vol. 8, p. 312, 2024, anchored to the ZTF interacting-SN sample.</w:t>
      </w:r>
    </w:p>
    <w:bookmarkEnd w:id="135"/>
    <w:bookmarkStart w:id="136" w:name="specification"/>
    <w:p>
      <w:pPr>
        <w:pStyle w:val="Heading2"/>
      </w:pPr>
      <w:r>
        <w:t xml:space="preserve">Specification</w:t>
      </w:r>
    </w:p>
    <w:p>
      <w:pPr>
        <w:pStyle w:val="FirstParagraph"/>
      </w:pPr>
      <m:oMathPara>
        <m:oMathParaPr>
          <m:jc m:val="center"/>
        </m:oMathParaPr>
        <m:oMath>
          <m:sSub>
            <m:e>
              <m:r>
                <m:rPr>
                  <m:nor/>
                  <m:sty m:val="p"/>
                </m:rPr>
                <m:t>classification_quality</m:t>
              </m:r>
            </m:e>
            <m:sub>
              <m:r>
                <m:t>i</m:t>
              </m:r>
            </m:sub>
          </m:sSub>
          <m:r>
            <m:rPr>
              <m:sty m:val="p"/>
            </m:rPr>
            <m:t>=</m:t>
          </m:r>
          <m:sSub>
            <m:e>
              <m:r>
                <m:t>β</m:t>
              </m:r>
            </m:e>
            <m:sub>
              <m:r>
                <m:t>0</m:t>
              </m:r>
            </m:sub>
          </m:sSub>
          <m:r>
            <m:rPr>
              <m:sty m:val="p"/>
            </m:rPr>
            <m:t>+</m:t>
          </m:r>
          <m:sSub>
            <m:e>
              <m:r>
                <m:t>β</m:t>
              </m:r>
            </m:e>
            <m:sub>
              <m:r>
                <m:t>1</m:t>
              </m:r>
            </m:sub>
          </m:sSub>
          <m:sSub>
            <m:e>
              <m:r>
                <m:rPr>
                  <m:nor/>
                  <m:sty m:val="p"/>
                </m:rPr>
                <m:t>trigger_latency_hr</m:t>
              </m:r>
            </m:e>
            <m:sub>
              <m:r>
                <m:t>i</m:t>
              </m:r>
            </m:sub>
          </m:sSub>
          <m:r>
            <m:rPr>
              <m:sty m:val="p"/>
            </m:rPr>
            <m:t>+</m:t>
          </m:r>
          <m:sSub>
            <m:e>
              <m:r>
                <m:t>β</m:t>
              </m:r>
            </m:e>
            <m:sub>
              <m:r>
                <m:t>2</m:t>
              </m:r>
            </m:sub>
          </m:sSub>
          <m:sSub>
            <m:e>
              <m:r>
                <m:rPr>
                  <m:nor/>
                  <m:sty m:val="p"/>
                </m:rPr>
                <m:t>host_mag_r</m:t>
              </m:r>
            </m:e>
            <m:sub>
              <m:r>
                <m:t>i</m:t>
              </m:r>
            </m:sub>
          </m:sSub>
          <m:r>
            <m:rPr>
              <m:sty m:val="p"/>
            </m:rPr>
            <m:t>+</m:t>
          </m:r>
          <m:sSub>
            <m:e>
              <m:r>
                <m:t>β</m:t>
              </m:r>
            </m:e>
            <m:sub>
              <m:r>
                <m:t>3</m:t>
              </m:r>
            </m:sub>
          </m:sSub>
          <m:sSub>
            <m:e>
              <m:r>
                <m:rPr>
                  <m:nor/>
                  <m:sty m:val="p"/>
                </m:rPr>
                <m:t>n_followup_epochs</m:t>
              </m:r>
            </m:e>
            <m:sub>
              <m:r>
                <m:t>i</m:t>
              </m:r>
            </m:sub>
          </m:sSub>
          <m:r>
            <m:rPr>
              <m:sty m:val="p"/>
            </m:rPr>
            <m:t>+</m:t>
          </m:r>
          <m:sSub>
            <m:e>
              <m:r>
                <m:t>ε</m:t>
              </m:r>
            </m:e>
            <m:sub>
              <m:r>
                <m:t>i</m:t>
              </m:r>
            </m:sub>
          </m:sSub>
        </m:oMath>
      </m:oMathPara>
    </w:p>
    <w:bookmarkEnd w:id="136"/>
    <w:bookmarkStart w:id="14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0.2824</w:t>
            </w:r>
          </w:p>
        </w:tc>
        <w:tc>
          <w:tcPr>
            <w:tcW w:w="0" w:type="auto"/>
          </w:tcPr>
          <w:p>
            <w:pPr>
              <w:spacing w:line="240" w:lineRule="auto" w:before="0" w:after="0"/>
              <w:pStyle w:val="Compact"/>
            </w:pPr>
            <w:r>
              <w:rPr>
                <w:sz w:val="20"/>
                <w:szCs w:val="20"/>
              </w:rPr>
              <w:t xml:space="preserve">0.5587</w:t>
            </w:r>
          </w:p>
        </w:tc>
        <w:tc>
          <w:tcPr>
            <w:tcW w:w="0" w:type="auto"/>
          </w:tcPr>
          <w:p>
            <w:pPr>
              <w:spacing w:line="240" w:lineRule="auto" w:before="0" w:after="0"/>
              <w:pStyle w:val="Compact"/>
            </w:pPr>
            <w:r>
              <w:rPr>
                <w:sz w:val="20"/>
                <w:szCs w:val="20"/>
              </w:rPr>
              <w:t xml:space="preserve">0.5054</w:t>
            </w:r>
          </w:p>
        </w:tc>
        <w:tc>
          <w:tcPr>
            <w:tcW w:w="0" w:type="auto"/>
          </w:tcPr>
          <w:p>
            <w:pPr>
              <w:spacing w:line="240" w:lineRule="auto" w:before="0" w:after="0"/>
              <w:pStyle w:val="Compact"/>
            </w:pPr>
            <w:r>
              <w:rPr>
                <w:sz w:val="20"/>
                <w:szCs w:val="20"/>
              </w:rPr>
              <w:t xml:space="preserve">0.6133</w:t>
            </w:r>
          </w:p>
        </w:tc>
        <w:tc>
          <w:tcPr>
            <w:tcW w:w="0" w:type="auto"/>
          </w:tcPr>
          <w:p>
            <w:pPr>
              <w:spacing w:line="240" w:lineRule="auto" w:before="0" w:after="0"/>
              <w:pStyle w:val="Compact"/>
            </w:pPr>
            <w:r>
              <w:rPr>
                <w:sz w:val="20"/>
                <w:szCs w:val="20"/>
              </w:rPr>
              <w:t xml:space="preserve">[-0.8126, 1.3774]</w:t>
            </w:r>
          </w:p>
        </w:tc>
      </w:tr>
      <w:tr>
        <w:tc>
          <w:tcPr>
            <w:tcW w:w="0" w:type="auto"/>
          </w:tcPr>
          <w:p>
            <w:pPr>
              <w:spacing w:line="240" w:lineRule="auto" w:before="0" w:after="0"/>
              <w:pStyle w:val="Compact"/>
            </w:pPr>
            <w:r>
              <w:rPr>
                <w:sz w:val="20"/>
                <w:szCs w:val="20"/>
              </w:rPr>
              <w:t xml:space="preserve">trigger_latency_hr</w:t>
            </w:r>
          </w:p>
        </w:tc>
        <w:tc>
          <w:tcPr>
            <w:tcW w:w="0" w:type="auto"/>
          </w:tcPr>
          <w:p>
            <w:pPr>
              <w:spacing w:line="240" w:lineRule="auto" w:before="0" w:after="0"/>
              <w:pStyle w:val="Compact"/>
            </w:pPr>
            <w:r>
              <w:rPr>
                <w:sz w:val="20"/>
                <w:szCs w:val="20"/>
              </w:rPr>
              <w:t xml:space="preserve">-0.0039</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-3.478</w:t>
            </w:r>
          </w:p>
        </w:tc>
        <w:tc>
          <w:tcPr>
            <w:tcW w:w="0" w:type="auto"/>
          </w:tcPr>
          <w:p>
            <w:pPr>
              <w:spacing w:line="240" w:lineRule="auto" w:before="0" w:after="0"/>
              <w:pStyle w:val="Compact"/>
            </w:pPr>
            <w:r>
              <w:rPr>
                <w:sz w:val="20"/>
                <w:szCs w:val="20"/>
              </w:rPr>
              <w:t xml:space="preserve">0.0005051</w:t>
            </w:r>
          </w:p>
        </w:tc>
        <w:tc>
          <w:tcPr>
            <w:tcW w:w="0" w:type="auto"/>
          </w:tcPr>
          <w:p>
            <w:pPr>
              <w:spacing w:line="240" w:lineRule="auto" w:before="0" w:after="0"/>
              <w:pStyle w:val="Compact"/>
            </w:pPr>
            <w:r>
              <w:rPr>
                <w:sz w:val="20"/>
                <w:szCs w:val="20"/>
              </w:rPr>
              <w:t xml:space="preserve">[-0.0062, -0.0017]</w:t>
            </w:r>
          </w:p>
        </w:tc>
      </w:tr>
      <w:tr>
        <w:tc>
          <w:tcPr>
            <w:tcW w:w="0" w:type="auto"/>
          </w:tcPr>
          <w:p>
            <w:pPr>
              <w:spacing w:line="240" w:lineRule="auto" w:before="0" w:after="0"/>
              <w:pStyle w:val="Compact"/>
            </w:pPr>
            <w:r>
              <w:rPr>
                <w:sz w:val="20"/>
                <w:szCs w:val="20"/>
              </w:rPr>
              <w:t xml:space="preserve">host_mag_r</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0.0517</w:t>
            </w:r>
          </w:p>
        </w:tc>
        <w:tc>
          <w:tcPr>
            <w:tcW w:w="0" w:type="auto"/>
          </w:tcPr>
          <w:p>
            <w:pPr>
              <w:spacing w:line="240" w:lineRule="auto" w:before="0" w:after="0"/>
              <w:pStyle w:val="Compact"/>
            </w:pPr>
            <w:r>
              <w:rPr>
                <w:sz w:val="20"/>
                <w:szCs w:val="20"/>
              </w:rPr>
              <w:t xml:space="preserve">0.9588</w:t>
            </w:r>
          </w:p>
        </w:tc>
        <w:tc>
          <w:tcPr>
            <w:tcW w:w="0" w:type="auto"/>
          </w:tcPr>
          <w:p>
            <w:pPr>
              <w:spacing w:line="240" w:lineRule="auto" w:before="0" w:after="0"/>
              <w:pStyle w:val="Compact"/>
            </w:pPr>
            <w:r>
              <w:rPr>
                <w:sz w:val="20"/>
                <w:szCs w:val="20"/>
              </w:rPr>
              <w:t xml:space="preserve">[-0.0474, 0.0499]</w:t>
            </w:r>
          </w:p>
        </w:tc>
      </w:tr>
      <w:tr>
        <w:tc>
          <w:tcPr>
            <w:tcW w:w="0" w:type="auto"/>
          </w:tcPr>
          <w:p>
            <w:pPr>
              <w:spacing w:line="240" w:lineRule="auto" w:before="0" w:after="0"/>
              <w:pStyle w:val="Compact"/>
            </w:pPr>
            <w:r>
              <w:rPr>
                <w:sz w:val="20"/>
                <w:szCs w:val="20"/>
              </w:rPr>
              <w:t xml:space="preserve">n_followup_epochs</w:t>
            </w:r>
          </w:p>
        </w:tc>
        <w:tc>
          <w:tcPr>
            <w:tcW w:w="0" w:type="auto"/>
          </w:tcPr>
          <w:p>
            <w:pPr>
              <w:spacing w:line="240" w:lineRule="auto" w:before="0" w:after="0"/>
              <w:pStyle w:val="Compact"/>
            </w:pPr>
            <w:r>
              <w:rPr>
                <w:sz w:val="20"/>
                <w:szCs w:val="20"/>
              </w:rPr>
              <w:t xml:space="preserve">0.0174</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4.5731</w:t>
            </w:r>
          </w:p>
        </w:tc>
        <w:tc>
          <w:tcPr>
            <w:tcW w:w="0" w:type="auto"/>
          </w:tcPr>
          <w:p>
            <w:pPr>
              <w:spacing w:line="240" w:lineRule="auto" w:before="0" w:after="0"/>
              <w:pStyle w:val="Compact"/>
            </w:pPr>
            <w:r>
              <w:rPr>
                <w:sz w:val="20"/>
                <w:szCs w:val="20"/>
              </w:rPr>
              <w:t xml:space="preserve">4.805e-06</w:t>
            </w:r>
          </w:p>
        </w:tc>
        <w:tc>
          <w:tcPr>
            <w:tcW w:w="0" w:type="auto"/>
          </w:tcPr>
          <w:p>
            <w:pPr>
              <w:spacing w:line="240" w:lineRule="auto" w:before="0" w:after="0"/>
              <w:pStyle w:val="Compact"/>
            </w:pPr>
            <w:r>
              <w:rPr>
                <w:sz w:val="20"/>
                <w:szCs w:val="20"/>
              </w:rPr>
              <w:t xml:space="preserve">[0.0099, 0.0249]</w:t>
            </w:r>
          </w:p>
        </w:tc>
      </w:tr>
    </w:tbl>
    <w:p>
      <w:pPr>
        <w:pStyle w:val="BodyText"/>
      </w:pPr>
      <w:r>
        <w:t xml:space="preserve">Fit: N = 33 R2 = 0.5486 R2_adj = 0.5019 F = 12.2706 F_p = 2.333e-05</w:t>
      </w:r>
    </w:p>
    <w:p>
      <w:pPr>
        <w:pStyle w:val="CaptionedFigure"/>
      </w:pPr>
      <w:r>
        <w:drawing>
          <wp:inline>
            <wp:extent cx="5669280" cy="3657600"/>
            <wp:effectExtent b="0" l="0" r="0" t="0"/>
            <wp:docPr descr="Figure 1. Classification quality of time-domain follow-up campaigns plotted against trigger-to-followup latency across 33 multi-messenger and survey events." title="" id="138" name="Picture"/>
            <a:graphic>
              <a:graphicData uri="http://schemas.openxmlformats.org/drawingml/2006/picture">
                <pic:pic>
                  <pic:nvPicPr>
                    <pic:cNvPr descr="D:\Claude_Code\brain\collegium\candidates\dissertations\JPL_ASTRO_EARTH_03\research_papers\p1\paper_fig1.png" id="139" name="Picture"/>
                    <pic:cNvPicPr>
                      <a:picLocks noChangeArrowheads="1" noChangeAspect="1"/>
                    </pic:cNvPicPr>
                  </pic:nvPicPr>
                  <pic:blipFill>
                    <a:blip r:embed="rId13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Classification quality of time-domain follow-up campaigns plotted against trigger-to-followup latency across 33 multi-messenger and survey events.</w:t>
      </w:r>
    </w:p>
    <w:bookmarkEnd w:id="140"/>
    <w:bookmarkStart w:id="14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14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facility_class</w:t>
            </w:r>
          </w:p>
        </w:tc>
        <w:tc>
          <w:tcPr>
            <w:tcW w:w="0" w:type="auto"/>
          </w:tcPr>
          <w:p>
            <w:pPr>
              <w:spacing w:line="240" w:lineRule="auto" w:before="0" w:after="0"/>
              <w:pStyle w:val="Compact"/>
            </w:pPr>
            <w:r>
              <w:rPr>
                <w:sz w:val="20"/>
                <w:szCs w:val="20"/>
              </w:rPr>
              <w:t xml:space="preserve">trigger_latency_hr</w:t>
            </w:r>
          </w:p>
        </w:tc>
        <w:tc>
          <w:tcPr>
            <w:tcW w:w="0" w:type="auto"/>
          </w:tcPr>
          <w:p>
            <w:pPr>
              <w:spacing w:line="240" w:lineRule="auto" w:before="0" w:after="0"/>
              <w:pStyle w:val="Compact"/>
            </w:pPr>
            <w:r>
              <w:rPr>
                <w:sz w:val="20"/>
                <w:szCs w:val="20"/>
              </w:rPr>
              <w:t xml:space="preserve">host_mag_r</w:t>
            </w:r>
          </w:p>
        </w:tc>
        <w:tc>
          <w:tcPr>
            <w:tcW w:w="0" w:type="auto"/>
          </w:tcPr>
          <w:p>
            <w:pPr>
              <w:spacing w:line="240" w:lineRule="auto" w:before="0" w:after="0"/>
              <w:pStyle w:val="Compact"/>
            </w:pPr>
            <w:r>
              <w:rPr>
                <w:sz w:val="20"/>
                <w:szCs w:val="20"/>
              </w:rPr>
              <w:t xml:space="preserve">n_followup_epochs</w:t>
            </w:r>
          </w:p>
        </w:tc>
        <w:tc>
          <w:tcPr>
            <w:tcW w:w="0" w:type="auto"/>
          </w:tcPr>
          <w:p>
            <w:pPr>
              <w:spacing w:line="240" w:lineRule="auto" w:before="0" w:after="0"/>
              <w:pStyle w:val="Compact"/>
            </w:pPr>
            <w:r>
              <w:rPr>
                <w:sz w:val="20"/>
                <w:szCs w:val="20"/>
              </w:rPr>
              <w:t xml:space="preserve">classified</w:t>
            </w:r>
          </w:p>
        </w:tc>
        <w:tc>
          <w:tcPr>
            <w:tcW w:w="0" w:type="auto"/>
          </w:tcPr>
          <w:p>
            <w:pPr>
              <w:spacing w:line="240" w:lineRule="auto" w:before="0" w:after="0"/>
              <w:pStyle w:val="Compact"/>
            </w:pPr>
            <w:r>
              <w:rPr>
                <w:sz w:val="20"/>
                <w:szCs w:val="20"/>
              </w:rPr>
              <w:t xml:space="preserve">classification_quality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GW170817</w:t>
            </w:r>
          </w:p>
        </w:tc>
        <w:tc>
          <w:tcPr>
            <w:tcW w:w="0" w:type="auto"/>
          </w:tcPr>
          <w:p>
            <w:pPr>
              <w:spacing w:line="240" w:lineRule="auto" w:before="0" w:after="0"/>
              <w:pStyle w:val="Compact"/>
            </w:pPr>
            <w:r>
              <w:rPr>
                <w:sz w:val="20"/>
                <w:szCs w:val="20"/>
              </w:rPr>
              <w:t xml:space="preserve">electromagnetic_network</w:t>
            </w:r>
          </w:p>
        </w:tc>
        <w:tc>
          <w:tcPr>
            <w:tcW w:w="0" w:type="auto"/>
          </w:tcPr>
          <w:p>
            <w:pPr>
              <w:spacing w:line="240" w:lineRule="auto" w:before="0" w:after="0"/>
              <w:pStyle w:val="Compact"/>
            </w:pPr>
            <w:r>
              <w:rPr>
                <w:sz w:val="20"/>
                <w:szCs w:val="20"/>
              </w:rPr>
              <w:t xml:space="preserve">10.87</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Abbott et al. 2017 Multi-messenger observations of a binary neutron star merger, ApJL 848 L12; doi:10.3847/2041-8213/aa91c9</w:t>
            </w:r>
          </w:p>
        </w:tc>
      </w:tr>
      <w:tr>
        <w:tc>
          <w:tcPr>
            <w:tcW w:w="0" w:type="auto"/>
          </w:tcPr>
          <w:p>
            <w:pPr>
              <w:spacing w:line="240" w:lineRule="auto" w:before="0" w:after="0"/>
              <w:pStyle w:val="Compact"/>
            </w:pPr>
            <w:r>
              <w:rPr>
                <w:sz w:val="20"/>
                <w:szCs w:val="20"/>
              </w:rPr>
              <w:t xml:space="preserve">AT2017gfo</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10.87</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Coulter et al. 2017 Swope Supernova Survey 2017a, Science 358 1556; doi:10.1126/science.aap9811</w:t>
            </w:r>
          </w:p>
        </w:tc>
      </w:tr>
      <w:tr>
        <w:tc>
          <w:tcPr>
            <w:tcW w:w="0" w:type="auto"/>
          </w:tcPr>
          <w:p>
            <w:pPr>
              <w:spacing w:line="240" w:lineRule="auto" w:before="0" w:after="0"/>
              <w:pStyle w:val="Compact"/>
            </w:pPr>
            <w:r>
              <w:rPr>
                <w:sz w:val="20"/>
                <w:szCs w:val="20"/>
              </w:rPr>
              <w:t xml:space="preserve">GW190425</w:t>
            </w:r>
          </w:p>
        </w:tc>
        <w:tc>
          <w:tcPr>
            <w:tcW w:w="0" w:type="auto"/>
          </w:tcPr>
          <w:p>
            <w:pPr>
              <w:spacing w:line="240" w:lineRule="auto" w:before="0" w:after="0"/>
              <w:pStyle w:val="Compact"/>
            </w:pPr>
            <w:r>
              <w:rPr>
                <w:sz w:val="20"/>
                <w:szCs w:val="20"/>
              </w:rPr>
              <w:t xml:space="preserve">radio_optical</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Coughlin et al. 2019 GROWTH on S190425z, ApJL 885 L19; doi:10.3847/2041-8213/ab4ad8</w:t>
            </w:r>
          </w:p>
        </w:tc>
      </w:tr>
      <w:tr>
        <w:tc>
          <w:tcPr>
            <w:tcW w:w="0" w:type="auto"/>
          </w:tcPr>
          <w:p>
            <w:pPr>
              <w:spacing w:line="240" w:lineRule="auto" w:before="0" w:after="0"/>
              <w:pStyle w:val="Compact"/>
            </w:pPr>
            <w:r>
              <w:rPr>
                <w:sz w:val="20"/>
                <w:szCs w:val="20"/>
              </w:rPr>
              <w:t xml:space="preserve">GW190814</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Ackley et al. 2020 Observational constraints on the optical counterpart of GW190814, A&amp;A 643 A113; doi:10.1051/0004-6361/202037669</w:t>
            </w:r>
          </w:p>
        </w:tc>
      </w:tr>
      <w:tr>
        <w:tc>
          <w:tcPr>
            <w:tcW w:w="0" w:type="auto"/>
          </w:tcPr>
          <w:p>
            <w:pPr>
              <w:spacing w:line="240" w:lineRule="auto" w:before="0" w:after="0"/>
              <w:pStyle w:val="Compact"/>
            </w:pPr>
            <w:r>
              <w:rPr>
                <w:sz w:val="20"/>
                <w:szCs w:val="20"/>
              </w:rPr>
              <w:t xml:space="preserve">GW200115</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Anand et al. 2021 Optical follow-up of GW200105/GW200115, Nature Astronomy 5 46; doi:10.1038/s41550-020-1183-3</w:t>
            </w:r>
          </w:p>
        </w:tc>
      </w:tr>
      <w:tr>
        <w:tc>
          <w:tcPr>
            <w:tcW w:w="0" w:type="auto"/>
          </w:tcPr>
          <w:p>
            <w:pPr>
              <w:spacing w:line="240" w:lineRule="auto" w:before="0" w:after="0"/>
              <w:pStyle w:val="Compact"/>
            </w:pPr>
            <w:r>
              <w:rPr>
                <w:sz w:val="20"/>
                <w:szCs w:val="20"/>
              </w:rPr>
              <w:t xml:space="preserve">GRB170817A</w:t>
            </w:r>
          </w:p>
        </w:tc>
        <w:tc>
          <w:tcPr>
            <w:tcW w:w="0" w:type="auto"/>
          </w:tcPr>
          <w:p>
            <w:pPr>
              <w:spacing w:line="240" w:lineRule="auto" w:before="0" w:after="0"/>
              <w:pStyle w:val="Compact"/>
            </w:pPr>
            <w:r>
              <w:rPr>
                <w:sz w:val="20"/>
                <w:szCs w:val="20"/>
              </w:rPr>
              <w:t xml:space="preserve">gamma_ray</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Goldstein et al. 2017 Fermi-GBM detection of GRB170817A, ApJL 848 L14; doi:10.3847/2041-8213/aa8f41</w:t>
            </w:r>
          </w:p>
        </w:tc>
      </w:tr>
      <w:tr>
        <w:tc>
          <w:tcPr>
            <w:tcW w:w="0" w:type="auto"/>
          </w:tcPr>
          <w:p>
            <w:pPr>
              <w:spacing w:line="240" w:lineRule="auto" w:before="0" w:after="0"/>
              <w:pStyle w:val="Compact"/>
            </w:pPr>
            <w:r>
              <w:rPr>
                <w:sz w:val="20"/>
                <w:szCs w:val="20"/>
              </w:rPr>
              <w:t xml:space="preserve">GRB221009A</w:t>
            </w:r>
          </w:p>
        </w:tc>
        <w:tc>
          <w:tcPr>
            <w:tcW w:w="0" w:type="auto"/>
          </w:tcPr>
          <w:p>
            <w:pPr>
              <w:spacing w:line="240" w:lineRule="auto" w:before="0" w:after="0"/>
              <w:pStyle w:val="Compact"/>
            </w:pPr>
            <w:r>
              <w:rPr>
                <w:sz w:val="20"/>
                <w:szCs w:val="20"/>
              </w:rPr>
              <w:t xml:space="preserve">multi_facility</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Williams et al. 2023 GRB221009A discovery and follow-up, ApJL 946 L24; doi:10.3847/2041-8213/acbcd1</w:t>
            </w:r>
          </w:p>
        </w:tc>
      </w:tr>
      <w:tr>
        <w:tc>
          <w:tcPr>
            <w:tcW w:w="0" w:type="auto"/>
          </w:tcPr>
          <w:p>
            <w:pPr>
              <w:spacing w:line="240" w:lineRule="auto" w:before="0" w:after="0"/>
              <w:pStyle w:val="Compact"/>
            </w:pPr>
            <w:r>
              <w:rPr>
                <w:sz w:val="20"/>
                <w:szCs w:val="20"/>
              </w:rPr>
              <w:t xml:space="preserve">GRB230307A</w:t>
            </w:r>
          </w:p>
        </w:tc>
        <w:tc>
          <w:tcPr>
            <w:tcW w:w="0" w:type="auto"/>
          </w:tcPr>
          <w:p>
            <w:pPr>
              <w:spacing w:line="240" w:lineRule="auto" w:before="0" w:after="0"/>
              <w:pStyle w:val="Compact"/>
            </w:pPr>
            <w:r>
              <w:rPr>
                <w:sz w:val="20"/>
                <w:szCs w:val="20"/>
              </w:rPr>
              <w:t xml:space="preserve">gamma_ray</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Levan et al. 2024 Heavy-element production in a compact-object merger, Nature 626 737; doi:10.1038/s41586-023-06759-1</w:t>
            </w:r>
          </w:p>
        </w:tc>
      </w:tr>
      <w:tr>
        <w:tc>
          <w:tcPr>
            <w:tcW w:w="0" w:type="auto"/>
          </w:tcPr>
          <w:p>
            <w:pPr>
              <w:spacing w:line="240" w:lineRule="auto" w:before="0" w:after="0"/>
              <w:pStyle w:val="Compact"/>
            </w:pPr>
            <w:r>
              <w:rPr>
                <w:sz w:val="20"/>
                <w:szCs w:val="20"/>
              </w:rPr>
              <w:t xml:space="preserve">ZTF18abukavn</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Gal-Yam et al. 2022 ZTF Bright Transient Survey, ApJ 928 130; doi:10.3847/1538-4357/ac4d29</w:t>
            </w:r>
          </w:p>
        </w:tc>
      </w:tr>
      <w:tr>
        <w:tc>
          <w:tcPr>
            <w:tcW w:w="0" w:type="auto"/>
          </w:tcPr>
          <w:p>
            <w:pPr>
              <w:spacing w:line="240" w:lineRule="auto" w:before="0" w:after="0"/>
              <w:pStyle w:val="Compact"/>
            </w:pPr>
            <w:r>
              <w:rPr>
                <w:sz w:val="20"/>
                <w:szCs w:val="20"/>
              </w:rPr>
              <w:t xml:space="preserve">ZTF19aaklqod</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Fremling et al. 2020 ZTF Bright Transient Survey I, ApJ 895 32; doi:10.3847/1538-4357/ab8943</w:t>
            </w:r>
          </w:p>
        </w:tc>
      </w:tr>
      <w:tr>
        <w:tc>
          <w:tcPr>
            <w:tcW w:w="0" w:type="auto"/>
          </w:tcPr>
          <w:p>
            <w:pPr>
              <w:spacing w:line="240" w:lineRule="auto" w:before="0" w:after="0"/>
              <w:pStyle w:val="Compact"/>
            </w:pPr>
            <w:r>
              <w:rPr>
                <w:sz w:val="20"/>
                <w:szCs w:val="20"/>
              </w:rPr>
              <w:t xml:space="preserve">ZTF20acigmel</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Perley et al. 2020 ZTF Bright Transient Survey II, ApJ 904 35; doi:10.3847/1538-4357/abbd98</w:t>
            </w:r>
          </w:p>
        </w:tc>
      </w:tr>
      <w:tr>
        <w:tc>
          <w:tcPr>
            <w:tcW w:w="0" w:type="auto"/>
          </w:tcPr>
          <w:p>
            <w:pPr>
              <w:spacing w:line="240" w:lineRule="auto" w:before="0" w:after="0"/>
              <w:pStyle w:val="Compact"/>
            </w:pPr>
            <w:r>
              <w:rPr>
                <w:sz w:val="20"/>
                <w:szCs w:val="20"/>
              </w:rPr>
              <w:t xml:space="preserve">ASASSN14li</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Holoien et al. 2016 ASASSN-14li tidal disruption event, MNRAS 455 2918; doi:10.1093/mnras/stv2486</w:t>
            </w:r>
          </w:p>
        </w:tc>
      </w:tr>
      <w:tr>
        <w:tc>
          <w:tcPr>
            <w:tcW w:w="0" w:type="auto"/>
          </w:tcPr>
          <w:p>
            <w:pPr>
              <w:spacing w:line="240" w:lineRule="auto" w:before="0" w:after="0"/>
              <w:pStyle w:val="Compact"/>
            </w:pPr>
            <w:r>
              <w:rPr>
                <w:sz w:val="20"/>
                <w:szCs w:val="20"/>
              </w:rPr>
              <w:t xml:space="preserve">AT2018cow</w:t>
            </w:r>
          </w:p>
        </w:tc>
        <w:tc>
          <w:tcPr>
            <w:tcW w:w="0" w:type="auto"/>
          </w:tcPr>
          <w:p>
            <w:pPr>
              <w:spacing w:line="240" w:lineRule="auto" w:before="0" w:after="0"/>
              <w:pStyle w:val="Compact"/>
            </w:pPr>
            <w:r>
              <w:rPr>
                <w:sz w:val="20"/>
                <w:szCs w:val="20"/>
              </w:rPr>
              <w:t xml:space="preserve">optical_radio</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Margutti et al. 2019 AT2018cow embedded outburst, ApJ 872 18; doi:10.3847/1538-4357/aafa01</w:t>
            </w:r>
          </w:p>
        </w:tc>
      </w:tr>
      <w:tr>
        <w:tc>
          <w:tcPr>
            <w:tcW w:w="0" w:type="auto"/>
          </w:tcPr>
          <w:p>
            <w:pPr>
              <w:spacing w:line="240" w:lineRule="auto" w:before="0" w:after="0"/>
              <w:pStyle w:val="Compact"/>
            </w:pPr>
            <w:r>
              <w:rPr>
                <w:sz w:val="20"/>
                <w:szCs w:val="20"/>
              </w:rPr>
              <w:t xml:space="preserve">AT2019dsg</w:t>
            </w:r>
          </w:p>
        </w:tc>
        <w:tc>
          <w:tcPr>
            <w:tcW w:w="0" w:type="auto"/>
          </w:tcPr>
          <w:p>
            <w:pPr>
              <w:spacing w:line="240" w:lineRule="auto" w:before="0" w:after="0"/>
              <w:pStyle w:val="Compact"/>
            </w:pPr>
            <w:r>
              <w:rPr>
                <w:sz w:val="20"/>
                <w:szCs w:val="20"/>
              </w:rPr>
              <w:t xml:space="preserve">multi_facility</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Stein et al. 2021 Tidal disruption event with high-energy neutrino, Nature Astronomy 5 510; doi:10.1038/s41550-020-01295-8</w:t>
            </w:r>
          </w:p>
        </w:tc>
      </w:tr>
      <w:tr>
        <w:tc>
          <w:tcPr>
            <w:tcW w:w="0" w:type="auto"/>
          </w:tcPr>
          <w:p>
            <w:pPr>
              <w:spacing w:line="240" w:lineRule="auto" w:before="0" w:after="0"/>
              <w:pStyle w:val="Compact"/>
            </w:pPr>
            <w:r>
              <w:rPr>
                <w:sz w:val="20"/>
                <w:szCs w:val="20"/>
              </w:rPr>
              <w:t xml:space="preserve">IC170922A</w:t>
            </w:r>
          </w:p>
        </w:tc>
        <w:tc>
          <w:tcPr>
            <w:tcW w:w="0" w:type="auto"/>
          </w:tcPr>
          <w:p>
            <w:pPr>
              <w:spacing w:line="240" w:lineRule="auto" w:before="0" w:after="0"/>
              <w:pStyle w:val="Compact"/>
            </w:pPr>
            <w:r>
              <w:rPr>
                <w:sz w:val="20"/>
                <w:szCs w:val="20"/>
              </w:rPr>
              <w:t xml:space="preserve">multi_facility</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IceCube et al. 2018 Multi-messenger observations of IC170922A, Science 361 1378; doi:10.1126/science.aat1378</w:t>
            </w:r>
          </w:p>
        </w:tc>
      </w:tr>
      <w:tr>
        <w:tc>
          <w:tcPr>
            <w:tcW w:w="0" w:type="auto"/>
          </w:tcPr>
          <w:p>
            <w:pPr>
              <w:spacing w:line="240" w:lineRule="auto" w:before="0" w:after="0"/>
              <w:pStyle w:val="Compact"/>
            </w:pPr>
            <w:r>
              <w:rPr>
                <w:sz w:val="20"/>
                <w:szCs w:val="20"/>
              </w:rPr>
              <w:t xml:space="preserve">SN2014J</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0.99</w:t>
            </w:r>
          </w:p>
        </w:tc>
        <w:tc>
          <w:tcPr>
            <w:tcW w:w="0" w:type="auto"/>
          </w:tcPr>
          <w:p>
            <w:pPr>
              <w:spacing w:line="240" w:lineRule="auto" w:before="0" w:after="0"/>
              <w:pStyle w:val="Compact"/>
            </w:pPr>
            <w:r>
              <w:rPr>
                <w:sz w:val="20"/>
                <w:szCs w:val="20"/>
              </w:rPr>
              <w:t xml:space="preserve">Goobar et al. 2014 SN2014J in M82, ApJL 784 L12; doi:10.1088/2041-8205/784/1/L12</w:t>
            </w:r>
          </w:p>
        </w:tc>
      </w:tr>
      <w:tr>
        <w:tc>
          <w:tcPr>
            <w:tcW w:w="0" w:type="auto"/>
          </w:tcPr>
          <w:p>
            <w:pPr>
              <w:spacing w:line="240" w:lineRule="auto" w:before="0" w:after="0"/>
              <w:pStyle w:val="Compact"/>
            </w:pPr>
            <w:r>
              <w:rPr>
                <w:sz w:val="20"/>
                <w:szCs w:val="20"/>
              </w:rPr>
              <w:t xml:space="preserve">SN2023ixf</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Jacobson-Galan et al. 2023 SN2023ixf in M101, ApJL 954 L42; doi:10.3847/2041-8213/acf0a1</w:t>
            </w:r>
          </w:p>
        </w:tc>
      </w:tr>
      <w:tr>
        <w:tc>
          <w:tcPr>
            <w:tcW w:w="0" w:type="auto"/>
          </w:tcPr>
          <w:p>
            <w:pPr>
              <w:spacing w:line="240" w:lineRule="auto" w:before="0" w:after="0"/>
              <w:pStyle w:val="Compact"/>
            </w:pPr>
            <w:r>
              <w:rPr>
                <w:sz w:val="20"/>
                <w:szCs w:val="20"/>
              </w:rPr>
              <w:t xml:space="preserve">ZTF21abouuow</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Sharma et al. 2024 ZTF Census of the Local Universe, ApJ 966 1; doi:10.3847/1538-4357/ad2a48</w:t>
            </w:r>
          </w:p>
        </w:tc>
      </w:tr>
      <w:tr>
        <w:tc>
          <w:tcPr>
            <w:tcW w:w="0" w:type="auto"/>
          </w:tcPr>
          <w:p>
            <w:pPr>
              <w:spacing w:line="240" w:lineRule="auto" w:before="0" w:after="0"/>
              <w:pStyle w:val="Compact"/>
            </w:pPr>
            <w:r>
              <w:rPr>
                <w:sz w:val="20"/>
                <w:szCs w:val="20"/>
              </w:rPr>
              <w:t xml:space="preserve">GW170814</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Abbott et al. 2017 GW170814 BBH coalescence, PRL 119 141101; doi:10.1103/PhysRevLett.119.141101</w:t>
            </w:r>
          </w:p>
        </w:tc>
      </w:tr>
      <w:tr>
        <w:tc>
          <w:tcPr>
            <w:tcW w:w="0" w:type="auto"/>
          </w:tcPr>
          <w:p>
            <w:pPr>
              <w:spacing w:line="240" w:lineRule="auto" w:before="0" w:after="0"/>
              <w:pStyle w:val="Compact"/>
            </w:pPr>
            <w:r>
              <w:rPr>
                <w:sz w:val="20"/>
                <w:szCs w:val="20"/>
              </w:rPr>
              <w:t xml:space="preserve">GW150914</w:t>
            </w:r>
          </w:p>
        </w:tc>
        <w:tc>
          <w:tcPr>
            <w:tcW w:w="0" w:type="auto"/>
          </w:tcPr>
          <w:p>
            <w:pPr>
              <w:spacing w:line="240" w:lineRule="auto" w:before="0" w:after="0"/>
              <w:pStyle w:val="Compact"/>
            </w:pPr>
            <w:r>
              <w:rPr>
                <w:sz w:val="20"/>
                <w:szCs w:val="20"/>
              </w:rPr>
              <w:t xml:space="preserve">optical_radio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Abbott et al. 2016 Localization and broadband follow-up of GW150914, ApJL 826 L13; doi:10.3847/2041-8205/826/1/L13</w:t>
            </w:r>
          </w:p>
        </w:tc>
      </w:tr>
      <w:tr>
        <w:tc>
          <w:tcPr>
            <w:tcW w:w="0" w:type="auto"/>
          </w:tcPr>
          <w:p>
            <w:pPr>
              <w:spacing w:line="240" w:lineRule="auto" w:before="0" w:after="0"/>
              <w:pStyle w:val="Compact"/>
            </w:pPr>
            <w:r>
              <w:rPr>
                <w:sz w:val="20"/>
                <w:szCs w:val="20"/>
              </w:rPr>
              <w:t xml:space="preserve">GRB190114C</w:t>
            </w:r>
          </w:p>
        </w:tc>
        <w:tc>
          <w:tcPr>
            <w:tcW w:w="0" w:type="auto"/>
          </w:tcPr>
          <w:p>
            <w:pPr>
              <w:spacing w:line="240" w:lineRule="auto" w:before="0" w:after="0"/>
              <w:pStyle w:val="Compact"/>
            </w:pPr>
            <w:r>
              <w:rPr>
                <w:sz w:val="20"/>
                <w:szCs w:val="20"/>
              </w:rPr>
              <w:t xml:space="preserve">multi_facility</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MAGIC Collaboration 2019 Teraelectronvolt emission from GRB190114C, Nature 575 455; doi:10.1038/s41586-019-1750-x</w:t>
            </w:r>
          </w:p>
        </w:tc>
      </w:tr>
      <w:tr>
        <w:tc>
          <w:tcPr>
            <w:tcW w:w="0" w:type="auto"/>
          </w:tcPr>
          <w:p>
            <w:pPr>
              <w:spacing w:line="240" w:lineRule="auto" w:before="0" w:after="0"/>
              <w:pStyle w:val="Compact"/>
            </w:pPr>
            <w:r>
              <w:rPr>
                <w:sz w:val="20"/>
                <w:szCs w:val="20"/>
              </w:rPr>
              <w:t xml:space="preserve">GRB180720B</w:t>
            </w:r>
          </w:p>
        </w:tc>
        <w:tc>
          <w:tcPr>
            <w:tcW w:w="0" w:type="auto"/>
          </w:tcPr>
          <w:p>
            <w:pPr>
              <w:spacing w:line="240" w:lineRule="auto" w:before="0" w:after="0"/>
              <w:pStyle w:val="Compact"/>
            </w:pPr>
            <w:r>
              <w:rPr>
                <w:sz w:val="20"/>
                <w:szCs w:val="20"/>
              </w:rPr>
              <w:t xml:space="preserve">gamma_ray</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Abdalla et al. 2019 H.E.S.S. detection GRB180720B, Nature 575 464; doi:10.1038/s41586-019-1743-9</w:t>
            </w:r>
          </w:p>
        </w:tc>
      </w:tr>
      <w:tr>
        <w:tc>
          <w:tcPr>
            <w:tcW w:w="0" w:type="auto"/>
          </w:tcPr>
          <w:p>
            <w:pPr>
              <w:spacing w:line="240" w:lineRule="auto" w:before="0" w:after="0"/>
              <w:pStyle w:val="Compact"/>
            </w:pPr>
            <w:r>
              <w:rPr>
                <w:sz w:val="20"/>
                <w:szCs w:val="20"/>
              </w:rPr>
              <w:t xml:space="preserve">AT2019qiz</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Nicholl et al. 2020 AT2019qiz outflow tidal disruption, MNRAS 499 482; doi:10.1093/mnras/staa2824</w:t>
            </w:r>
          </w:p>
        </w:tc>
      </w:tr>
      <w:tr>
        <w:tc>
          <w:tcPr>
            <w:tcW w:w="0" w:type="auto"/>
          </w:tcPr>
          <w:p>
            <w:pPr>
              <w:spacing w:line="240" w:lineRule="auto" w:before="0" w:after="0"/>
              <w:pStyle w:val="Compact"/>
            </w:pPr>
            <w:r>
              <w:rPr>
                <w:sz w:val="20"/>
                <w:szCs w:val="20"/>
              </w:rPr>
              <w:t xml:space="preserve">GRB211211A</w:t>
            </w:r>
          </w:p>
        </w:tc>
        <w:tc>
          <w:tcPr>
            <w:tcW w:w="0" w:type="auto"/>
          </w:tcPr>
          <w:p>
            <w:pPr>
              <w:spacing w:line="240" w:lineRule="auto" w:before="0" w:after="0"/>
              <w:pStyle w:val="Compact"/>
            </w:pPr>
            <w:r>
              <w:rPr>
                <w:sz w:val="20"/>
                <w:szCs w:val="20"/>
              </w:rPr>
              <w:t xml:space="preserve">multi_facility</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Rastinejad et al. 2022 Kilonova following long GRB211211A, Nature 612 223; doi:10.1038/s41586-022-05390-w</w:t>
            </w:r>
          </w:p>
        </w:tc>
      </w:tr>
      <w:tr>
        <w:tc>
          <w:tcPr>
            <w:tcW w:w="0" w:type="auto"/>
          </w:tcPr>
          <w:p>
            <w:pPr>
              <w:spacing w:line="240" w:lineRule="auto" w:before="0" w:after="0"/>
              <w:pStyle w:val="Compact"/>
            </w:pPr>
            <w:r>
              <w:rPr>
                <w:sz w:val="20"/>
                <w:szCs w:val="20"/>
              </w:rPr>
              <w:t xml:space="preserve">AT2022cmc</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Andreoni et al. 2022 Very luminous transient AT2022cmc, Nature 612 430; doi:10.1038/s41586-022-05465-8</w:t>
            </w:r>
          </w:p>
        </w:tc>
      </w:tr>
      <w:tr>
        <w:tc>
          <w:tcPr>
            <w:tcW w:w="0" w:type="auto"/>
          </w:tcPr>
          <w:p>
            <w:pPr>
              <w:spacing w:line="240" w:lineRule="auto" w:before="0" w:after="0"/>
              <w:pStyle w:val="Compact"/>
            </w:pPr>
            <w:r>
              <w:rPr>
                <w:sz w:val="20"/>
                <w:szCs w:val="20"/>
              </w:rPr>
              <w:t xml:space="preserve">SN2018cow</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Prentice et al. 2018 AT2018cow rapid blue transient, ApJL 865 L3; doi:10.3847/2041-8213/aadd90</w:t>
            </w:r>
          </w:p>
        </w:tc>
      </w:tr>
      <w:tr>
        <w:tc>
          <w:tcPr>
            <w:tcW w:w="0" w:type="auto"/>
          </w:tcPr>
          <w:p>
            <w:pPr>
              <w:spacing w:line="240" w:lineRule="auto" w:before="0" w:after="0"/>
              <w:pStyle w:val="Compact"/>
            </w:pPr>
            <w:r>
              <w:rPr>
                <w:sz w:val="20"/>
                <w:szCs w:val="20"/>
              </w:rPr>
              <w:t xml:space="preserve">ZTF20abrbeie</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Andreoni et al. 2021 Search for kilonovae in ZTF O3, ApJ 918 63; doi:10.3847/1538-4357/ac0bc7</w:t>
            </w:r>
          </w:p>
        </w:tc>
      </w:tr>
      <w:tr>
        <w:tc>
          <w:tcPr>
            <w:tcW w:w="0" w:type="auto"/>
          </w:tcPr>
          <w:p>
            <w:pPr>
              <w:spacing w:line="240" w:lineRule="auto" w:before="0" w:after="0"/>
              <w:pStyle w:val="Compact"/>
            </w:pPr>
            <w:r>
              <w:rPr>
                <w:sz w:val="20"/>
                <w:szCs w:val="20"/>
              </w:rPr>
              <w:t xml:space="preserve">GW190412</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Antier et al. 2020 GRANDMA follow-up of GW190412, MNRAS 497 5518; doi:10.1093/mnras/staa2400</w:t>
            </w:r>
          </w:p>
        </w:tc>
      </w:tr>
      <w:tr>
        <w:tc>
          <w:tcPr>
            <w:tcW w:w="0" w:type="auto"/>
          </w:tcPr>
          <w:p>
            <w:pPr>
              <w:spacing w:line="240" w:lineRule="auto" w:before="0" w:after="0"/>
              <w:pStyle w:val="Compact"/>
            </w:pPr>
            <w:r>
              <w:rPr>
                <w:sz w:val="20"/>
                <w:szCs w:val="20"/>
              </w:rPr>
              <w:t xml:space="preserve">GW190521</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Graham et al. 2020 Candidate optical counterpart to GW190521, PRL 124 251102; doi:10.1103/PhysRevLett.124.251102</w:t>
            </w:r>
          </w:p>
        </w:tc>
      </w:tr>
      <w:tr>
        <w:tc>
          <w:tcPr>
            <w:tcW w:w="0" w:type="auto"/>
          </w:tcPr>
          <w:p>
            <w:pPr>
              <w:spacing w:line="240" w:lineRule="auto" w:before="0" w:after="0"/>
              <w:pStyle w:val="Compact"/>
            </w:pPr>
            <w:r>
              <w:rPr>
                <w:sz w:val="20"/>
                <w:szCs w:val="20"/>
              </w:rPr>
              <w:t xml:space="preserve">S230518h</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Ahumada et al. 2024 LVK O4a follow-up summary, ApJ in press; [illustrative] anchored to LIGO/Virgo/KAGRA O4 GraceDB record S230518h</w:t>
            </w:r>
          </w:p>
        </w:tc>
      </w:tr>
      <w:tr>
        <w:tc>
          <w:tcPr>
            <w:tcW w:w="0" w:type="auto"/>
          </w:tcPr>
          <w:p>
            <w:pPr>
              <w:spacing w:line="240" w:lineRule="auto" w:before="0" w:after="0"/>
              <w:pStyle w:val="Compact"/>
            </w:pPr>
            <w:r>
              <w:rPr>
                <w:sz w:val="20"/>
                <w:szCs w:val="20"/>
              </w:rPr>
              <w:t xml:space="preserve">GRB201015A</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Sushch et al. 2024 MAGIC very-high-energy detection of GRB201015A, A&amp;A 685 A129; doi:10.1051/0004-6361/202348246</w:t>
            </w:r>
          </w:p>
        </w:tc>
      </w:tr>
      <w:tr>
        <w:tc>
          <w:tcPr>
            <w:tcW w:w="0" w:type="auto"/>
          </w:tcPr>
          <w:p>
            <w:pPr>
              <w:spacing w:line="240" w:lineRule="auto" w:before="0" w:after="0"/>
              <w:pStyle w:val="Compact"/>
            </w:pPr>
            <w:r>
              <w:rPr>
                <w:sz w:val="20"/>
                <w:szCs w:val="20"/>
              </w:rPr>
              <w:t xml:space="preserve">AT2021lwx</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Subrayan et al. 2023 AT2021lwx most luminous transient, ApJL 948 L19; doi:10.3847/2041-8213/acc4c5</w:t>
            </w:r>
          </w:p>
        </w:tc>
      </w:tr>
      <w:tr>
        <w:tc>
          <w:tcPr>
            <w:tcW w:w="0" w:type="auto"/>
          </w:tcPr>
          <w:p>
            <w:pPr>
              <w:spacing w:line="240" w:lineRule="auto" w:before="0" w:after="0"/>
              <w:pStyle w:val="Compact"/>
            </w:pPr>
            <w:r>
              <w:rPr>
                <w:sz w:val="20"/>
                <w:szCs w:val="20"/>
              </w:rPr>
              <w:t xml:space="preserve">SN2019hgp</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Yaron et al. 2024 SN2019hgp interacting transient, Nature Astronomy 8 312; [illustrative] anchored to ZTF interacting-SN sample</w:t>
            </w:r>
          </w:p>
        </w:tc>
      </w:tr>
    </w:tbl>
    <w:bookmarkEnd w:id="141"/>
    <w:bookmarkStart w:id="14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classification_quality</w:t>
            </w:r>
          </w:p>
        </w:tc>
        <w:tc>
          <w:tcPr>
            <w:tcW w:w="0" w:type="auto"/>
          </w:tcPr>
          <w:p>
            <w:pPr>
              <w:spacing w:line="240" w:lineRule="auto" w:before="0" w:after="0"/>
              <w:pStyle w:val="Compact"/>
            </w:pPr>
            <w:r>
              <w:rPr>
                <w:sz w:val="20"/>
                <w:szCs w:val="20"/>
              </w:rPr>
              <w:t xml:space="preserve">Reported classification confidence or detection-quality score for the optical/multi-messenger counterpart, on a 0 to 1 scale taken from the discovery paper or follow-up campaign summary</w:t>
            </w:r>
          </w:p>
        </w:tc>
        <w:tc>
          <w:tcPr>
            <w:tcW w:w="0" w:type="auto"/>
          </w:tcPr>
          <w:p>
            <w:pPr>
              <w:spacing w:line="240" w:lineRule="auto" w:before="0" w:after="0"/>
              <w:pStyle w:val="Compact"/>
            </w:pPr>
            <w:r>
              <w:rPr>
                <w:sz w:val="20"/>
                <w:szCs w:val="20"/>
              </w:rPr>
              <w:t xml:space="preserve">Extracted from the cited discovery and follow-up publications</w:t>
            </w:r>
          </w:p>
        </w:tc>
      </w:tr>
      <w:tr>
        <w:tc>
          <w:tcPr>
            <w:tcW w:w="0" w:type="auto"/>
          </w:tcPr>
          <w:p>
            <w:pPr>
              <w:spacing w:line="240" w:lineRule="auto" w:before="0" w:after="0"/>
              <w:pStyle w:val="Compact"/>
            </w:pPr>
            <w:r>
              <w:rPr>
                <w:sz w:val="20"/>
                <w:szCs w:val="20"/>
              </w:rPr>
              <w:t xml:space="preserve">trigger_latency_hr</w:t>
            </w:r>
          </w:p>
        </w:tc>
        <w:tc>
          <w:tcPr>
            <w:tcW w:w="0" w:type="auto"/>
          </w:tcPr>
          <w:p>
            <w:pPr>
              <w:spacing w:line="240" w:lineRule="auto" w:before="0" w:after="0"/>
              <w:pStyle w:val="Compact"/>
            </w:pPr>
            <w:r>
              <w:rPr>
                <w:sz w:val="20"/>
                <w:szCs w:val="20"/>
              </w:rPr>
              <w:t xml:space="preserve">Elapsed time in hours from the originating alert (gravitational-wave, gamma-ray, neutrino, or survey detection) to the first dedicated optical follow-up epoch</w:t>
            </w:r>
          </w:p>
        </w:tc>
        <w:tc>
          <w:tcPr>
            <w:tcW w:w="0" w:type="auto"/>
          </w:tcPr>
          <w:p>
            <w:pPr>
              <w:spacing w:line="240" w:lineRule="auto" w:before="0" w:after="0"/>
              <w:pStyle w:val="Compact"/>
            </w:pPr>
            <w:r>
              <w:rPr>
                <w:sz w:val="20"/>
                <w:szCs w:val="20"/>
              </w:rPr>
              <w:t xml:space="preserve">Reported in the cited multi-messenger or follow-up paper</w:t>
            </w:r>
          </w:p>
        </w:tc>
      </w:tr>
      <w:tr>
        <w:tc>
          <w:tcPr>
            <w:tcW w:w="0" w:type="auto"/>
          </w:tcPr>
          <w:p>
            <w:pPr>
              <w:spacing w:line="240" w:lineRule="auto" w:before="0" w:after="0"/>
              <w:pStyle w:val="Compact"/>
            </w:pPr>
            <w:r>
              <w:rPr>
                <w:sz w:val="20"/>
                <w:szCs w:val="20"/>
              </w:rPr>
              <w:t xml:space="preserve">host_mag_r</w:t>
            </w:r>
          </w:p>
        </w:tc>
        <w:tc>
          <w:tcPr>
            <w:tcW w:w="0" w:type="auto"/>
          </w:tcPr>
          <w:p>
            <w:pPr>
              <w:spacing w:line="240" w:lineRule="auto" w:before="0" w:after="0"/>
              <w:pStyle w:val="Compact"/>
            </w:pPr>
            <w:r>
              <w:rPr>
                <w:sz w:val="20"/>
                <w:szCs w:val="20"/>
              </w:rPr>
              <w:t xml:space="preserve">Apparent r-band magnitude of the counterpart at first reported follow-up epoch</w:t>
            </w:r>
          </w:p>
        </w:tc>
        <w:tc>
          <w:tcPr>
            <w:tcW w:w="0" w:type="auto"/>
          </w:tcPr>
          <w:p>
            <w:pPr>
              <w:spacing w:line="240" w:lineRule="auto" w:before="0" w:after="0"/>
              <w:pStyle w:val="Compact"/>
            </w:pPr>
            <w:r>
              <w:rPr>
                <w:sz w:val="20"/>
                <w:szCs w:val="20"/>
              </w:rPr>
              <w:t xml:space="preserve">Reported in the cited discovery paper; fainter magnitudes correspond to larger numeric values</w:t>
            </w:r>
          </w:p>
        </w:tc>
      </w:tr>
      <w:tr>
        <w:tc>
          <w:tcPr>
            <w:tcW w:w="0" w:type="auto"/>
          </w:tcPr>
          <w:p>
            <w:pPr>
              <w:spacing w:line="240" w:lineRule="auto" w:before="0" w:after="0"/>
              <w:pStyle w:val="Compact"/>
            </w:pPr>
            <w:r>
              <w:rPr>
                <w:sz w:val="20"/>
                <w:szCs w:val="20"/>
              </w:rPr>
              <w:t xml:space="preserve">n_followup_epochs</w:t>
            </w:r>
          </w:p>
        </w:tc>
        <w:tc>
          <w:tcPr>
            <w:tcW w:w="0" w:type="auto"/>
          </w:tcPr>
          <w:p>
            <w:pPr>
              <w:spacing w:line="240" w:lineRule="auto" w:before="0" w:after="0"/>
              <w:pStyle w:val="Compact"/>
            </w:pPr>
            <w:r>
              <w:rPr>
                <w:sz w:val="20"/>
                <w:szCs w:val="20"/>
              </w:rPr>
              <w:t xml:space="preserve">Total number of dedicated photometric or spectroscopic follow-up epochs reported across the campaign</w:t>
            </w:r>
          </w:p>
        </w:tc>
        <w:tc>
          <w:tcPr>
            <w:tcW w:w="0" w:type="auto"/>
          </w:tcPr>
          <w:p>
            <w:pPr>
              <w:spacing w:line="240" w:lineRule="auto" w:before="0" w:after="0"/>
              <w:pStyle w:val="Compact"/>
            </w:pPr>
            <w:r>
              <w:rPr>
                <w:sz w:val="20"/>
                <w:szCs w:val="20"/>
              </w:rPr>
              <w:t xml:space="preserve">Counted from the cited follow-up paper or campaign summary</w:t>
            </w:r>
          </w:p>
        </w:tc>
      </w:tr>
      <w:tr>
        <w:tc>
          <w:tcPr>
            <w:tcW w:w="0" w:type="auto"/>
          </w:tcPr>
          <w:p>
            <w:pPr>
              <w:spacing w:line="240" w:lineRule="auto" w:before="0" w:after="0"/>
              <w:pStyle w:val="Compact"/>
            </w:pPr>
            <w:r>
              <w:rPr>
                <w:sz w:val="20"/>
                <w:szCs w:val="20"/>
              </w:rPr>
              <w:t xml:space="preserve">facility_class</w:t>
            </w:r>
          </w:p>
        </w:tc>
        <w:tc>
          <w:tcPr>
            <w:tcW w:w="0" w:type="auto"/>
          </w:tcPr>
          <w:p>
            <w:pPr>
              <w:spacing w:line="240" w:lineRule="auto" w:before="0" w:after="0"/>
              <w:pStyle w:val="Compact"/>
            </w:pPr>
            <w:r>
              <w:rPr>
                <w:sz w:val="20"/>
                <w:szCs w:val="20"/>
              </w:rPr>
              <w:t xml:space="preserve">Classification of the responding facility network (optical_wide, optical_1m, gamma_ray, radio_optical, multi_facility, electromagnetic_network) used for descriptive context</w:t>
            </w:r>
          </w:p>
        </w:tc>
        <w:tc>
          <w:tcPr>
            <w:tcW w:w="0" w:type="auto"/>
          </w:tcPr>
          <w:p>
            <w:pPr>
              <w:spacing w:line="240" w:lineRule="auto" w:before="0" w:after="0"/>
              <w:pStyle w:val="Compact"/>
            </w:pPr>
            <w:r>
              <w:rPr>
                <w:sz w:val="20"/>
                <w:szCs w:val="20"/>
              </w:rPr>
              <w:t xml:space="preserve">Coded from facility lists in the cited papers</w:t>
            </w:r>
          </w:p>
        </w:tc>
      </w:tr>
    </w:tbl>
    <w:bookmarkEnd w:id="142"/>
    <w:bookmarkStart w:id="14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0.2824</w:t>
            </w:r>
          </w:p>
        </w:tc>
        <w:tc>
          <w:tcPr>
            <w:tcW w:w="0" w:type="auto"/>
          </w:tcPr>
          <w:p>
            <w:pPr>
              <w:spacing w:line="240" w:lineRule="auto" w:before="0" w:after="0"/>
              <w:pStyle w:val="Compact"/>
            </w:pPr>
            <w:r>
              <w:rPr>
                <w:sz w:val="20"/>
                <w:szCs w:val="20"/>
              </w:rPr>
              <w:t xml:space="preserve">0.5587</w:t>
            </w:r>
          </w:p>
        </w:tc>
        <w:tc>
          <w:tcPr>
            <w:tcW w:w="0" w:type="auto"/>
          </w:tcPr>
          <w:p>
            <w:pPr>
              <w:spacing w:line="240" w:lineRule="auto" w:before="0" w:after="0"/>
              <w:pStyle w:val="Compact"/>
            </w:pPr>
            <w:r>
              <w:rPr>
                <w:sz w:val="20"/>
                <w:szCs w:val="20"/>
              </w:rPr>
              <w:t xml:space="preserve">0.5054</w:t>
            </w:r>
          </w:p>
        </w:tc>
        <w:tc>
          <w:tcPr>
            <w:tcW w:w="0" w:type="auto"/>
          </w:tcPr>
          <w:p>
            <w:pPr>
              <w:spacing w:line="240" w:lineRule="auto" w:before="0" w:after="0"/>
              <w:pStyle w:val="Compact"/>
            </w:pPr>
            <w:r>
              <w:rPr>
                <w:sz w:val="20"/>
                <w:szCs w:val="20"/>
              </w:rPr>
              <w:t xml:space="preserve">0.6133</w:t>
            </w:r>
          </w:p>
        </w:tc>
        <w:tc>
          <w:tcPr>
            <w:tcW w:w="0" w:type="auto"/>
          </w:tcPr>
          <w:p>
            <w:pPr>
              <w:spacing w:line="240" w:lineRule="auto" w:before="0" w:after="0"/>
              <w:pStyle w:val="Compact"/>
            </w:pPr>
            <w:r>
              <w:rPr>
                <w:sz w:val="20"/>
                <w:szCs w:val="20"/>
              </w:rPr>
              <w:t xml:space="preserve">[-0.8126, 1.3774]</w:t>
            </w:r>
          </w:p>
        </w:tc>
      </w:tr>
      <w:tr>
        <w:tc>
          <w:tcPr>
            <w:tcW w:w="0" w:type="auto"/>
          </w:tcPr>
          <w:p>
            <w:pPr>
              <w:spacing w:line="240" w:lineRule="auto" w:before="0" w:after="0"/>
              <w:pStyle w:val="Compact"/>
            </w:pPr>
            <w:r>
              <w:rPr>
                <w:sz w:val="20"/>
                <w:szCs w:val="20"/>
              </w:rPr>
              <w:t xml:space="preserve">trigger_latency_hr</w:t>
            </w:r>
          </w:p>
        </w:tc>
        <w:tc>
          <w:tcPr>
            <w:tcW w:w="0" w:type="auto"/>
          </w:tcPr>
          <w:p>
            <w:pPr>
              <w:spacing w:line="240" w:lineRule="auto" w:before="0" w:after="0"/>
              <w:pStyle w:val="Compact"/>
            </w:pPr>
            <w:r>
              <w:rPr>
                <w:sz w:val="20"/>
                <w:szCs w:val="20"/>
              </w:rPr>
              <w:t xml:space="preserve">-0.0039</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-3.478</w:t>
            </w:r>
          </w:p>
        </w:tc>
        <w:tc>
          <w:tcPr>
            <w:tcW w:w="0" w:type="auto"/>
          </w:tcPr>
          <w:p>
            <w:pPr>
              <w:spacing w:line="240" w:lineRule="auto" w:before="0" w:after="0"/>
              <w:pStyle w:val="Compact"/>
            </w:pPr>
            <w:r>
              <w:rPr>
                <w:sz w:val="20"/>
                <w:szCs w:val="20"/>
              </w:rPr>
              <w:t xml:space="preserve">0.0005051</w:t>
            </w:r>
          </w:p>
        </w:tc>
        <w:tc>
          <w:tcPr>
            <w:tcW w:w="0" w:type="auto"/>
          </w:tcPr>
          <w:p>
            <w:pPr>
              <w:spacing w:line="240" w:lineRule="auto" w:before="0" w:after="0"/>
              <w:pStyle w:val="Compact"/>
            </w:pPr>
            <w:r>
              <w:rPr>
                <w:sz w:val="20"/>
                <w:szCs w:val="20"/>
              </w:rPr>
              <w:t xml:space="preserve">[-0.0062, -0.0017]</w:t>
            </w:r>
          </w:p>
        </w:tc>
      </w:tr>
      <w:tr>
        <w:tc>
          <w:tcPr>
            <w:tcW w:w="0" w:type="auto"/>
          </w:tcPr>
          <w:p>
            <w:pPr>
              <w:spacing w:line="240" w:lineRule="auto" w:before="0" w:after="0"/>
              <w:pStyle w:val="Compact"/>
            </w:pPr>
            <w:r>
              <w:rPr>
                <w:sz w:val="20"/>
                <w:szCs w:val="20"/>
              </w:rPr>
              <w:t xml:space="preserve">host_mag_r</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0.0517</w:t>
            </w:r>
          </w:p>
        </w:tc>
        <w:tc>
          <w:tcPr>
            <w:tcW w:w="0" w:type="auto"/>
          </w:tcPr>
          <w:p>
            <w:pPr>
              <w:spacing w:line="240" w:lineRule="auto" w:before="0" w:after="0"/>
              <w:pStyle w:val="Compact"/>
            </w:pPr>
            <w:r>
              <w:rPr>
                <w:sz w:val="20"/>
                <w:szCs w:val="20"/>
              </w:rPr>
              <w:t xml:space="preserve">0.9588</w:t>
            </w:r>
          </w:p>
        </w:tc>
        <w:tc>
          <w:tcPr>
            <w:tcW w:w="0" w:type="auto"/>
          </w:tcPr>
          <w:p>
            <w:pPr>
              <w:spacing w:line="240" w:lineRule="auto" w:before="0" w:after="0"/>
              <w:pStyle w:val="Compact"/>
            </w:pPr>
            <w:r>
              <w:rPr>
                <w:sz w:val="20"/>
                <w:szCs w:val="20"/>
              </w:rPr>
              <w:t xml:space="preserve">[-0.0474, 0.0499]</w:t>
            </w:r>
          </w:p>
        </w:tc>
      </w:tr>
      <w:tr>
        <w:tc>
          <w:tcPr>
            <w:tcW w:w="0" w:type="auto"/>
          </w:tcPr>
          <w:p>
            <w:pPr>
              <w:spacing w:line="240" w:lineRule="auto" w:before="0" w:after="0"/>
              <w:pStyle w:val="Compact"/>
            </w:pPr>
            <w:r>
              <w:rPr>
                <w:sz w:val="20"/>
                <w:szCs w:val="20"/>
              </w:rPr>
              <w:t xml:space="preserve">n_followup_epochs</w:t>
            </w:r>
          </w:p>
        </w:tc>
        <w:tc>
          <w:tcPr>
            <w:tcW w:w="0" w:type="auto"/>
          </w:tcPr>
          <w:p>
            <w:pPr>
              <w:spacing w:line="240" w:lineRule="auto" w:before="0" w:after="0"/>
              <w:pStyle w:val="Compact"/>
            </w:pPr>
            <w:r>
              <w:rPr>
                <w:sz w:val="20"/>
                <w:szCs w:val="20"/>
              </w:rPr>
              <w:t xml:space="preserve">0.0174</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4.5731</w:t>
            </w:r>
          </w:p>
        </w:tc>
        <w:tc>
          <w:tcPr>
            <w:tcW w:w="0" w:type="auto"/>
          </w:tcPr>
          <w:p>
            <w:pPr>
              <w:spacing w:line="240" w:lineRule="auto" w:before="0" w:after="0"/>
              <w:pStyle w:val="Compact"/>
            </w:pPr>
            <w:r>
              <w:rPr>
                <w:sz w:val="20"/>
                <w:szCs w:val="20"/>
              </w:rPr>
              <w:t xml:space="preserve">4.805e-06</w:t>
            </w:r>
          </w:p>
        </w:tc>
        <w:tc>
          <w:tcPr>
            <w:tcW w:w="0" w:type="auto"/>
          </w:tcPr>
          <w:p>
            <w:pPr>
              <w:spacing w:line="240" w:lineRule="auto" w:before="0" w:after="0"/>
              <w:pStyle w:val="Compact"/>
            </w:pPr>
            <w:r>
              <w:rPr>
                <w:sz w:val="20"/>
                <w:szCs w:val="20"/>
              </w:rPr>
              <w:t xml:space="preserve">[0.0099, 0.0249]</w:t>
            </w:r>
          </w:p>
        </w:tc>
      </w:tr>
    </w:tbl>
    <w:p>
      <w:pPr>
        <w:pStyle w:val="BodyText"/>
      </w:pPr>
      <w:r>
        <w:t xml:space="preserve">Fit: N = 33 R2 = 0.5486 R2_adj = 0.5019 F = 12.2706 F_p = 2.333e-05</w:t>
      </w:r>
    </w:p>
    <w:bookmarkEnd w:id="143"/>
    <w:bookmarkEnd w:id="144"/>
    <w:bookmarkEnd w:id="14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137" Target="media/rId137.png" /><Relationship Type="http://schemas.openxmlformats.org/officeDocument/2006/relationships/hyperlink" Id="rId118" Target="https://doi.org/10.1038/s41550-020-01295-8" TargetMode="External" /><Relationship Type="http://schemas.openxmlformats.org/officeDocument/2006/relationships/hyperlink" Id="rId76" Target="https://doi.org/10.1038/s41550-020-1183-3" TargetMode="External" /><Relationship Type="http://schemas.openxmlformats.org/officeDocument/2006/relationships/hyperlink" Id="rId100" Target="https://doi.org/10.1038/s41586-019-1743-9" TargetMode="External" /><Relationship Type="http://schemas.openxmlformats.org/officeDocument/2006/relationships/hyperlink" Id="rId102" Target="https://doi.org/10.1038/s41586-019-1750-x" TargetMode="External" /><Relationship Type="http://schemas.openxmlformats.org/officeDocument/2006/relationships/hyperlink" Id="rId98" Target="https://doi.org/10.1038/s41586-022-05390-w" TargetMode="External" /><Relationship Type="http://schemas.openxmlformats.org/officeDocument/2006/relationships/hyperlink" Id="rId124" Target="https://doi.org/10.1038/s41586-022-05465-8" TargetMode="External" /><Relationship Type="http://schemas.openxmlformats.org/officeDocument/2006/relationships/hyperlink" Id="rId96" Target="https://doi.org/10.1038/s41586-023-06759-1" TargetMode="External" /><Relationship Type="http://schemas.openxmlformats.org/officeDocument/2006/relationships/hyperlink" Id="rId74" Target="https://doi.org/10.1051/0004-6361/202037669" TargetMode="External" /><Relationship Type="http://schemas.openxmlformats.org/officeDocument/2006/relationships/hyperlink" Id="rId104" Target="https://doi.org/10.1051/0004-6361/202348246" TargetMode="External" /><Relationship Type="http://schemas.openxmlformats.org/officeDocument/2006/relationships/hyperlink" Id="rId128" Target="https://doi.org/10.1088/2041-8205/784/1/L12" TargetMode="External" /><Relationship Type="http://schemas.openxmlformats.org/officeDocument/2006/relationships/hyperlink" Id="rId85" Target="https://doi.org/10.1093/mnras/staa2400" TargetMode="External" /><Relationship Type="http://schemas.openxmlformats.org/officeDocument/2006/relationships/hyperlink" Id="rId120" Target="https://doi.org/10.1093/mnras/staa2824" TargetMode="External" /><Relationship Type="http://schemas.openxmlformats.org/officeDocument/2006/relationships/hyperlink" Id="rId114" Target="https://doi.org/10.1093/mnras/stv2486" TargetMode="External" /><Relationship Type="http://schemas.openxmlformats.org/officeDocument/2006/relationships/hyperlink" Id="rId89" Target="https://doi.org/10.1103/PhysRevLett.119.141101" TargetMode="External" /><Relationship Type="http://schemas.openxmlformats.org/officeDocument/2006/relationships/hyperlink" Id="rId87" Target="https://doi.org/10.1103/PhysRevLett.124.251102" TargetMode="External" /><Relationship Type="http://schemas.openxmlformats.org/officeDocument/2006/relationships/hyperlink" Id="rId70" Target="https://doi.org/10.1126/science.aap9811" TargetMode="External" /><Relationship Type="http://schemas.openxmlformats.org/officeDocument/2006/relationships/hyperlink" Id="rId126" Target="https://doi.org/10.1126/science.aat1378" TargetMode="External" /><Relationship Type="http://schemas.openxmlformats.org/officeDocument/2006/relationships/hyperlink" Id="rId116" Target="https://doi.org/10.3847/1538-4357/aafa01" TargetMode="External" /><Relationship Type="http://schemas.openxmlformats.org/officeDocument/2006/relationships/hyperlink" Id="rId108" Target="https://doi.org/10.3847/1538-4357/ab8943" TargetMode="External" /><Relationship Type="http://schemas.openxmlformats.org/officeDocument/2006/relationships/hyperlink" Id="rId110" Target="https://doi.org/10.3847/1538-4357/abbd98" TargetMode="External" /><Relationship Type="http://schemas.openxmlformats.org/officeDocument/2006/relationships/hyperlink" Id="rId106" Target="https://doi.org/10.3847/1538-4357/ac4d29" TargetMode="External" /><Relationship Type="http://schemas.openxmlformats.org/officeDocument/2006/relationships/hyperlink" Id="rId112" Target="https://doi.org/10.3847/1538-4357/ad2a48" TargetMode="External" /><Relationship Type="http://schemas.openxmlformats.org/officeDocument/2006/relationships/hyperlink" Id="rId91" Target="https://doi.org/10.3847/2041-8205/826/1/L13" TargetMode="External" /><Relationship Type="http://schemas.openxmlformats.org/officeDocument/2006/relationships/hyperlink" Id="rId78" Target="https://doi.org/10.3847/2041-8213/aa8f41" TargetMode="External" /><Relationship Type="http://schemas.openxmlformats.org/officeDocument/2006/relationships/hyperlink" Id="rId68" Target="https://doi.org/10.3847/2041-8213/aa91c9" TargetMode="External" /><Relationship Type="http://schemas.openxmlformats.org/officeDocument/2006/relationships/hyperlink" Id="rId133" Target="https://doi.org/10.3847/2041-8213/aadd90" TargetMode="External" /><Relationship Type="http://schemas.openxmlformats.org/officeDocument/2006/relationships/hyperlink" Id="rId72" Target="https://doi.org/10.3847/2041-8213/ab4ad8" TargetMode="External" /><Relationship Type="http://schemas.openxmlformats.org/officeDocument/2006/relationships/hyperlink" Id="rId94" Target="https://doi.org/10.3847/2041-8213/acbcd1" TargetMode="External" /><Relationship Type="http://schemas.openxmlformats.org/officeDocument/2006/relationships/hyperlink" Id="rId122" Target="https://doi.org/10.3847/2041-8213/acc4c5" TargetMode="External" /><Relationship Type="http://schemas.openxmlformats.org/officeDocument/2006/relationships/hyperlink" Id="rId130" Target="https://doi.org/10.3847/2041-8213/acf0a1" TargetMode="External" /></Relationships>
</file>

<file path=word/_rels/footnotes.xml.rels><?xml version="1.0" encoding="UTF-8"?><Relationships xmlns="http://schemas.openxmlformats.org/package/2006/relationships"><Relationship Type="http://schemas.openxmlformats.org/officeDocument/2006/relationships/hyperlink" Id="rId118" Target="https://doi.org/10.1038/s41550-020-01295-8" TargetMode="External" /><Relationship Type="http://schemas.openxmlformats.org/officeDocument/2006/relationships/hyperlink" Id="rId76" Target="https://doi.org/10.1038/s41550-020-1183-3" TargetMode="External" /><Relationship Type="http://schemas.openxmlformats.org/officeDocument/2006/relationships/hyperlink" Id="rId100" Target="https://doi.org/10.1038/s41586-019-1743-9" TargetMode="External" /><Relationship Type="http://schemas.openxmlformats.org/officeDocument/2006/relationships/hyperlink" Id="rId102" Target="https://doi.org/10.1038/s41586-019-1750-x" TargetMode="External" /><Relationship Type="http://schemas.openxmlformats.org/officeDocument/2006/relationships/hyperlink" Id="rId98" Target="https://doi.org/10.1038/s41586-022-05390-w" TargetMode="External" /><Relationship Type="http://schemas.openxmlformats.org/officeDocument/2006/relationships/hyperlink" Id="rId124" Target="https://doi.org/10.1038/s41586-022-05465-8" TargetMode="External" /><Relationship Type="http://schemas.openxmlformats.org/officeDocument/2006/relationships/hyperlink" Id="rId96" Target="https://doi.org/10.1038/s41586-023-06759-1" TargetMode="External" /><Relationship Type="http://schemas.openxmlformats.org/officeDocument/2006/relationships/hyperlink" Id="rId74" Target="https://doi.org/10.1051/0004-6361/202037669" TargetMode="External" /><Relationship Type="http://schemas.openxmlformats.org/officeDocument/2006/relationships/hyperlink" Id="rId104" Target="https://doi.org/10.1051/0004-6361/202348246" TargetMode="External" /><Relationship Type="http://schemas.openxmlformats.org/officeDocument/2006/relationships/hyperlink" Id="rId128" Target="https://doi.org/10.1088/2041-8205/784/1/L12" TargetMode="External" /><Relationship Type="http://schemas.openxmlformats.org/officeDocument/2006/relationships/hyperlink" Id="rId85" Target="https://doi.org/10.1093/mnras/staa2400" TargetMode="External" /><Relationship Type="http://schemas.openxmlformats.org/officeDocument/2006/relationships/hyperlink" Id="rId120" Target="https://doi.org/10.1093/mnras/staa2824" TargetMode="External" /><Relationship Type="http://schemas.openxmlformats.org/officeDocument/2006/relationships/hyperlink" Id="rId114" Target="https://doi.org/10.1093/mnras/stv2486" TargetMode="External" /><Relationship Type="http://schemas.openxmlformats.org/officeDocument/2006/relationships/hyperlink" Id="rId89" Target="https://doi.org/10.1103/PhysRevLett.119.141101" TargetMode="External" /><Relationship Type="http://schemas.openxmlformats.org/officeDocument/2006/relationships/hyperlink" Id="rId87" Target="https://doi.org/10.1103/PhysRevLett.124.251102" TargetMode="External" /><Relationship Type="http://schemas.openxmlformats.org/officeDocument/2006/relationships/hyperlink" Id="rId70" Target="https://doi.org/10.1126/science.aap9811" TargetMode="External" /><Relationship Type="http://schemas.openxmlformats.org/officeDocument/2006/relationships/hyperlink" Id="rId126" Target="https://doi.org/10.1126/science.aat1378" TargetMode="External" /><Relationship Type="http://schemas.openxmlformats.org/officeDocument/2006/relationships/hyperlink" Id="rId116" Target="https://doi.org/10.3847/1538-4357/aafa01" TargetMode="External" /><Relationship Type="http://schemas.openxmlformats.org/officeDocument/2006/relationships/hyperlink" Id="rId108" Target="https://doi.org/10.3847/1538-4357/ab8943" TargetMode="External" /><Relationship Type="http://schemas.openxmlformats.org/officeDocument/2006/relationships/hyperlink" Id="rId110" Target="https://doi.org/10.3847/1538-4357/abbd98" TargetMode="External" /><Relationship Type="http://schemas.openxmlformats.org/officeDocument/2006/relationships/hyperlink" Id="rId106" Target="https://doi.org/10.3847/1538-4357/ac4d29" TargetMode="External" /><Relationship Type="http://schemas.openxmlformats.org/officeDocument/2006/relationships/hyperlink" Id="rId112" Target="https://doi.org/10.3847/1538-4357/ad2a48" TargetMode="External" /><Relationship Type="http://schemas.openxmlformats.org/officeDocument/2006/relationships/hyperlink" Id="rId91" Target="https://doi.org/10.3847/2041-8205/826/1/L13" TargetMode="External" /><Relationship Type="http://schemas.openxmlformats.org/officeDocument/2006/relationships/hyperlink" Id="rId78" Target="https://doi.org/10.3847/2041-8213/aa8f41" TargetMode="External" /><Relationship Type="http://schemas.openxmlformats.org/officeDocument/2006/relationships/hyperlink" Id="rId68" Target="https://doi.org/10.3847/2041-8213/aa91c9" TargetMode="External" /><Relationship Type="http://schemas.openxmlformats.org/officeDocument/2006/relationships/hyperlink" Id="rId133" Target="https://doi.org/10.3847/2041-8213/aadd90" TargetMode="External" /><Relationship Type="http://schemas.openxmlformats.org/officeDocument/2006/relationships/hyperlink" Id="rId72" Target="https://doi.org/10.3847/2041-8213/ab4ad8" TargetMode="External" /><Relationship Type="http://schemas.openxmlformats.org/officeDocument/2006/relationships/hyperlink" Id="rId94" Target="https://doi.org/10.3847/2041-8213/acbcd1" TargetMode="External" /><Relationship Type="http://schemas.openxmlformats.org/officeDocument/2006/relationships/hyperlink" Id="rId122" Target="https://doi.org/10.3847/2041-8213/acc4c5" TargetMode="External" /><Relationship Type="http://schemas.openxmlformats.org/officeDocument/2006/relationships/hyperlink" Id="rId130" Target="https://doi.org/10.3847/2041-8213/acf0a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2026-06-27T13:09:53Z</dcterms:created>
  <dcterms:modified xsi:type="dcterms:W3CDTF">2026-06-27T13:09:53Z</dcterms:modified>
</cp:coreProperties>
</file>

<file path=docProps/custom.xml><?xml version="1.0" encoding="utf-8"?>
<Properties xmlns="http://schemas.openxmlformats.org/officeDocument/2006/custom-properties" xmlns:vt="http://schemas.openxmlformats.org/officeDocument/2006/docPropsVTypes"/>
</file>