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VALUE OF INFORMATION IN TIME-DOMAIN ASTROPHYSICS SCHEDULING: A DECISION-ANALYTIC FRAMEWORK</w:t>
      </w:r>
    </w:p>
    <w:p>
      <w:pPr>
        <w:jc w:val="center"/>
      </w:pPr>
    </w:p>
    <w:p>
      <w:pPr>
        <w:jc w:val="center"/>
      </w:pPr>
      <w:r>
        <w:rPr>
          <w:rFonts w:ascii="Times New Roman" w:hAnsi="Times New Roman"/>
          <w:sz w:val="24"/>
        </w:rPr>
        <w:t>by</w:t>
      </w:r>
    </w:p>
    <w:p>
      <w:pPr>
        <w:jc w:val="center"/>
      </w:pPr>
      <w:r>
        <w:rPr>
          <w:rFonts w:ascii="Times New Roman" w:hAnsi="Times New Roman"/>
          <w:b/>
          <w:sz w:val="28"/>
        </w:rPr>
        <w:t>Yara Novak</w:t>
      </w:r>
    </w:p>
    <w:p>
      <w:pPr>
        <w:jc w:val="center"/>
      </w:pPr>
      <w:r>
        <w:rPr>
          <w:rFonts w:ascii="Times New Roman" w:hAnsi="Times New Roman"/>
          <w:sz w:val="24"/>
        </w:rPr>
        <w:t>1B-AST-111</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5" w:name="chapter-1.-introduction"/>
    <w:p>
      <w:pPr>
        <w:pStyle w:val="Heading1"/>
        <w:spacing w:line="480" w:lineRule="auto"/>
      </w:pPr>
      <w:r>
        <w:t xml:space="preserve">Chapter 1. Introduction</w:t>
      </w:r>
    </w:p>
    <w:bookmarkStart w:id="61" w:name="Xcb0f77f4348050868b365a065d591de0dfc7e77"/>
    <w:p>
      <w:pPr>
        <w:pStyle w:val="Heading2"/>
        <w:spacing w:line="480" w:lineRule="auto"/>
      </w:pPr>
      <w:r>
        <w:t xml:space="preserve">1.1 The Problem and Its Stakes for NASA and JPL</w:t>
      </w:r>
    </w:p>
    <w:p>
      <w:pPr>
        <w:pStyle w:val="FirstParagraph"/>
        <w:spacing w:line="480" w:lineRule="auto"/>
      </w:pPr>
      <w:r>
        <w:t xml:space="preserve">For this evidence, the trail is concrete here: time-domain astrophysics has crossed a threshold at which the rate-limiting resource is no longer detection but characterization. The distinction matters. Wide-field optical surveys, gravitational-wave interferometer networks, and high-energy neutrino observatories now generate more transient alerts each night than the world’s spectroscopic and multi-wavelength follow-up assets can possibly observe, and the operational question that confronts the Jet Propulsion Laboratory and NASA’s Astrophysics Division is no longer whether to mount a response but which trigger to spend a finite, oversubscribed night of large-aperture time on. The decision is consequential. Scientific return on transient follow-up concentrates in the early hours after the alert. Missed early-time photometry of a kilonova, a fast blue optical transient, a tidal disruption event, or a gamma-ray burst afterglow is irrecoverable, and the diagnostic features that resolve progenitor physics decay on timescales of hours to days. The schedule, not the catalog, is now where the science is won or lost. That is the crux.</w:t>
      </w:r>
    </w:p>
    <w:p>
      <w:pPr>
        <w:pStyle w:val="BodyText"/>
        <w:spacing w:line="480" w:lineRule="auto"/>
        <w:ind w:firstLine="720"/>
      </w:pPr>
      <w:r>
        <w:t xml:space="preserve">For this stakes, the for NASA are simultaneously scientific, operational, and budgetary. The record is explicit. Consider each in turn. Scientifically, the multi-messenger detection of GW170817 and its kilonova counterpart AT2017gfo demonstrated that rapid, coordinated follow-up across facilities could deliver inferences about heavy-element nucleosynthesis, the neutron-star equation of state, and a standard-siren measurement of the Hubble constant that no single instrument could have produced [5, 6, 10]. Subsequent campaigns have repeatedly shown that the same scheduling logic generalizes to gravitational-wave events with poorer localization [7, 8, 9, 15, 16], to gamma-ray burst afterglows whose progenitor inferences depend on minute-scale to hour-scale response [19, 20, 22, 24, 25], and to luminous and rapidly evolving transients whose physics is encoded in the rise and early decline of the light curve [31, 32, 33, 34, 35, 40]. The ZTF Bright Transient Survey has further shown that even at survey scale, the spectroscopic classification rate is bounded by how quickly candidates can be triaged onto a finite pool of follow-up assets [26, 27, 28, 29]. In each of these cases, the limiting factor is not the size of the alert stream but the quality of the triage decision applied to it.</w:t>
      </w:r>
    </w:p>
    <w:p>
      <w:pPr>
        <w:pStyle w:val="BodyText"/>
        <w:spacing w:line="480" w:lineRule="auto"/>
        <w:ind w:firstLine="720"/>
      </w:pPr>
      <w:r>
        <w:t xml:space="preserve">For the program record, operationally, the same logic now binds NASA’s mission-class architecture. The claim remains testable. JPL-managed astrophysics platforms, partner-agency observatories such as the Einstein Probe follow-up telescope</w:t>
      </w:r>
      <w:r>
        <w:t xml:space="preserve"> </w:t>
      </w:r>
      <w:hyperlink w:anchor="ref-42">
        <w:r>
          <w:rPr>
            <w:rStyle w:val="Hyperlink"/>
          </w:rPr>
          <w:t xml:space="preserve">[42]</w:t>
        </w:r>
      </w:hyperlink>
      <w:r>
        <w:t xml:space="preserve">, and the proposed federations of small, agile spacecraft for time-domain response [54, 55, 60, 61] all depend on the assumption that the ground-based scheduling layer can route their finite minutes of attention to the candidates most likely to repay the investment. Yet the dominant scheduling logic across these assets remains a rank-and-cut rule keyed to brightness, sky position, and broad classification. Such rules treat the opportunity cost of any single pointing as implicit, leave the marginal information content of an additional observation unscored, and produce predictable failure modes: systematic over-allocation to bright, easily classified transients, and systematic under-allocation to ambiguous candidates whose characterization would most reduce population-level uncertainty.</w:t>
      </w:r>
    </w:p>
    <w:p>
      <w:pPr>
        <w:pStyle w:val="BodyText"/>
        <w:spacing w:line="480" w:lineRule="auto"/>
        <w:ind w:firstLine="720"/>
      </w:pPr>
      <w:r>
        <w:t xml:space="preserve">Budgetarily, the consequences compound. The coding choice is visible. They compound quietly, then all at once. The U.S. Government Accountability Office has documented across successive review cycles that NASA’s major astrophysics projects exhibit cost growth and schedule slip that materially shift the throughput of the federal acquisition pipeline</w:t>
      </w:r>
      <w:r>
        <w:t xml:space="preserve"> </w:t>
      </w:r>
      <w:hyperlink w:anchor="ref-45">
        <w:r>
          <w:rPr>
            <w:rStyle w:val="Hyperlink"/>
          </w:rPr>
          <w:t xml:space="preserve">[45]</w:t>
        </w:r>
      </w:hyperlink>
      <w:r>
        <w:t xml:space="preserve">. A companion analysis in this dissertation finds that a tenfold increase in life-cycle cost is associated with roughly a seventy percent per-month reduction in the conditional hazard of launch after Critical Design Review, with a coefficient on log life-cycle cost of minus 1.19 at a p-value of 0.0709 on a sample of thirty-two missions. The implication for value-of-information accounting is direct: the expected science yield of any future time-domain capability must be discounted not only by ordinary technical risk but by an empirical hazard-rate penalty tied to its cost class. Each month a flagship spends between CDR and launch is a month during which transient events go unobserved by that asset, and during which the ground-based scheduling layer must extract still more value from the assets that are already on sky.</w:t>
      </w:r>
    </w:p>
    <w:p>
      <w:pPr>
        <w:pStyle w:val="BodyText"/>
        <w:spacing w:line="480" w:lineRule="auto"/>
        <w:ind w:firstLine="720"/>
      </w:pPr>
      <w:r>
        <w:t xml:space="preserve">For this archival, the record matters here: the two pressures meet at JPL. That is the empirical boundary. That convergence is not incidental. JPL is simultaneously a builder of the missions whose delivery schedules constrain the future science calendar and an operator of follow-up assets whose nightly decisions determine how much of the present science calendar is actually realized. The same value-of-information calculus governs both roles. For the operator, the question is which candidate to characterize tonight; for the builder, the question is which capability to invest in for the decade. A coherent decision-analytic framework that scores both questions on the same scale would do more than improve any single night’s yield. It would let the agency reason about its time-domain portfolio as a portfolio instead of as a collection of independently optimized subsystems.</w:t>
      </w:r>
    </w:p>
    <w:bookmarkEnd w:id="61"/>
    <w:bookmarkStart w:id="62" w:name="Xf30008fd28f360eb8a859a1c12858bf7c60a4b4"/>
    <w:p>
      <w:pPr>
        <w:pStyle w:val="Heading2"/>
        <w:spacing w:line="480" w:lineRule="auto"/>
      </w:pPr>
      <w:r>
        <w:t xml:space="preserve">1.2 The Gap Between the Domain Literature and the Econometric Method Literature</w:t>
      </w:r>
    </w:p>
    <w:p>
      <w:pPr>
        <w:pStyle w:val="FirstParagraph"/>
        <w:spacing w:line="480" w:lineRule="auto"/>
      </w:pPr>
      <w:r>
        <w:t xml:space="preserve">For a replicator, two adjacent bodies of work bracket the problem without closing it, and their separation is the gap this dissertation is written into.</w:t>
      </w:r>
    </w:p>
    <w:p>
      <w:pPr>
        <w:pStyle w:val="BodyText"/>
        <w:spacing w:line="480" w:lineRule="auto"/>
        <w:ind w:firstLine="720"/>
      </w:pPr>
      <w:r>
        <w:t xml:space="preserve">First is the domain literature in time-domain astrophysics, which has documented in great detail the consequences of follow-up timing and depth for individual science cases. The result is narrow. The kilonova-search literature has formalized the tiling and cadence problem as one of maximizing the probability of detecting a fading counterpart before it crosses the limiting magnitude of the responding facility [7, 8, 9]. The gamma-ray burst afterglow literature has shown that very-high-energy and broadband inferences depend on response within hours of the trigger [20, 22, 23, 24, 25]. The tidal disruption and luminous-transient literature has shown that progenitor and outflow physics are encoded in the rise and early plateau of the light curve [30, 31, 32, 33, 34, 35]. The supernova surveys have shown that the spectroscopic classification rate is bounded by the ratio of alert volume to follow-up minutes [26, 27, 28, 29, 37, 38, 41]. Each of these literatures contains an implicit value-of-information statement, but each states it in the metric of its own subfield: a kilonova detection probability, a redshift completeness, a class-confirmation rate. No common scoring rule unifies them, and no operational scheduler currently translates between them.</w:t>
      </w:r>
    </w:p>
    <w:p>
      <w:pPr>
        <w:pStyle w:val="BodyText"/>
        <w:spacing w:line="480" w:lineRule="auto"/>
        <w:ind w:firstLine="720"/>
      </w:pPr>
      <w:r>
        <w:t xml:space="preserve">For this chapter, the treats this as an empirical claim: second is the econometric and decision-analytic method literature, much of it developed in the adjacent domain of space-situational awareness, which has formalized information gain, Fisher information, and inferential moments as objective functions for sensor tasking under uncertainty [1, 2, 3, 4]. This work has established that value-of-information-based tasking can outperform heuristic rules in catalog maintenance and conjunction screening, that the gains scale with the heterogeneity of candidate uncertainty, and that the objective can be embedded inside operational scheduling and rescheduling pipelines [46, 47, 48, 49, 50, 51, 52, 53]. Cognitive-systems-engineering analyses have shown that decision-support layers built around explicit information measures are not only formally tractable but operationally usable by analysts under realistic time pressure</w:t>
      </w:r>
      <w:r>
        <w:t xml:space="preserve"> </w:t>
      </w:r>
      <w:hyperlink w:anchor="ref-51">
        <w:r>
          <w:rPr>
            <w:rStyle w:val="Hyperlink"/>
          </w:rPr>
          <w:t xml:space="preserve">[51]</w:t>
        </w:r>
      </w:hyperlink>
      <w:r>
        <w:t xml:space="preserve">. The same literature has documented the threats to validity that attend any single information measure, including the sensitivity of results to the choice of objective, the prior, and the cost model [3, 48].</w:t>
      </w:r>
    </w:p>
    <w:p>
      <w:pPr>
        <w:pStyle w:val="BodyText"/>
        <w:spacing w:line="480" w:lineRule="auto"/>
        <w:ind w:firstLine="720"/>
      </w:pPr>
      <w:r>
        <w:t xml:space="preserve">For this two, the literatures rarely cite one another. The distinction matters. They speak past each other. The domain literature in time-domain astrophysics treats scheduling as a craft problem and reports yield in subfield-specific units; the econometric and method literature in sensor tasking treats scheduling as an optimization problem and reports gain in information-theoretic units. The translation between them is not merely a notational exercise. The science quantity of interest in time-domain astrophysics is a posterior over transient class, redshift, or progenitor parameters, instead of a covariance over orbital state. The cost structure differs materially as well: slew, readout, and exposure dominate the marginal cost of a follow-up pointing, while sensor revisit dominates the SSA case. The alert stream is heterogeneous and broker-mediated, with priors that vary across surveys and that are themselves model-dependent. And the operational layer is a network of human astronomers with target-of-opportunity policies, not a single tasking authority.</w:t>
      </w:r>
    </w:p>
    <w:p>
      <w:pPr>
        <w:pStyle w:val="BodyText"/>
        <w:spacing w:line="480" w:lineRule="auto"/>
        <w:ind w:firstLine="720"/>
      </w:pPr>
      <w:r>
        <w:t xml:space="preserve">For this data, the construction is deliberately visible: two empirical companion papers to this dissertation make the operational stakes of the gap concrete. The record is explicit. A cross-event ordinary least squares analysis of thirty-three time-domain campaigns observed between 2014 and 2024 finds that, conditional on counterpart brightness and on the number of follow-up epochs invested, each additional hour of trigger-to-first-follow-up latency is associated with a decline of roughly 0.0039 quality points on a zero-to-one classification quality scale, at a p-value of 0.0005, while the coefficient on first-epoch brightness is statistically indistinguishable from zero. Two days of additional latency cost nearly a fifth of the available quality range. The binding constraints on classification quality, in other words, are precisely the two instruments the scheduler controls: the speed of the first epoch and the depth of the campaign. The marginal hour at hour two is worth substantially more in expected classification quality than the marginal hour at hour twenty, and yet no current operational framework prices that marginal hour in units commensurate with the value-of-information objectives the SSA tasking literature has already formalized.</w:t>
      </w:r>
    </w:p>
    <w:p>
      <w:pPr>
        <w:pStyle w:val="BodyText"/>
        <w:spacing w:line="480" w:lineRule="auto"/>
        <w:ind w:firstLine="720"/>
      </w:pPr>
      <w:r>
        <w:t xml:space="preserve">For this gap, the, stated precisely, is this. The claim remains testable. Two proven halves, never joined. The domain literature has demonstrated repeatedly that scheduling decisions are decisive for the scientific yield of time-domain astrophysics. The method literature has demonstrated that value-of-information objectives can be specified, estimated, and embedded in operational schedulers under uncertainty. No published framework, to this candidate’s retrieved knowledge, has instantiated the latter against a realistic public alert stream from the former, benchmarked it against the realized schedules of an existing follow-up program on matched constraints, and reported the result in units that translate cleanly to NASA’s portfolio-level value-of-information accounting. Closing that gap is the work of this dissertation.</w:t>
      </w:r>
    </w:p>
    <w:bookmarkEnd w:id="62"/>
    <w:bookmarkStart w:id="63" w:name="the-single-falsifiable-contribution"/>
    <w:p>
      <w:pPr>
        <w:pStyle w:val="Heading2"/>
        <w:spacing w:line="480" w:lineRule="auto"/>
      </w:pPr>
      <w:r>
        <w:t xml:space="preserve">1.3 The Single Falsifiable Contribution</w:t>
      </w:r>
    </w:p>
    <w:p>
      <w:pPr>
        <w:pStyle w:val="FirstParagraph"/>
        <w:spacing w:line="480" w:lineRule="auto"/>
      </w:pPr>
      <w:r>
        <w:t xml:space="preserve">For this dissertation, the makes one falsifiable contribution, stated in null and alternative form so that it can be rejected by the data it proposes to collect. The coding choice is visible. For the empirical reader, h0 (null): A value-of-information ranking of nightly follow-up candidates, instantiated on a public time-domain alert stream and benchmarked against the realized schedule of an existing public follow-up program over a matched observing window, produces no statistically significant improvement in characterized-transient yield per allocated hour relative to that realized schedule. H1 (alternative): A value-of-information ranking, instantiated and benchmarked under the same conditions, produces a measurable and statistically significant improvement in characterized-transient yield per allocated hour, with the magnitude of improvement increasing in the heterogeneity of prior classification uncertainty across the candidate set. The evidence trail is concrete here: yield is operationalized as the count of transients receiving a class-confirming observation within a fixed post-alert window, weighted by the posterior entropy reduction achieved on the science-relevant latent. The latent is specified in advance as a joint posterior over transient class, peak epoch, and a coarse redshift bin. The matching is performed on night, weather, and asset availability so that differences in yield are attributable to the ranking rule instead of to facility or sky conditions. Sensitivity analyses across alternative priors, alternative information measures, and a second follow-up program are pre-registered as part of the design.</w:t>
      </w:r>
    </w:p>
    <w:p>
      <w:pPr>
        <w:pStyle w:val="BodyText"/>
        <w:spacing w:line="480" w:lineRule="auto"/>
        <w:ind w:firstLine="720"/>
      </w:pPr>
      <w:r>
        <w:t xml:space="preserve">For this contribution, the is single, not since the dissertation contains only one result, but since all of the supporting work is engineered to make this one inference rejectable. That is the empirical boundary. The supporting OLS analysis of latency and depth establishes the empirical mechanism that any value-of-information scheduler must price correctly. The supporting Cox proportional-hazards analysis of post-CDR launch throughput establishes the portfolio-level discount rate that any agency-scale value-of-information account must apply. The structured elicitation of follow-up astronomers guards against an optimizer that scores well on the formal objective but is operationally unacceptable. Each of these is in service of the central claim, and each is reported in units commensurate with it.</w:t>
      </w:r>
    </w:p>
    <w:bookmarkEnd w:id="63"/>
    <w:bookmarkStart w:id="64" w:name="roadmap"/>
    <w:p>
      <w:pPr>
        <w:pStyle w:val="Heading2"/>
        <w:spacing w:line="480" w:lineRule="auto"/>
      </w:pPr>
      <w:r>
        <w:t xml:space="preserve">1.4 Roadmap</w:t>
      </w:r>
    </w:p>
    <w:p>
      <w:pPr>
        <w:pStyle w:val="FirstParagraph"/>
        <w:spacing w:line="480" w:lineRule="auto"/>
      </w:pPr>
      <w:r>
        <w:t xml:space="preserve">The remainder of the dissertation is organized around the structure of the claim.</w:t>
      </w:r>
    </w:p>
    <w:p>
      <w:pPr>
        <w:pStyle w:val="BodyText"/>
        <w:spacing w:line="480" w:lineRule="auto"/>
        <w:ind w:firstLine="720"/>
      </w:pPr>
      <w:r>
        <w:t xml:space="preserve">For this archival, the record matters here: chapter 2 reviews the two bracketing literatures in detail. It synthesizes the domain literature on time-domain follow-up across kilonovae, gamma-ray burst afterglows, tidal disruption events, and supernova surveys, and it surveys the method literature on information-gain and inferential-moment objectives for sensor tasking, scheduling, and decision support. The chapter closes by stating the translation problem precisely. Chapter 3 develops the formal specification of the value-of-information objective. Each candidate alert at time t is associated with a prior over the science-relevant latent. For each feasible pointing, the expected posterior entropy reduction is computed under a forward model of the instrument response, slew cost, and atmospheric state. The optimization selects the pointing sequence that maximizes cumulative expected entropy reduction subject to the night’s time budget, adapting the inferential-moment formulation of the SSA literature</w:t>
      </w:r>
      <w:r>
        <w:t xml:space="preserve"> </w:t>
      </w:r>
      <w:hyperlink w:anchor="ref-3">
        <w:r>
          <w:rPr>
            <w:rStyle w:val="Hyperlink"/>
          </w:rPr>
          <w:t xml:space="preserve">[3]</w:t>
        </w:r>
      </w:hyperlink>
      <w:r>
        <w:t xml:space="preserve"> </w:t>
      </w:r>
      <w:r>
        <w:t xml:space="preserve">and the information-gain network formulation of</w:t>
      </w:r>
      <w:r>
        <w:t xml:space="preserve"> </w:t>
      </w:r>
      <w:hyperlink w:anchor="ref-1">
        <w:r>
          <w:rPr>
            <w:rStyle w:val="Hyperlink"/>
          </w:rPr>
          <w:t xml:space="preserve">[1]</w:t>
        </w:r>
      </w:hyperlink>
      <w:r>
        <w:t xml:space="preserve">. For a replicator, chapter 4 presents the empirical mechanism. It reports the cross-event ordinary least squares analysis of thirty-three campaigns and the Cox proportional-hazards analysis of thirty-two NASA, ESA, and JAXA missions. The two analyses jointly establish the marginal value of latency and depth at the nightly level and the hazard-rate penalty on cost at the portfolio level, and they motivate the calibration of the value-of-information objective in Chapter 3.</w:t>
      </w:r>
    </w:p>
    <w:p>
      <w:pPr>
        <w:pStyle w:val="BodyText"/>
        <w:spacing w:line="480" w:lineRule="auto"/>
        <w:ind w:firstLine="720"/>
      </w:pPr>
      <w:r>
        <w:t xml:space="preserve">Chapter 5 describes the data and provenance. The primary stream is the Zwicky Transient Facility public alert stream, and the realized follow-up schedule comes from the published observing logs of a public ZTF follow-up program with sufficient cadence to support matched comparison. Atmospheric and slew constraints come from published telescope characteristics. No proprietary data are required. Every alert, follow-up record, and instrumental parameter is logged in a reproducibility appendix. The chapter treats this as an empirical claim: chapter 6 reports the counterfactual reconstruction. The value-of-information optimizer is applied to the alert stream under the constraints of the realized schedule, and characterized yield is compared against the realized yield on matched nights. The pre-registered test of H0 is reported, together with sensitivity analyses across alternative priors, alternative information measures, and a second follow-up program. Chapter 7 reports the structured elicitation. A panel of follow-up astronomers is presented with anonymized side-by-side schedules and asked to rate scientific value, threshold sensitivities, and operational feasibility. Recruitment and inter-rater agreement are documented.</w:t>
      </w:r>
    </w:p>
    <w:p>
      <w:pPr>
        <w:pStyle w:val="BodyText"/>
        <w:spacing w:line="480" w:lineRule="auto"/>
        <w:ind w:firstLine="720"/>
      </w:pPr>
      <w:r>
        <w:t xml:space="preserve">For this data, the construction is deliberately visible: chapter 8 discusses the implications for JPL and NASA. It translates the nightly results into portfolio-level value-of-information accounting, connects the hazard-rate findings of Chapter 4 to the scheduling findings of Chapter 6, and identifies the operational steps required to embed the framework in an existing target-of-opportunity pipeline. Chapter 9 concludes. It states what the dissertation has and has not established, what would falsify the contribution, and what the next decade of time-domain astrophysics scheduling looks like if the framework holds.</w:t>
      </w:r>
    </w:p>
    <w:bookmarkEnd w:id="64"/>
    <w:bookmarkEnd w:id="65"/>
    <w:bookmarkStart w:id="71" w:name="chapter-2.-literature-review"/>
    <w:p>
      <w:pPr>
        <w:pStyle w:val="Heading1"/>
        <w:spacing w:line="480" w:lineRule="auto"/>
      </w:pPr>
      <w:r>
        <w:t xml:space="preserve">Chapter 2. Literature Review</w:t>
      </w:r>
    </w:p>
    <w:bookmarkStart w:id="66" w:name="orientation"/>
    <w:p>
      <w:pPr>
        <w:pStyle w:val="Heading2"/>
        <w:spacing w:line="480" w:lineRule="auto"/>
      </w:pPr>
      <w:r>
        <w:t xml:space="preserve">2.1 Orientation</w:t>
      </w:r>
    </w:p>
    <w:p>
      <w:pPr>
        <w:pStyle w:val="FirstParagraph"/>
        <w:spacing w:line="480" w:lineRule="auto"/>
      </w:pPr>
      <w:r>
        <w:t xml:space="preserve">For this evidence, the trail is concrete here: the dissertation occupies the intersection of two literatures that have, to date, evolved largely in parallel and rarely cited one another.</w:t>
      </w:r>
    </w:p>
    <w:p>
      <w:pPr>
        <w:pStyle w:val="BodyText"/>
        <w:spacing w:line="480" w:lineRule="auto"/>
        <w:ind w:firstLine="720"/>
      </w:pPr>
      <w:r>
        <w:t xml:space="preserve">For this first, the is the technical literature of time-domain astrophysics and space-domain awareness sensor tasking, in which decision problems are posed primarily as engineering optimizations over sensor allocation, latency, and detectability. The result is narrow. The second is the cliometric and econometric methodology literature, in which decision problems are framed as identification problems over partial associations, hazard rates, and counterfactual yields. Each tradition has formidable internal coherence. Neither, taken alone, supplies the analytic apparatus that scheduling planners now require for time-domain astrophysics in the alert-rich regime that wide-field surveys, gravitational-wave interferometers, and high-energy neutrino observatories have created. The purpose of this chapter is to reconstruct both literatures in sufficient depth to support the synthesis advanced in Chapters 3 through 5, and to identify with precision the gap that the dissertation closes. The chapter proceeds in four movements. Section 2.2 reviews the technical literature on sensor scheduling, tasking, and information-gain objectives as developed in the space-domain awareness community. Section 2.3 reviews the time-domain astrophysics follow-up literature, organized around the multi-messenger, gravitational-wave, gamma-ray burst, tidal disruption, and rapidly-evolving-transient campaign records that constitute the empirical substrate of the field. Section 2.4 reviews the cliometric and econometric methodology literature relevant to scheduling decisions, with attention to ordinary least squares on cross-event panels, Cox proportional-hazards models on right-censored mission samples, and the wider methodological infrastructure for decision-analytic claims under heterogeneous data. Section 2.5 synthesizes these strands, names the unjoined seam, and states the gap that the dissertation addresses.</w:t>
      </w:r>
    </w:p>
    <w:bookmarkEnd w:id="66"/>
    <w:bookmarkStart w:id="67" w:name="X6f3e0f3c0737f20d70c0f33539d8b77e1d05997"/>
    <w:p>
      <w:pPr>
        <w:pStyle w:val="Heading2"/>
        <w:spacing w:line="480" w:lineRule="auto"/>
      </w:pPr>
      <w:r>
        <w:t xml:space="preserve">2.2 The Technical Literature on Sensor Tasking and Information-Gain Objectives</w:t>
      </w:r>
    </w:p>
    <w:p>
      <w:pPr>
        <w:pStyle w:val="FirstParagraph"/>
        <w:spacing w:line="480" w:lineRule="auto"/>
      </w:pPr>
      <w:r>
        <w:t xml:space="preserve">For this space-domain, the awareness community has, over the past decade, built a mature literature on the problem of how a sensor network with finite minutes per night should allocate those minutes across many candidate targets. The intellectual lineage runs from early heuristic optimization frameworks through to formal information-theoretic objectives, and the trajectory of that lineage is directly instructive for the time-domain astrophysics problem.</w:t>
      </w:r>
    </w:p>
    <w:p>
      <w:pPr>
        <w:pStyle w:val="BodyText"/>
        <w:spacing w:line="480" w:lineRule="auto"/>
        <w:ind w:firstLine="720"/>
      </w:pPr>
      <w:r>
        <w:t xml:space="preserve">For this archival, the record matters here: the foundational work on optimized sensor scheduling for tracking space objects formalized the problem as one of assigning sensor minutes to resident space objects with heterogeneous uncertainty while respecting sky-position, slew, and weather constraints</w:t>
      </w:r>
      <w:r>
        <w:t xml:space="preserve"> </w:t>
      </w:r>
      <w:hyperlink w:anchor="ref-1">
        <w:r>
          <w:rPr>
            <w:rStyle w:val="Hyperlink"/>
          </w:rPr>
          <w:t xml:space="preserve">[1]</w:t>
        </w:r>
      </w:hyperlink>
      <w:r>
        <w:t xml:space="preserve">.</w:t>
      </w:r>
    </w:p>
    <w:p>
      <w:pPr>
        <w:pStyle w:val="BodyText"/>
        <w:spacing w:line="480" w:lineRule="auto"/>
        <w:ind w:firstLine="720"/>
      </w:pPr>
      <w:r>
        <w:t xml:space="preserve">That framework established the central insight that the value of a pointing depends on the prior uncertainty of the target instead of on its catalog identity, and that scheduling policies which incorporate that prior outperform fixed-priority rules. The distinction matters. Subsequent work extended this framing to orbit-accuracy-based tasking, in which the explicit objective is the reduction of orbit covariance, and demonstrated that sensor-network efficiency scales with the heterogeneity of candidate covariance across the catalog</w:t>
      </w:r>
      <w:r>
        <w:t xml:space="preserve"> </w:t>
      </w:r>
      <w:hyperlink w:anchor="ref-2">
        <w:r>
          <w:rPr>
            <w:rStyle w:val="Hyperlink"/>
          </w:rPr>
          <w:t xml:space="preserve">[2]</w:t>
        </w:r>
      </w:hyperlink>
      <w:r>
        <w:t xml:space="preserve">. The empirical finding that gains from information-aware tasking concentrate in the high-heterogeneity regime is one of the few results that translates with minimal modification into the transient follow-up problem, where prior classification uncertainty is similarly heterogeneous across the alert stream. Information-theoretic formalization of sensor tasking matured with the introduction of inferential-moment objectives for conjunction-based tasking, in which the optimization criterion is the expected reduction in the probability of collision given an additional observation, and the underlying mathematics generalizes to any posterior over a science quantity of interest</w:t>
      </w:r>
      <w:r>
        <w:t xml:space="preserve"> </w:t>
      </w:r>
      <w:hyperlink w:anchor="ref-3">
        <w:r>
          <w:rPr>
            <w:rStyle w:val="Hyperlink"/>
          </w:rPr>
          <w:t xml:space="preserve">[3]</w:t>
        </w:r>
      </w:hyperlink>
      <w:r>
        <w:t xml:space="preserve">. The inferential-moment apparatus is the closest technical cousin to the value-of-information framing that this dissertation advances, and Chapter 3 imports its formal machinery directly. The same conference cycle produced the proliferated-sensor-network performance and architecture optimization study, which characterized how a federation of optical sensors, instead of a single facility, alters the detection and alerting layer that feeds downstream follow-up decisions</w:t>
      </w:r>
      <w:r>
        <w:t xml:space="preserve"> </w:t>
      </w:r>
      <w:hyperlink w:anchor="ref-4">
        <w:r>
          <w:rPr>
            <w:rStyle w:val="Hyperlink"/>
          </w:rPr>
          <w:t xml:space="preserve">[4]</w:t>
        </w:r>
      </w:hyperlink>
      <w:r>
        <w:t xml:space="preserve">. That literature established the alerting infrastructure but stopped short of an optimization criterion for the follow-up layer itself, a point to which Section 2.5 returns.</w:t>
      </w:r>
    </w:p>
    <w:p>
      <w:pPr>
        <w:pStyle w:val="BodyText"/>
        <w:spacing w:line="480" w:lineRule="auto"/>
        <w:ind w:firstLine="720"/>
      </w:pPr>
      <w:r>
        <w:t xml:space="preserve">For a replicator, beyond these four anchor papers, the SDA literature offers a richer set of methodological resources.</w:t>
      </w:r>
    </w:p>
    <w:p>
      <w:pPr>
        <w:pStyle w:val="BodyText"/>
        <w:spacing w:line="480" w:lineRule="auto"/>
        <w:ind w:firstLine="720"/>
      </w:pPr>
      <w:r>
        <w:t xml:space="preserve">Work on multi-agent trust frameworks for fusing subjective opinions with imperfect understanding has shown that the upstream uncertainty entering a tasking decision is frequently the subjective judgment of an operator instead of a frequentist covariance, and that the Scruff AI framework can fuse these judgments coherently with sensor data</w:t>
      </w:r>
      <w:r>
        <w:t xml:space="preserve"> </w:t>
      </w:r>
      <w:hyperlink w:anchor="ref-46">
        <w:r>
          <w:rPr>
            <w:rStyle w:val="Hyperlink"/>
          </w:rPr>
          <w:t xml:space="preserve">[46]</w:t>
        </w:r>
      </w:hyperlink>
      <w:r>
        <w:t xml:space="preserve">. The same conference year produced an extended treatment of data insights, pedigree, and automation for space-domain awareness, which formalized the chain-of-custody that any tasking objective must rest on if its outputs are to survive operational scrutiny</w:t>
      </w:r>
      <w:r>
        <w:t xml:space="preserve"> </w:t>
      </w:r>
      <w:hyperlink w:anchor="ref-47">
        <w:r>
          <w:rPr>
            <w:rStyle w:val="Hyperlink"/>
          </w:rPr>
          <w:t xml:space="preserve">[47]</w:t>
        </w:r>
      </w:hyperlink>
      <w:r>
        <w:t xml:space="preserve">. These two strands, taken together, anticipate the methodological infrastructure that the cliometric literature in Section 2.4 has independently developed for the handling of heterogeneous data provenance.</w:t>
      </w:r>
    </w:p>
    <w:p>
      <w:pPr>
        <w:pStyle w:val="BodyText"/>
        <w:spacing w:line="480" w:lineRule="auto"/>
        <w:ind w:firstLine="720"/>
      </w:pPr>
      <w:r>
        <w:t xml:space="preserve">Machine learning has entered the SDA scheduling literature explicitly, with work on machine learning for space-domain awareness sensor scheduling demonstrating that learned policies can approximate the inferential-moment objective while running within operational latency budgets</w:t>
      </w:r>
      <w:r>
        <w:t xml:space="preserve"> </w:t>
      </w:r>
      <w:hyperlink w:anchor="ref-48">
        <w:r>
          <w:rPr>
            <w:rStyle w:val="Hyperlink"/>
          </w:rPr>
          <w:t xml:space="preserve">[48]</w:t>
        </w:r>
      </w:hyperlink>
      <w:r>
        <w:t xml:space="preserve">.</w:t>
      </w:r>
    </w:p>
    <w:p>
      <w:pPr>
        <w:pStyle w:val="BodyText"/>
        <w:spacing w:line="480" w:lineRule="auto"/>
        <w:ind w:firstLine="720"/>
      </w:pPr>
      <w:r>
        <w:t xml:space="preserve">Earlier work on the application of a commercial off-the-shelf resource-optimization framework to the Space Surveillance Network sensor-tasking domain established the problem-definition layer that all subsequent optimization work has built on</w:t>
      </w:r>
      <w:r>
        <w:t xml:space="preserve"> </w:t>
      </w:r>
      <w:hyperlink w:anchor="ref-49">
        <w:r>
          <w:rPr>
            <w:rStyle w:val="Hyperlink"/>
          </w:rPr>
          <w:t xml:space="preserve">[49]</w:t>
        </w:r>
      </w:hyperlink>
      <w:r>
        <w:t xml:space="preserve">, and the parallel literature on improved Space Surveillance Network scheduling using artificial intelligence techniques showed that planning systems originally designed for terrestrial logistics can be adapted to sensor allocation with measurable throughput gains</w:t>
      </w:r>
      <w:r>
        <w:t xml:space="preserve"> </w:t>
      </w:r>
      <w:hyperlink w:anchor="ref-50">
        <w:r>
          <w:rPr>
            <w:rStyle w:val="Hyperlink"/>
          </w:rPr>
          <w:t xml:space="preserve">[50]</w:t>
        </w:r>
      </w:hyperlink>
      <w:r>
        <w:t xml:space="preserve">. The cognitive-systems-engineering treatment of SSA decision-support-system development further extended the optimization literature by formalizing the human-in-the-loop constraints that any automated scheduler must accommodate, and by introducing evaluation criteria that mix objective yield with operator acceptability</w:t>
      </w:r>
      <w:r>
        <w:t xml:space="preserve"> </w:t>
      </w:r>
      <w:hyperlink w:anchor="ref-51">
        <w:r>
          <w:rPr>
            <w:rStyle w:val="Hyperlink"/>
          </w:rPr>
          <w:t xml:space="preserve">[51]</w:t>
        </w:r>
      </w:hyperlink>
      <w:r>
        <w:t xml:space="preserve">. The recent SDA sensor-scheduling work with optimality certificates closed an important loop in this literature by establishing conditions under which a scheduler’s output can be certified as optimal instead of merely heuristic, which has direct implications for the auditability of any follow-up scheduling policy proposed for a public observatory</w:t>
      </w:r>
      <w:r>
        <w:t xml:space="preserve"> </w:t>
      </w:r>
      <w:hyperlink w:anchor="ref-52">
        <w:r>
          <w:rPr>
            <w:rStyle w:val="Hyperlink"/>
          </w:rPr>
          <w:t xml:space="preserve">[52]</w:t>
        </w:r>
      </w:hyperlink>
      <w:r>
        <w:t xml:space="preserve">. Earlier work on automatic, rapid replanning of satellite operations for SSA established that replanning under disturbance is itself a tractable problem and need not be deferred to the next planning cycle</w:t>
      </w:r>
      <w:r>
        <w:t xml:space="preserve"> </w:t>
      </w:r>
      <w:hyperlink w:anchor="ref-53">
        <w:r>
          <w:rPr>
            <w:rStyle w:val="Hyperlink"/>
          </w:rPr>
          <w:t xml:space="preserve">[53]</w:t>
        </w:r>
      </w:hyperlink>
      <w:r>
        <w:t xml:space="preserve">.</w:t>
      </w:r>
    </w:p>
    <w:p>
      <w:pPr>
        <w:pStyle w:val="BodyText"/>
        <w:spacing w:line="480" w:lineRule="auto"/>
        <w:ind w:firstLine="720"/>
      </w:pPr>
      <w:r>
        <w:t xml:space="preserve">For this chapter, the treats this as an empirical claim: broader work on artificial-intelligence-powered space systems across launch, space, ground, and user segments has set out the current status and the open challenges for autonomy in this regime, and identified scheduling and tasking as one of the load-bearing applications where measurable benefit has already been demonstrated</w:t>
      </w:r>
      <w:r>
        <w:t xml:space="preserve"> </w:t>
      </w:r>
      <w:hyperlink w:anchor="ref-54">
        <w:r>
          <w:rPr>
            <w:rStyle w:val="Hyperlink"/>
          </w:rPr>
          <w:t xml:space="preserve">[54]</w:t>
        </w:r>
      </w:hyperlink>
      <w:r>
        <w:t xml:space="preserve">. The complementary agent-based literature on distributed space systems and mission management has further argued that decentralized scheduling architectures will dominate the operational regime as constellation sizes grow, and has catalogued the methodological challenges of evaluating such systems against ground-truth yield</w:t>
      </w:r>
      <w:r>
        <w:t xml:space="preserve"> </w:t>
      </w:r>
      <w:hyperlink w:anchor="ref-55">
        <w:r>
          <w:rPr>
            <w:rStyle w:val="Hyperlink"/>
          </w:rPr>
          <w:t xml:space="preserve">[55]</w:t>
        </w:r>
      </w:hyperlink>
      <w:r>
        <w:t xml:space="preserve">. Both reviews converge on the assessment that the binding constraint on the next generation of scheduling research is the empirical evaluation layer instead of the optimization layer itself.</w:t>
      </w:r>
    </w:p>
    <w:p>
      <w:pPr>
        <w:pStyle w:val="BodyText"/>
        <w:spacing w:line="480" w:lineRule="auto"/>
        <w:ind w:firstLine="720"/>
      </w:pPr>
      <w:r>
        <w:t xml:space="preserve">Two further technical contributions bear directly on the dissertation. The record is explicit. Work on the improvement of orbital data precision and accuracy has clarified how the upstream precision of the catalog enters the value-of-information calculation, and has shown that the marginal value of an additional observation is not flat across the precision range</w:t>
      </w:r>
      <w:r>
        <w:t xml:space="preserve"> </w:t>
      </w:r>
      <w:hyperlink w:anchor="ref-59">
        <w:r>
          <w:rPr>
            <w:rStyle w:val="Hyperlink"/>
          </w:rPr>
          <w:t xml:space="preserve">[59]</w:t>
        </w:r>
      </w:hyperlink>
      <w:r>
        <w:t xml:space="preserve">. Work on information routing in satellite constellations via stereographic projection and a static digraph has clarified how alerting and follow-up commands propagate through a constellation in finite time, and has established that the latency budget for any scheduling decision is itself a function of the constellation topology instead of a free parameter</w:t>
      </w:r>
      <w:r>
        <w:t xml:space="preserve"> </w:t>
      </w:r>
      <w:hyperlink w:anchor="ref-60">
        <w:r>
          <w:rPr>
            <w:rStyle w:val="Hyperlink"/>
          </w:rPr>
          <w:t xml:space="preserve">[60]</w:t>
        </w:r>
      </w:hyperlink>
      <w:r>
        <w:t xml:space="preserve">. The recent on-orbit demonstration of near real-time communication via Globalstar for time-domain astronomy is the first published demonstration that the latency budget for transient follow-up can be compressed to operationally interesting values when the alerting layer is itself in orbit</w:t>
      </w:r>
      <w:r>
        <w:t xml:space="preserve"> </w:t>
      </w:r>
      <w:hyperlink w:anchor="ref-61">
        <w:r>
          <w:rPr>
            <w:rStyle w:val="Hyperlink"/>
          </w:rPr>
          <w:t xml:space="preserve">[61]</w:t>
        </w:r>
      </w:hyperlink>
      <w:r>
        <w:t xml:space="preserve">, and it grounds the assumption, made implicitly in much of the earlier literature, that latency is a controllable instead of a residual quantity.</w:t>
      </w:r>
    </w:p>
    <w:p>
      <w:pPr>
        <w:pStyle w:val="BodyText"/>
        <w:spacing w:line="480" w:lineRule="auto"/>
        <w:ind w:firstLine="720"/>
      </w:pPr>
      <w:r>
        <w:t xml:space="preserve">For this data, the construction is deliberately visible: decision-support work for in-space servicing and for flexible design of off-world facilities has independently developed many of the same value-of-information concepts in adjacent operational regimes. Work on architecting a decision-support system for continuing supervision of commercial in-space servicing has formalized the structure of decision problems in which observations are scarce and the cost of a wrong call is asymmetric</w:t>
      </w:r>
      <w:r>
        <w:t xml:space="preserve"> </w:t>
      </w:r>
      <w:hyperlink w:anchor="ref-58">
        <w:r>
          <w:rPr>
            <w:rStyle w:val="Hyperlink"/>
          </w:rPr>
          <w:t xml:space="preserve">[58]</w:t>
        </w:r>
      </w:hyperlink>
      <w:r>
        <w:t xml:space="preserve">, and work on multi-objective decision-making for flexible design and planning of oxygen production facilities in an uncertain lunar environment has shown how flexibility itself can be treated as an information-bearing design variable instead of a slack parameter</w:t>
      </w:r>
      <w:r>
        <w:t xml:space="preserve"> </w:t>
      </w:r>
      <w:hyperlink w:anchor="ref-57">
        <w:r>
          <w:rPr>
            <w:rStyle w:val="Hyperlink"/>
          </w:rPr>
          <w:t xml:space="preserve">[57]</w:t>
        </w:r>
      </w:hyperlink>
      <w:r>
        <w:t xml:space="preserve">. Both papers exemplify the decision-analytic posture that the dissertation generalizes.</w:t>
      </w:r>
    </w:p>
    <w:p>
      <w:pPr>
        <w:pStyle w:val="BodyText"/>
        <w:spacing w:line="480" w:lineRule="auto"/>
        <w:ind w:firstLine="720"/>
      </w:pPr>
      <w:r>
        <w:t xml:space="preserve">A subset of the technical literature lies adjacent to the dissertation’s empirical substrate without being part of the scheduling problem proper. The claim remains testable. The observed time evolution of cosmic rays in a new time domain has been the subject of careful methodological work that establishes how time-domain measurements should be aggregated when the underlying physical process is itself non-stationary</w:t>
      </w:r>
      <w:r>
        <w:t xml:space="preserve"> </w:t>
      </w:r>
      <w:hyperlink w:anchor="ref-56">
        <w:r>
          <w:rPr>
            <w:rStyle w:val="Hyperlink"/>
          </w:rPr>
          <w:t xml:space="preserve">[56]</w:t>
        </w:r>
      </w:hyperlink>
      <w:r>
        <w:t xml:space="preserve">, and the X-ray optics test and calibration of the Einstein Probe Follow-up telescope has documented the instrumental layer that conditions the noise model entering any value-of-information calculation for the X-ray follow-up regime</w:t>
      </w:r>
      <w:r>
        <w:t xml:space="preserve"> </w:t>
      </w:r>
      <w:hyperlink w:anchor="ref-42">
        <w:r>
          <w:rPr>
            <w:rStyle w:val="Hyperlink"/>
          </w:rPr>
          <w:t xml:space="preserve">[42]</w:t>
        </w:r>
      </w:hyperlink>
      <w:r>
        <w:t xml:space="preserve">. The narrow-band detection literature, particularly the estimate of how technological acceleration shrinks the SETI narrow detection window, has independently identified the missed-window cost that the dissertation operationalizes as the opportunity cost of platform delay</w:t>
      </w:r>
      <w:r>
        <w:t xml:space="preserve"> </w:t>
      </w:r>
      <w:hyperlink w:anchor="ref-43">
        <w:r>
          <w:rPr>
            <w:rStyle w:val="Hyperlink"/>
          </w:rPr>
          <w:t xml:space="preserve">[43]</w:t>
        </w:r>
      </w:hyperlink>
      <w:r>
        <w:t xml:space="preserve">. The in-orbit assembly literature on high-value modular infrastructures has further established that modular and partnered architectures shorten the integration tail relative to monolithic ones, a result that motivates the partner-led indicator in the Cox specification of the second research paper</w:t>
      </w:r>
      <w:r>
        <w:t xml:space="preserve"> </w:t>
      </w:r>
      <w:hyperlink w:anchor="ref-44">
        <w:r>
          <w:rPr>
            <w:rStyle w:val="Hyperlink"/>
          </w:rPr>
          <w:t xml:space="preserve">[44]</w:t>
        </w:r>
      </w:hyperlink>
      <w:r>
        <w:t xml:space="preserve">.</w:t>
      </w:r>
    </w:p>
    <w:p>
      <w:pPr>
        <w:pStyle w:val="BodyText"/>
        <w:spacing w:line="480" w:lineRule="auto"/>
        <w:ind w:firstLine="720"/>
      </w:pPr>
      <w:r>
        <w:t xml:space="preserve">For this operational, the question is narrower: the technical literature, taken as a whole, has produced a mature optimization apparatus, a partial empirical evaluation infrastructure, and a growing recognition that the binding constraint on the next generation of scheduling work is the joining of that optimization apparatus to a defensible empirical-evaluation methodology. The dissertation accepts this assessment and turns next to the time-domain astrophysics follow-up literature, in which the empirical substrate resides.</w:t>
      </w:r>
    </w:p>
    <w:bookmarkEnd w:id="67"/>
    <w:bookmarkStart w:id="68" w:name="Xfe88f0302193c24bde502aa355c462cb9811e8e"/>
    <w:p>
      <w:pPr>
        <w:pStyle w:val="Heading2"/>
        <w:spacing w:line="480" w:lineRule="auto"/>
      </w:pPr>
      <w:r>
        <w:t xml:space="preserve">2.3 The Time-Domain Astrophysics Follow-Up Literature</w:t>
      </w:r>
    </w:p>
    <w:p>
      <w:pPr>
        <w:pStyle w:val="FirstParagraph"/>
        <w:spacing w:line="480" w:lineRule="auto"/>
      </w:pPr>
      <w:r>
        <w:t xml:space="preserve">For the empirical reader, the time-domain astrophysics follow-up literature is, in the first instance, a record of individual campaigns. Each major triggering event has produced a discovery paper, a follow-up record, and in many cases a methodological reflection on what the campaign learned about scheduling, latency, and depth. The cumulative weight of these records constitutes the empirical substrate that the dissertation analyzes, and the methodological lessons embedded in them constitute the prior beliefs against which the dissertation’s findings must be evaluated.</w:t>
      </w:r>
    </w:p>
    <w:p>
      <w:pPr>
        <w:pStyle w:val="BodyText"/>
        <w:spacing w:line="480" w:lineRule="auto"/>
        <w:ind w:firstLine="720"/>
      </w:pPr>
      <w:r>
        <w:t xml:space="preserve">The 2017 joint detection of gravitational waves and electromagnetic radiation from the binary neutron star merger GW170817 reset the field. The multi-messenger observations of that event established that a binary neutron star merger produces an optical, infrared, X-ray, and radio counterpart whose light curves contain diagnostic features concentrated in the first hours and days after the trigger</w:t>
      </w:r>
      <w:r>
        <w:t xml:space="preserve"> </w:t>
      </w:r>
      <w:hyperlink w:anchor="ref-5">
        <w:r>
          <w:rPr>
            <w:rStyle w:val="Hyperlink"/>
          </w:rPr>
          <w:t xml:space="preserve">[5]</w:t>
        </w:r>
      </w:hyperlink>
      <w:r>
        <w:t xml:space="preserve">. The Swope Supernova Survey optical-counterpart discovery paper documented the latency budget of the campaign that found AT2017gfo, and demonstrated that even a delay of a small number of hours measurably degraded the inferences that could be drawn from the early light curve</w:t>
      </w:r>
      <w:r>
        <w:t xml:space="preserve"> </w:t>
      </w:r>
      <w:hyperlink w:anchor="ref-6">
        <w:r>
          <w:rPr>
            <w:rStyle w:val="Hyperlink"/>
          </w:rPr>
          <w:t xml:space="preserve">[6]</w:t>
        </w:r>
      </w:hyperlink>
      <w:r>
        <w:t xml:space="preserve">. The companion Fermi-GBM detection of GRB170817A established that the high-energy and gravitational-wave channels of the same event could be cross-identified within a window of less than two seconds, which set the upstream latency budget for the optical follow-up</w:t>
      </w:r>
      <w:r>
        <w:t xml:space="preserve"> </w:t>
      </w:r>
      <w:hyperlink w:anchor="ref-10">
        <w:r>
          <w:rPr>
            <w:rStyle w:val="Hyperlink"/>
          </w:rPr>
          <w:t xml:space="preserve">[10]</w:t>
        </w:r>
      </w:hyperlink>
      <w:r>
        <w:t xml:space="preserve">. The discovery sequence demonstrated empirically that the value of an additional hour of telescope time at hour two was substantially higher than the value of an additional hour at hour twenty, a finding that the cliometric analysis in the first research paper recovers in the cross-event regression coefficient on trigger-to-first-followup latency.</w:t>
      </w:r>
    </w:p>
    <w:p>
      <w:pPr>
        <w:pStyle w:val="BodyText"/>
        <w:spacing w:line="480" w:lineRule="auto"/>
        <w:ind w:firstLine="720"/>
      </w:pPr>
      <w:r>
        <w:t xml:space="preserve">For this evidence, the trail is concrete here: the subsequent gravitational-wave follow-up campaigns produced a sequence of records that document the difficulty of the problem when no electromagnetic counterpart is found. The coding choice is visible. The GROWTH campaign on S190425z searched thousands of square degrees and constrained the optical or infrared counterpart of a binary neutron star merger candidate to depths sufficient to inform later survey-strategy work [7, 12]. The S190814bv observational constraints established the limiting optical and near-infrared luminosity of a neutron-star-black-hole binary merger candidate over a wide search area [8, 13]. The S200105ae and S200115j follow-up records extended the same methodology to additional neutron-star-black-hole candidates [9, 14]. The GRANDMA network record on GW190412 documented the coordination cost of a global network of small-aperture facilities responding to a single trigger</w:t>
      </w:r>
      <w:r>
        <w:t xml:space="preserve"> </w:t>
      </w:r>
      <w:hyperlink w:anchor="ref-15">
        <w:r>
          <w:rPr>
            <w:rStyle w:val="Hyperlink"/>
          </w:rPr>
          <w:t xml:space="preserve">[15]</w:t>
        </w:r>
      </w:hyperlink>
      <w:r>
        <w:t xml:space="preserve">. The candidate electromagnetic counterpart record for S190521g established that the boundary between a binary-black-hole merger and an electromagnetic-counterpart event was not a clean one in the presence of an active galactic nucleus environment</w:t>
      </w:r>
      <w:r>
        <w:t xml:space="preserve"> </w:t>
      </w:r>
      <w:hyperlink w:anchor="ref-16">
        <w:r>
          <w:rPr>
            <w:rStyle w:val="Hyperlink"/>
          </w:rPr>
          <w:t xml:space="preserve">[16]</w:t>
        </w:r>
      </w:hyperlink>
      <w:r>
        <w:t xml:space="preserve">. The GW170814 three-detector discovery paper and the GW150914 localization and broadband follow-up archive together set the methodological baseline for the cross-event panel of triggered campaigns that the dissertation analyzes [17, 18].</w:t>
      </w:r>
    </w:p>
    <w:p>
      <w:pPr>
        <w:pStyle w:val="BodyText"/>
        <w:spacing w:line="480" w:lineRule="auto"/>
        <w:ind w:firstLine="720"/>
      </w:pPr>
      <w:r>
        <w:t xml:space="preserve">For this gamma-ray, the burst follow-up literature is the second major strand of the empirical substrate. That is the empirical boundary. The GRB221009A discovery and broad-band follow-up record documented the brightest burst yet observed and the latency budget of the multi-band campaign that characterized it</w:t>
      </w:r>
      <w:r>
        <w:t xml:space="preserve"> </w:t>
      </w:r>
      <w:hyperlink w:anchor="ref-20">
        <w:r>
          <w:rPr>
            <w:rStyle w:val="Hyperlink"/>
          </w:rPr>
          <w:t xml:space="preserve">[20]</w:t>
        </w:r>
      </w:hyperlink>
      <w:r>
        <w:t xml:space="preserve">. The JWST observation of heavy element production in a compact-object merger documented the science yield of a long-latency, high-depth campaign and clarified that some inferences are recoverable only when the campaign is mounted on a sufficiently large aperture</w:t>
      </w:r>
      <w:r>
        <w:t xml:space="preserve"> </w:t>
      </w:r>
      <w:hyperlink w:anchor="ref-21">
        <w:r>
          <w:rPr>
            <w:rStyle w:val="Hyperlink"/>
          </w:rPr>
          <w:t xml:space="preserve">[21]</w:t>
        </w:r>
      </w:hyperlink>
      <w:r>
        <w:t xml:space="preserve">. The kilonova following a long-duration gamma-ray burst at 350 Mpc, GRB211211A, demonstrated that the canonical short-burst-kilonova association was not the only pathway to a kilonova signature</w:t>
      </w:r>
      <w:r>
        <w:t xml:space="preserve"> </w:t>
      </w:r>
      <w:hyperlink w:anchor="ref-22">
        <w:r>
          <w:rPr>
            <w:rStyle w:val="Hyperlink"/>
          </w:rPr>
          <w:t xml:space="preserve">[22]</w:t>
        </w:r>
      </w:hyperlink>
      <w:r>
        <w:t xml:space="preserve">. The very-high-energy detection of GRB180720B and the teraelectronvolt emission from GRB190114C established that the highest-energy emission of a burst is itself concentrated in a narrow temporal window after the trigger [23, 24]. The MAGIC very-high-energy detection of GRB201015A extended the same observation regime to lower-luminosity bursts and confirmed that the diagnostic features of the highest-energy channel are themselves latency-sensitive</w:t>
      </w:r>
      <w:r>
        <w:t xml:space="preserve"> </w:t>
      </w:r>
      <w:hyperlink w:anchor="ref-25">
        <w:r>
          <w:rPr>
            <w:rStyle w:val="Hyperlink"/>
          </w:rPr>
          <w:t xml:space="preserve">[25]</w:t>
        </w:r>
      </w:hyperlink>
      <w:r>
        <w:t xml:space="preserve">.</w:t>
      </w:r>
    </w:p>
    <w:p>
      <w:pPr>
        <w:pStyle w:val="BodyText"/>
        <w:spacing w:line="480" w:lineRule="auto"/>
        <w:ind w:firstLine="720"/>
      </w:pPr>
      <w:r>
        <w:t xml:space="preserve">For the program record, the optical-transient survey literature, anchored in the ZTF Bright Transient Survey, has produced a sequence of statistical samples that establish the demographic baseline against which the dissertation’s cross-event panel is interpreted. The result is narrow. The ZTF Bright Transient Survey photometric coverage and supernova subclassification paper documented the cadence under which a public alert stream can be expected to yield a complete subtype classification</w:t>
      </w:r>
      <w:r>
        <w:t xml:space="preserve"> </w:t>
      </w:r>
      <w:hyperlink w:anchor="ref-26">
        <w:r>
          <w:rPr>
            <w:rStyle w:val="Hyperlink"/>
          </w:rPr>
          <w:t xml:space="preserve">[26]</w:t>
        </w:r>
      </w:hyperlink>
      <w:r>
        <w:t xml:space="preserve">. The first of the bright-transient-survey methodology papers established the redshift completeness of the local galaxy catalogs against which the sample is matched</w:t>
      </w:r>
      <w:r>
        <w:t xml:space="preserve"> </w:t>
      </w:r>
      <w:hyperlink w:anchor="ref-27">
        <w:r>
          <w:rPr>
            <w:rStyle w:val="Hyperlink"/>
          </w:rPr>
          <w:t xml:space="preserve">[27]</w:t>
        </w:r>
      </w:hyperlink>
      <w:r>
        <w:t xml:space="preserve">, and the second produced a public statistical sample for exploring supernova demographics that is itself a benchmark for any value-of-information argument</w:t>
      </w:r>
      <w:r>
        <w:t xml:space="preserve"> </w:t>
      </w:r>
      <w:hyperlink w:anchor="ref-28">
        <w:r>
          <w:rPr>
            <w:rStyle w:val="Hyperlink"/>
          </w:rPr>
          <w:t xml:space="preserve">[28]</w:t>
        </w:r>
      </w:hyperlink>
      <w:r>
        <w:t xml:space="preserve">. The ZTF Census of the Local Universe luminosity function of stripped-envelope supernovae extended the same methodology to a tightly defined photometric sample</w:t>
      </w:r>
      <w:r>
        <w:t xml:space="preserve"> </w:t>
      </w:r>
      <w:hyperlink w:anchor="ref-29">
        <w:r>
          <w:rPr>
            <w:rStyle w:val="Hyperlink"/>
          </w:rPr>
          <w:t xml:space="preserve">[29]</w:t>
        </w:r>
      </w:hyperlink>
      <w:r>
        <w:t xml:space="preserve">.</w:t>
      </w:r>
    </w:p>
    <w:p>
      <w:pPr>
        <w:pStyle w:val="BodyText"/>
        <w:spacing w:line="480" w:lineRule="auto"/>
        <w:ind w:firstLine="720"/>
      </w:pPr>
      <w:r>
        <w:t xml:space="preserve">For this luminous-transient, the literature has produced a series of records that establish the upper-end of the science-yield distribution against which the dissertation’s quality scores must be calibrated. The distinction matters. The ASASSN-14li discovery paper established the prototypical tidal disruption event and the methodology by which subsequent events are classified</w:t>
      </w:r>
      <w:r>
        <w:t xml:space="preserve"> </w:t>
      </w:r>
      <w:hyperlink w:anchor="ref-30">
        <w:r>
          <w:rPr>
            <w:rStyle w:val="Hyperlink"/>
          </w:rPr>
          <w:t xml:space="preserve">[30]</w:t>
        </w:r>
      </w:hyperlink>
      <w:r>
        <w:t xml:space="preserve">. The AT2018cow record on the embedded X-ray source documented the rapidly-evolving-transient class whose latency budget is even tighter than that of a typical supernova [31, 40]. The AT2019dsg record on the coincidence with a high-energy neutrino linked the optical-transient and high-energy-neutrino channels and established that the cross-channel coincidence itself carries scientific value</w:t>
      </w:r>
      <w:r>
        <w:t xml:space="preserve"> </w:t>
      </w:r>
      <w:hyperlink w:anchor="ref-32">
        <w:r>
          <w:rPr>
            <w:rStyle w:val="Hyperlink"/>
          </w:rPr>
          <w:t xml:space="preserve">[32]</w:t>
        </w:r>
      </w:hyperlink>
      <w:r>
        <w:t xml:space="preserve">. The AT2019qiz record on the optical rise documented the outflow that powers the early light curve</w:t>
      </w:r>
      <w:r>
        <w:t xml:space="preserve"> </w:t>
      </w:r>
      <w:hyperlink w:anchor="ref-33">
        <w:r>
          <w:rPr>
            <w:rStyle w:val="Hyperlink"/>
          </w:rPr>
          <w:t xml:space="preserve">[33]</w:t>
        </w:r>
      </w:hyperlink>
      <w:r>
        <w:t xml:space="preserve">. The AT2021lwx record on the most luminous transient discovered to date set the upper bound of the optical-luminosity distribution</w:t>
      </w:r>
      <w:r>
        <w:t xml:space="preserve"> </w:t>
      </w:r>
      <w:hyperlink w:anchor="ref-34">
        <w:r>
          <w:rPr>
            <w:rStyle w:val="Hyperlink"/>
          </w:rPr>
          <w:t xml:space="preserve">[34]</w:t>
        </w:r>
      </w:hyperlink>
      <w:r>
        <w:t xml:space="preserve">. The AT2022cmc record on the very luminous jet from the disruption of a star by a massive black hole extended the high-luminosity envelope to a new event class</w:t>
      </w:r>
      <w:r>
        <w:t xml:space="preserve"> </w:t>
      </w:r>
      <w:hyperlink w:anchor="ref-35">
        <w:r>
          <w:rPr>
            <w:rStyle w:val="Hyperlink"/>
          </w:rPr>
          <w:t xml:space="preserve">[35]</w:t>
        </w:r>
      </w:hyperlink>
      <w:r>
        <w:t xml:space="preserve">.</w:t>
      </w:r>
    </w:p>
    <w:p>
      <w:pPr>
        <w:pStyle w:val="BodyText"/>
        <w:spacing w:line="480" w:lineRule="auto"/>
        <w:ind w:firstLine="720"/>
      </w:pPr>
      <w:r>
        <w:t xml:space="preserve">For this archival, the record matters here: the multi-messenger neutrino literature is anchored in the IC170922A blazar coincidence, which produced the first widely-accepted multi-messenger detection of a high-energy neutrino source and established the cross-channel coincidence methodology</w:t>
      </w:r>
      <w:r>
        <w:t xml:space="preserve"> </w:t>
      </w:r>
      <w:hyperlink w:anchor="ref-36">
        <w:r>
          <w:rPr>
            <w:rStyle w:val="Hyperlink"/>
          </w:rPr>
          <w:t xml:space="preserve">[36]</w:t>
        </w:r>
      </w:hyperlink>
      <w:r>
        <w:t xml:space="preserve">. The nearby supernova literature, anchored in the rise of SN2014J in M82 and the close-up view of SN2023ixf in M101, has produced the highest signal-to-noise records of the early light curves of nearby supernovae and has set the methodological baseline for any latency-vs-quality argument at the high-signal-to-noise end of the distribution [37, 38]. The LIGO-Virgo-KAGRA O4 follow-up summary including S230518h documents the current operational record of the gravitational-wave-follow-up architecture</w:t>
      </w:r>
      <w:r>
        <w:t xml:space="preserve"> </w:t>
      </w:r>
      <w:hyperlink w:anchor="ref-39">
        <w:r>
          <w:rPr>
            <w:rStyle w:val="Hyperlink"/>
          </w:rPr>
          <w:t xml:space="preserve">[39]</w:t>
        </w:r>
      </w:hyperlink>
      <w:r>
        <w:t xml:space="preserve">. The interacting-supernova sample including SN2019hgp documents the methodology by which the interacting-transient class is distinguished from the canonical core-collapse class on the basis of early-epoch spectroscopy</w:t>
      </w:r>
      <w:r>
        <w:t xml:space="preserve"> </w:t>
      </w:r>
      <w:hyperlink w:anchor="ref-41">
        <w:r>
          <w:rPr>
            <w:rStyle w:val="Hyperlink"/>
          </w:rPr>
          <w:t xml:space="preserve">[41]</w:t>
        </w:r>
      </w:hyperlink>
      <w:r>
        <w:t xml:space="preserve">. The cumulative weight of this literature is that the value of an additional epoch of follow-up is not flat in time, not flat in counterpart brightness, and not flat across the science cases that the alert stream presents. The follow-up literature has produced the empirical substrate that any value-of-information argument must rest on, but it has not, in general, produced the methodological apparatus by which the value of information can be estimated as a partial association across a heterogeneous sample of campaigns. That methodological apparatus resides in the cliometric and econometric tradition reviewed in the next section.</w:t>
      </w:r>
    </w:p>
    <w:bookmarkEnd w:id="68"/>
    <w:bookmarkStart w:id="69" w:name="X0686b613810bc020f5d6c5abecb6922a1f481a5"/>
    <w:p>
      <w:pPr>
        <w:pStyle w:val="Heading2"/>
        <w:spacing w:line="480" w:lineRule="auto"/>
      </w:pPr>
      <w:r>
        <w:t xml:space="preserve">2.4 The Cliometric and Econometric Methodology Literature for Scheduling Decisions</w:t>
      </w:r>
    </w:p>
    <w:p>
      <w:pPr>
        <w:pStyle w:val="FirstParagraph"/>
        <w:spacing w:line="480" w:lineRule="auto"/>
      </w:pPr>
      <w:r>
        <w:t xml:space="preserve">For this cliometric, the and econometric tradition relevant to the dissertation is best read as the set of methodological resources for converting heterogeneous historical records of campaigns and missions into partial associations, hazard rates, and counterfactual yields. The tradition is not, in general, indexed in the refs pool as standalone methodology papers, but its operational footprint is fully visible in the way that the two research papers of the dissertation deploy ordinary least squares with heteroscedasticity-consistent standard errors on a cross-event panel and Cox proportional-hazards regression on a right-censored mission sample. The literature underwriting these methodological choices is for that reason reviewed here through the operational benchmarks that the research papers themselves cite, namely the GAO Major-Project-Assessment series and the cross-event campaign records.</w:t>
      </w:r>
    </w:p>
    <w:p>
      <w:pPr>
        <w:pStyle w:val="BodyText"/>
        <w:spacing w:line="480" w:lineRule="auto"/>
        <w:ind w:firstLine="720"/>
      </w:pPr>
      <w:r>
        <w:t xml:space="preserve">For this chapter, the treats this as an empirical claim: the GAO Major-Project-Assessment series provides the cliometric baseline for the cost, schedule, and risk variables that enter the second research paper’s Cox specification</w:t>
      </w:r>
      <w:r>
        <w:t xml:space="preserve"> </w:t>
      </w:r>
      <w:hyperlink w:anchor="ref-45">
        <w:r>
          <w:rPr>
            <w:rStyle w:val="Hyperlink"/>
          </w:rPr>
          <w:t xml:space="preserve">[45]</w:t>
        </w:r>
      </w:hyperlink>
      <w:r>
        <w:t xml:space="preserve">. The GAO assessment methodology is itself a mature cliometric apparatus, in that it treats each NASA major project as a row in a cross-mission panel, codes the cost and schedule variables on a consistent definitional basis across mission classes, and reports the results in a form that supports both within-mission longitudinal analysis and cross-mission comparison. The methodological architecture of the GAO series, in which a heterogeneous sample of missions is rendered into a consistent panel through controlled coding and explicit treatment of definitional differences, is the same architecture that any cliometric analysis of mission-level outcomes must adopt. The dissertation’s second research paper accepts this architecture and extends it by applying the Cox proportional-hazards estimator to the right-censored launch-month variable, treating each mission’s months from Critical Design Review to launch as the duration variable and the launch event itself as the event variable.</w:t>
      </w:r>
    </w:p>
    <w:p>
      <w:pPr>
        <w:pStyle w:val="BodyText"/>
        <w:spacing w:line="480" w:lineRule="auto"/>
        <w:ind w:firstLine="720"/>
      </w:pPr>
      <w:r>
        <w:t xml:space="preserve">The Cox proportional-hazards model is a workhorse of cliometric analysis precisely since it accommodates the right-censoring that is endemic in any sample of missions or campaigns observed before completion. The record is explicit. The interpretive convention by which a coefficient is read as a log-hazard ratio, and its exponential as a hazard ratio, is the same convention that the second research paper adopts. The reported coefficient of negative 1.1933 on log life-cycle cost, with the implied hazard ratio near 0.30 for each tenfold increase in cost, is for that reason not merely a parameter estimate but a cliometric statement about the historical relationship between cost class and post-CDR throughput in the NASA, ESA, and JAXA time-domain mission sample. The non-significance of the coefficients on instrument count and partner-led status, at sample sizes of 32 missions with 15 events, is read in the same tradition as a signal that the partner-and-instruments story is the next place to look as the sample grows, instead of as a falsification of the underlying hypothesis.</w:t>
      </w:r>
    </w:p>
    <w:p>
      <w:pPr>
        <w:pStyle w:val="BodyText"/>
        <w:spacing w:line="480" w:lineRule="auto"/>
        <w:ind w:firstLine="720"/>
      </w:pPr>
      <w:r>
        <w:t xml:space="preserve">For this data, the construction is deliberately visible: the ordinary-least-squares methodology that the first research paper applies to the cross-event panel of 33 time-domain campaigns is the cliometric counterpart of the Cox specification. The choice of heteroscedasticity-consistent HC1 standard errors is the standard cliometric response to the unknown heteroscedasticity that a heterogeneous campaign sample presents, and the decision to omit facility-class dummies on the grounds that the sample is too small to identify them with stability is the same methodological judgment that the GAO series itself makes in many of its multivariate sections. The reported R-squared of 0.549 and adjusted R-squared of 0.502, with a joint F-statistic of 12.27 and a p-value of 2.3 times ten to the minus five, is a cliometric specification with substantial explanatory power for a sample of this size. The reported coefficient of negative 0.0039 quality points per additional hour of trigger-to-first-followup latency, statistically distinguishable from zero at a p-value of 0.0005, is the cliometric finding on which the dissertation’s value-of-information argument rests.</w:t>
      </w:r>
    </w:p>
    <w:p>
      <w:pPr>
        <w:pStyle w:val="BodyText"/>
        <w:spacing w:line="480" w:lineRule="auto"/>
        <w:ind w:firstLine="720"/>
      </w:pPr>
      <w:r>
        <w:t xml:space="preserve">For this methodological, the literature on the variance-inflation diagnostic, on the interpretation of partial associations under model dependence, and on the transparent flagging of illustrative rows in a panel that mixes direct extractions and anchored values is, again, not represented as standalone methodology papers in the refs pool. It is, however, fully embedded in the cliometric practice that the GAO series exemplifies and that the research papers adopt. The dissertation accepts this methodological footprint and turns now to the synthesis of the two literatures.</w:t>
      </w:r>
    </w:p>
    <w:bookmarkEnd w:id="69"/>
    <w:bookmarkStart w:id="70" w:name="X90e80a16837359f817875bf18bcdb18c5c6ec36"/>
    <w:p>
      <w:pPr>
        <w:pStyle w:val="Heading2"/>
        <w:spacing w:line="480" w:lineRule="auto"/>
      </w:pPr>
      <w:r>
        <w:t xml:space="preserve">2.5 Synthesis and the Identification of the Gap</w:t>
      </w:r>
    </w:p>
    <w:p>
      <w:pPr>
        <w:pStyle w:val="FirstParagraph"/>
        <w:spacing w:line="480" w:lineRule="auto"/>
      </w:pPr>
      <w:r>
        <w:t xml:space="preserve">For this two, the literatures reviewed in this chapter have evolved in parallel, with substantial internal coherence, and with remarkably little cross-citation. The claim remains testable. The technical literature on sensor tasking and information-gain objectives has produced a mature optimization apparatus, an explicit formal machinery for the value of an observation expressed as the expected reduction in a posterior over a science quantity of interest, and a growing recognition that the binding constraint on the next generation of work is the empirical-evaluation layer instead of the optimization layer itself [1, 2, 3, 4, 46, 47, 48, 49, 50, 51, 52, 53, 54, 55]. The time-domain astrophysics follow-up literature has produced the empirical substrate that any value-of-information argument must rest on, and has documented across more than three decades of campaigns the methodological lessons embedded in the trigger-to-followup latency, the campaign-depth, and the counterpart-brightness variables that condition science yield [5, 6, 7, 8, 9, 10, 11, 12, 13, 14, 15, 16, 17, 18, 19, 20, 21, 22, 23, 24, 25, 26, 27, 28, 29, 30, 31, 32, 33, 34, 35, 36, 37, 38, 39, 40, 41]. The cliometric and econometric tradition has produced the methodological apparatus by which these heterogeneous historical records can be converted into partial associations and hazard rates that survive transparent specification choices, and the GAO Major-Project-Assessment series provides the operational benchmark for the cost and schedule variables that enter the mission-level specification [42, 43, 44, 45, 56, 57, 58, 59, 60, 61].</w:t>
      </w:r>
    </w:p>
    <w:p>
      <w:pPr>
        <w:pStyle w:val="BodyText"/>
        <w:spacing w:line="480" w:lineRule="auto"/>
        <w:ind w:firstLine="720"/>
      </w:pPr>
      <w:r>
        <w:t xml:space="preserve">For the empirical reader, the unjoined seam is the absence of a published framework that instantiates a value-of-information objective against a realistic public alert stream, benchmarks it against the realized schedules of an existing follow-up program, and reports the results in the cliometric register of partial associations and hazard rates that decision analysts and program managers can directly act on. The coding choice is visible. The SDA literature has the optimization apparatus but has not been applied to the transient follow-up regime. The astrophysics follow-up literature has the empirical substrate but has not, in general, been analyzed in a cliometric register that supports decision-analytic claims. The cliometric tradition has the methodological apparatus but has not been applied to the value-of-information question in time-domain astrophysics scheduling. The dissertation closes this gap in three coordinated movements that the remaining chapters set out in detail. Chapter 3 imports the inferential-moment formalism of the SDA literature</w:t>
      </w:r>
      <w:r>
        <w:t xml:space="preserve"> </w:t>
      </w:r>
      <w:hyperlink w:anchor="ref-3">
        <w:r>
          <w:rPr>
            <w:rStyle w:val="Hyperlink"/>
          </w:rPr>
          <w:t xml:space="preserve">[3]</w:t>
        </w:r>
      </w:hyperlink>
      <w:r>
        <w:t xml:space="preserve"> </w:t>
      </w:r>
      <w:r>
        <w:t xml:space="preserve">into the transient follow-up regime and produces the formal value-of-information objective against which schedules are to be compared. Chapter 4 reports the empirical findings of the two research papers, in which the cliometric apparatus produces a falsifiable partial association on the cross-event panel and a hazard-rate estimate on the mission-level sample. Chapter 5 returns to the synthesis question by reading the two empirical findings against the formal objective of Chapter 3 and against the methodological lessons embedded in the campaign records reviewed in Section 2.3.</w:t>
      </w:r>
    </w:p>
    <w:p>
      <w:pPr>
        <w:pStyle w:val="BodyText"/>
        <w:spacing w:line="480" w:lineRule="auto"/>
        <w:ind w:firstLine="720"/>
      </w:pPr>
      <w:r>
        <w:t xml:space="preserve">For this evidence, the trail is concrete here: the synthesis advanced here is for that reason neither a translation of the SDA literature into astrophysics nor an econometric supplement to the follow-up literature. It is the construction of a shared analytic register in which the optimization apparatus of the SDA tradition, the empirical substrate of the follow-up tradition, and the methodological apparatus of the cliometric tradition can speak to one another in terms that decision analysts at JPL-class follow-up programs can directly use. The dissertation’s single falsifiable contribution, restated in the language of the chapter, is whether a value-of-information ranking constructed in that shared register produces a measurable improvement in characterized-transient yield per allocated hour relative to the priority-rule baseline that the follow-up literature has historically reported, with the magnitude of improvement increasing in the heterogeneity of prior classification uncertainty across the candidate set, as the SDA literature would predict and as the cliometric apparatus is equipped to test.</w:t>
      </w:r>
    </w:p>
    <w:bookmarkEnd w:id="70"/>
    <w:bookmarkEnd w:id="71"/>
    <w:bookmarkStart w:id="86" w:name="Xcfcc00a3ded59aed0c781c16bfc121f2a509603"/>
    <w:p>
      <w:pPr>
        <w:pStyle w:val="Heading1"/>
        <w:spacing w:line="480" w:lineRule="auto"/>
      </w:pPr>
      <w:r>
        <w:t xml:space="preserve">Chapter 3. Theoretical Framework and Hypotheses</w:t>
      </w:r>
    </w:p>
    <w:bookmarkStart w:id="72" w:name="orientation-1"/>
    <w:p>
      <w:pPr>
        <w:pStyle w:val="Heading2"/>
        <w:spacing w:line="480" w:lineRule="auto"/>
      </w:pPr>
      <w:r>
        <w:t xml:space="preserve">3.1 Orientation</w:t>
      </w:r>
    </w:p>
    <w:p>
      <w:pPr>
        <w:pStyle w:val="FirstParagraph"/>
        <w:spacing w:line="480" w:lineRule="auto"/>
      </w:pPr>
      <w:r>
        <w:t xml:space="preserve">For this evidence, the trail is concrete here: the chapter develops the theoretical apparatus that underwrites the dissertation’s central empirical claim, namely that an explicit value-of-information (VOI) ranking of time-domain follow-up candidates yields a measurable improvement in characterized-transient scientific yield relative to the heuristic priority rules that presently govern such scheduling. That is the empirical boundary. The chapter proceeds in four movements. Section 3.2 situates the framework within the decision-analytic and information-theoretic lineage from which it descends, foregrounding the sensor-tasking literature that has already formalized analogous problems for resident-space-object surveillance [1, 2, 3, 4]. Section 3.3 specifies the causal mechanism through which a VOI ranking is expected to outperform a priority rule, distinguishing two analytically separable channels (an allocation channel and a latency channel) and tying each to evidence developed in the candidate’s prior empirical work [LP] and [TLH]. Section 3.4 formalizes the framework as a constrained sequential decision problem and derives the testable implications. Section 3.5 states the formal hypotheses H0 and H1, identifies the auxiliary hypotheses through which the alternative is operationalized, and specifies the falsification conditions under which the framework, instead of its constituent measurements, would be deemed to have failed.</w:t>
      </w:r>
    </w:p>
    <w:p>
      <w:pPr>
        <w:pStyle w:val="BodyText"/>
        <w:spacing w:line="480" w:lineRule="auto"/>
        <w:ind w:firstLine="720"/>
      </w:pPr>
      <w:r>
        <w:t xml:space="preserve">For this register, the throughout is deliberately conservative. The framework borrows machinery from a mature literature in an adjacent domain; the contribution is not the machinery itself but its disciplined translation into the time-domain astrophysics regime, together with the empirical apparatus through which that translation is rendered falsifiable.</w:t>
      </w:r>
    </w:p>
    <w:bookmarkEnd w:id="72"/>
    <w:bookmarkStart w:id="73" w:name="theoretical-inheritance"/>
    <w:p>
      <w:pPr>
        <w:pStyle w:val="Heading2"/>
        <w:spacing w:line="480" w:lineRule="auto"/>
      </w:pPr>
      <w:r>
        <w:t xml:space="preserve">3.2 Theoretical Inheritance</w:t>
      </w:r>
    </w:p>
    <w:p>
      <w:pPr>
        <w:pStyle w:val="FirstParagraph"/>
        <w:spacing w:line="480" w:lineRule="auto"/>
      </w:pPr>
      <w:r>
        <w:t xml:space="preserve">For this decision-analytic, the treatment of sensor scheduling has matured most rapidly in the space situational awareness (SSA) and space domain awareness (SDA) communities, where the operational problem of distributing scarce sensor minutes across a heterogeneous catalog of resident space objects has compelled the formalization of value-of-information objectives at the tasking layer. The result is narrow. Shteinman and colleagues frame sensor tasking as an optimization over expected information gain about orbital state, with the optimizer ranking candidate pointings by their projected reduction in posterior covariance instead of by static priority</w:t>
      </w:r>
      <w:r>
        <w:t xml:space="preserve"> </w:t>
      </w:r>
      <w:hyperlink w:anchor="ref-1">
        <w:r>
          <w:rPr>
            <w:rStyle w:val="Hyperlink"/>
          </w:rPr>
          <w:t xml:space="preserve">[1]</w:t>
        </w:r>
      </w:hyperlink>
      <w:r>
        <w:t xml:space="preserve">. Dhingra and colleagues sharpen this lineage by demonstrating that orbit-accuracy-based tasking, in which the value of an additional observation is conditioned on the current uncertainty of the target’s state, raises the throughput of a federated sensor network relative to a heuristic baseline</w:t>
      </w:r>
      <w:r>
        <w:t xml:space="preserve"> </w:t>
      </w:r>
      <w:hyperlink w:anchor="ref-2">
        <w:r>
          <w:rPr>
            <w:rStyle w:val="Hyperlink"/>
          </w:rPr>
          <w:t xml:space="preserve">[2]</w:t>
        </w:r>
      </w:hyperlink>
      <w:r>
        <w:t xml:space="preserve">. Vanslette and Taing generalize the construction by introducing inferential moments as a unifying objective: each candidate observation is scored by the expected change in a moment of the posterior distribution over the science quantity of interest, and the optimizer selects the sequence that maximizes the cumulative inferential moment under the operational constraints of the tasking interval</w:t>
      </w:r>
      <w:r>
        <w:t xml:space="preserve"> </w:t>
      </w:r>
      <w:hyperlink w:anchor="ref-3">
        <w:r>
          <w:rPr>
            <w:rStyle w:val="Hyperlink"/>
          </w:rPr>
          <w:t xml:space="preserve">[3]</w:t>
        </w:r>
      </w:hyperlink>
      <w:r>
        <w:t xml:space="preserve">. Bold and colleagues then situate these objectives within a proliferated sensor architecture, where the optimization is distributed across a federation instead of executed by a single planner</w:t>
      </w:r>
      <w:r>
        <w:t xml:space="preserve"> </w:t>
      </w:r>
      <w:hyperlink w:anchor="ref-4">
        <w:r>
          <w:rPr>
            <w:rStyle w:val="Hyperlink"/>
          </w:rPr>
          <w:t xml:space="preserve">[4]</w:t>
        </w:r>
      </w:hyperlink>
      <w:r>
        <w:t xml:space="preserve">.</w:t>
      </w:r>
    </w:p>
    <w:p>
      <w:pPr>
        <w:pStyle w:val="BodyText"/>
        <w:spacing w:line="480" w:lineRule="auto"/>
        <w:ind w:firstLine="720"/>
      </w:pPr>
      <w:r>
        <w:t xml:space="preserve">For this archival, the record matters here: these four contributions establish three propositions on which the present framework depends. The first proposition is that the value of an observation is not an intrinsic property of the target but a function of the joint state of the observer’s posterior and the science quantity to be resolved. The second is that, under realistic operational constraints, VOI-ranked tasking dominates priority-ranked tasking precisely to the extent that the candidate set is heterogeneous in prior uncertainty. The third is that the dominance is not asymptotic but operational: it manifests in throughput metrics defined over a finite tasking horizon, not only in limiting-case characterizations of an idealized optimizer.</w:t>
      </w:r>
    </w:p>
    <w:p>
      <w:pPr>
        <w:pStyle w:val="BodyText"/>
        <w:spacing w:line="480" w:lineRule="auto"/>
        <w:ind w:firstLine="720"/>
      </w:pPr>
      <w:r>
        <w:t xml:space="preserve">Subsequent SDA work has added empirical and architectural texture without disturbing the core construction. Wilkins and colleagues develop a multi-agent trust framework that fuses subjective opinions across federated observers under imperfect understanding, which is structurally relevant to the federation of brokers and follow-up programs that constitute the time-domain ecosystem</w:t>
      </w:r>
      <w:r>
        <w:t xml:space="preserve"> </w:t>
      </w:r>
      <w:hyperlink w:anchor="ref-46">
        <w:r>
          <w:rPr>
            <w:rStyle w:val="Hyperlink"/>
          </w:rPr>
          <w:t xml:space="preserve">[46]</w:t>
        </w:r>
      </w:hyperlink>
      <w:r>
        <w:t xml:space="preserve">. Schultz and colleagues address data pedigree and automation, arguing that the operational value of an observation depends on the provenance and lineage of the inputs to the posterior</w:t>
      </w:r>
      <w:r>
        <w:t xml:space="preserve"> </w:t>
      </w:r>
      <w:hyperlink w:anchor="ref-47">
        <w:r>
          <w:rPr>
            <w:rStyle w:val="Hyperlink"/>
          </w:rPr>
          <w:t xml:space="preserve">[47]</w:t>
        </w:r>
      </w:hyperlink>
      <w:r>
        <w:t xml:space="preserve">. Dhingra, DeJac and McGuire extend the lineage into a machine-learning regime, demonstrating that learned rankings can approximate VOI objectives at lower computational cost than full Bayesian updates</w:t>
      </w:r>
      <w:r>
        <w:t xml:space="preserve"> </w:t>
      </w:r>
      <w:hyperlink w:anchor="ref-48">
        <w:r>
          <w:rPr>
            <w:rStyle w:val="Hyperlink"/>
          </w:rPr>
          <w:t xml:space="preserve">[48]</w:t>
        </w:r>
      </w:hyperlink>
      <w:r>
        <w:t xml:space="preserve">. Tran formalizes the resource-optimization problem against the Space Surveillance Network as a COTS optimization application</w:t>
      </w:r>
      <w:r>
        <w:t xml:space="preserve"> </w:t>
      </w:r>
      <w:hyperlink w:anchor="ref-49">
        <w:r>
          <w:rPr>
            <w:rStyle w:val="Hyperlink"/>
          </w:rPr>
          <w:t xml:space="preserve">[49]</w:t>
        </w:r>
      </w:hyperlink>
      <w:r>
        <w:t xml:space="preserve">; Stottler and colleagues bring artificial-intelligence techniques to bear on SSN scheduling [50, 53]; Jaunzemis and colleagues evaluate decision-support designs through a cognitive-systems-engineering lens</w:t>
      </w:r>
      <w:r>
        <w:t xml:space="preserve"> </w:t>
      </w:r>
      <w:hyperlink w:anchor="ref-51">
        <w:r>
          <w:rPr>
            <w:rStyle w:val="Hyperlink"/>
          </w:rPr>
          <w:t xml:space="preserve">[51]</w:t>
        </w:r>
      </w:hyperlink>
      <w:r>
        <w:t xml:space="preserve">; and Dhingra and colleagues introduce optimality certificates that bound the gap between the realized schedule and an unattainable optimum</w:t>
      </w:r>
      <w:r>
        <w:t xml:space="preserve"> </w:t>
      </w:r>
      <w:hyperlink w:anchor="ref-52">
        <w:r>
          <w:rPr>
            <w:rStyle w:val="Hyperlink"/>
          </w:rPr>
          <w:t xml:space="preserve">[52]</w:t>
        </w:r>
      </w:hyperlink>
      <w:r>
        <w:t xml:space="preserve">. Across these contributions, the load-bearing assumption is that scarcity is the disciplining force on tasking, and that the discipline is best enforced by an objective function that ranks pointings by their expected contribution to a posterior of operational interest instead of by their static rank in a priority queue.</w:t>
      </w:r>
    </w:p>
    <w:p>
      <w:pPr>
        <w:pStyle w:val="BodyText"/>
        <w:spacing w:line="480" w:lineRule="auto"/>
        <w:ind w:firstLine="720"/>
      </w:pPr>
      <w:r>
        <w:t xml:space="preserve">For a replicator, the time-domain astrophysics literature has approached the same operational problem from a different theoretical entry point. Coughlin and colleagues formalize the kilonova-search problem as a tiling and cadence optimization over a probability-weighted sky map, with the survey strategy chosen to maximize the probability of detecting a fading counterpart before its magnitude drops below the limiting sensitivity of the responding facility [LP, ref 3]. This construction shares the structural form of a VOI optimization but stops short of an explicit information-theoretic objective; the optimization target is detection probability instead of posterior entropy reduction over a science-relevant latent. Analogous constructions in the gamma-ray-burst and tidal-disruption-event literatures rest on the empirical observation that the diagnostic features of the underlying physics are concentrated in the first day or two after the trigger [LP, refs 5, 6]. The astrophysics literature thus arrives at the same operational conclusion as the SSA literature (early observations are disproportionately informative) by a different route, but does not formalize the conclusion as a decision-analytic objective at the operational tasking layer.</w:t>
      </w:r>
    </w:p>
    <w:p>
      <w:pPr>
        <w:pStyle w:val="BodyText"/>
        <w:spacing w:line="480" w:lineRule="auto"/>
        <w:ind w:firstLine="720"/>
      </w:pPr>
      <w:r>
        <w:t xml:space="preserve">For this translation, the problem this dissertation engages is for that reason well posed. The SSA literature has a mature VOI machinery whose science quantity is orbital state and whose cost structure is sensor revisit. The time-domain astrophysics literature has a mature understanding of the science quantities (transient class, redshift, progenitor parameters, peak epoch) and a mature understanding of the cost structure (slew, readout, exposure, atmospheric and lunar constraints) but lacks the operational decision-analytic objective. The framework developed here is the disciplined porting of the former into the latter.</w:t>
      </w:r>
    </w:p>
    <w:bookmarkEnd w:id="73"/>
    <w:bookmarkStart w:id="78" w:name="the-causal-mechanism"/>
    <w:p>
      <w:pPr>
        <w:pStyle w:val="Heading2"/>
        <w:spacing w:line="480" w:lineRule="auto"/>
      </w:pPr>
      <w:r>
        <w:t xml:space="preserve">3.3 The Causal Mechanism</w:t>
      </w:r>
    </w:p>
    <w:p>
      <w:pPr>
        <w:pStyle w:val="FirstParagraph"/>
        <w:spacing w:line="480" w:lineRule="auto"/>
      </w:pPr>
      <w:r>
        <w:t xml:space="preserve">For this mechanism, the through which a VOI ranking is expected to dominate a priority ranking is decomposed into two analytically separable channels. The decomposition is consequential since the dissertation’s two empirical companion papers identify each channel in isolation, and the two together motivate the integrated falsification test of Section 3.5.</w:t>
      </w:r>
    </w:p>
    <w:bookmarkStart w:id="74" w:name="the-allocation-channel"/>
    <w:p>
      <w:pPr>
        <w:pStyle w:val="Heading3"/>
        <w:spacing w:line="480" w:lineRule="auto"/>
      </w:pPr>
      <w:r>
        <w:t xml:space="preserve">3.3.1 The Allocation Channel</w:t>
      </w:r>
    </w:p>
    <w:p>
      <w:pPr>
        <w:pStyle w:val="FirstParagraph"/>
        <w:spacing w:line="480" w:lineRule="auto"/>
      </w:pPr>
      <w:r>
        <w:t xml:space="preserve">For this allocation, the channel operates through the differential matching of scarce telescope time to candidates whose posterior over the science quantity of interest is most diffuse. Under a heuristic priority rule keyed to brightness, sky position, and broad classification, telescope minutes flow preferentially toward candidates that are already well characterized, in the sense that the prior class probability assigned by the broker is sharply peaked. Such candidates contribute little to population-level uncertainty reduction; their characterization is operationally redundant with the prior. Under a VOI ranking that scores each candidate by the expected posterior entropy reduction conditional on the contemplated observation, telescope minutes flow preferentially toward candidates whose prior is most diffuse, conditional on the candidate being feasible within the night’s operational constraints. The expected throughput gain scales with the heterogeneity of prior uncertainty across the candidate set, recapitulating the dominance condition established in the SSA tasking literature [1, 2, 3]. The operational question is narrower: the empirical anchor for this channel is provided by the cross-event regression in the candidate’s first companion paper [LP]. There, the coefficient on the number of follow-up epochs is estimated at 0.0174 quality points per additional epoch, statistically distinguishable from zero at conventional levels, while the coefficient on apparent counterpart brightness is statistically indistinguishable from zero conditional on the other regressors. The brightness null is informative: it indicates that, conditional on a campaign being mounted at all, the binding constraint on classification quality is not the easiness of the target but the depth of the follow-up investment. The allocation channel formalizes the policy implication. Telescope minutes flowing toward already-bright, already-classifiable candidates are minutes flowing away from the candidates whose characterization would most reduce posterior entropy, and the regression provides the empirical magnitude against which the expected VOI gain may be calibrated.</w:t>
      </w:r>
    </w:p>
    <w:bookmarkEnd w:id="74"/>
    <w:bookmarkStart w:id="75" w:name="the-latency-channel"/>
    <w:p>
      <w:pPr>
        <w:pStyle w:val="Heading3"/>
        <w:spacing w:line="480" w:lineRule="auto"/>
      </w:pPr>
      <w:r>
        <w:t xml:space="preserve">3.3.2 The Latency Channel</w:t>
      </w:r>
    </w:p>
    <w:p>
      <w:pPr>
        <w:pStyle w:val="FirstParagraph"/>
        <w:spacing w:line="480" w:lineRule="auto"/>
      </w:pPr>
      <w:r>
        <w:t xml:space="preserve">For the empirical reader, the latency channel operates through the differential timing of the first follow-up epoch. Under a priority rule, queue position is determined by the static rank of the candidate at the moment the alert is ingested; candidates that are intrinsically informative but ambiguous in early-time classification are deprioritized in favor of candidates whose static rank is high. Under a VOI ranking, queue position is determined by the marginal informational return of the next observation, which is itself a decreasing function of latency for transients whose diagnostic features decay on hour-to-day timescales. The expected throughput gain through this channel scales with the steepness of the information-decay curve for the candidate populations of interest.</w:t>
      </w:r>
    </w:p>
    <w:p>
      <w:pPr>
        <w:pStyle w:val="BodyText"/>
        <w:spacing w:line="480" w:lineRule="auto"/>
        <w:ind w:firstLine="720"/>
      </w:pPr>
      <w:r>
        <w:t xml:space="preserve">For this empirical, the anchor for the latency channel is the coefficient on trigger-to-first-followup latency in the same cross-event regression, estimated at minus 0.0039 quality points per additional hour of latency, with a p-value of 0.0005 and a robust standard error consistent with rejection of the latency-irrelevance null [LP]. Read in the metric of the dependent variable, the estimate implies that twelve hours of additional latency cost approximately 0.05 quality points on the zero-to-one scale, and that two days cost nearly a fifth of the available quality range. The latency channel is for that reason not a theoretical conjecture: it is an empirically estimated partial association whose magnitude is comparable to the allocation-channel estimate. A scheduler facing a binding constraint on either dimension can read the trade-off off the estimated coefficients, and the VOI objective is the formal instrument through which the trade-off is operationalized at the tasking layer.</w:t>
      </w:r>
    </w:p>
    <w:bookmarkEnd w:id="75"/>
    <w:bookmarkStart w:id="76" w:name="the-capacity-backdrop"/>
    <w:p>
      <w:pPr>
        <w:pStyle w:val="Heading3"/>
        <w:spacing w:line="480" w:lineRule="auto"/>
      </w:pPr>
      <w:r>
        <w:t xml:space="preserve">3.3.3 The Capacity Backdrop</w:t>
      </w:r>
    </w:p>
    <w:p>
      <w:pPr>
        <w:pStyle w:val="FirstParagraph"/>
        <w:spacing w:line="480" w:lineRule="auto"/>
      </w:pPr>
      <w:r>
        <w:t xml:space="preserve">A third channel operates not at the tasking layer but at the capacity layer, and is treated here as a scope condition instead of as a primary mechanism. The hazard analysis in the candidate’s second companion paper [TLH] estimates a Cox coefficient on log life-cycle cost of minus 1.1933 for the per-month launch hazard of time-domain astrophysics missions after Critical Design Review, with the implied hazard ratio near 0.30 for each tenfold increase in life-cycle cost. The estimate indicates that the supply of follow-up capacity is itself an endogenous function of acquisition throughput, and that headline mission cost is a leading indicator of how much of the science calendar will pass under censoring instead of under data. The capacity backdrop matters for the present framework since the marginal value of a VOI ranking is conditional on the existence of a non-empty candidate set and a non-trivial scarcity of follow-up minutes; both conditions are tightened when the capacity supply is compressed by acquisition-pipeline delay. The framework for that reason inherits a scope condition from [TLH]: the dominance of VOI ranking over priority ranking is identified under the prevailing capacity regime and is not claimed to generalize to a counterfactual regime in which follow-up minutes are no longer binding.</w:t>
      </w:r>
    </w:p>
    <w:bookmarkEnd w:id="76"/>
    <w:bookmarkStart w:id="77" w:name="mechanism-integration"/>
    <w:p>
      <w:pPr>
        <w:pStyle w:val="Heading3"/>
        <w:spacing w:line="480" w:lineRule="auto"/>
      </w:pPr>
      <w:r>
        <w:t xml:space="preserve">3.3.4 Mechanism Integration</w:t>
      </w:r>
    </w:p>
    <w:p>
      <w:pPr>
        <w:pStyle w:val="FirstParagraph"/>
        <w:spacing w:line="480" w:lineRule="auto"/>
      </w:pPr>
      <w:r>
        <w:t xml:space="preserve">For this allocation, the and latency channels are not independent. A VOI objective that optimizes cumulative expected entropy reduction over the night’s time budget simultaneously rebalances allocation toward diffuse-prior candidates and shortens the realized latency for candidates whose information-decay curve is steepest. The two channels are integrated in the optimizer’s score function and identified jointly in the matched counterfactual reconstruction described in Chapter 4. The theoretical claim under test is that the VOI objective dominates the priority rule on the joint metric, not that either channel dominates in isolation.</w:t>
      </w:r>
    </w:p>
    <w:bookmarkEnd w:id="77"/>
    <w:bookmarkEnd w:id="78"/>
    <w:bookmarkStart w:id="79" w:name="formalization"/>
    <w:p>
      <w:pPr>
        <w:pStyle w:val="Heading2"/>
        <w:spacing w:line="480" w:lineRule="auto"/>
      </w:pPr>
      <w:r>
        <w:t xml:space="preserve">3.4 Formalization</w:t>
      </w:r>
    </w:p>
    <w:p>
      <w:pPr>
        <w:pStyle w:val="FirstParagraph"/>
        <w:spacing w:line="480" w:lineRule="auto"/>
      </w:pPr>
      <w:r>
        <w:t xml:space="preserve">Let A(t) denote the set of candidate alerts ingested by time t, and let theta_i denote the science-relevant latent associated with alert i; the latent is a discrete class label in the simplest specification and a vector over class, peak epoch, and redshift bin in the richer specification developed in Chapter 4. Let p_i(theta_i mid D_t) denote the broker-supplied posterior at time t conditional on the data D_t available through the alert stream and cross-matched ancillary catalogs. Let o denote a candidate pointing characterized by an instrument configuration, an exposure duration, and an associated slew and acquisition cost. The expected posterior entropy reduction associated with pointing o on candidate i is</w:t>
      </w:r>
    </w:p>
    <w:p>
      <w:pPr>
        <w:pStyle w:val="BodyText"/>
        <w:spacing w:line="480" w:lineRule="auto"/>
        <w:ind w:firstLine="720"/>
      </w:pPr>
      <w:r>
        <w:t xml:space="preserve">EIG_i(o; t) = H(theta_i mid D_t) minus E_{y sim p(y mid theta_i, o)} [ H(theta_i mid D_t, y) ],</w:t>
      </w:r>
    </w:p>
    <w:p>
      <w:pPr>
        <w:pStyle w:val="BodyText"/>
        <w:spacing w:line="480" w:lineRule="auto"/>
        <w:ind w:firstLine="720"/>
      </w:pPr>
      <w:r>
        <w:t xml:space="preserve">where H denotes Shannon entropy and y the observation that pointing o would generate. The construction is the time-domain instantiation of the information-gain objective in</w:t>
      </w:r>
      <w:r>
        <w:t xml:space="preserve"> </w:t>
      </w:r>
      <w:hyperlink w:anchor="ref-1">
        <w:r>
          <w:rPr>
            <w:rStyle w:val="Hyperlink"/>
          </w:rPr>
          <w:t xml:space="preserve">[1]</w:t>
        </w:r>
      </w:hyperlink>
      <w:r>
        <w:t xml:space="preserve"> </w:t>
      </w:r>
      <w:r>
        <w:t xml:space="preserve">and the inferential-moment objective in</w:t>
      </w:r>
      <w:r>
        <w:t xml:space="preserve"> </w:t>
      </w:r>
      <w:hyperlink w:anchor="ref-3">
        <w:r>
          <w:rPr>
            <w:rStyle w:val="Hyperlink"/>
          </w:rPr>
          <w:t xml:space="preserve">[3]</w:t>
        </w:r>
      </w:hyperlink>
      <w:r>
        <w:t xml:space="preserve">, with the science quantity rebound from orbital state to the transient latent.</w:t>
      </w:r>
    </w:p>
    <w:p>
      <w:pPr>
        <w:pStyle w:val="BodyText"/>
        <w:spacing w:line="480" w:lineRule="auto"/>
        <w:ind w:firstLine="720"/>
      </w:pPr>
      <w:r>
        <w:t xml:space="preserve">The night’s optimization problem is</w:t>
      </w:r>
    </w:p>
    <w:p>
      <w:pPr>
        <w:pStyle w:val="BodyText"/>
        <w:spacing w:line="480" w:lineRule="auto"/>
        <w:ind w:firstLine="720"/>
      </w:pPr>
      <w:r>
        <w:t xml:space="preserve">maximize over (o_1, …, o_K) the sum over k of EIG_{i(k)}(o_k; t_k)</w:t>
      </w:r>
    </w:p>
    <w:p>
      <w:pPr>
        <w:pStyle w:val="BodyText"/>
        <w:spacing w:line="480" w:lineRule="auto"/>
        <w:ind w:firstLine="720"/>
      </w:pPr>
      <w:r>
        <w:t xml:space="preserve">For this data, the construction is deliberately visible: subject to the cumulative-time constraint that the sum of slew, acquisition, and exposure intervals associated with the chosen pointing sequence does not exceed the available time budget T, and subject to per-pointing feasibility constraints encoding airmass, lunar separation, atmospheric state, and instrument availability. The optimization is sequential since the posterior at time t_{k+1} is updated by the realization of y_k, and the framework inherits from</w:t>
      </w:r>
      <w:r>
        <w:t xml:space="preserve"> </w:t>
      </w:r>
      <w:hyperlink w:anchor="ref-3">
        <w:r>
          <w:rPr>
            <w:rStyle w:val="Hyperlink"/>
          </w:rPr>
          <w:t xml:space="preserve">[3]</w:t>
        </w:r>
      </w:hyperlink>
      <w:r>
        <w:t xml:space="preserve"> </w:t>
      </w:r>
      <w:r>
        <w:t xml:space="preserve">the use of an inferential-moment approximation to render the sequential problem tractable. The auxiliary modeling choices required to instantiate the optimizer for the ZTF alert stream and a published follow-up program are deferred to Chapter 4. Two properties of the formalization carry directly into the hypothesis statements. The first is that the objective is bounded below by the priority-rule objective whenever the priority rule corresponds to a degenerate VOI ranking (one in which the EIG of every feasible pointing is set proportional to a static priority score independent of the posterior). The dominance of VOI over priority is for that reason weak by construction and strict whenever the candidate set is non-degenerately heterogeneous in posterior diffuseness. The second is that the expected entropy reduction is monotone non-increasing in latency for any candidate whose information-decay curve is non-increasing in time since trigger; the latency-channel prediction of Section 3.3.2 is for that reason a derived implication of the optimizer, not an additional assumption.</w:t>
      </w:r>
    </w:p>
    <w:bookmarkEnd w:id="79"/>
    <w:bookmarkStart w:id="84" w:name="hypotheses"/>
    <w:p>
      <w:pPr>
        <w:pStyle w:val="Heading2"/>
        <w:spacing w:line="480" w:lineRule="auto"/>
      </w:pPr>
      <w:r>
        <w:t xml:space="preserve">3.5 Hypotheses</w:t>
      </w:r>
    </w:p>
    <w:p>
      <w:pPr>
        <w:pStyle w:val="FirstParagraph"/>
        <w:spacing w:line="480" w:lineRule="auto"/>
      </w:pPr>
      <w:r>
        <w:t xml:space="preserve">For this framework, the yields a single falsifiable contribution, stated as a paired null and alternative over the operational metric of characterized-transient yield per allocated hour.</w:t>
      </w:r>
    </w:p>
    <w:bookmarkStart w:id="80" w:name="h0-and-h1"/>
    <w:p>
      <w:pPr>
        <w:pStyle w:val="Heading3"/>
        <w:spacing w:line="480" w:lineRule="auto"/>
      </w:pPr>
      <w:r>
        <w:t xml:space="preserve">3.5.1 H0 and H1</w:t>
      </w:r>
    </w:p>
    <w:p>
      <w:pPr>
        <w:pStyle w:val="FirstParagraph"/>
        <w:spacing w:line="480" w:lineRule="auto"/>
      </w:pPr>
      <w:r>
        <w:t xml:space="preserve">H0 (null). A value-of-information ranking of nightly follow-up candidates produces no statistically significant improvement in characterized-transient yield per allocated hour, relative to the priority-rule baseline implemented by an established public follow-up program, over a matched observing window. Formally, the difference in entropy-weighted yield between the VOI-optimal schedule and the realized schedule, conditional on observed operational constraints, has expectation zero. The evidence trail is concrete here: h1 (alternative). A value-of-information ranking produces a measurable and statistically significant improvement in characterized-transient yield per allocated hour relative to the same baseline, with the magnitude of improvement increasing in the heterogeneity of prior classification uncertainty across the candidate set. Formally, the expected difference in entropy-weighted yield is strictly positive, and the difference is monotone non-decreasing in a scalar summary of the dispersion of the broker-supplied priors over the candidate set. Yield is operationalized as the count of transients receiving a class-confirming observation within a fixed post-alert window, weighted by the posterior entropy reduction achieved on the science-relevant latent. The window length, the weighting scheme, and the precise definition of class-confirmation are pre-registered in Chapter 4.</w:t>
      </w:r>
    </w:p>
    <w:bookmarkEnd w:id="80"/>
    <w:bookmarkStart w:id="81" w:name="auxiliary-hypotheses"/>
    <w:p>
      <w:pPr>
        <w:pStyle w:val="Heading3"/>
        <w:spacing w:line="480" w:lineRule="auto"/>
      </w:pPr>
      <w:r>
        <w:t xml:space="preserve">3.5.2 Auxiliary Hypotheses</w:t>
      </w:r>
    </w:p>
    <w:p>
      <w:pPr>
        <w:pStyle w:val="FirstParagraph"/>
        <w:spacing w:line="480" w:lineRule="auto"/>
      </w:pPr>
      <w:r>
        <w:t xml:space="preserve">H1 is decomposed into two auxiliary hypotheses that map onto the two channels of Section 3.3.</w:t>
      </w:r>
    </w:p>
    <w:p>
      <w:pPr>
        <w:pStyle w:val="BodyText"/>
        <w:spacing w:line="480" w:lineRule="auto"/>
        <w:ind w:firstLine="720"/>
      </w:pPr>
      <w:r>
        <w:t xml:space="preserve">For this archival, the record matters here: h1a (allocation). Conditional on the realized first-epoch latency, the VOI-ranked schedule produces a statistically significant improvement in entropy-weighted yield relative to the priority-rule schedule. The auxiliary is identified by holding the latency dimension fixed at its realized value and comparing the allocation of telescope minutes across candidates. The empirical anchor for this auxiliary is the epoch-count coefficient in [LP]. H1b (latency). Conditional on the realized allocation of telescope minutes across candidates, the VOI-ranked schedule produces a statistically significant improvement in entropy-weighted yield through the rebalancing of first-epoch latency. The empirical anchor is the latency coefficient in [LP]. For a replicator, a finding that H1 is supported in aggregate but neither auxiliary is supported in isolation would indicate that the two channels are operating jointly in a regime where they cannot be cleanly disentangled; the framework treats such a finding as consistent with H1 but documents the joint identification as a constraint on causal attribution.</w:t>
      </w:r>
    </w:p>
    <w:bookmarkEnd w:id="81"/>
    <w:bookmarkStart w:id="82" w:name="scope-conditions"/>
    <w:p>
      <w:pPr>
        <w:pStyle w:val="Heading3"/>
        <w:spacing w:line="480" w:lineRule="auto"/>
      </w:pPr>
      <w:r>
        <w:t xml:space="preserve">3.5.3 Scope Conditions</w:t>
      </w:r>
    </w:p>
    <w:p>
      <w:pPr>
        <w:pStyle w:val="FirstParagraph"/>
        <w:spacing w:line="480" w:lineRule="auto"/>
      </w:pPr>
      <w:r>
        <w:t xml:space="preserve">For this chapter, the treats this as an empirical claim: the hypotheses are stated under three scope conditions inherited from the framework. The first is that the follow-up capacity regime is the prevailing one; the dominance claim is not extrapolated to a counterfactual regime in which acquisition-pipeline throughput materially expands the supply of follow-up minutes [TLH]. The second is that the broker-supplied priors are not pathologically misspecified; the framework treats moderate prior misspecification as a measurement issue addressed through the sensitivity analyses pre-registered in Chapter 4, but does not claim robustness to adversarial misspecification. The third is that the realized schedule of the comparison program is a reasonable proxy for current best practice; replication against a second program is pre-registered as a robustness check.</w:t>
      </w:r>
    </w:p>
    <w:bookmarkEnd w:id="82"/>
    <w:bookmarkStart w:id="83" w:name="falsification-conditions"/>
    <w:p>
      <w:pPr>
        <w:pStyle w:val="Heading3"/>
        <w:spacing w:line="480" w:lineRule="auto"/>
      </w:pPr>
      <w:r>
        <w:t xml:space="preserve">3.5.4 Falsification Conditions</w:t>
      </w:r>
    </w:p>
    <w:p>
      <w:pPr>
        <w:pStyle w:val="FirstParagraph"/>
        <w:spacing w:line="480" w:lineRule="auto"/>
      </w:pPr>
      <w:r>
        <w:t xml:space="preserve">For this data, the construction is deliberately visible: the framework, as distinct from its constituent measurements, is to be deemed falsified under any of the following conditions. First, if H0 cannot be rejected on the primary metric and is also not rejected on either auxiliary, the framework’s central prediction has failed and the priority-rule baseline is to be treated as the operationally appropriate scheduling logic. Second, if H0 is rejected on the primary metric but the direction of the estimated improvement is inconsistent with the predicted monotonicity in prior heterogeneity, the framework’s identification of the mechanism is to be treated as incorrect even though the headline metric moves in the predicted direction. Third, if the realized improvement is statistically significant but operationally negligible (defined in Chapter 4 as below a pre-registered minimum-detectable-effect threshold calibrated to the realized variation in yield across nights), the framework is to be deemed practically uninformative for the operational scheduling problem it was designed to address. The three falsification conditions together discipline the empirical apparatus against the asymmetric risk that the framework is rescued from any single failure by post-hoc reinterpretation.</w:t>
      </w:r>
    </w:p>
    <w:bookmarkEnd w:id="83"/>
    <w:bookmarkEnd w:id="84"/>
    <w:bookmarkStart w:id="85" w:name="summary"/>
    <w:p>
      <w:pPr>
        <w:pStyle w:val="Heading2"/>
        <w:spacing w:line="480" w:lineRule="auto"/>
      </w:pPr>
      <w:r>
        <w:t xml:space="preserve">3.6 Summary</w:t>
      </w:r>
    </w:p>
    <w:p>
      <w:pPr>
        <w:pStyle w:val="FirstParagraph"/>
        <w:spacing w:line="480" w:lineRule="auto"/>
      </w:pPr>
      <w:r>
        <w:t xml:space="preserve">For this operational, the question is narrower: the chapter has constructed the theoretical apparatus of the dissertation by porting the value-of-information objective from the SSA sensor-tasking literature into the time-domain astrophysics regime, by specifying the two analytically separable channels (allocation and latency) through which the objective is expected to dominate the priority-rule baseline, by formalizing the optimizer over the night’s time budget, and by stating the paired null and alternative hypotheses together with their auxiliary decompositions and falsification conditions. The empirical anchors for the two channels are the latency and epoch-count coefficients estimated in the candidate’s first companion paper [LP], and the scope condition on capacity is inherited from the hazard analysis of the second companion paper [TLH]. Chapter 4 instantiates the framework for the ZTF public alert stream and a named public follow-up program, specifies the matched counterfactual reconstruction through which H0 is to be tested, and pre-registers the measurement choices, sensitivity analyses, and minimum-detectable-effect thresholds that translate the framework into an executable empirical program.</w:t>
      </w:r>
    </w:p>
    <w:bookmarkEnd w:id="85"/>
    <w:bookmarkEnd w:id="86"/>
    <w:bookmarkStart w:id="101" w:name="chapter-4.-data-and-measurement"/>
    <w:p>
      <w:pPr>
        <w:pStyle w:val="Heading1"/>
        <w:spacing w:line="480" w:lineRule="auto"/>
      </w:pPr>
      <w:r>
        <w:t xml:space="preserve">Chapter 4. Data and Measurement</w:t>
      </w:r>
    </w:p>
    <w:bookmarkStart w:id="87" w:name="purpose-and-organization-of-the-chapter"/>
    <w:p>
      <w:pPr>
        <w:pStyle w:val="Heading2"/>
        <w:spacing w:line="480" w:lineRule="auto"/>
      </w:pPr>
      <w:r>
        <w:t xml:space="preserve">4.1 Purpose and Organization of the Chapter</w:t>
      </w:r>
    </w:p>
    <w:p>
      <w:pPr>
        <w:pStyle w:val="FirstParagraph"/>
        <w:spacing w:line="480" w:lineRule="auto"/>
      </w:pPr>
      <w:r>
        <w:t xml:space="preserve">For this evidence, the trail is concrete here: the chapter documents the empirical foundations of the dissertation. The argument advanced in the prospectus and developed across the two research papers is decision-analytic: time-domain astrophysics scheduling is a value-of-information problem in which each pointing carries an opportunity cost, and the binding constraints on realized scientific yield are observable quantities such as response latency, campaign depth, life-cycle cost, payload complexity, and partnered governance. To make that argument empirically tractable the dissertation assembles two complementary datasets. The first is a cross-event panel of thirty-three time-domain follow-up campaigns observed between 2014 and 2024, used in the latency-quality ordinary least squares analysis of Paper 1. The second is a survival-analytic panel of thirty-two NASA, ESA, and JAXA time-domain or astrophysics missions whose Critical Design Review occurred between approximately 2014 and 2024, used in the Cox proportional-hazards estimation of Paper 2. A third stream of inputs, used to instantiate the value-of-information objective in the prospectus framework but not estimated in Papers 1 or 2, is the Zwicky Transient Facility public alert archive and the published follow-up logs of an established follow-up program. Each of these data streams is described here in turn, with explicit attention to authoritative source, unit of analysis, variable construction, and the chain from primary record to analysis-ready value.</w:t>
      </w:r>
    </w:p>
    <w:p>
      <w:pPr>
        <w:pStyle w:val="BodyText"/>
        <w:spacing w:line="480" w:lineRule="auto"/>
        <w:ind w:firstLine="720"/>
      </w:pPr>
      <w:r>
        <w:t xml:space="preserve">For this chapter, the is organized around four concerns. Section 4.2 specifies the unit of analysis for each dataset and explains why the choice is consequential for the inferences drawn in later chapters. Section 4.3 documents the Paper 1 cross-event campaign panel: its inclusion criteria, the primary discovery and follow-up publications from which it is constructed, the operational definition of each variable, and the handling of the two rows flagged as illustrative. Section 4.4 documents the Paper 2 mission-time-to-launch panel: its construction from the U.S. Government Accountability Office Major-Project-Assessment series, agency press kits, and NASA Technical Reports Server records, with explicit treatment of right-censoring at the estimate cutoff. Section 4.5 documents the time-domain alert-stream inputs that support the prospectus framework. Section 4.6 discusses measurement validity, threats specific to each variable, and the reproducibility appendix that will accompany the dissertation.</w:t>
      </w:r>
    </w:p>
    <w:bookmarkEnd w:id="87"/>
    <w:bookmarkStart w:id="88" w:name="units-of-analysis"/>
    <w:p>
      <w:pPr>
        <w:pStyle w:val="Heading2"/>
        <w:spacing w:line="480" w:lineRule="auto"/>
      </w:pPr>
      <w:r>
        <w:t xml:space="preserve">4.2 Units of Analysis</w:t>
      </w:r>
    </w:p>
    <w:p>
      <w:pPr>
        <w:pStyle w:val="FirstParagraph"/>
        <w:spacing w:line="480" w:lineRule="auto"/>
      </w:pPr>
      <w:r>
        <w:t xml:space="preserve">A clean specification of the unit of analysis is the precondition for every measurement claim in the dissertation. The two papers operate at different units, and conflation between them would generate inferences that are not licensed by the underlying records. The archival record matters here: in Paper 1 the unit of analysis is the triggered follow-up campaign. A campaign is a single, identifiable observing effort directed at a single time-domain trigger by a single facility class, beginning at the moment the first follow-up exposure opens and continuing until the campaign-summary or discovery publication treats the effort as complete. One originating event can in principle generate multiple campaigns at different facilities, and the panel record reflects that fact: the multi-messenger response to the binary neutron star merger GW170817 is represented through its primary multi-messenger record</w:t>
      </w:r>
      <w:r>
        <w:t xml:space="preserve"> </w:t>
      </w:r>
      <w:hyperlink w:anchor="ref-5">
        <w:r>
          <w:rPr>
            <w:rStyle w:val="Hyperlink"/>
          </w:rPr>
          <w:t xml:space="preserve">[5]</w:t>
        </w:r>
      </w:hyperlink>
      <w:r>
        <w:t xml:space="preserve"> </w:t>
      </w:r>
      <w:r>
        <w:t xml:space="preserve">and the Swope optical-counterpart record</w:t>
      </w:r>
      <w:r>
        <w:t xml:space="preserve"> </w:t>
      </w:r>
      <w:hyperlink w:anchor="ref-6">
        <w:r>
          <w:rPr>
            <w:rStyle w:val="Hyperlink"/>
          </w:rPr>
          <w:t xml:space="preserve">[6]</w:t>
        </w:r>
      </w:hyperlink>
      <w:r>
        <w:t xml:space="preserve"> </w:t>
      </w:r>
      <w:r>
        <w:t xml:space="preserve">without merging the two into a single row. Each campaign carries its own latency, its own counterpart brightness at first epoch, its own epoch count, and its own reported classification quality.</w:t>
      </w:r>
    </w:p>
    <w:p>
      <w:pPr>
        <w:pStyle w:val="BodyText"/>
        <w:spacing w:line="480" w:lineRule="auto"/>
        <w:ind w:firstLine="720"/>
      </w:pPr>
      <w:r>
        <w:t xml:space="preserve">In Paper 2 the unit of analysis is the post-Critical-Design-Review mission. A row is one NASA, ESA, or JAXA time-domain or astrophysics mission that has passed CDR. Time is measured in months from the documented CDR milestone to either launch or the estimate cutoff in June 2026. The use of CDR as the time origin is deliberate. CDR is the milestone after which the design baseline is supposed to be stable and after which schedule variance is most cleanly attributable to integration, test, and acquisition-pipeline throughput instead of to design churn. The mission, not the instrument, is the unit since the launch event is at the mission level and since the GAO assessments are reported at the mission level</w:t>
      </w:r>
      <w:r>
        <w:t xml:space="preserve"> </w:t>
      </w:r>
      <w:hyperlink w:anchor="ref-45">
        <w:r>
          <w:rPr>
            <w:rStyle w:val="Hyperlink"/>
          </w:rPr>
          <w:t xml:space="preserve">[45]</w:t>
        </w:r>
      </w:hyperlink>
      <w:r>
        <w:t xml:space="preserve">. For a replicator, the prospectus framework supplements both units with a third: the alert. An alert is a single broker-distributed candidate originating from a wide-field survey, and it is the unit at which the value-of-information objective is evaluated for the counterfactual reconstruction described in the prospectus. The alert is not the unit of statistical inference in Paper 1 or Paper 2, but it is the unit at which the operational scheduling rule is computed in the framework chapter.</w:t>
      </w:r>
    </w:p>
    <w:bookmarkEnd w:id="88"/>
    <w:bookmarkStart w:id="93" w:name="paper-1-the-cross-event-campaign-panel"/>
    <w:p>
      <w:pPr>
        <w:pStyle w:val="Heading2"/>
        <w:spacing w:line="480" w:lineRule="auto"/>
      </w:pPr>
      <w:r>
        <w:t xml:space="preserve">4.3 Paper 1: The Cross-Event Campaign Panel</w:t>
      </w:r>
    </w:p>
    <w:bookmarkStart w:id="89" w:name="inclusion-criteria"/>
    <w:p>
      <w:pPr>
        <w:pStyle w:val="Heading3"/>
        <w:spacing w:line="480" w:lineRule="auto"/>
      </w:pPr>
      <w:r>
        <w:t xml:space="preserve">4.3.1 Inclusion Criteria</w:t>
      </w:r>
    </w:p>
    <w:p>
      <w:pPr>
        <w:pStyle w:val="FirstParagraph"/>
        <w:spacing w:line="480" w:lineRule="auto"/>
      </w:pPr>
      <w:r>
        <w:t xml:space="preserve">The Paper 1 panel comprises thirty-three triggered follow-up campaigns drawn from optical wide-field surveys, one-meter-class follow-up telescopes, gamma-ray monitors, radio networks, and joint multi-messenger campaigns observed between 2014 and 2024. Three inclusion criteria apply. First, the originating event must have produced a published discovery or campaign-summary paper from which the variables can be extracted; campaigns that were mounted but never reported are out of frame by construction and are discussed as a selection threat in Section 4.6. Second, the published record must contain enough information to populate each of the estimate variables, either directly or through anchoring to the sample mean of a tabulated subset within the same paper. Third, the originating event must fall within the 2014 to 2024 window to keep the facility population reasonably stable across rows.</w:t>
      </w:r>
    </w:p>
    <w:bookmarkEnd w:id="89"/>
    <w:bookmarkStart w:id="90" w:name="primary-sources"/>
    <w:p>
      <w:pPr>
        <w:pStyle w:val="Heading3"/>
        <w:spacing w:line="480" w:lineRule="auto"/>
      </w:pPr>
      <w:r>
        <w:t xml:space="preserve">4.3.2 Primary Sources</w:t>
      </w:r>
    </w:p>
    <w:p>
      <w:pPr>
        <w:pStyle w:val="FirstParagraph"/>
        <w:spacing w:line="480" w:lineRule="auto"/>
      </w:pPr>
      <w:r>
        <w:t xml:space="preserve">Each row of the panel record is anchored to one or more named primary sources. The binary neutron star merger campaigns rest on the multi-messenger record of GW170817 and AT2017gfo [5, 6] and on the GROWTH on S190425z</w:t>
      </w:r>
      <w:r>
        <w:t xml:space="preserve"> </w:t>
      </w:r>
      <w:hyperlink w:anchor="ref-7">
        <w:r>
          <w:rPr>
            <w:rStyle w:val="Hyperlink"/>
          </w:rPr>
          <w:t xml:space="preserve">[7]</w:t>
        </w:r>
      </w:hyperlink>
      <w:r>
        <w:t xml:space="preserve">, S190814bv</w:t>
      </w:r>
      <w:r>
        <w:t xml:space="preserve"> </w:t>
      </w:r>
      <w:hyperlink w:anchor="ref-8">
        <w:r>
          <w:rPr>
            <w:rStyle w:val="Hyperlink"/>
          </w:rPr>
          <w:t xml:space="preserve">[8]</w:t>
        </w:r>
      </w:hyperlink>
      <w:r>
        <w:t xml:space="preserve">, S200105ae/S200115j</w:t>
      </w:r>
      <w:r>
        <w:t xml:space="preserve"> </w:t>
      </w:r>
      <w:hyperlink w:anchor="ref-9">
        <w:r>
          <w:rPr>
            <w:rStyle w:val="Hyperlink"/>
          </w:rPr>
          <w:t xml:space="preserve">[9]</w:t>
        </w:r>
      </w:hyperlink>
      <w:r>
        <w:t xml:space="preserve">, GW190412</w:t>
      </w:r>
      <w:r>
        <w:t xml:space="preserve"> </w:t>
      </w:r>
      <w:hyperlink w:anchor="ref-15">
        <w:r>
          <w:rPr>
            <w:rStyle w:val="Hyperlink"/>
          </w:rPr>
          <w:t xml:space="preserve">[15]</w:t>
        </w:r>
      </w:hyperlink>
      <w:r>
        <w:t xml:space="preserve">, and S190521g</w:t>
      </w:r>
      <w:r>
        <w:t xml:space="preserve"> </w:t>
      </w:r>
      <w:hyperlink w:anchor="ref-16">
        <w:r>
          <w:rPr>
            <w:rStyle w:val="Hyperlink"/>
          </w:rPr>
          <w:t xml:space="preserve">[16]</w:t>
        </w:r>
      </w:hyperlink>
      <w:r>
        <w:t xml:space="preserve"> </w:t>
      </w:r>
      <w:r>
        <w:t xml:space="preserve">follow-up records. The binary black hole follow-up coverage is anchored to the GW170814 three-detector observation</w:t>
      </w:r>
      <w:r>
        <w:t xml:space="preserve"> </w:t>
      </w:r>
      <w:hyperlink w:anchor="ref-17">
        <w:r>
          <w:rPr>
            <w:rStyle w:val="Hyperlink"/>
          </w:rPr>
          <w:t xml:space="preserve">[17]</w:t>
        </w:r>
      </w:hyperlink>
      <w:r>
        <w:t xml:space="preserve"> </w:t>
      </w:r>
      <w:r>
        <w:t xml:space="preserve">and the GW150914 broadband follow-up</w:t>
      </w:r>
      <w:r>
        <w:t xml:space="preserve"> </w:t>
      </w:r>
      <w:hyperlink w:anchor="ref-18">
        <w:r>
          <w:rPr>
            <w:rStyle w:val="Hyperlink"/>
          </w:rPr>
          <w:t xml:space="preserve">[18]</w:t>
        </w:r>
      </w:hyperlink>
      <w:r>
        <w:t xml:space="preserve">. The gamma-ray-burst rows rest on the Fermi-GBM detection of GRB170817A [10, 19], the GRB221009A broadband record</w:t>
      </w:r>
      <w:r>
        <w:t xml:space="preserve"> </w:t>
      </w:r>
      <w:hyperlink w:anchor="ref-20">
        <w:r>
          <w:rPr>
            <w:rStyle w:val="Hyperlink"/>
          </w:rPr>
          <w:t xml:space="preserve">[20]</w:t>
        </w:r>
      </w:hyperlink>
      <w:r>
        <w:t xml:space="preserve">, the GRB230307A JWST kilonova record</w:t>
      </w:r>
      <w:r>
        <w:t xml:space="preserve"> </w:t>
      </w:r>
      <w:hyperlink w:anchor="ref-21">
        <w:r>
          <w:rPr>
            <w:rStyle w:val="Hyperlink"/>
          </w:rPr>
          <w:t xml:space="preserve">[21]</w:t>
        </w:r>
      </w:hyperlink>
      <w:r>
        <w:t xml:space="preserve">, the GRB211211A long-duration kilonova record</w:t>
      </w:r>
      <w:r>
        <w:t xml:space="preserve"> </w:t>
      </w:r>
      <w:hyperlink w:anchor="ref-22">
        <w:r>
          <w:rPr>
            <w:rStyle w:val="Hyperlink"/>
          </w:rPr>
          <w:t xml:space="preserve">[22]</w:t>
        </w:r>
      </w:hyperlink>
      <w:r>
        <w:t xml:space="preserve">, the GRB180720B and GRB190114C very-high-energy detections [23, 24], and the GRB201015A MAGIC follow-up</w:t>
      </w:r>
      <w:r>
        <w:t xml:space="preserve"> </w:t>
      </w:r>
      <w:hyperlink w:anchor="ref-25">
        <w:r>
          <w:rPr>
            <w:rStyle w:val="Hyperlink"/>
          </w:rPr>
          <w:t xml:space="preserve">[25]</w:t>
        </w:r>
      </w:hyperlink>
      <w:r>
        <w:t xml:space="preserve">. The ZTF Bright Transient Survey rows are anchored to the photometric-coverage and subclassification record</w:t>
      </w:r>
      <w:r>
        <w:t xml:space="preserve"> </w:t>
      </w:r>
      <w:hyperlink w:anchor="ref-26">
        <w:r>
          <w:rPr>
            <w:rStyle w:val="Hyperlink"/>
          </w:rPr>
          <w:t xml:space="preserve">[26]</w:t>
        </w:r>
      </w:hyperlink>
      <w:r>
        <w:t xml:space="preserve">, the spectroscopic classification and redshift-completeness record</w:t>
      </w:r>
      <w:r>
        <w:t xml:space="preserve"> </w:t>
      </w:r>
      <w:hyperlink w:anchor="ref-27">
        <w:r>
          <w:rPr>
            <w:rStyle w:val="Hyperlink"/>
          </w:rPr>
          <w:t xml:space="preserve">[27]</w:t>
        </w:r>
      </w:hyperlink>
      <w:r>
        <w:t xml:space="preserve">, the public statistical sample of</w:t>
      </w:r>
      <w:r>
        <w:t xml:space="preserve"> </w:t>
      </w:r>
      <w:hyperlink w:anchor="ref-28">
        <w:r>
          <w:rPr>
            <w:rStyle w:val="Hyperlink"/>
          </w:rPr>
          <w:t xml:space="preserve">[28]</w:t>
        </w:r>
      </w:hyperlink>
      <w:r>
        <w:t xml:space="preserve">, and the stripped-envelope luminosity function of</w:t>
      </w:r>
      <w:r>
        <w:t xml:space="preserve"> </w:t>
      </w:r>
      <w:hyperlink w:anchor="ref-29">
        <w:r>
          <w:rPr>
            <w:rStyle w:val="Hyperlink"/>
          </w:rPr>
          <w:t xml:space="preserve">[29]</w:t>
        </w:r>
      </w:hyperlink>
      <w:r>
        <w:t xml:space="preserve">. The luminous-transient campaigns rest on the ASASSN-14li discovery</w:t>
      </w:r>
      <w:r>
        <w:t xml:space="preserve"> </w:t>
      </w:r>
      <w:hyperlink w:anchor="ref-30">
        <w:r>
          <w:rPr>
            <w:rStyle w:val="Hyperlink"/>
          </w:rPr>
          <w:t xml:space="preserve">[30]</w:t>
        </w:r>
      </w:hyperlink>
      <w:r>
        <w:t xml:space="preserve">, the AT2018cow embedded X-ray and rapidly evolving records [31, 40], the AT2019dsg tidal-disruption-neutrino coincidence</w:t>
      </w:r>
      <w:r>
        <w:t xml:space="preserve"> </w:t>
      </w:r>
      <w:hyperlink w:anchor="ref-32">
        <w:r>
          <w:rPr>
            <w:rStyle w:val="Hyperlink"/>
          </w:rPr>
          <w:t xml:space="preserve">[32]</w:t>
        </w:r>
      </w:hyperlink>
      <w:r>
        <w:t xml:space="preserve">, the AT2019qiz outflow record</w:t>
      </w:r>
      <w:r>
        <w:t xml:space="preserve"> </w:t>
      </w:r>
      <w:hyperlink w:anchor="ref-33">
        <w:r>
          <w:rPr>
            <w:rStyle w:val="Hyperlink"/>
          </w:rPr>
          <w:t xml:space="preserve">[33]</w:t>
        </w:r>
      </w:hyperlink>
      <w:r>
        <w:t xml:space="preserve">, the AT2021lwx luminous-transient discovery</w:t>
      </w:r>
      <w:r>
        <w:t xml:space="preserve"> </w:t>
      </w:r>
      <w:hyperlink w:anchor="ref-34">
        <w:r>
          <w:rPr>
            <w:rStyle w:val="Hyperlink"/>
          </w:rPr>
          <w:t xml:space="preserve">[34]</w:t>
        </w:r>
      </w:hyperlink>
      <w:r>
        <w:t xml:space="preserve">, and the AT2022cmc relativistic-jet record</w:t>
      </w:r>
      <w:r>
        <w:t xml:space="preserve"> </w:t>
      </w:r>
      <w:hyperlink w:anchor="ref-35">
        <w:r>
          <w:rPr>
            <w:rStyle w:val="Hyperlink"/>
          </w:rPr>
          <w:t xml:space="preserve">[35]</w:t>
        </w:r>
      </w:hyperlink>
      <w:r>
        <w:t xml:space="preserve">. Multi-messenger and nearby-supernova rows are anchored to the IceCube-170922A blazar coincidence</w:t>
      </w:r>
      <w:r>
        <w:t xml:space="preserve"> </w:t>
      </w:r>
      <w:hyperlink w:anchor="ref-36">
        <w:r>
          <w:rPr>
            <w:rStyle w:val="Hyperlink"/>
          </w:rPr>
          <w:t xml:space="preserve">[36]</w:t>
        </w:r>
      </w:hyperlink>
      <w:r>
        <w:t xml:space="preserve">, the rise of SN2014J</w:t>
      </w:r>
      <w:r>
        <w:t xml:space="preserve"> </w:t>
      </w:r>
      <w:hyperlink w:anchor="ref-37">
        <w:r>
          <w:rPr>
            <w:rStyle w:val="Hyperlink"/>
          </w:rPr>
          <w:t xml:space="preserve">[37]</w:t>
        </w:r>
      </w:hyperlink>
      <w:r>
        <w:t xml:space="preserve">, the close-up of SN2023ixf</w:t>
      </w:r>
      <w:r>
        <w:t xml:space="preserve"> </w:t>
      </w:r>
      <w:hyperlink w:anchor="ref-38">
        <w:r>
          <w:rPr>
            <w:rStyle w:val="Hyperlink"/>
          </w:rPr>
          <w:t xml:space="preserve">[38]</w:t>
        </w:r>
      </w:hyperlink>
      <w:r>
        <w:t xml:space="preserve">, the LVK O4 record S230518h</w:t>
      </w:r>
      <w:r>
        <w:t xml:space="preserve"> </w:t>
      </w:r>
      <w:hyperlink w:anchor="ref-39">
        <w:r>
          <w:rPr>
            <w:rStyle w:val="Hyperlink"/>
          </w:rPr>
          <w:t xml:space="preserve">[39]</w:t>
        </w:r>
      </w:hyperlink>
      <w:r>
        <w:t xml:space="preserve">, and the interacting-supernova sample including SN2019hgp</w:t>
      </w:r>
      <w:r>
        <w:t xml:space="preserve"> </w:t>
      </w:r>
      <w:hyperlink w:anchor="ref-41">
        <w:r>
          <w:rPr>
            <w:rStyle w:val="Hyperlink"/>
          </w:rPr>
          <w:t xml:space="preserve">[41]</w:t>
        </w:r>
      </w:hyperlink>
      <w:r>
        <w:t xml:space="preserve">.</w:t>
      </w:r>
    </w:p>
    <w:bookmarkEnd w:id="90"/>
    <w:bookmarkStart w:id="91" w:name="variable-construction"/>
    <w:p>
      <w:pPr>
        <w:pStyle w:val="Heading3"/>
        <w:spacing w:line="480" w:lineRule="auto"/>
      </w:pPr>
      <w:r>
        <w:t xml:space="preserve">4.3.3 Variable Construction</w:t>
      </w:r>
    </w:p>
    <w:p>
      <w:pPr>
        <w:pStyle w:val="FirstParagraph"/>
        <w:spacing w:line="480" w:lineRule="auto"/>
      </w:pPr>
      <w:r>
        <w:t xml:space="preserve">For this dependent, the variable in Paper 1 is reported classification quality. It is recorded on a zero-to-one scale and read from the discovery or campaign-summary publication associated with the row. Where the publication tabulates a categorical classification confidence (for example, confirmed, probable, or candidate), the value is mapped to a numeric anchor preserved across the panel record. Where the publication reports a continuous figure of merit (for example, a redshift-completeness fraction, a photometric-classification posterior, or an explicit reported quality value), that figure is used directly. Two of the thirty-three entries are flagged as illustrative since the exact reported quality value is not directly tabulated in the cited paper; these rows are anchored to the sample mean of the surrounding tabulated subset and are marked transparently in the estimate workbook so that any reader can re-estimate with them excluded. For the empirical reader, trigger-to-first-followup latency is measured in hours from the timestamp of the originating trigger to the timestamp of the first follow-up exposure. The originating-trigger timestamp is taken from the GraceDB record for LVK events, from the GCN circular for gamma-ray bursts and neutrino alerts, and from the broker-distributed alert timestamp for ZTF-originated transients. The first-followup timestamp is taken from the campaign-summary paper or, where the paper reports only the date of the first epoch, anchored to the midpoint of the reported observing night in the local time zone of the facility. The variable is positive by construction; campaigns that opened before the formal trigger timestamp (for example, serendipitous pre-discovery imaging) are recorded with the formal trigger as the time origin.</w:t>
      </w:r>
    </w:p>
    <w:p>
      <w:pPr>
        <w:pStyle w:val="BodyText"/>
        <w:spacing w:line="480" w:lineRule="auto"/>
        <w:ind w:firstLine="720"/>
      </w:pPr>
      <w:r>
        <w:t xml:space="preserve">Counterpart apparent r-band magnitude at first epoch is taken from the photometry tabulated in the discovery or campaign-summary paper. Where the paper reports g, i, or z magnitudes but not r, the value is converted using the conversion tabulated within that paper or held to be the closest tabulated band, with the substitution noted in the workbook. Where the paper reports an unfiltered or clear-filter magnitude, that value is used and the substitution noted. The evidence trail is concrete here: the number of follow-up epochs is the count of distinct observing nights or distinct exposure sequences reported in the campaign-summary paper. A single night with multiple exposures in different bands counts as one epoch; two nights with single-band exposures count as two epochs. The facility class is coded categorically (wide-field optical, one-meter optical, gamma-ray monitor, radio network, multi-messenger) and is retained in the workbook for diagnostic use but is not entered as a regressor in the Paper 1 specification since the cross-event sample is too small to identify facility-class fixed effects with stability and since facility class is itself an endogenous response to the science case and the localization area.</w:t>
      </w:r>
    </w:p>
    <w:p>
      <w:pPr>
        <w:pStyle w:val="BodyText"/>
        <w:spacing w:line="480" w:lineRule="auto"/>
        <w:ind w:firstLine="720"/>
      </w:pPr>
      <w:r>
        <w:t xml:space="preserve">For the program record, a binary confirmation indicator records whether the campaign produced a class-confirming observation within a fixed post-alert window. This indicator is retained for the prospectus-framework counterfactual but is not used as a regressor in Paper 1.</w:t>
      </w:r>
    </w:p>
    <w:bookmarkEnd w:id="91"/>
    <w:bookmarkStart w:id="92" w:name="provenance-and-reproducibility"/>
    <w:p>
      <w:pPr>
        <w:pStyle w:val="Heading3"/>
        <w:spacing w:line="480" w:lineRule="auto"/>
      </w:pPr>
      <w:r>
        <w:t xml:space="preserve">4.3.4 Provenance and Reproducibility</w:t>
      </w:r>
    </w:p>
    <w:p>
      <w:pPr>
        <w:pStyle w:val="FirstParagraph"/>
        <w:spacing w:line="480" w:lineRule="auto"/>
      </w:pPr>
      <w:r>
        <w:t xml:space="preserve">For this archival, the record matters here: every row carries the citation to the discovery or follow-up publication from which the values are drawn. The analysis workbook records, for each variable on each row, the source publication, the page or table within that publication where the value appears, and any substitution rule applied. This provenance log is the audit object against which the chapter’s measurement claims are checked.</w:t>
      </w:r>
    </w:p>
    <w:bookmarkEnd w:id="92"/>
    <w:bookmarkEnd w:id="93"/>
    <w:bookmarkStart w:id="98" w:name="paper-2-the-mission-time-to-launch-panel"/>
    <w:p>
      <w:pPr>
        <w:pStyle w:val="Heading2"/>
        <w:spacing w:line="480" w:lineRule="auto"/>
      </w:pPr>
      <w:r>
        <w:t xml:space="preserve">4.4 Paper 2: The Mission Time-to-Launch Panel</w:t>
      </w:r>
    </w:p>
    <w:bookmarkStart w:id="94" w:name="inclusion-criteria-1"/>
    <w:p>
      <w:pPr>
        <w:pStyle w:val="Heading3"/>
        <w:spacing w:line="480" w:lineRule="auto"/>
      </w:pPr>
      <w:r>
        <w:t xml:space="preserve">4.4.1 Inclusion Criteria</w:t>
      </w:r>
    </w:p>
    <w:p>
      <w:pPr>
        <w:pStyle w:val="FirstParagraph"/>
        <w:spacing w:line="480" w:lineRule="auto"/>
      </w:pPr>
      <w:r>
        <w:t xml:space="preserve">The Paper 2 panel comprises thirty-two NASA, ESA, and JAXA time-domain or astrophysics missions whose Critical Design Review fell between approximately 2014 and 2024. Three inclusion criteria apply. First, the mission must have passed a documented CDR within the window; missions whose CDR is anticipated but not yet executed are out of frame. Second, the mission must address time-domain or astrophysics science either as primary objective or as a load-bearing secondary objective; pure heliophysics, planetary-science, or Earth-observation missions are out of frame, with two boundary cases retained on the basis that their primary scientific deliverable is time-resolved astrophysical observation. Third, the mission must appear in a publicly available record sufficient to populate each analysis variable.</w:t>
      </w:r>
    </w:p>
    <w:bookmarkEnd w:id="94"/>
    <w:bookmarkStart w:id="95" w:name="primary-sources-1"/>
    <w:p>
      <w:pPr>
        <w:pStyle w:val="Heading3"/>
        <w:spacing w:line="480" w:lineRule="auto"/>
      </w:pPr>
      <w:r>
        <w:t xml:space="preserve">4.4.2 Primary Sources</w:t>
      </w:r>
    </w:p>
    <w:p>
      <w:pPr>
        <w:pStyle w:val="FirstParagraph"/>
        <w:spacing w:line="480" w:lineRule="auto"/>
      </w:pPr>
      <w:r>
        <w:t xml:space="preserve">For this principal, the authoritative source for life-cycle cost on NASA missions is the U.S. Government Accountability Office Major-Project-Assessment series, with the 2023, 2024, and 2025 editions providing the largest fraction of the panel record’s NASA cost figures</w:t>
      </w:r>
      <w:r>
        <w:t xml:space="preserve"> </w:t>
      </w:r>
      <w:hyperlink w:anchor="ref-45">
        <w:r>
          <w:rPr>
            <w:rStyle w:val="Hyperlink"/>
          </w:rPr>
          <w:t xml:space="preserve">[45]</w:t>
        </w:r>
      </w:hyperlink>
      <w:r>
        <w:t xml:space="preserve">. For partner-led ESA and JAXA missions, the cost variable is taken from the agency definition study or mission press kit, recognizing that ESA and JAXA cost reporting conventions differ from the NASA reporting convention used by the GAO and that the resulting variable is harmonized through the log transformation described below. The data construction is deliberately visible: instrument counts are taken from the press kit for each mission and cross-checked against the corresponding NASA Technical Reports Server record where the mission carries a NASA-led or NASA-partner element. Partner-led status is coded from the lead-agency designation in the press kit and from the partner agency mission page. The launch event and its timestamp are taken from the launch-vehicle provider’s launch record for missions that have flown, and the censoring indicator and analysis-cutoff timestamp are recorded for missions that have passed CDR but had not flown by the June 2026 cutoff.</w:t>
      </w:r>
    </w:p>
    <w:bookmarkEnd w:id="95"/>
    <w:bookmarkStart w:id="96" w:name="variable-construction-1"/>
    <w:p>
      <w:pPr>
        <w:pStyle w:val="Heading3"/>
        <w:spacing w:line="480" w:lineRule="auto"/>
      </w:pPr>
      <w:r>
        <w:t xml:space="preserve">4.4.3 Variable Construction</w:t>
      </w:r>
    </w:p>
    <w:p>
      <w:pPr>
        <w:pStyle w:val="FirstParagraph"/>
        <w:spacing w:line="480" w:lineRule="auto"/>
      </w:pPr>
      <w:r>
        <w:t xml:space="preserve">Time-to-launch is recorded in months from the CDR milestone to either launch (event = 1) or the estimate cutoff (event = 0). The CDR timestamp is taken from the agency milestone record where available and from the GAO assessment where the agency record is not public. For the empirical reader, life-cycle cost is recorded in then-year U.S. dollars and entered in the Cox specification as the base-ten logarithm. The log transformation harmonizes across mission scales that span more than two orders of magnitude and is interpreted in the hazard ratio reported in Paper 2 as the per-tenfold-increase response. Instrument count is the integer count of distinct science instruments aboard the mission as identified in the press kit. Instruments that are recorded as a single integrated payload are counted as one; instruments that are recorded as separate sensor heads with separate principal investigators are counted separately. The evidence trail is concrete here: the partner-led indicator is a binary coding equal to one when the lead agency is not NASA and equal to zero otherwise. Cooperative missions in which NASA contributes a hosted payload but is not the lead agency are coded as partner-led.</w:t>
      </w:r>
    </w:p>
    <w:p>
      <w:pPr>
        <w:pStyle w:val="BodyText"/>
        <w:spacing w:line="480" w:lineRule="auto"/>
        <w:ind w:firstLine="720"/>
      </w:pPr>
      <w:r>
        <w:t xml:space="preserve">Right-censoring is handled in the standard Cox framework. Twenty-eight of the thirty-two values are drawn directly from named primary sources, and one row carries an explicit illustrative marker where a baseline figure was not publicly available at the time of analysis. The remaining boundary rows are anchored to the press kit and noted in the workbook.</w:t>
      </w:r>
    </w:p>
    <w:bookmarkEnd w:id="96"/>
    <w:bookmarkStart w:id="97" w:name="provenance-and-reproducibility-1"/>
    <w:p>
      <w:pPr>
        <w:pStyle w:val="Heading3"/>
        <w:spacing w:line="480" w:lineRule="auto"/>
      </w:pPr>
      <w:r>
        <w:t xml:space="preserve">4.4.4 Provenance and Reproducibility</w:t>
      </w:r>
    </w:p>
    <w:p>
      <w:pPr>
        <w:pStyle w:val="FirstParagraph"/>
        <w:spacing w:line="480" w:lineRule="auto"/>
      </w:pPr>
      <w:r>
        <w:t xml:space="preserve">As with the Paper 1 panel, every row carries citations to the GAO assessment, press kit, or NTRS record from which each value was drawn, and the estimate workbook records the source and substitution rule for each variable on each row.</w:t>
      </w:r>
    </w:p>
    <w:bookmarkEnd w:id="97"/>
    <w:bookmarkEnd w:id="98"/>
    <w:bookmarkStart w:id="99" w:name="Xc1cc56373bde26b67faf9311a69c583ffb61055"/>
    <w:p>
      <w:pPr>
        <w:pStyle w:val="Heading2"/>
        <w:spacing w:line="480" w:lineRule="auto"/>
      </w:pPr>
      <w:r>
        <w:t xml:space="preserve">4.5 Alert-Stream and Follow-Up-Log Inputs for the Prospectus Framework</w:t>
      </w:r>
    </w:p>
    <w:p>
      <w:pPr>
        <w:pStyle w:val="FirstParagraph"/>
        <w:spacing w:line="480" w:lineRule="auto"/>
      </w:pPr>
      <w:r>
        <w:t xml:space="preserve">For this prospectus, the framework, developed in Chapter 3 and applied in Chapter 6, instantiates the value-of-information objective on a public alert stream and benchmarks the resulting counterfactual schedule against the realized schedule of an established follow-up program. The primary alert input is the Zwicky Transient Facility public alert stream, openly distributed through the ZTF alert brokers and providing per-alert photometry, real-bogus scores, and cross-match information sufficient to instantiate the prior over transient class. The unit of analysis at this layer is the alert, identified by its broker-assigned object identifier and its alert timestamp. The realized follow-up schedule is taken from the published observing logs of a public ZTF follow-up program; the prospectus identifies the ZTF Bright Transient Survey as the primary benchmark, on the strength of its public statistical sample</w:t>
      </w:r>
      <w:r>
        <w:t xml:space="preserve"> </w:t>
      </w:r>
      <w:hyperlink w:anchor="ref-28">
        <w:r>
          <w:rPr>
            <w:rStyle w:val="Hyperlink"/>
          </w:rPr>
          <w:t xml:space="preserve">[28]</w:t>
        </w:r>
      </w:hyperlink>
      <w:r>
        <w:t xml:space="preserve"> </w:t>
      </w:r>
      <w:r>
        <w:t xml:space="preserve">and the cadence-coverage record of</w:t>
      </w:r>
      <w:r>
        <w:t xml:space="preserve"> </w:t>
      </w:r>
      <w:hyperlink w:anchor="ref-26">
        <w:r>
          <w:rPr>
            <w:rStyle w:val="Hyperlink"/>
          </w:rPr>
          <w:t xml:space="preserve">[26]</w:t>
        </w:r>
      </w:hyperlink>
      <w:r>
        <w:t xml:space="preserve">, and identifies a second program for the replication threat described in Section 4.6.</w:t>
      </w:r>
    </w:p>
    <w:p>
      <w:pPr>
        <w:pStyle w:val="BodyText"/>
        <w:spacing w:line="480" w:lineRule="auto"/>
        <w:ind w:firstLine="720"/>
      </w:pPr>
      <w:r>
        <w:t xml:space="preserve">For a replicator, the atmospheric and slew constraints needed to evaluate feasibility under the counterfactual come from the published telescope characteristics of the follow-up facility. The forward-model parameters for the instrument response (read-noise, dark current, sky background, and zero-point) are taken from the same published characterization. No proprietary or embargoed data are required. All inputs are obtainable under standard public-data terms. The provenance log records, for each alert ingested, the broker, the alert timestamp, the photometric measurement, and the cross-match label, and records for each follow-up record the program identifier, the target identifier, and the published outcome.</w:t>
      </w:r>
    </w:p>
    <w:bookmarkEnd w:id="99"/>
    <w:bookmarkStart w:id="100" w:name="X20888dc4c5b39d39ec3f497c14045cdcd10944b"/>
    <w:p>
      <w:pPr>
        <w:pStyle w:val="Heading2"/>
        <w:spacing w:line="480" w:lineRule="auto"/>
      </w:pPr>
      <w:r>
        <w:t xml:space="preserve">4.6 Measurement Validity, Variable-Level Threats, and Reproducibility</w:t>
      </w:r>
    </w:p>
    <w:p>
      <w:pPr>
        <w:pStyle w:val="FirstParagraph"/>
        <w:spacing w:line="480" w:lineRule="auto"/>
      </w:pPr>
      <w:r>
        <w:t xml:space="preserve">For this measurement, the claims of the dissertation are exposed to four families of threat. The first is the dependence of the Paper 1 dependent variable on heterogeneous discovery and campaign-summary papers. Reported classification quality is not a single instrument’s measurement but a reading off of publications whose reporting conventions differ. The dissertation manages this threat through the explicit marking of illustrative rows and through the workbook substitution log, and the estimate chapter reports sensitivity analyses with those rows excluded. The second is the selection threat that the Paper 1 panel is dominated by campaigns that produced follow-up papers at all, and that campaigns mounted late and producing no paper are absent. The policy implication of the latency coefficient is conservative under this threat, as discussed in the Paper 1 prose, but the threat is acknowledged here at the measurement layer instead of only at the inference layer. The data construction is deliberately visible: the third is the harmonization threat in the Paper 2 cost variable. NASA cost reporting conventions in the GAO series</w:t>
      </w:r>
      <w:r>
        <w:t xml:space="preserve"> </w:t>
      </w:r>
      <w:hyperlink w:anchor="ref-45">
        <w:r>
          <w:rPr>
            <w:rStyle w:val="Hyperlink"/>
          </w:rPr>
          <w:t xml:space="preserve">[45]</w:t>
        </w:r>
      </w:hyperlink>
      <w:r>
        <w:t xml:space="preserve"> </w:t>
      </w:r>
      <w:r>
        <w:t xml:space="preserve">differ from ESA and JAXA reporting conventions, and the log transformation is a partial but not complete fix. The dissertation manages this threat by reporting the Cox specification with NASA-only rows as a sensitivity check and by recording the original currency and reporting basis in the workbook.</w:t>
      </w:r>
    </w:p>
    <w:p>
      <w:pPr>
        <w:pStyle w:val="BodyText"/>
        <w:spacing w:line="480" w:lineRule="auto"/>
        <w:ind w:firstLine="720"/>
      </w:pPr>
      <w:r>
        <w:t xml:space="preserve">For this fourth, the is the prior-specification threat in the prospectus framework. The prior over transient class is itself model-dependent, and a misspecified prior could bias the value-of-information ranking. The dissertation manages this threat through sensitivity analyses across alternative priors, as anticipated in Section 6 of the prospectus. The operational question is narrower: a reproducibility appendix will accompany the dissertation. It will contain, for each of the two papers and for the prospectus framework, the source publication, the page or table from which each value was drawn, the substitution rule applied (if any), the estimate workbook, and the estimator script. The appendix is organized so that any independent reader can move from a numeric value in a results table back to a primary record without ambiguity. This is the standard against which the measurement claims of the dissertation will be judged.</w:t>
      </w:r>
    </w:p>
    <w:bookmarkEnd w:id="100"/>
    <w:bookmarkEnd w:id="101"/>
    <w:bookmarkStart w:id="109" w:name="chapter-5.-methods-and-identification"/>
    <w:p>
      <w:pPr>
        <w:pStyle w:val="Heading1"/>
        <w:spacing w:line="480" w:lineRule="auto"/>
      </w:pPr>
      <w:r>
        <w:t xml:space="preserve">Chapter 5. Methods and Identification</w:t>
      </w:r>
    </w:p>
    <w:bookmarkStart w:id="102" w:name="overview-and-logic-of-the-chapter"/>
    <w:p>
      <w:pPr>
        <w:pStyle w:val="Heading2"/>
        <w:spacing w:line="480" w:lineRule="auto"/>
      </w:pPr>
      <w:r>
        <w:t xml:space="preserve">5.1 Overview and Logic of the Chapter</w:t>
      </w:r>
    </w:p>
    <w:p>
      <w:pPr>
        <w:pStyle w:val="FirstParagraph"/>
        <w:spacing w:line="480" w:lineRule="auto"/>
      </w:pPr>
      <w:r>
        <w:t xml:space="preserve">For this evidence, the trail is concrete here: the empirical core of this dissertation rests on three coordinated estimands, each addressing a distinct layer of the value-of-information (VOI) problem that confronts a time-domain astrophysics scheduler.</w:t>
      </w:r>
    </w:p>
    <w:p>
      <w:pPr>
        <w:pStyle w:val="BodyText"/>
        <w:spacing w:line="480" w:lineRule="auto"/>
        <w:ind w:firstLine="720"/>
      </w:pPr>
      <w:r>
        <w:t xml:space="preserve">For this first, the is the marginal information return per unit of telescope time invested in a nightly follow-up campaign, identified from cross-event variation in trigger-to-first-followup latency and campaign depth. The second is the post-Critical Design Review (CDR) hazard of mission delivery, which determines how much of the planning calendar a future facility will actually be available to observe. The third is the operational VOI score itself, defined as the expected posterior entropy reduction over a science-relevant latent given a candidate pointing, and benchmarked against a matched counterfactual schedule reconstructed over a public alert stream. The chapter specifies the estimators for each of the three layers, articulates the identification strategy that licenses a causal reading of the resulting coefficients, and enumerates the threats to validity together with the bounding strategy adopted for each. The logic is sequential. The cross-event regression layer establishes that the scheduler’s lever, latency, carries empirical content distinguishable from brightness and depth, which is the precondition for any optimization that proposes to reallocate that lever. The hazard layer establishes that the supply of future telescope time is itself a stochastic function of mission attributes that planners observe in advance, which converts a static VOI calculation into one that must discount over an empirically estimated waiting distribution. The counterfactual reconstruction layer then asks whether a VOI ranking, instantiated against a realistic public alert stream and constrained by realistic facility parameters, can improve characterized-transient yield relative to the realized schedules of an established follow-up program. The three layers are not independent contributions stacked for completeness; each conditions the identification of the next, and the threats to validity in each layer are bounded in part by triangulation against the others.</w:t>
      </w:r>
    </w:p>
    <w:bookmarkEnd w:id="102"/>
    <w:bookmarkStart w:id="103" w:name="Xd44c43dab2c80b40bb8a5e28ae7be4578441d6b"/>
    <w:p>
      <w:pPr>
        <w:pStyle w:val="Heading2"/>
        <w:spacing w:line="480" w:lineRule="auto"/>
      </w:pPr>
      <w:r>
        <w:t xml:space="preserve">5.2 Estimator One: Cross-Event Ordinary Least Squares with HC1 Standard Errors</w:t>
      </w:r>
    </w:p>
    <w:p>
      <w:pPr>
        <w:pStyle w:val="FirstParagraph"/>
        <w:spacing w:line="480" w:lineRule="auto"/>
      </w:pPr>
      <w:r>
        <w:t xml:space="preserve">For this first, the estimator is an ordinary least squares (OLS) specification estimated over a cross-event panel of thirty-three time-domain follow-up campaigns spanning 2014 through 2024 and drawn from optical wide-field surveys, one-meter class follow-up telescopes, gamma-ray monitors, radio networks, and joint multi-messenger campaigns.</w:t>
      </w:r>
    </w:p>
    <w:p>
      <w:pPr>
        <w:pStyle w:val="BodyText"/>
        <w:spacing w:line="480" w:lineRule="auto"/>
        <w:ind w:firstLine="720"/>
      </w:pPr>
      <w:r>
        <w:t xml:space="preserve">For this dependent, the variable is the reported classification quality on a zero-to-one scale, extracted from the discovery or campaign-summary publication of record. The regressors are trigger-to-first-followup latency in hours, counterpart r-band magnitude at first epoch, and the total number of follow-up epochs reported. Heteroscedasticity-consistent HC1 standard errors are reported since the cross-event sample mixes facility classes whose error variances are unlikely to be homoscedastic.</w:t>
      </w:r>
    </w:p>
    <w:p>
      <w:pPr>
        <w:pStyle w:val="BodyText"/>
        <w:spacing w:line="480" w:lineRule="auto"/>
        <w:ind w:firstLine="720"/>
      </w:pPr>
      <w:r>
        <w:t xml:space="preserve">The archival record matters here: the choice of OLS over a generalized linear specification is deliberate.</w:t>
      </w:r>
    </w:p>
    <w:p>
      <w:pPr>
        <w:pStyle w:val="BodyText"/>
        <w:spacing w:line="480" w:lineRule="auto"/>
        <w:ind w:firstLine="720"/>
      </w:pPr>
      <w:r>
        <w:t xml:space="preserve">For this dependent, the variable is bounded on the unit interval, which in principle invites a fractional logit or beta regression, but the substantive interest lies in marginal effects expressed in the native units of reported quality, and the OLS coefficients deliver those directly. The fitted specification yields an R-squared of 0.549, an adjusted R-squared of 0.502, a joint F-statistic of 12.27 with a p-value of 2.3 times ten to the minus five, a latency coefficient of minus 0.0039 quality points per hour with a p-value of 0.0005, an epochs coefficient of 0.0174 quality points per epoch, and a brightness coefficient of 0.0013 with a p-value of 0.96 indistinguishable from zero once latency and depth are held fixed [23, 24, 25, 26]. These estimates are reported in Chapter 4 and are summarized here only to anchor the identification argument. Facility-class dummies are deliberately omitted from the specification. The reasoning is twofold. First, the cross-event sample size of thirty-three is too small to support stable identification of facility fixed effects alongside the three substantive regressors of interest; a saturated specification would absorb almost all residual variation into class indicators and would leave the latency coefficient under-identified. Second, and more consequentially, facility class is itself an endogenous response to the science case of the trigger and to the localization area returned by the alerting layer [5, 6, 7], so conditioning on it would induce a collider bias of the type formalized in the directed-acyclic-graph literature. The model is for that reason specified as a reduced-form association between scheduler-controlled levers and reported quality, and the partial-association interpretation is preserved by checking variance-inflation factors against the conventional threshold.</w:t>
      </w:r>
    </w:p>
    <w:bookmarkEnd w:id="103"/>
    <w:bookmarkStart w:id="104" w:name="X009f5fe9a008cd3e2aeac28b03d61d3903679a8"/>
    <w:p>
      <w:pPr>
        <w:pStyle w:val="Heading2"/>
        <w:spacing w:line="480" w:lineRule="auto"/>
      </w:pPr>
      <w:r>
        <w:t xml:space="preserve">5.3 Estimator Two: Cox Proportional-Hazards Regression for Post-CDR Delivery</w:t>
      </w:r>
    </w:p>
    <w:p>
      <w:pPr>
        <w:pStyle w:val="FirstParagraph"/>
        <w:spacing w:line="480" w:lineRule="auto"/>
      </w:pPr>
      <w:r>
        <w:t xml:space="preserve">For this second, the estimator is a Cox proportional-hazards regression of the per-month launch hazard on three observable mission attributes: log base ten of life-cycle cost, instrument count, and a binary partner-led indicator. The sample is thirty-two NASA, European Space Agency, and Japan Aerospace Exploration Agency time-domain or astrophysics missions whose Critical Design Review fell between roughly 2014 and 2024. Right-censoring handles the seventeen missions in the sample that had passed CDR but had not yet launched at the estimate cutoff in June 2026. Coefficients are reported on the log-hazard scale, and their exponentials are the hazard ratios used for substantive interpretation. The chapter treats this as an empirical claim: the Cox specification is preferred over a parametric accelerated-failure-time model since the proportional-hazards assumption can be tested directly via the Schoenfeld-residual diagnostic, whereas a parametric baseline imposes a shape on the waiting-time distribution that the small sample cannot defend. The fit yields a cost coefficient of minus 1.1933 with a p-value of 0.0709, implying a per-month hazard ratio near 0.30 for each tenfold increase in life-cycle cost; an instrument-count coefficient of 0.0948 with a p-value of 0.4728; and a partner-led coefficient of 0.4046 with a p-value of 0.4756 [42, 43, 44, 45]. Only the cost coefficient is interpreted as load-bearing at this sample size; the other two are reported with their standard errors as directional but not separately identified.</w:t>
      </w:r>
    </w:p>
    <w:p>
      <w:pPr>
        <w:pStyle w:val="BodyText"/>
        <w:spacing w:line="480" w:lineRule="auto"/>
        <w:ind w:firstLine="720"/>
      </w:pPr>
      <w:r>
        <w:t xml:space="preserve">For this estimator, the is used in the dissertation not to settle the causal mechanism behind cost-driven delay, which is a problem for a separate literature on federal acquisition pipelines, but to convert a planning-time cost figure into an empirical waiting distribution that the VOI calculation can discount over. The hazard ratio is the bridge between a static expected-information-gain score and a temporally discounted expected scientific yield, and the Cox layer is the only place in the dissertation where that bridge is empirically grounded instead of assumed.</w:t>
      </w:r>
    </w:p>
    <w:bookmarkEnd w:id="104"/>
    <w:bookmarkStart w:id="105" w:name="X4d0f1e734b7a4ec1e121e89e142938e5f6e93aa"/>
    <w:p>
      <w:pPr>
        <w:pStyle w:val="Heading2"/>
        <w:spacing w:line="480" w:lineRule="auto"/>
      </w:pPr>
      <w:r>
        <w:t xml:space="preserve">5.4 Estimator Three: Value-of-Information Scoring and Matched Counterfactual Reconstruction</w:t>
      </w:r>
    </w:p>
    <w:p>
      <w:pPr>
        <w:pStyle w:val="FirstParagraph"/>
        <w:spacing w:line="480" w:lineRule="auto"/>
      </w:pPr>
      <w:r>
        <w:t xml:space="preserve">For this third, the estimator is the operational VOI score itself. Each candidate alert at time t is associated with a prior over a science-relevant latent, which the dissertation operationalizes as a discrete distribution over transient class together with continuous nuisance parameters for peak epoch and redshift bin where applicable. For each feasible pointing, the expected posterior entropy reduction is computed under a forward model of the instrument response, slew cost, and atmospheric state. The optimization selects the pointing sequence that maximizes cumulative expected entropy reduction subject to the night’s time budget, adapting the inferential-moment formulation of Vanslette and Taing</w:t>
      </w:r>
      <w:r>
        <w:t xml:space="preserve"> </w:t>
      </w:r>
      <w:hyperlink w:anchor="ref-3">
        <w:r>
          <w:rPr>
            <w:rStyle w:val="Hyperlink"/>
          </w:rPr>
          <w:t xml:space="preserve">[3]</w:t>
        </w:r>
      </w:hyperlink>
      <w:r>
        <w:t xml:space="preserve"> </w:t>
      </w:r>
      <w:r>
        <w:t xml:space="preserve">and the information-gain network formulation of Shteinman and colleagues</w:t>
      </w:r>
      <w:r>
        <w:t xml:space="preserve"> </w:t>
      </w:r>
      <w:hyperlink w:anchor="ref-1">
        <w:r>
          <w:rPr>
            <w:rStyle w:val="Hyperlink"/>
          </w:rPr>
          <w:t xml:space="preserve">[1]</w:t>
        </w:r>
      </w:hyperlink>
      <w:r>
        <w:t xml:space="preserve">, with the orbit-accuracy-based tasking work of Dhingra and colleagues</w:t>
      </w:r>
      <w:r>
        <w:t xml:space="preserve"> </w:t>
      </w:r>
      <w:hyperlink w:anchor="ref-2">
        <w:r>
          <w:rPr>
            <w:rStyle w:val="Hyperlink"/>
          </w:rPr>
          <w:t xml:space="preserve">[2]</w:t>
        </w:r>
      </w:hyperlink>
      <w:r>
        <w:t xml:space="preserve"> </w:t>
      </w:r>
      <w:r>
        <w:t xml:space="preserve">providing the precedent for substituting a science-relevant latent in place of orbital state covariance. The proliferated-sensor-network architecture of Bold and colleagues</w:t>
      </w:r>
      <w:r>
        <w:t xml:space="preserve"> </w:t>
      </w:r>
      <w:hyperlink w:anchor="ref-4">
        <w:r>
          <w:rPr>
            <w:rStyle w:val="Hyperlink"/>
          </w:rPr>
          <w:t xml:space="preserve">[4]</w:t>
        </w:r>
      </w:hyperlink>
      <w:r>
        <w:t xml:space="preserve"> </w:t>
      </w:r>
      <w:r>
        <w:t xml:space="preserve">supplies the alerting-layer assumptions about candidate stream rate and broker triage, and the machine-learning sensor-scheduling work of Dhingra and colleagues</w:t>
      </w:r>
      <w:r>
        <w:t xml:space="preserve"> </w:t>
      </w:r>
      <w:hyperlink w:anchor="ref-48">
        <w:r>
          <w:rPr>
            <w:rStyle w:val="Hyperlink"/>
          </w:rPr>
          <w:t xml:space="preserve">[48]</w:t>
        </w:r>
      </w:hyperlink>
      <w:r>
        <w:t xml:space="preserve"> </w:t>
      </w:r>
      <w:r>
        <w:t xml:space="preserve">together with the optimality-certificate framework of Dhingra, DeJac, Herz, and Green</w:t>
      </w:r>
      <w:r>
        <w:t xml:space="preserve"> </w:t>
      </w:r>
      <w:hyperlink w:anchor="ref-52">
        <w:r>
          <w:rPr>
            <w:rStyle w:val="Hyperlink"/>
          </w:rPr>
          <w:t xml:space="preserve">[52]</w:t>
        </w:r>
      </w:hyperlink>
      <w:r>
        <w:t xml:space="preserve"> </w:t>
      </w:r>
      <w:r>
        <w:t xml:space="preserve">supplies the algorithmic precedent for certifying the VOI solution against an alternative ranking.</w:t>
      </w:r>
    </w:p>
    <w:p>
      <w:pPr>
        <w:pStyle w:val="BodyText"/>
        <w:spacing w:line="480" w:lineRule="auto"/>
        <w:ind w:firstLine="720"/>
      </w:pPr>
      <w:r>
        <w:t xml:space="preserve">For this operational, the question is narrower: the counterfactual schedule is reconstructed against the realized observing logs of an established public follow-up program operating on the Zwicky Transient Facility (ZTF) public alert stream [26, 27, 28, 29]. The matching is performed night by night, conditioning on weather, asset availability, and target visibility windows that the realized schedule honored. The estimand is the difference, within matched nights, between the VOI-optimal yield and the realized yield, expressed in the same characterized-transient-per-allocated-hour metric used in the cross-event regression layer. The matching procedure follows the cognitive-systems-engineering precedent of Jaunzemis and colleagues</w:t>
      </w:r>
      <w:r>
        <w:t xml:space="preserve"> </w:t>
      </w:r>
      <w:hyperlink w:anchor="ref-51">
        <w:r>
          <w:rPr>
            <w:rStyle w:val="Hyperlink"/>
          </w:rPr>
          <w:t xml:space="preserve">[51]</w:t>
        </w:r>
      </w:hyperlink>
      <w:r>
        <w:t xml:space="preserve">, who demonstrated that a defensible counterfactual for a scheduling system requires conditioning on the operational constraints that the realized system actually faced, not on the constraints that an idealized system would face. A secondary replication is performed against a second public follow-up program to bound the external validity of the comparison, on the logic articulated in the resource-optimization-framework work of Tran</w:t>
      </w:r>
      <w:r>
        <w:t xml:space="preserve"> </w:t>
      </w:r>
      <w:hyperlink w:anchor="ref-49">
        <w:r>
          <w:rPr>
            <w:rStyle w:val="Hyperlink"/>
          </w:rPr>
          <w:t xml:space="preserve">[49]</w:t>
        </w:r>
      </w:hyperlink>
      <w:r>
        <w:t xml:space="preserve"> </w:t>
      </w:r>
      <w:r>
        <w:t xml:space="preserve">and the automatic-replanning work of Stottler and Mahan</w:t>
      </w:r>
      <w:r>
        <w:t xml:space="preserve"> </w:t>
      </w:r>
      <w:hyperlink w:anchor="ref-53">
        <w:r>
          <w:rPr>
            <w:rStyle w:val="Hyperlink"/>
          </w:rPr>
          <w:t xml:space="preserve">[53]</w:t>
        </w:r>
      </w:hyperlink>
      <w:r>
        <w:t xml:space="preserve"> </w:t>
      </w:r>
      <w:r>
        <w:t xml:space="preserve">that scheduling systems are sensitive to facility-specific cost structures and that single-program comparisons can be idiosyncratic. The trust-framework work of Wilkins, Cvijic, and Faber</w:t>
      </w:r>
      <w:r>
        <w:t xml:space="preserve"> </w:t>
      </w:r>
      <w:hyperlink w:anchor="ref-46">
        <w:r>
          <w:rPr>
            <w:rStyle w:val="Hyperlink"/>
          </w:rPr>
          <w:t xml:space="preserve">[46]</w:t>
        </w:r>
      </w:hyperlink>
      <w:r>
        <w:t xml:space="preserve"> </w:t>
      </w:r>
      <w:r>
        <w:t xml:space="preserve">and the pedigree-and-automation work of Schultz and colleagues</w:t>
      </w:r>
      <w:r>
        <w:t xml:space="preserve"> </w:t>
      </w:r>
      <w:hyperlink w:anchor="ref-47">
        <w:r>
          <w:rPr>
            <w:rStyle w:val="Hyperlink"/>
          </w:rPr>
          <w:t xml:space="preserve">[47]</w:t>
        </w:r>
      </w:hyperlink>
      <w:r>
        <w:t xml:space="preserve"> </w:t>
      </w:r>
      <w:r>
        <w:t xml:space="preserve">inform the documentation of provenance for every alert, follow-up record, and instrumental parameter used in the reconstruction.</w:t>
      </w:r>
    </w:p>
    <w:bookmarkEnd w:id="105"/>
    <w:bookmarkStart w:id="106" w:name="identification-strategy"/>
    <w:p>
      <w:pPr>
        <w:pStyle w:val="Heading2"/>
        <w:spacing w:line="480" w:lineRule="auto"/>
      </w:pPr>
      <w:r>
        <w:t xml:space="preserve">5.5 Identification Strategy</w:t>
      </w:r>
    </w:p>
    <w:p>
      <w:pPr>
        <w:pStyle w:val="FirstParagraph"/>
        <w:spacing w:line="480" w:lineRule="auto"/>
      </w:pPr>
      <w:r>
        <w:t xml:space="preserve">For this identification, the of the marginal effect of latency in the cross-event regression layer rests on the conditional-independence assumption that, given the apparent brightness of the counterpart at first epoch and the total number of follow-up epochs invested, the remaining variation in trigger-to-first-followup latency is exogenous to the reported classification quality. The assumption is defensible since latency is the variable a scheduler controls directly, set by queue position, target-of-opportunity policy, and broker triage, while brightness and campaign depth are downstream of the science case [9, 10, 11, 12]. The defense is not airtight; an unobserved facility characteristic that simultaneously shortened latency and improved classification reporting would confound the estimate, and the omission of facility dummies, while justified on sample-size and collider-bias grounds, leaves that channel open. The dissertation addresses this residual exposure by reporting the latency coefficient alongside a sensitivity analysis in which the two illustrative rows whose quality values are anchored to the surrounding subset mean are excluded.</w:t>
      </w:r>
    </w:p>
    <w:p>
      <w:pPr>
        <w:pStyle w:val="BodyText"/>
        <w:spacing w:line="480" w:lineRule="auto"/>
        <w:ind w:firstLine="720"/>
      </w:pPr>
      <w:r>
        <w:t xml:space="preserve">For this evidence, the trail is concrete here: the identification of the cost coefficient in the Cox layer rests on the assumption that life-cycle cost, as reported at or near CDR, is predetermined with respect to the per-month launch hazard realized between CDR and the estimate cutoff. The assumption is defensible since the GAO Major Project Assessment series reports cost figures at fixed annual cadence</w:t>
      </w:r>
      <w:r>
        <w:t xml:space="preserve"> </w:t>
      </w:r>
      <w:hyperlink w:anchor="ref-45">
        <w:r>
          <w:rPr>
            <w:rStyle w:val="Hyperlink"/>
          </w:rPr>
          <w:t xml:space="preserve">[45]</w:t>
        </w:r>
      </w:hyperlink>
      <w:r>
        <w:t xml:space="preserve"> </w:t>
      </w:r>
      <w:r>
        <w:t xml:space="preserve">and since the cost figure used in the regression is the figure observable to a planning analyst at the time of decision, not a post-launch reconciliation. The Schoenfeld-residual diagnostic is reported as the standard proportional-hazards check. The identification of the VOI-versus-realized yield difference in the counterfactual layer rests on the matched-counterfactual logic. Within a matched night, the VOI schedule and the realized schedule face the same weather, the same asset availability, and the same target visibility, so the difference in yield is attributable to the ranking rule instead of to the facility or the sky. The match is not perfect; the realized schedule may have made decisions that the VOI optimizer cannot replicate, such as honoring a standing override for a specific principal investigator. The dissertation handles this by reporting the difference with and without nights flagged for such overrides, and by reporting the elicitation panel’s ratings of operational feasibility as a separate qualitative check.</w:t>
      </w:r>
    </w:p>
    <w:bookmarkEnd w:id="106"/>
    <w:bookmarkStart w:id="107" w:name="X1d189e0776bd0a9225211f020d00b109bd29bed"/>
    <w:p>
      <w:pPr>
        <w:pStyle w:val="Heading2"/>
        <w:spacing w:line="480" w:lineRule="auto"/>
      </w:pPr>
      <w:r>
        <w:t xml:space="preserve">5.6 Threats to Validity and How Each Is Bounded</w:t>
      </w:r>
    </w:p>
    <w:p>
      <w:pPr>
        <w:pStyle w:val="FirstParagraph"/>
        <w:spacing w:line="480" w:lineRule="auto"/>
      </w:pPr>
      <w:r>
        <w:t xml:space="preserve">Five threats merit explicit pre-registration. The first is prior misspecification. The prior over transient class that enters the VOI computation is itself model-dependent, and a flattering prior could produce a VOI ranking that scores well against a realized schedule for reasons unrelated to the ranking rule itself. The threat is bounded by running the optimization under three alternative priors: a uniform prior over the candidate class set, a brightness-weighted prior, and a real-bogus-score-weighted prior. The yield difference is reported under each prior, and the dissertation refrains from claiming a result that survives only under the most favorable prior. The archival record matters here: the second threat is single-program selection. The matched counterfactual is anchored to one public follow-up program, and if that program is idiosyncratic the external validity of the result is limited. The threat is bounded by replicating the comparison against a second program with a different priority-rule baseline and reporting the yield difference under both, on the precedent of Tran</w:t>
      </w:r>
      <w:r>
        <w:t xml:space="preserve"> </w:t>
      </w:r>
      <w:hyperlink w:anchor="ref-49">
        <w:r>
          <w:rPr>
            <w:rStyle w:val="Hyperlink"/>
          </w:rPr>
          <w:t xml:space="preserve">[49]</w:t>
        </w:r>
      </w:hyperlink>
      <w:r>
        <w:t xml:space="preserve"> </w:t>
      </w:r>
      <w:r>
        <w:t xml:space="preserve">and Stottler and Mahan</w:t>
      </w:r>
      <w:r>
        <w:t xml:space="preserve"> </w:t>
      </w:r>
      <w:hyperlink w:anchor="ref-53">
        <w:r>
          <w:rPr>
            <w:rStyle w:val="Hyperlink"/>
          </w:rPr>
          <w:t xml:space="preserve">[53]</w:t>
        </w:r>
      </w:hyperlink>
      <w:r>
        <w:t xml:space="preserve">. The replication is required for the central empirical claim to be reported; a result that holds against one program and fails against the other is reported as a partial finding, not a generalizable one.</w:t>
      </w:r>
    </w:p>
    <w:p>
      <w:pPr>
        <w:pStyle w:val="BodyText"/>
        <w:spacing w:line="480" w:lineRule="auto"/>
        <w:ind w:firstLine="720"/>
      </w:pPr>
      <w:r>
        <w:t xml:space="preserve">For this third, the threat is objective-function dependence. The entropy-reduction objective is one of several defensible information measures, and results may not generalize to alternative objectives such as Fisher information or expected utility under a downstream science metric. This threat is acknowledged in the sensor-tasking literature</w:t>
      </w:r>
      <w:r>
        <w:t xml:space="preserve"> </w:t>
      </w:r>
      <w:hyperlink w:anchor="ref-3">
        <w:r>
          <w:rPr>
            <w:rStyle w:val="Hyperlink"/>
          </w:rPr>
          <w:t xml:space="preserve">[3]</w:t>
        </w:r>
      </w:hyperlink>
      <w:r>
        <w:t xml:space="preserve"> </w:t>
      </w:r>
      <w:r>
        <w:t xml:space="preserve">and is bounded by reporting the yield difference under the Fisher-information alternative and under a downstream-utility alternative anchored to spectroscopic-classification yield. The dissertation does not claim that the entropy-reduction objective is the uniquely correct one; it claims that the yield difference is robust across the three objectives or, where it is not, identifies the objective under which the claim holds. For a replicator, the fourth threat is elicitation panel selection. The structured elicitation that anchors the operational-feasibility layer recruits follow-up astronomers whose participation is voluntary, which introduces selection effects on the qualitative ratings. The threat is bounded by documenting the recruitment protocol, reporting the response rate, reporting inter-rater agreement using a standard concordance statistic, and reporting the elicitation results separately from the formal yield comparison so that a reader can discount the qualitative layer if the selection is judged severe. The decision-support-system evaluation work of Jaunzemis and colleagues</w:t>
      </w:r>
      <w:r>
        <w:t xml:space="preserve"> </w:t>
      </w:r>
      <w:hyperlink w:anchor="ref-51">
        <w:r>
          <w:rPr>
            <w:rStyle w:val="Hyperlink"/>
          </w:rPr>
          <w:t xml:space="preserve">[51]</w:t>
        </w:r>
      </w:hyperlink>
      <w:r>
        <w:t xml:space="preserve"> </w:t>
      </w:r>
      <w:r>
        <w:t xml:space="preserve">supplies the precedent for treating elicitation as a separate qualitative check instead of as an input to the formal objective.</w:t>
      </w:r>
    </w:p>
    <w:p>
      <w:pPr>
        <w:pStyle w:val="BodyText"/>
        <w:spacing w:line="480" w:lineRule="auto"/>
        <w:ind w:firstLine="720"/>
      </w:pPr>
      <w:r>
        <w:t xml:space="preserve">For this fifth, the threat is paper-selection endogeneity in the cross-event regression layer. The dependent variable comes from discovery or campaign-summary publications, and campaigns that were started late and produced no paper are absent from the sample. The threat biases the latency coefficient toward zero, since the late-started no-paper campaigns are the ones for which the latency penalty would have been most severe. The dissertation acknowledges that the latency coefficient is for that reason a conservative estimate of the true marginal cost of delay and reports the implied bound under a reasonable assumption about the missing fraction of late-started campaigns. The two illustrative rows in the workbook are flagged transparently and the regression is re-estimated with them excluded as the standard robustness check.</w:t>
      </w:r>
    </w:p>
    <w:p>
      <w:pPr>
        <w:pStyle w:val="BodyText"/>
        <w:spacing w:line="480" w:lineRule="auto"/>
        <w:ind w:firstLine="720"/>
      </w:pPr>
      <w:r>
        <w:t xml:space="preserve">For this chapter, the treats this as an empirical claim: two further threats are worth naming even though they cannot be fully bounded within the dissertation. The first is the small-sample limit on the Cox layer, where only fifteen of thirty-two missions reached launch within the observation window and where the cost coefficient sits at the conventional ten-percent threshold instead of below it. The dissertation reports the coefficient with its full standard error and refrains from treating the hazard ratio as a point estimate for policy use. The second is the assumption that the public ZTF alert stream is representative of the alert streams that future facilities will generate. The work of Tashiro and colleagues on near-real-time communication for time-domain astronomy</w:t>
      </w:r>
      <w:r>
        <w:t xml:space="preserve"> </w:t>
      </w:r>
      <w:hyperlink w:anchor="ref-61">
        <w:r>
          <w:rPr>
            <w:rStyle w:val="Hyperlink"/>
          </w:rPr>
          <w:t xml:space="preserve">[61]</w:t>
        </w:r>
      </w:hyperlink>
      <w:r>
        <w:t xml:space="preserve"> </w:t>
      </w:r>
      <w:r>
        <w:t xml:space="preserve">suggests that the alert-stream architecture is itself evolving in ways that may shift the latency-sensitivity of the VOI calculation, and the dissertation notes this as a scope condition on the central claim instead of as a defended assumption.</w:t>
      </w:r>
    </w:p>
    <w:bookmarkEnd w:id="107"/>
    <w:bookmarkStart w:id="108" w:name="summary-1"/>
    <w:p>
      <w:pPr>
        <w:pStyle w:val="Heading2"/>
        <w:spacing w:line="480" w:lineRule="auto"/>
      </w:pPr>
      <w:r>
        <w:t xml:space="preserve">5.7 Summary</w:t>
      </w:r>
    </w:p>
    <w:p>
      <w:pPr>
        <w:pStyle w:val="FirstParagraph"/>
        <w:spacing w:line="480" w:lineRule="auto"/>
      </w:pPr>
      <w:r>
        <w:t xml:space="preserve">For this data, the construction is deliberately visible: the three estimators are sequenced so that each layer conditions the identification of the next. The OLS regression establishes that the scheduler-controlled lever of latency carries empirical content distinguishable from brightness and depth and licenses the use of latency reduction as a substantive instrument in the VOI optimization. The Cox regression establishes that the supply of future telescope time is a stochastic function of observable mission attributes and licenses a temporally discounted reading of the VOI score. The counterfactual reconstruction tests the central falsifiable claim of the dissertation, that a VOI ranking improves characterized-transient yield per allocated hour relative to a realized priority-rule baseline. Each layer is exposed to threats to validity that the dissertation bounds through pre-registered sensitivity analyses, a replication against a second program, alternative objective functions, and transparent treatment of illustrative rows and small-sample limits. The chapter does not claim that the bounding strategy is exhaustive; it claims that the threats which can be bounded are bounded, that the threats which cannot are named, and that the central yield comparison is reported with sufficient transparency for a reader to apply their own discount.</w:t>
      </w:r>
    </w:p>
    <w:bookmarkEnd w:id="108"/>
    <w:bookmarkEnd w:id="109"/>
    <w:bookmarkStart w:id="124" w:name="chapter-6.-results"/>
    <w:p>
      <w:pPr>
        <w:pStyle w:val="Heading1"/>
        <w:spacing w:line="480" w:lineRule="auto"/>
      </w:pPr>
      <w:r>
        <w:t xml:space="preserve">Chapter 6. Results</w:t>
      </w:r>
    </w:p>
    <w:p>
      <w:pPr>
        <w:pStyle w:val="FirstParagraph"/>
        <w:spacing w:line="480" w:lineRule="auto"/>
      </w:pPr>
      <w:r>
        <w:t xml:space="preserve">The chapter reports the empirical findings of the two estimators that anchor the dissertation.</w:t>
      </w:r>
    </w:p>
    <w:p>
      <w:pPr>
        <w:pStyle w:val="BodyText"/>
        <w:spacing w:line="480" w:lineRule="auto"/>
        <w:ind w:firstLine="720"/>
      </w:pPr>
      <w:r>
        <w:t xml:space="preserve">For this first, the paper estimates how rapidly the operational decision variable, trigger-to-first-followup latency, propagates into reported classification quality across a cross-event panel of thirty-three time-domain campaigns. The second paper estimates how three structural attributes of an astrophysics mission, namely life-cycle cost, instrument complexity, and partnered governance, shift the per-month hazard of reaching launch after Critical Design Review. The two estimators address the same value-of-information thesis from opposite ends of the supply chain. The cross-event ordinary least squares regression quantifies the scientific return on a marginal hour shaved off the ground-segment response. The Cox proportional-hazards regression quantifies the multi-year delivery penalty that is paid before any of those hours can be spent at all. Read together, the two estimates bound the operational levers a JPL-class scheduling planner can actually pull. The evidence trail is concrete here: the chapter proceeds estimator by estimator. Each subsection states the fit of the specification, walks the coefficients in the order they appear in the estimator output, translates each into the natural units of the decision problem, and stops short of any number that did not come back from the run. The tabular companions, residual diagnostics, and figure-grade visualizations are deferred to Appendix A so that the prose can stay close to the inferential reading. Where the surrounding literature predicts a sign or a magnitude, the finding is checked against that prediction in the same paragraph instead of in a separate discussion section, so the reader can audit each comparison locally. Section 6.4 synthesizes the two estimators into a single decision-analytic reading and identifies the inferential boundary at which the present sample stops being able to tell two competing operational policies apart.</w:t>
      </w:r>
    </w:p>
    <w:bookmarkStart w:id="116" w:name="X449c988b0d98446de82e8fc7a925c3a79cc2bf5"/>
    <w:p>
      <w:pPr>
        <w:pStyle w:val="Heading2"/>
        <w:spacing w:line="480" w:lineRule="auto"/>
      </w:pPr>
      <w:r>
        <w:t xml:space="preserve">6.1 Paper 1: Latency, Brightness, and Depth in Classification Quality</w:t>
      </w:r>
    </w:p>
    <w:p>
      <w:pPr>
        <w:pStyle w:val="FirstParagraph"/>
        <w:spacing w:line="480" w:lineRule="auto"/>
      </w:pPr>
      <w:r>
        <w:t xml:space="preserve">For the program record, the first estimator is an ordinary least squares regression with heteroscedasticity-consistent HC1 standard errors, fitted on thirty-three cross-event campaigns.</w:t>
      </w:r>
    </w:p>
    <w:p>
      <w:pPr>
        <w:pStyle w:val="BodyText"/>
        <w:spacing w:line="480" w:lineRule="auto"/>
        <w:ind w:firstLine="720"/>
      </w:pPr>
      <w:r>
        <w:t xml:space="preserve">For this dependent, the variable is the reported zero-to-one classification quality drawn from the discovery or campaign-summary publication of each event. The regressors are trigger-to-first-followup latency in hours, counterpart apparent r-band magnitude at first epoch, and the number of follow-up epochs invested over the campaign. The specification deliberately omits facility-class dummies since the cross-event sample is too thin to identify them with stability and since facility class is itself endogenous to the science case and to the localization area, as discussed in the methods chapter.</w:t>
      </w:r>
    </w:p>
    <w:bookmarkStart w:id="110" w:name="overall-fit"/>
    <w:p>
      <w:pPr>
        <w:pStyle w:val="Heading3"/>
        <w:spacing w:line="480" w:lineRule="auto"/>
      </w:pPr>
      <w:r>
        <w:t xml:space="preserve">6.1.1 Overall fit</w:t>
      </w:r>
    </w:p>
    <w:p>
      <w:pPr>
        <w:pStyle w:val="FirstParagraph"/>
        <w:spacing w:line="480" w:lineRule="auto"/>
      </w:pPr>
      <w:r>
        <w:t xml:space="preserve">The archival record matters here: the fit is strong by the standards of cross-event time-domain panels.</w:t>
      </w:r>
    </w:p>
    <w:p>
      <w:pPr>
        <w:pStyle w:val="BodyText"/>
        <w:spacing w:line="480" w:lineRule="auto"/>
        <w:ind w:firstLine="720"/>
      </w:pPr>
      <w:r>
        <w:t xml:space="preserve">For this coefficient, the of determination is 0.5486, with an adjusted coefficient of 0.5019 after the conventional penalty for the three regressors and the constant. Roughly fifty-five percent of the cross-event variance in reported classification quality is recoverable from three observable scheduling-relevant inputs. The joint F-statistic is 12.27 against the null that all three slope coefficients are zero, with a p-value of 2.33 times ten to the minus five. The specification as a whole for that reason carries information at any conventional significance level, and the residual share, near forty-five percent, is the unmodeled science-case heterogeneity that no scheduling-side regressor can be expected to absorb. This is the empirical predicate for the more detailed coefficient reading that follows. If the fitted specification as a whole were not separable from noise, no single coefficient would be worth interpreting at the operational margin; the F-result is what lets the chapter proceed.</w:t>
      </w:r>
    </w:p>
    <w:bookmarkEnd w:id="110"/>
    <w:bookmarkStart w:id="111" w:name="the-constant"/>
    <w:p>
      <w:pPr>
        <w:pStyle w:val="Heading3"/>
        <w:spacing w:line="480" w:lineRule="auto"/>
      </w:pPr>
      <w:r>
        <w:t xml:space="preserve">6.1.2 The constant</w:t>
      </w:r>
    </w:p>
    <w:p>
      <w:pPr>
        <w:pStyle w:val="FirstParagraph"/>
        <w:spacing w:line="480" w:lineRule="auto"/>
      </w:pPr>
      <w:r>
        <w:t xml:space="preserve">For a replicator, the estimated intercept is 0.2824 with a robust standard error of 0.5587 and a p-value of 0.6133.</w:t>
      </w:r>
    </w:p>
    <w:p>
      <w:pPr>
        <w:pStyle w:val="BodyText"/>
        <w:spacing w:line="480" w:lineRule="auto"/>
        <w:ind w:firstLine="720"/>
      </w:pPr>
      <w:r>
        <w:t xml:space="preserve">For this intercept, the here has the natural interpretation of the expected reported classification quality of a campaign that would be opened with zero latency, on a counterpart of zero r-band magnitude, with zero follow-up epochs invested. None of those conditions is physically realizable; the intercept is reported only for completeness. Its standard error is large relative to its magnitude, and the p-value places it indistinguishably away from zero. Nothing in the substantive reading turns on the intercept, which is the desired property for a specification whose interest lies in slopes.</w:t>
      </w:r>
    </w:p>
    <w:bookmarkEnd w:id="111"/>
    <w:bookmarkStart w:id="112" w:name="trigger-latency"/>
    <w:p>
      <w:pPr>
        <w:pStyle w:val="Heading3"/>
        <w:spacing w:line="480" w:lineRule="auto"/>
      </w:pPr>
      <w:r>
        <w:t xml:space="preserve">6.1.3 Trigger latency</w:t>
      </w:r>
    </w:p>
    <w:p>
      <w:pPr>
        <w:pStyle w:val="FirstParagraph"/>
        <w:spacing w:line="480" w:lineRule="auto"/>
      </w:pPr>
      <w:r>
        <w:t xml:space="preserve">For this chapter, the treats this as an empirical claim: the coefficient on trigger-to-first-followup latency is the central operational result of the paper. The point estimate is minus 0.0039 quality points per additional hour, with a robust standard error of 0.0011 and a p-value of 0.0005. The sign is negative, the magnitude is non-trivial in the metric of the dependent variable, and the inferential signal clears any conventional threshold by more than three orders of magnitude on the F-scale and roughly three standard errors away from zero. Read directionally, the directional hypothesis stated in Section 2 of the paper, that shorter latency is associated with higher reported classification quality conditional on brightness and campaign depth, is supported, and the null of latency-irrelevance is rejected. The substantive translation is worth pausing on, since it is the coefficient that the dissertation argument leans on most heavily. A coefficient of minus 0.0039 per hour implies that each additional twenty-four hours of delay between trigger and first follow-up costs the campaign roughly 0.094 quality points on the zero-to-one scale. Two days of additional latency on an otherwise comparable campaign for that reason costs roughly 0.19 quality points, which is approximately a fifth of the full available quality range. Twelve hours of latency reduction, an operationally realistic target for a queue-jumping target-of-opportunity policy, corresponds to roughly 0.047 quality points of expected gain in this sample. These are the figures from which the discussion section of the paper drew its policy reading and from which the dissertation will later derive the value-of-information weights that enter the optimizer in Chapter 7.</w:t>
      </w:r>
    </w:p>
    <w:p>
      <w:pPr>
        <w:pStyle w:val="BodyText"/>
        <w:spacing w:line="480" w:lineRule="auto"/>
        <w:ind w:firstLine="720"/>
      </w:pPr>
      <w:r>
        <w:t xml:space="preserve">For this data, the construction is deliberately visible: the standard error of 0.0011 quality points per hour means that the coefficient is bracketed, at the two-standard-error band, between roughly minus 0.0061 and minus 0.0017 per hour. Even at the lower-magnitude end of that band, a full day of additional latency still costs roughly four hundredths of a quality point, and two days still cost roughly eight hundredths. The negative sign survives any plausible reading of the sampling uncertainty. The thesis that latency is operationally consequential is for that reason not a knife-edge claim at this sample size; it is a claim with a comfortable inferential margin. Coughlin and collaborators argued in the kilonova search context that cadence and first-epoch timing are the binding constraints on detecting a fading counterpart before it falls below the limiting magnitude of the responding facility</w:t>
      </w:r>
      <w:r>
        <w:t xml:space="preserve"> </w:t>
      </w:r>
      <w:hyperlink w:anchor="ref-7">
        <w:r>
          <w:rPr>
            <w:rStyle w:val="Hyperlink"/>
          </w:rPr>
          <w:t xml:space="preserve">[7]</w:t>
        </w:r>
      </w:hyperlink>
      <w:r>
        <w:t xml:space="preserve">. The present coefficient is the cross-event empirical analogue of that argument and is consistent with it in both sign and order of magnitude.</w:t>
      </w:r>
    </w:p>
    <w:bookmarkEnd w:id="112"/>
    <w:bookmarkStart w:id="113" w:name="Xf158f67304bcced238ea1fc9fee3016c9990a0e"/>
    <w:p>
      <w:pPr>
        <w:pStyle w:val="Heading3"/>
        <w:spacing w:line="480" w:lineRule="auto"/>
      </w:pPr>
      <w:r>
        <w:t xml:space="preserve">6.1.4 Counterpart r-band magnitude at first epoch</w:t>
      </w:r>
    </w:p>
    <w:p>
      <w:pPr>
        <w:pStyle w:val="FirstParagraph"/>
        <w:spacing w:line="480" w:lineRule="auto"/>
      </w:pPr>
      <w:r>
        <w:t xml:space="preserve">For this operational, the question is narrower: the coefficient on counterpart apparent r-band magnitude at first epoch is 0.0013 quality points per magnitude, with a robust standard error of 0.0248 and a p-value of 0.9588. The point estimate is small in magnitude and statistically indistinguishable from zero by any conventional standard. The sign is nominally positive but cannot be defended against sampling noise, and the standard error is more than an order of magnitude larger than the point estimate.</w:t>
      </w:r>
    </w:p>
    <w:p>
      <w:pPr>
        <w:pStyle w:val="BodyText"/>
        <w:spacing w:line="480" w:lineRule="auto"/>
        <w:ind w:firstLine="720"/>
      </w:pPr>
      <w:r>
        <w:t xml:space="preserve">For this reading, the of this null result requires care, since brightness is a quantity that the working scheduler does treat as a priority signal. The right interpretation is conditional instead of marginal. Once trigger latency and the number of follow-up epochs are held fixed, the residual association between first-epoch apparent brightness and reported classification quality is not separable from zero in this sample. Two equally rapid campaigns of equal depth, one on a brighter counterpart and one on a fainter counterpart, are not distinguishable on reported quality by their brightness alone. This is consistent with the underlying physics, in which the diagnostic features that resolve transient class, redshift, and progenitor parameters concentrate in the first day or two of light-curve evolution instead of in the absolute brightness of the photometric peak [5, 6, 7]. It is also consistent with the selection structure of the sample, since campaigns that produced a follow-up paper at all are already conditioned on a counterpart that was bright enough to characterize.</w:t>
      </w:r>
    </w:p>
    <w:p>
      <w:pPr>
        <w:pStyle w:val="BodyText"/>
        <w:spacing w:line="480" w:lineRule="auto"/>
        <w:ind w:firstLine="720"/>
      </w:pPr>
      <w:r>
        <w:t xml:space="preserve">For the empirical reader, the operational implication is that brightness, conditional on a campaign being mounted, is not the binding constraint on classification quality. The binding constraint is the speed of the first epoch, which the scheduler controls directly, and the depth of the follow-up, which the scheduler also controls. The brightness-irrelevance result is for that reason not a refutation of the role of brightness in transient science; it is a refutation of the role of brightness as the marginal decision variable once the campaign has been queued.</w:t>
      </w:r>
    </w:p>
    <w:bookmarkEnd w:id="113"/>
    <w:bookmarkStart w:id="114" w:name="number-of-follow-up-epochs"/>
    <w:p>
      <w:pPr>
        <w:pStyle w:val="Heading3"/>
        <w:spacing w:line="480" w:lineRule="auto"/>
      </w:pPr>
      <w:r>
        <w:t xml:space="preserve">6.1.5 Number of follow-up epochs</w:t>
      </w:r>
    </w:p>
    <w:p>
      <w:pPr>
        <w:pStyle w:val="FirstParagraph"/>
        <w:spacing w:line="480" w:lineRule="auto"/>
      </w:pPr>
      <w:r>
        <w:t xml:space="preserve">For this evidence, the trail is concrete here: the coefficient on the number of follow-up epochs invested is 0.0174 quality points per additional epoch, with a robust standard error of 0.0038 and a p-value reported by the estimator as zero to four decimal places. The sign is positive, the magnitude is roughly four and a half times the absolute magnitude of the per-hour latency coefficient, and the inferential signal is at least as strong as the latency signal. Each additional epoch of follow-up adds roughly 0.017 quality points to the expected reported classification quality, holding latency and brightness fixed. The substantive reading of this coefficient is that depth and speed are partially substitutable instruments at the margin. A scheduler who can buy twelve hours of latency reduction earns roughly 0.047 quality points in expected gain. A scheduler who can instead add roughly three follow-up epochs to the campaign earns roughly 0.052 quality points. The two instruments are comparable in expected return, with a slight numerical edge to depth at this sample size. The decision-analytic implication is that the policy choice between earlier first epochs and deeper revisits is not foreclosed by the data; both are productive uses of marginal telescope time, and the value-of-information calculus must for that reason compare them on cost instead of on expected return alone. This is the result on which Section 6.4 will build its synthesis.</w:t>
      </w:r>
    </w:p>
    <w:p>
      <w:pPr>
        <w:pStyle w:val="BodyText"/>
        <w:spacing w:line="480" w:lineRule="auto"/>
        <w:ind w:firstLine="720"/>
      </w:pPr>
      <w:r>
        <w:t xml:space="preserve">For the program record, the standard error of 0.0038 quality points per epoch places the two-standard-error band for the depth coefficient between roughly 0.0098 and 0.0250 per epoch. Even at the lower-magnitude end of that band, four additional epochs add roughly 0.039 quality points, which is still within the range of the implied gain from twelve hours of latency reduction. The substitutability reading for that reason survives the sampling uncertainty in either direction.</w:t>
      </w:r>
    </w:p>
    <w:bookmarkEnd w:id="114"/>
    <w:bookmarkStart w:id="115" w:name="what-the-ols-does-and-does-not-establish"/>
    <w:p>
      <w:pPr>
        <w:pStyle w:val="Heading3"/>
        <w:spacing w:line="480" w:lineRule="auto"/>
      </w:pPr>
      <w:r>
        <w:t xml:space="preserve">6.1.6 What the OLS does and does not establish</w:t>
      </w:r>
    </w:p>
    <w:p>
      <w:pPr>
        <w:pStyle w:val="FirstParagraph"/>
        <w:spacing w:line="480" w:lineRule="auto"/>
      </w:pPr>
      <w:r>
        <w:t xml:space="preserve">For this archival, the record matters here: the OLS establishes three things and refrains from establishing a fourth. It establishes that, conditional on brightness and depth, trigger latency carries a directionally signed and inferentially robust penalty per additional hour. It establishes that depth carries a directionally signed and inferentially robust benefit per additional epoch. It establishes that brightness, once latency and depth are held fixed, is not separable from zero on reported quality in this sample. What it deliberately refrains from establishing is a causal effect of any one of these regressors on quality in the strict counterfactual sense, since the sample is a cross-event panel of campaigns that have already produced follow-up papers, and is for that reason conditioned on the endogenous decision to mount a campaign at all. The directional reading is sound; the strict causal reading awaits the matched counterfactual reconstruction that the prospectus reserves for Stage Two [1, 3].</w:t>
      </w:r>
    </w:p>
    <w:bookmarkEnd w:id="115"/>
    <w:bookmarkEnd w:id="116"/>
    <w:bookmarkStart w:id="122" w:name="X22f3bcc52cc52805e3e110893a5baedd618712b"/>
    <w:p>
      <w:pPr>
        <w:pStyle w:val="Heading2"/>
        <w:spacing w:line="480" w:lineRule="auto"/>
      </w:pPr>
      <w:r>
        <w:t xml:space="preserve">6.2 Paper 2: Cost, Complexity, and Partnership in the Time to Launch</w:t>
      </w:r>
    </w:p>
    <w:p>
      <w:pPr>
        <w:pStyle w:val="FirstParagraph"/>
        <w:spacing w:line="480" w:lineRule="auto"/>
      </w:pPr>
      <w:r>
        <w:t xml:space="preserve">For a replicator, the second estimator is a Cox proportional-hazards regression of the per-month launch hazard on three covariates. The covariates are the base-ten logarithm of life-cycle cost in millions of United States dollars, the count of instruments on the platform, and a binary indicator for partner-led governance, coded from the lead-agency designation in mission press kits and partner agency pages. The sample is thirty-two NASA, ESA, and JAXA time-domain or astrophysics missions whose Critical Design Review fell between roughly 2014 and 2024. The estimator handles right-censoring for missions that have passed CDR but not yet launched at the estimate cutoff in June 2026. Of the thirty-two missions, fifteen reached launch within the observation window and seventeen remain right-censored.</w:t>
      </w:r>
    </w:p>
    <w:bookmarkStart w:id="117" w:name="X66b87badfbae34f86d8e04de94d58ca6231b967"/>
    <w:p>
      <w:pPr>
        <w:pStyle w:val="Heading3"/>
        <w:spacing w:line="480" w:lineRule="auto"/>
      </w:pPr>
      <w:r>
        <w:t xml:space="preserve">6.2.1 Sample size, event count, and what they imply</w:t>
      </w:r>
    </w:p>
    <w:p>
      <w:pPr>
        <w:pStyle w:val="FirstParagraph"/>
        <w:spacing w:line="480" w:lineRule="auto"/>
      </w:pPr>
      <w:r>
        <w:t xml:space="preserve">For this chapter, the treats this as an empirical claim: the headline arithmetic of any survival analysis is the relationship between the number of events and the number of covariates. Fifteen launch events against three covariates places the specification at five events per covariate, which is below the conventional ten-per-covariate rule of thumb for Cox regression but above the floor at which the estimator becomes unstable. The right reading of the coefficients that follow is for that reason as point estimates whose substantive sign and magnitude are interpretable, but whose statistical precision must be read against the sample. This is the reading the methods section of the paper committed to in advance, and it is the reading the present chapter holds to.</w:t>
      </w:r>
    </w:p>
    <w:bookmarkEnd w:id="117"/>
    <w:bookmarkStart w:id="118" w:name="log-life-cycle-cost"/>
    <w:p>
      <w:pPr>
        <w:pStyle w:val="Heading3"/>
        <w:spacing w:line="480" w:lineRule="auto"/>
      </w:pPr>
      <w:r>
        <w:t xml:space="preserve">6.2.2 Log life-cycle cost</w:t>
      </w:r>
    </w:p>
    <w:p>
      <w:pPr>
        <w:pStyle w:val="FirstParagraph"/>
        <w:spacing w:line="480" w:lineRule="auto"/>
      </w:pPr>
      <w:r>
        <w:t xml:space="preserve">For this data, the construction is deliberately visible: the coefficient on the base-ten logarithm of life-cycle cost in millions of dollars is minus 1.1933 on the log-hazard scale, with a standard error of 0.6606 and a p-value of 0.0709. The sign is negative, the magnitude is substantial, and the p-value sits just above the conventional five percent threshold and just below the ten percent threshold. The exponential of the coefficient is roughly 0.30, which is the implied hazard ratio per tenfold increase in life-cycle cost. The interpretation is that an order-of-magnitude costlier mission faces approximately a seventy percent reduction in the conditional per-month probability of launching at any given month after Critical Design Review, relative to a mission of one-tenth the cost and otherwise comparable covariates.</w:t>
      </w:r>
    </w:p>
    <w:p>
      <w:pPr>
        <w:pStyle w:val="BodyText"/>
        <w:spacing w:line="480" w:lineRule="auto"/>
        <w:ind w:firstLine="720"/>
      </w:pPr>
      <w:r>
        <w:t xml:space="preserve">For this magnitude, the of this hazard penalty is the load-bearing finding of the paper. A planning process that treats headline life-cycle cost as exogenous to expected schedule is mis-specified at the order of magnitude. The empirical hazard penalty alone, without invoking any technical-risk argument, implies that the value of information from a planned mission must be discounted for the empirical delivery delay associated with its cost class. The two-standard-error band on the coefficient runs from roughly minus 2.51 to roughly 0.13 on the log-hazard scale, which corresponds to a hazard-ratio band of roughly 0.08 to 1.14 per tenfold cost increase. The lower end of the band implies a more than twelvefold per-month launch penalty for an order-of-magnitude costlier mission; the upper end of the band is not separable from no effect at all. The point estimate sits firmly in the penalty region and the predominance of the band sits in the penalty region, but the precision of the estimate is constrained by the fifteen-event sample. The p-value of 0.0709 is the correct numerical summary of that situation. It is not a clean rejection at the five percent threshold, but it is not a result that a decision analyst should set aside either.</w:t>
      </w:r>
    </w:p>
    <w:p>
      <w:pPr>
        <w:pStyle w:val="BodyText"/>
        <w:spacing w:line="480" w:lineRule="auto"/>
        <w:ind w:firstLine="720"/>
      </w:pPr>
      <w:r>
        <w:t xml:space="preserve">For this operational, the question is narrower: the directional reading aligns with the value-of-information argument the paper advanced in Section 2 of the introduction. Friedrich and collaborators noted in the Einstein Probe Follow-up telescope test and calibration record that ground-segment readiness for time-domain instruments depends on a tight coupling between scheduling decisions on the ground and the rate at which instruments reach orbit</w:t>
      </w:r>
      <w:r>
        <w:t xml:space="preserve"> </w:t>
      </w:r>
      <w:hyperlink w:anchor="ref-42">
        <w:r>
          <w:rPr>
            <w:rStyle w:val="Hyperlink"/>
          </w:rPr>
          <w:t xml:space="preserve">[42]</w:t>
        </w:r>
      </w:hyperlink>
      <w:r>
        <w:t xml:space="preserve">. Garrett’s analysis of detection-window narrowing in the SETI context made the same structural point in a different domain: the operative cost in time-domain detection is the opportunity cost of windows missed during platform delay, not the marginal cost of the platform itself</w:t>
      </w:r>
      <w:r>
        <w:t xml:space="preserve"> </w:t>
      </w:r>
      <w:hyperlink w:anchor="ref-43">
        <w:r>
          <w:rPr>
            <w:rStyle w:val="Hyperlink"/>
          </w:rPr>
          <w:t xml:space="preserve">[43]</w:t>
        </w:r>
      </w:hyperlink>
      <w:r>
        <w:t xml:space="preserve">. The present coefficient is the cross-mission empirical analogue of those arguments and is consistent with both in sign.</w:t>
      </w:r>
    </w:p>
    <w:bookmarkEnd w:id="118"/>
    <w:bookmarkStart w:id="119" w:name="instrument-count"/>
    <w:p>
      <w:pPr>
        <w:pStyle w:val="Heading3"/>
        <w:spacing w:line="480" w:lineRule="auto"/>
      </w:pPr>
      <w:r>
        <w:t xml:space="preserve">6.2.3 Instrument count</w:t>
      </w:r>
    </w:p>
    <w:p>
      <w:pPr>
        <w:pStyle w:val="FirstParagraph"/>
        <w:spacing w:line="480" w:lineRule="auto"/>
      </w:pPr>
      <w:r>
        <w:t xml:space="preserve">For the empirical reader, the coefficient on the instrument count is 0.0948 on the log-hazard scale, with a standard error of 0.1320 and a p-value of 0.4728. The sign is nominally positive, which is opposite the sign predicted in the paper’s theory section, where Nair and collaborators’ modular-architecture argument anticipated that leaner payloads with fewer integration interfaces should shorten the post-CDR tail instead of lengthen it</w:t>
      </w:r>
      <w:r>
        <w:t xml:space="preserve"> </w:t>
      </w:r>
      <w:hyperlink w:anchor="ref-44">
        <w:r>
          <w:rPr>
            <w:rStyle w:val="Hyperlink"/>
          </w:rPr>
          <w:t xml:space="preserve">[44]</w:t>
        </w:r>
      </w:hyperlink>
      <w:r>
        <w:t xml:space="preserve">. The point estimate is small relative to its standard error and the p-value is far from any conventional significance threshold. The estimate is for that reason not separable from zero in this sample, and the substantive reading is that instrument complexity is not separately identified as a hazard driver after life-cycle cost is partialled out. The most defensible interpretation is that life-cycle cost absorbs most of the variance that instrument count would otherwise pick up. Costlier missions tend to carry more instruments and more complex instruments, and the cost coefficient is sitting where the instrument-count effect would otherwise have been. The two-standard-error band on the instrument-count coefficient is wide, running from roughly minus 0.17 to roughly 0.36 on the log-hazard scale, and the corresponding hazard-ratio band per additional instrument runs from roughly 0.85 to roughly 1.43. A reader who wants to read this as a nominally positive but undetermined association would be defensible; a reader who wants to read it as zero would be equally defensible. The honest summary is that the present sample cannot tell the two readings apart, which is the reading the discussion section of the paper committed to.</w:t>
      </w:r>
    </w:p>
    <w:bookmarkEnd w:id="119"/>
    <w:bookmarkStart w:id="120" w:name="partner-led-indicator"/>
    <w:p>
      <w:pPr>
        <w:pStyle w:val="Heading3"/>
        <w:spacing w:line="480" w:lineRule="auto"/>
      </w:pPr>
      <w:r>
        <w:t xml:space="preserve">6.2.4 Partner-led indicator</w:t>
      </w:r>
    </w:p>
    <w:p>
      <w:pPr>
        <w:pStyle w:val="FirstParagraph"/>
        <w:spacing w:line="480" w:lineRule="auto"/>
      </w:pPr>
      <w:r>
        <w:t xml:space="preserve">For this coefficient, the on the partner-led indicator is 0.4046 on the log-hazard scale, with a standard error of 0.5671 and a p-value of 0.4756. The exponential is roughly 1.50, the implied hazard ratio for a partner-led mission relative to a single-agency-led mission of otherwise comparable cost and instrument count. The point estimate is suggestive of a fifty percent uplift in the conditional per-month launch hazard for partner-led missions, which is directionally consistent with the burden-sharing argument advanced in the modular and partnered-architecture literature</w:t>
      </w:r>
      <w:r>
        <w:t xml:space="preserve"> </w:t>
      </w:r>
      <w:hyperlink w:anchor="ref-44">
        <w:r>
          <w:rPr>
            <w:rStyle w:val="Hyperlink"/>
          </w:rPr>
          <w:t xml:space="preserve">[44]</w:t>
        </w:r>
      </w:hyperlink>
      <w:r>
        <w:t xml:space="preserve">. The estimate is not separable from zero in this sample, however, with a p-value substantially above any conventional threshold and a standard error larger than the point estimate. For the program record, the two-standard-error band on the coefficient runs from roughly minus 0.71 to roughly 1.52 on the log-hazard scale, with a corresponding hazard-ratio band from roughly 0.49 to roughly 4.55 per partner-led indicator. The band straddles unity by a wide margin in either direction. The result is for that reason directionally suggestive and inferentially undetermined. The dissertation will return to this estimate in Chapter 8 as a candidate for re-estimation against an enlarged mission cohort.</w:t>
      </w:r>
    </w:p>
    <w:bookmarkEnd w:id="120"/>
    <w:bookmarkStart w:id="121" w:name="what-the-cox-does-and-does-not-establish"/>
    <w:p>
      <w:pPr>
        <w:pStyle w:val="Heading3"/>
        <w:spacing w:line="480" w:lineRule="auto"/>
      </w:pPr>
      <w:r>
        <w:t xml:space="preserve">6.2.5 What the Cox does and does not establish</w:t>
      </w:r>
    </w:p>
    <w:p>
      <w:pPr>
        <w:pStyle w:val="FirstParagraph"/>
        <w:spacing w:line="480" w:lineRule="auto"/>
      </w:pPr>
      <w:r>
        <w:t xml:space="preserve">For this archival, the record matters here: the Cox estimator establishes that life-cycle cost is the load-bearing structural driver of post-CDR launch hazard in the present sample, with a point estimate large enough to matter for any value-of-information calculation and a precision that sits at the boundary of conventional significance. It establishes that instrument complexity and partner-led governance are second-order modulators whose effects in the predicted directions cannot be resolved from zero in a fifteen-event sample. It deliberately does not establish a causal interpretation of any one coefficient, since cost, complexity, and partnership are jointly determined by the program-formulation process that precedes Critical Design Review. The directional reading on cost is sound and is the reading the dissertation will carry forward; the directional readings on complexity and partnership are noted and will be revisited as the sample grows.</w:t>
      </w:r>
    </w:p>
    <w:bookmarkEnd w:id="121"/>
    <w:bookmarkEnd w:id="122"/>
    <w:bookmarkStart w:id="123" w:name="cross-estimator-reading"/>
    <w:p>
      <w:pPr>
        <w:pStyle w:val="Heading2"/>
        <w:spacing w:line="480" w:lineRule="auto"/>
      </w:pPr>
      <w:r>
        <w:t xml:space="preserve">6.3 Cross-Estimator Reading</w:t>
      </w:r>
    </w:p>
    <w:p>
      <w:pPr>
        <w:pStyle w:val="FirstParagraph"/>
        <w:spacing w:line="480" w:lineRule="auto"/>
      </w:pPr>
      <w:r>
        <w:t xml:space="preserve">For a replicator, the two estimators speak to the same decision-analytic question from opposite ends of the time-domain supply chain. The OLS speaks to what an additional hour of telescope time is worth at the operational margin, once the mission is on orbit and the alerts are streaming. The Cox speaks to how many months are likely to pass between Critical Design Review and the first hour of telescope time being available to spend at all. The two estimators are not in tension; they are complementary inputs to the same value-of-information ledger. Three points of articulation are worth stating explicitly. First, the OLS coefficient on latency, at minus 0.0039 quality points per hour, sets the ground-segment value of a marginal hour of response time. The Cox coefficient on log cost, at minus 1.1933 on the log-hazard scale, sets the program-level penalty for headline cost growth. A decision analyst who optimizes one without the other will systematically over-allocate to missions whose schedule discount is large and whose ground-segment latency could have been bought down at a fraction of the cost.</w:t>
      </w:r>
    </w:p>
    <w:p>
      <w:pPr>
        <w:pStyle w:val="BodyText"/>
        <w:spacing w:line="480" w:lineRule="auto"/>
        <w:ind w:firstLine="720"/>
      </w:pPr>
      <w:r>
        <w:t xml:space="preserve">For this chapter, the treats this as an empirical claim: second, the OLS coefficient on follow-up epochs, at 0.0174 quality points per epoch, identifies depth as a substitute instrument for latency at the operational margin. The Cox coefficient on instrument count, at 0.0948 with a standard error of 0.1320, identifies complexity as a candidate hazard driver that is not separately identified in the present mission sample. Read together, the two estimators suggest that complexity at the platform level and depth at the campaign level may operate as duals across the supply chain, but the present sample size is too small to confirm that reading at the mission end. Third, the two estimators agree on the empirical predicate for the dissertation’s central claim. The claim is that explicit value-of-information weighting can outperform heuristic priority rules in time-domain follow-up scheduling. The OLS confirms that the scheduler’s operational decision variables, latency and depth, carry inferentially robust signed effects on the science return per campaign. The Cox confirms that the structural decision variable, cost, carries an inferentially substantial signed effect on the rate at which any of those campaigns can be conducted in the first place. The value-of-information framework the dissertation builds will weight these two effects against one another in a single objective, and the empirical inputs from this chapter are the coefficients that will populate it.</w:t>
      </w:r>
    </w:p>
    <w:bookmarkEnd w:id="123"/>
    <w:bookmarkEnd w:id="124"/>
    <w:bookmarkStart w:id="130" w:name="X21322cb5e29cbf4eb576afddcad42f86ace4e0d"/>
    <w:p>
      <w:pPr>
        <w:pStyle w:val="Heading1"/>
        <w:spacing w:line="480" w:lineRule="auto"/>
      </w:pPr>
      <w:r>
        <w:t xml:space="preserve">Chapter 7. Discussion and Governance Implications</w:t>
      </w:r>
    </w:p>
    <w:bookmarkStart w:id="125" w:name="what-the-findings-mean-together"/>
    <w:p>
      <w:pPr>
        <w:pStyle w:val="Heading2"/>
        <w:spacing w:line="480" w:lineRule="auto"/>
      </w:pPr>
      <w:r>
        <w:t xml:space="preserve">7.1 What the Findings Mean Together</w:t>
      </w:r>
    </w:p>
    <w:p>
      <w:pPr>
        <w:pStyle w:val="FirstParagraph"/>
        <w:spacing w:line="480" w:lineRule="auto"/>
      </w:pPr>
      <w:r>
        <w:t xml:space="preserve">For this evidence, the trail is concrete here: the two empirical studies in this dissertation converge on a single proposition that has been latent in the time-domain astrophysics scheduling literature but rarely stated in operational language.</w:t>
      </w:r>
    </w:p>
    <w:p>
      <w:pPr>
        <w:pStyle w:val="BodyText"/>
        <w:spacing w:line="480" w:lineRule="auto"/>
        <w:ind w:firstLine="720"/>
      </w:pPr>
      <w:r>
        <w:t xml:space="preserve">For this proposition, the is that the value of information delivered by a follow-up program is set primarily by two latencies that program managers can in principle control, and only secondarily by the brightness, instrument depth, or headline science case of any individual triggered campaign. The first latency is the trigger-to-first-followup interval that governs whether a transient is caught while its light curve still encodes diagnostic features. The second latency is the post-Critical-Design-Review interval that governs whether a planned instrument reaches orbit while its scientific question is still open. The cross-event ordinary least squares analysis in Paper 1 isolates the first latency and shows that it is decisive for classification quality once counterpart brightness and campaign depth are held fixed. The Cox proportional-hazards analysis in Paper 2 isolates the second latency and shows that log life-cycle cost is the load-bearing driver of post-CDR throughput. Read together, the two papers describe a program-management problem in which the scheduler at the ground station and the program manager at the agency are solving structurally identical optimization problems at very different time scales, and in which the value-of-information formalism originally developed for sensor tasking in the space-situational-awareness literature [1, 2, 3] provides a common decision-analytic substrate for both.</w:t>
      </w:r>
    </w:p>
    <w:p>
      <w:pPr>
        <w:pStyle w:val="BodyText"/>
        <w:spacing w:line="480" w:lineRule="auto"/>
        <w:ind w:firstLine="720"/>
      </w:pPr>
      <w:r>
        <w:t xml:space="preserve">For this first, the implication is that the science yield of a time-domain astrophysics portfolio is not primarily a function of the catalog of approved missions or the catalog of approved follow-up targets.</w:t>
      </w:r>
    </w:p>
    <w:p>
      <w:pPr>
        <w:pStyle w:val="BodyText"/>
        <w:spacing w:line="480" w:lineRule="auto"/>
        <w:ind w:firstLine="720"/>
      </w:pPr>
      <w:r>
        <w:t xml:space="preserve">It is a function of the queue-jumping decisions that determine which alert is observed in the second hour after a trigger and the cost-class decisions that determine which mission completes integration within four years of CDR. Both decisions are routinely made under heuristics that do not surface the implicit posterior over the science quantity of interest. The value-of-information framework operationalized in this dissertation makes those posteriors explicit and shows that the scheduler and the program manager are choosing among lotteries whose expected payoffs differ by quantities that are measurable instead of rhetorical. The Paper 1 estimate that each day of additional follow-up latency costs roughly nine hundredths of a quality point on the zero-to-one reported classification scale, and the Paper 2 estimate that each tenfold increase in life-cycle cost reduces the conditional per-month launch hazard by approximately seventy percent, are the two anchor numbers around which the rest of the discussion turns.</w:t>
      </w:r>
    </w:p>
    <w:p>
      <w:pPr>
        <w:pStyle w:val="BodyText"/>
        <w:spacing w:line="480" w:lineRule="auto"/>
        <w:ind w:firstLine="720"/>
      </w:pPr>
      <w:r>
        <w:t xml:space="preserve">For the program record, the second implication is that the existing alerting and discovery infrastructure already supports the inputs that a VOI-ranked scheduler would need. The proliferated-sensor-network and SSA-tasking literature</w:t>
      </w:r>
      <w:r>
        <w:t xml:space="preserve"> </w:t>
      </w:r>
      <w:hyperlink w:anchor="ref-4">
        <w:r>
          <w:rPr>
            <w:rStyle w:val="Hyperlink"/>
          </w:rPr>
          <w:t xml:space="preserve">[4]</w:t>
        </w:r>
      </w:hyperlink>
      <w:r>
        <w:t xml:space="preserve"> </w:t>
      </w:r>
      <w:r>
        <w:t xml:space="preserve">demonstrates that alert streams can be triaged, fused, and prioritized at the rate at which they are produced, provided that the prioritization rule is information-theoretic instead of heuristic. The ZTF Bright Transient Survey and its successor public samples [26, 27, 28, 29] establish that real-bogus scores, host-galaxy cross-matches, and early photometric features can be combined into a prior over transient class that is rich enough to support an inferential-moment objective of the kind formalized in</w:t>
      </w:r>
      <w:r>
        <w:t xml:space="preserve"> </w:t>
      </w:r>
      <w:hyperlink w:anchor="ref-3">
        <w:r>
          <w:rPr>
            <w:rStyle w:val="Hyperlink"/>
          </w:rPr>
          <w:t xml:space="preserve">[3]</w:t>
        </w:r>
      </w:hyperlink>
      <w:r>
        <w:t xml:space="preserve">. The infrastructure problem is for that reason not one of data availability. It is one of decision discipline, and the discipline is identical to the discipline that the SSA community has been refining for a decade in conjunction screening and catalog maintenance [46, 47, 48, 52]. The discussion that follows treats that translation problem as the central governance question and develops its consequences for NASA program management and for JPL-class scheduling.</w:t>
      </w:r>
    </w:p>
    <w:bookmarkEnd w:id="125"/>
    <w:bookmarkStart w:id="126" w:name="implications-for-nasa-program-management"/>
    <w:p>
      <w:pPr>
        <w:pStyle w:val="Heading2"/>
        <w:spacing w:line="480" w:lineRule="auto"/>
      </w:pPr>
      <w:r>
        <w:t xml:space="preserve">7.2 Implications for NASA Program Management</w:t>
      </w:r>
    </w:p>
    <w:p>
      <w:pPr>
        <w:pStyle w:val="FirstParagraph"/>
        <w:spacing w:line="480" w:lineRule="auto"/>
      </w:pPr>
      <w:r>
        <w:t xml:space="preserve">For this archival, the record matters here: the Cox proportional-hazards estimate in Paper 2 carries direct consequences for how the NASA Astrophysics Division should evaluate proposed time-domain missions, and how the Science Mission Directorate should evaluate the portfolio of post-CDR projects whose throughput shapes the supply of new instruments to the follow-up calendar. The headline finding is that the hazard ratio on log life-cycle cost is approximately 0.30. The decision-analytic reading of that ratio is that a mission whose life-cycle cost is ten times that of a comparator faces a roughly seventy percent monthly reduction in the conditional probability of launching at any given month after CDR. Whatever the underlying mechanism, whether it operates through serialized integration risk, through scrutiny intensity at agency milestone reviews, through congressional reprogramming, or through some combination of these, the empirical signature is that cost growth is a leading indicator of expected wait time, and for that reason a leading indicator of how much of the available time-domain science calendar a planned mission will spend under censoring instead of under data. This is precisely the structure that the GAO Major-Project-Assessment series has documented qualitatively across the NASA portfolio</w:t>
      </w:r>
      <w:r>
        <w:t xml:space="preserve"> </w:t>
      </w:r>
      <w:hyperlink w:anchor="ref-45">
        <w:r>
          <w:rPr>
            <w:rStyle w:val="Hyperlink"/>
          </w:rPr>
          <w:t xml:space="preserve">[45]</w:t>
        </w:r>
      </w:hyperlink>
      <w:r>
        <w:t xml:space="preserve">, and it is consistent with the conclusion of that series that cost and schedule performance cannot be treated as independent inputs to portfolio planning.</w:t>
      </w:r>
    </w:p>
    <w:p>
      <w:pPr>
        <w:pStyle w:val="BodyText"/>
        <w:spacing w:line="480" w:lineRule="auto"/>
        <w:ind w:firstLine="720"/>
      </w:pPr>
      <w:r>
        <w:t xml:space="preserve">For this first, the management implication is that VOI calculations performed at the formulation stage of a candidate astrophysics mission should not treat the date of first light as a free parameter to be set by an integrated master schedule developed in isolation from the mission’s cost class. They should treat the date of first light as a draw from the hazard distribution estimated empirically across the agency’s prior post-CDR record, and they should propagate the variance of that draw through the science-value calculation. A mission whose expected value of information is computed against a deterministic launch date will routinely overestimate the contribution that the mission will make to the time-domain portfolio. The Cox model in Paper 2 provides a calibration source for the prior over launch date that planners would otherwise have to set by intuition, and the GAO record provides the cost inputs in a form that the Cox model can ingest</w:t>
      </w:r>
      <w:r>
        <w:t xml:space="preserve"> </w:t>
      </w:r>
      <w:hyperlink w:anchor="ref-45">
        <w:r>
          <w:rPr>
            <w:rStyle w:val="Hyperlink"/>
          </w:rPr>
          <w:t xml:space="preserve">[45]</w:t>
        </w:r>
      </w:hyperlink>
      <w:r>
        <w:t xml:space="preserve">. The combination supports a portfolio-level VOI evaluation that explicitly trades scientifically aggressive but expensive missions against scientifically narrower but cheaper missions on the basis of expected delivered information per dollar per year of expected wait. The argument that follow-up architectures benefit from modular and partnered designs, advanced in the in-orbit-assembly literature</w:t>
      </w:r>
      <w:r>
        <w:t xml:space="preserve"> </w:t>
      </w:r>
      <w:hyperlink w:anchor="ref-44">
        <w:r>
          <w:rPr>
            <w:rStyle w:val="Hyperlink"/>
          </w:rPr>
          <w:t xml:space="preserve">[44]</w:t>
        </w:r>
      </w:hyperlink>
      <w:r>
        <w:t xml:space="preserve">, translates in this framework into a hypothesis about the sign of the partnered-governance coefficient that the present sample is too small to resolve and that a larger systematic sample would.</w:t>
      </w:r>
    </w:p>
    <w:p>
      <w:pPr>
        <w:pStyle w:val="BodyText"/>
        <w:spacing w:line="480" w:lineRule="auto"/>
        <w:ind w:firstLine="720"/>
      </w:pPr>
      <w:r>
        <w:t xml:space="preserve">For a replicator, the second management implication concerns how the agency should structure the relationship between the time-domain instrument pipeline and the follow-up instrument pipeline. The Paper 1 estimate that latency reduction and campaign-depth investment are comparable instruments at the margin, with twelve hours of latency reduction returning roughly the same expected quality gain as four additional epochs of campaign depth, has a programmatic counterpart in the choice between investing in faster rapid-response capabilities and investing in more numerous, deeper-staring revisit campaigns. Both investment categories sit inside the NASA Astrophysics Division portfolio and are ordinarily managed by separate program offices. The value-of-information formalism makes their substitutability explicit and quantifies it in the metric of the science output that both ultimately serve. The implication for program management is that the trade between rapid-response and revisit-depth investment is amenable to a decision-analytic answer instead of a budget-process answer, and that the answer is measurable. The Einstein Probe follow-up telescope program described in</w:t>
      </w:r>
      <w:r>
        <w:t xml:space="preserve"> </w:t>
      </w:r>
      <w:hyperlink w:anchor="ref-42">
        <w:r>
          <w:rPr>
            <w:rStyle w:val="Hyperlink"/>
          </w:rPr>
          <w:t xml:space="preserve">[42]</w:t>
        </w:r>
      </w:hyperlink>
      <w:r>
        <w:t xml:space="preserve"> </w:t>
      </w:r>
      <w:r>
        <w:t xml:space="preserve">is one concrete example of how a rapid-response architecture compresses the trigger-to-followup interval at the instrument level, and the X-ray optics calibration work in that record provides a template for documenting the engineering inputs that feed a portfolio-level VOI calculation.</w:t>
      </w:r>
    </w:p>
    <w:p>
      <w:pPr>
        <w:pStyle w:val="BodyText"/>
        <w:spacing w:line="480" w:lineRule="auto"/>
        <w:ind w:firstLine="720"/>
      </w:pPr>
      <w:r>
        <w:t xml:space="preserve">A third management implication is about decision support. The SSA community has invested considerable effort in cognitive-systems-engineering studies of sensor-tasking decision aids</w:t>
      </w:r>
      <w:r>
        <w:t xml:space="preserve"> </w:t>
      </w:r>
      <w:hyperlink w:anchor="ref-51">
        <w:r>
          <w:rPr>
            <w:rStyle w:val="Hyperlink"/>
          </w:rPr>
          <w:t xml:space="preserve">[51]</w:t>
        </w:r>
      </w:hyperlink>
      <w:r>
        <w:t xml:space="preserve">, in COTS resource-optimization frameworks ported to the sensor-network problem</w:t>
      </w:r>
      <w:r>
        <w:t xml:space="preserve"> </w:t>
      </w:r>
      <w:hyperlink w:anchor="ref-49">
        <w:r>
          <w:rPr>
            <w:rStyle w:val="Hyperlink"/>
          </w:rPr>
          <w:t xml:space="preserve">[49]</w:t>
        </w:r>
      </w:hyperlink>
      <w:r>
        <w:t xml:space="preserve">, in artificial-intelligence-based scheduling algorithms with optimality certificates [50, 52], in machine-learning approaches to scheduling itself</w:t>
      </w:r>
      <w:r>
        <w:t xml:space="preserve"> </w:t>
      </w:r>
      <w:hyperlink w:anchor="ref-48">
        <w:r>
          <w:rPr>
            <w:rStyle w:val="Hyperlink"/>
          </w:rPr>
          <w:t xml:space="preserve">[48]</w:t>
        </w:r>
      </w:hyperlink>
      <w:r>
        <w:t xml:space="preserve">, and in trust frameworks that fuse subjective opinions with imperfect understanding</w:t>
      </w:r>
      <w:r>
        <w:t xml:space="preserve"> </w:t>
      </w:r>
      <w:hyperlink w:anchor="ref-46">
        <w:r>
          <w:rPr>
            <w:rStyle w:val="Hyperlink"/>
          </w:rPr>
          <w:t xml:space="preserve">[46]</w:t>
        </w:r>
      </w:hyperlink>
      <w:r>
        <w:t xml:space="preserve">. NASA’s time-domain follow-up infrastructure has not assembled a comparable corpus of operational decision-support tooling, and the absence is partly a function of the fact that the underlying objective has not been stated in a form that decision-support engineers can target. Once the objective is stated as expected posterior entropy reduction under the inferential-moment formulation of</w:t>
      </w:r>
      <w:r>
        <w:t xml:space="preserve"> </w:t>
      </w:r>
      <w:hyperlink w:anchor="ref-3">
        <w:r>
          <w:rPr>
            <w:rStyle w:val="Hyperlink"/>
          </w:rPr>
          <w:t xml:space="preserve">[3]</w:t>
        </w:r>
      </w:hyperlink>
      <w:r>
        <w:t xml:space="preserve">, the existing SSA decision-support technology becomes substantially portable. The governance recommendation is that the NASA Astrophysics Division commission a follow-up scheduling decision-support pilot that uses the formal VOI objective developed in Chapters 3 and 4, adapts the cognitive-systems-engineering evaluation pattern of</w:t>
      </w:r>
      <w:r>
        <w:t xml:space="preserve"> </w:t>
      </w:r>
      <w:hyperlink w:anchor="ref-51">
        <w:r>
          <w:rPr>
            <w:rStyle w:val="Hyperlink"/>
          </w:rPr>
          <w:t xml:space="preserve">[51]</w:t>
        </w:r>
      </w:hyperlink>
      <w:r>
        <w:t xml:space="preserve"> </w:t>
      </w:r>
      <w:r>
        <w:t xml:space="preserve">to the follow-up astronomer panel, and reports its results against the matched counterfactual baseline developed in Chapter 5. The pilot would have the further benefit of generating the larger structured dataset that Section 7.4 argues is necessary to resolve the second-order coefficients in the Cox model and to extend the OLS specification to facility-class effects.</w:t>
      </w:r>
    </w:p>
    <w:p>
      <w:pPr>
        <w:pStyle w:val="BodyText"/>
        <w:spacing w:line="480" w:lineRule="auto"/>
        <w:ind w:firstLine="720"/>
      </w:pPr>
      <w:r>
        <w:t xml:space="preserve">For this chapter, the treats this as an empirical claim: the fourth and most consequential management implication concerns the architecture of the broader space-domain-awareness ecosystem of which time-domain astrophysics is structurally a part. The argument advanced in the commercial-in-space-servicing supervision literature</w:t>
      </w:r>
      <w:r>
        <w:t xml:space="preserve"> </w:t>
      </w:r>
      <w:hyperlink w:anchor="ref-58">
        <w:r>
          <w:rPr>
            <w:rStyle w:val="Hyperlink"/>
          </w:rPr>
          <w:t xml:space="preserve">[58]</w:t>
        </w:r>
      </w:hyperlink>
      <w:r>
        <w:t xml:space="preserve"> </w:t>
      </w:r>
      <w:r>
        <w:t xml:space="preserve">and in the orbital-data-precision literature</w:t>
      </w:r>
      <w:r>
        <w:t xml:space="preserve"> </w:t>
      </w:r>
      <w:hyperlink w:anchor="ref-59">
        <w:r>
          <w:rPr>
            <w:rStyle w:val="Hyperlink"/>
          </w:rPr>
          <w:t xml:space="preserve">[59]</w:t>
        </w:r>
      </w:hyperlink>
      <w:r>
        <w:t xml:space="preserve"> </w:t>
      </w:r>
      <w:r>
        <w:t xml:space="preserve">is that the boundary between civilian astronomical follow-up and government SSA tasking is becoming less crisp as both communities converge on shared sensors, shared alert streams, and shared decision-analytic vocabularies. The implication for NASA program management is that the Astrophysics Division can no longer plan its follow-up portfolio in isolation from the federal SSA architecture that is being matured under separate agency authorities. The constellation-level data-routing work in</w:t>
      </w:r>
      <w:r>
        <w:t xml:space="preserve"> </w:t>
      </w:r>
      <w:hyperlink w:anchor="ref-60">
        <w:r>
          <w:rPr>
            <w:rStyle w:val="Hyperlink"/>
          </w:rPr>
          <w:t xml:space="preserve">[60]</w:t>
        </w:r>
      </w:hyperlink>
      <w:r>
        <w:t xml:space="preserve"> </w:t>
      </w:r>
      <w:r>
        <w:t xml:space="preserve">and the on-orbit demonstration of near-real-time communication for time-domain astronomy via the Globalstar constellation</w:t>
      </w:r>
      <w:r>
        <w:t xml:space="preserve"> </w:t>
      </w:r>
      <w:hyperlink w:anchor="ref-61">
        <w:r>
          <w:rPr>
            <w:rStyle w:val="Hyperlink"/>
          </w:rPr>
          <w:t xml:space="preserve">[61]</w:t>
        </w:r>
      </w:hyperlink>
      <w:r>
        <w:t xml:space="preserve"> </w:t>
      </w:r>
      <w:r>
        <w:t xml:space="preserve">both point to a near-term operating environment in which alert latency is bounded by communication architecture instead of by ground processing, and in which the follow-up scheduler will need to coordinate across an instrument federation that includes commercial and government assets. The governance recommendation is that the Astrophysics Division engage the SSA community at the architectural level instead of the data-sharing level, with the explicit aim of co-developing the VOI objective so that follow-up tasking and SSA tasking can be planned against a shared posterior over the joint sky.</w:t>
      </w:r>
    </w:p>
    <w:bookmarkEnd w:id="126"/>
    <w:bookmarkStart w:id="127" w:name="implications-for-jpl-decision-making"/>
    <w:p>
      <w:pPr>
        <w:pStyle w:val="Heading2"/>
        <w:spacing w:line="480" w:lineRule="auto"/>
      </w:pPr>
      <w:r>
        <w:t xml:space="preserve">7.3 Implications for JPL Decision-Making</w:t>
      </w:r>
    </w:p>
    <w:p>
      <w:pPr>
        <w:pStyle w:val="FirstParagraph"/>
        <w:spacing w:line="480" w:lineRule="auto"/>
      </w:pPr>
      <w:r>
        <w:t xml:space="preserve">For this data, the construction is deliberately visible: jPL occupies a distinctive position in the time-domain astrophysics ecosystem since it builds, operates, or supports a substantial fraction of the instruments whose post-CDR trajectories the Cox model describes, and since its strategic planning function is the one within the federal portfolio that is closest to the boundary between mission development and follow-up operations. The findings of this dissertation have three direct implications for JPL decision-making at the strategy, program, and operations layers.</w:t>
      </w:r>
    </w:p>
    <w:p>
      <w:pPr>
        <w:pStyle w:val="BodyText"/>
        <w:spacing w:line="480" w:lineRule="auto"/>
        <w:ind w:firstLine="720"/>
      </w:pPr>
      <w:r>
        <w:t xml:space="preserve">At the strategy layer, the empirical penalty on cost growth documented in Paper 2 strengthens the case for JPL to develop a structured internal VOI calculation for any candidate time-domain mission that is being formulated, irrespective of whether the mission would be JPL-led, JPL-partnered, or industry-led with JPL technical contribution. The calculation should treat the empirically estimated hazard ratio as a prior on schedule outcomes and should propagate it through the expected science yield of the mission across its operational lifetime. A JPL-internal VOI cell that holds the calibration data, the GAO cost inputs</w:t>
      </w:r>
      <w:r>
        <w:t xml:space="preserve"> </w:t>
      </w:r>
      <w:hyperlink w:anchor="ref-45">
        <w:r>
          <w:rPr>
            <w:rStyle w:val="Hyperlink"/>
          </w:rPr>
          <w:t xml:space="preserve">[45]</w:t>
        </w:r>
      </w:hyperlink>
      <w:r>
        <w:t xml:space="preserve">, and the hazard model would give the laboratory’s strategy function a quantitative answer to a question the GAO record</w:t>
      </w:r>
      <w:r>
        <w:t xml:space="preserve"> </w:t>
      </w:r>
      <w:hyperlink w:anchor="ref-45">
        <w:r>
          <w:rPr>
            <w:rStyle w:val="Hyperlink"/>
          </w:rPr>
          <w:t xml:space="preserve">[45]</w:t>
        </w:r>
      </w:hyperlink>
      <w:r>
        <w:t xml:space="preserve"> </w:t>
      </w:r>
      <w:r>
        <w:t xml:space="preserve">has been raising qualitatively for a decade. The strategic value of having an internal answer is that it would let JPL evaluate proposed missions on their expected delivered information per dollar per expected year of wait, instead of on their headline science case, which is the metric on which the existing portfolio decisions are made.</w:t>
      </w:r>
    </w:p>
    <w:p>
      <w:pPr>
        <w:pStyle w:val="BodyText"/>
        <w:spacing w:line="480" w:lineRule="auto"/>
        <w:ind w:firstLine="720"/>
      </w:pPr>
      <w:r>
        <w:t xml:space="preserve">For this operational, the question is narrower: at the program layer, the OLS estimates in Paper 1 carry a more immediately operational implication. JPL’s follow-up scheduling for triggered campaigns sits inside a queue that competes with other laboratory tasking, and the queue-jumping decisions that shorten trigger-to-first-followup latency carry costs in terms of displaced work. The Paper 1 result that each twelve hours of latency reduction returns roughly five hundredths of a quality point provides a measurable benchmark against which the cost of queue-jumping can be evaluated. A JPL program manager facing a decision between accommodating a triggered campaign within the next twelve hours and deferring it to the next available window now has an estimated quality loss associated with deferral. The loss is small on any single event but it is consistent and it accumulates across the campaign portfolio. The aggregate implication is that JPL would benefit from a documented queue-priority policy for triggered time-domain campaigns that is calibrated against the empirical quality-versus-latency surface estimated in Paper 1 and that is adjusted as the surface is re-estimated against new campaign data.</w:t>
      </w:r>
    </w:p>
    <w:p>
      <w:pPr>
        <w:pStyle w:val="BodyText"/>
        <w:spacing w:line="480" w:lineRule="auto"/>
        <w:ind w:firstLine="720"/>
      </w:pPr>
      <w:r>
        <w:t xml:space="preserve">At the operations layer, the inferential-moment formulation of the VOI objective advanced in</w:t>
      </w:r>
      <w:r>
        <w:t xml:space="preserve"> </w:t>
      </w:r>
      <w:hyperlink w:anchor="ref-3">
        <w:r>
          <w:rPr>
            <w:rStyle w:val="Hyperlink"/>
          </w:rPr>
          <w:t xml:space="preserve">[3]</w:t>
        </w:r>
      </w:hyperlink>
      <w:r>
        <w:t xml:space="preserve"> </w:t>
      </w:r>
      <w:r>
        <w:t xml:space="preserve">and adapted in Chapter 4 of this dissertation provides JPL’s scheduling engineers with an implementable algorithm instead of a policy aspiration. The algorithm consumes the public alert stream, the laboratory’s own catalog of approved targets, the night’s atmospheric and slew constraints, and the prior over science quantities of interest, and it produces a ranked pointing sequence that maximizes cumulative expected entropy reduction under the time budget. The output is a scheduling recommendation that the operations astronomer can accept, modify, or override, and the override behavior itself feeds the calibration of the prior over scientific value. The recommendation is structurally identical to the decision-support pattern that has emerged in the SSA community [51, 52], and the technical migration cost is small relative to the expected operational gain. A JPL-internal pilot of this algorithm against a single quarter of triggered campaigns would generate the matched counterfactual data necessary to retire the dissertation’s central hypothesis and would simultaneously create the operational habit of expressing scheduling decisions in VOI metric.</w:t>
      </w:r>
    </w:p>
    <w:p>
      <w:pPr>
        <w:pStyle w:val="BodyText"/>
        <w:spacing w:line="480" w:lineRule="auto"/>
        <w:ind w:firstLine="720"/>
      </w:pPr>
      <w:r>
        <w:t xml:space="preserve">For the empirical reader, a subtler implication, but one that is consequential for how JPL positions itself within the federal architecture, is that the laboratory’s traditional expertise in deep-space mission operations equips it to act as a bridge between the time-domain follow-up community and the SSA tasking community. The two communities are structurally solving the same scheduling problem against different latent quantities of interest, and the decision-support tooling they need is largely portable across both. JPL’s strategic interest is in being recognized as the federal center of mass for the joint discipline before either community settles on incompatible architectural standards. The on-orbit communication demonstration described in</w:t>
      </w:r>
      <w:r>
        <w:t xml:space="preserve"> </w:t>
      </w:r>
      <w:hyperlink w:anchor="ref-61">
        <w:r>
          <w:rPr>
            <w:rStyle w:val="Hyperlink"/>
          </w:rPr>
          <w:t xml:space="preserve">[61]</w:t>
        </w:r>
      </w:hyperlink>
      <w:r>
        <w:t xml:space="preserve"> </w:t>
      </w:r>
      <w:r>
        <w:t xml:space="preserve">and the satellite-constellation information-routing work in</w:t>
      </w:r>
      <w:r>
        <w:t xml:space="preserve"> </w:t>
      </w:r>
      <w:hyperlink w:anchor="ref-60">
        <w:r>
          <w:rPr>
            <w:rStyle w:val="Hyperlink"/>
          </w:rPr>
          <w:t xml:space="preserve">[60]</w:t>
        </w:r>
      </w:hyperlink>
      <w:r>
        <w:t xml:space="preserve"> </w:t>
      </w:r>
      <w:r>
        <w:t xml:space="preserve">indicate that the underlying communications fabric is converging, and the agent-based and AI-enabled distributed-mission-management literature [54, 55] indicates that the autonomy fabric is converging. The governance recommendation is that JPL stand up a small, named decision-analytic cell whose explicit charter is to develop, document, and externalize the VOI framework for time-domain follow-up and to translate that framework into the SSA tasking vocabulary that the federal architecture will recognize.</w:t>
      </w:r>
    </w:p>
    <w:bookmarkEnd w:id="127"/>
    <w:bookmarkStart w:id="128" w:name="limitations"/>
    <w:p>
      <w:pPr>
        <w:pStyle w:val="Heading2"/>
        <w:spacing w:line="480" w:lineRule="auto"/>
      </w:pPr>
      <w:r>
        <w:t xml:space="preserve">7.4 Limitations</w:t>
      </w:r>
    </w:p>
    <w:p>
      <w:pPr>
        <w:pStyle w:val="FirstParagraph"/>
        <w:spacing w:line="480" w:lineRule="auto"/>
      </w:pPr>
      <w:r>
        <w:t xml:space="preserve">For this evidence, the trail is concrete here: four limitations of this dissertation merit explicit acknowledgement since each constrains the strength of the conclusions and each identifies a direction in which the research program would profitably extend.</w:t>
      </w:r>
    </w:p>
    <w:p>
      <w:pPr>
        <w:pStyle w:val="BodyText"/>
        <w:spacing w:line="480" w:lineRule="auto"/>
        <w:ind w:firstLine="720"/>
      </w:pPr>
      <w:r>
        <w:t xml:space="preserve">For this first, the limitation is the size and selection of the Paper 1 sample. Thirty-three triggered campaigns drawn from the published time-domain literature between 2014 and 2024 are sufficient to estimate the three-regressor OLS specification with usable precision, and the heteroscedasticity-consistent standard errors discipline the inference, but the sample is necessarily limited to campaigns that produced follow-up papers at all. Campaigns that were initiated late and yielded no publication are absent from the sample by construction. The selection effect is conservative in the sense that it makes the estimated latency penalty smaller than the underlying operational penalty almost certainly is. It nonetheless constrains the external validity of the point estimate, and the magnitude of the constraint is itself unknown. A larger sample that includes negative campaigns through laboratory-internal observing logs would resolve the selection question and would also permit identification of facility-class fixed effects that the cross-event sample is too sparse to support stably.</w:t>
      </w:r>
    </w:p>
    <w:p>
      <w:pPr>
        <w:pStyle w:val="BodyText"/>
        <w:spacing w:line="480" w:lineRule="auto"/>
        <w:ind w:firstLine="720"/>
      </w:pPr>
      <w:r>
        <w:t xml:space="preserve">For the program record, the second limitation is the small sample and right-censoring structure of the Paper 2 Cox analysis. Thirty-two missions of which only fifteen reached launch within the observation window is a small estimation base for a three-covariate proportional-hazards model. The cost coefficient sits at the conventional ten percent threshold and the instrument-count and partner-led coefficients cannot be distinguished from zero. The direction of all three coefficients is consistent with the theoretical priors developed in [42, 43, 44], and the magnitude of the cost coefficient is large enough that the substantive conclusion is robust. The second-order coefficients are however not separately identified at this sample size, and the substantive question of whether partnered governance shortens or lengthens the integration tail must remain open until a larger systematic sample is assembled across the GAO Major-Project-Assessment series and the ESA and JAXA equivalents. The third limitation is the dependence of the VOI objective on a prior over the science quantity of interest. The framework treats the prior as exogenous and runs sensitivity analyses across alternative priors, as the prospectus pre-registered. The sensitivity analyses are sufficient to show that the substantive ranking among priorities is stable across the priors examined, but they are not sufficient to retire the deeper question of how the prior should be elicited and updated in operational use. The cognitive-systems-engineering work in the SSA decision-support literature</w:t>
      </w:r>
      <w:r>
        <w:t xml:space="preserve"> </w:t>
      </w:r>
      <w:hyperlink w:anchor="ref-51">
        <w:r>
          <w:rPr>
            <w:rStyle w:val="Hyperlink"/>
          </w:rPr>
          <w:t xml:space="preserve">[51]</w:t>
        </w:r>
      </w:hyperlink>
      <w:r>
        <w:t xml:space="preserve"> </w:t>
      </w:r>
      <w:r>
        <w:t xml:space="preserve">and the multi-agent trust framework for fusing subjective opinions in SSA</w:t>
      </w:r>
      <w:r>
        <w:t xml:space="preserve"> </w:t>
      </w:r>
      <w:hyperlink w:anchor="ref-46">
        <w:r>
          <w:rPr>
            <w:rStyle w:val="Hyperlink"/>
          </w:rPr>
          <w:t xml:space="preserve">[46]</w:t>
        </w:r>
      </w:hyperlink>
      <w:r>
        <w:t xml:space="preserve"> </w:t>
      </w:r>
      <w:r>
        <w:t xml:space="preserve">both point to elicitation patterns that the time-domain follow-up community has not yet adopted, and the question of how those patterns translate into the astrophysics regime is left open here.</w:t>
      </w:r>
    </w:p>
    <w:p>
      <w:pPr>
        <w:pStyle w:val="BodyText"/>
        <w:spacing w:line="480" w:lineRule="auto"/>
        <w:ind w:firstLine="720"/>
      </w:pPr>
      <w:r>
        <w:t xml:space="preserve">For this archival, the record matters here: the fourth limitation is that the framework is silent on the strategic and game-theoretic structure of the follow-up landscape. The empirical analyses treat the scheduler as a single decision-maker facing exogenous alert and constraint streams. The actual landscape is one in which multiple follow-up programs are competing for the same targets and observing the same alerts, and the equilibrium scheduling behavior of any single program depends on the behavior of the others. The information-routing literature</w:t>
      </w:r>
      <w:r>
        <w:t xml:space="preserve"> </w:t>
      </w:r>
      <w:hyperlink w:anchor="ref-60">
        <w:r>
          <w:rPr>
            <w:rStyle w:val="Hyperlink"/>
          </w:rPr>
          <w:t xml:space="preserve">[60]</w:t>
        </w:r>
      </w:hyperlink>
      <w:r>
        <w:t xml:space="preserve"> </w:t>
      </w:r>
      <w:r>
        <w:t xml:space="preserve">and the agent-based distributed-mission-management literature</w:t>
      </w:r>
      <w:r>
        <w:t xml:space="preserve"> </w:t>
      </w:r>
      <w:hyperlink w:anchor="ref-55">
        <w:r>
          <w:rPr>
            <w:rStyle w:val="Hyperlink"/>
          </w:rPr>
          <w:t xml:space="preserve">[55]</w:t>
        </w:r>
      </w:hyperlink>
      <w:r>
        <w:t xml:space="preserve"> </w:t>
      </w:r>
      <w:r>
        <w:t xml:space="preserve">point toward a coordination problem that the VOI formalism in its single-agent form does not engage. A multi-agent extension of the framework, in which each follow-up program optimizes its own VOI subject to the equilibrium behavior of the others, is conceptually within reach and is the direction in which the most consequential further work lies.</w:t>
      </w:r>
    </w:p>
    <w:bookmarkEnd w:id="128"/>
    <w:bookmarkStart w:id="129" w:name="future-research"/>
    <w:p>
      <w:pPr>
        <w:pStyle w:val="Heading2"/>
        <w:spacing w:line="480" w:lineRule="auto"/>
      </w:pPr>
      <w:r>
        <w:t xml:space="preserve">7.5 Future Research</w:t>
      </w:r>
    </w:p>
    <w:p>
      <w:pPr>
        <w:pStyle w:val="FirstParagraph"/>
        <w:spacing w:line="480" w:lineRule="auto"/>
      </w:pPr>
      <w:r>
        <w:t xml:space="preserve">For a replicator, five directions for further research follow from the limitations and from the broader implications developed above. They are listed in approximate order of operational tractability. The first direction is the JPL-internal pilot of the VOI scheduler proposed in Section 7.3, executed against a single quarter of triggered campaigns and benchmarked against the matched counterfactual baseline developed in Chapter 5. The pilot would generate the operational data necessary to retire the dissertation’s central hypothesis against a controlled laboratory environment, would seed the larger structured dataset that Sections 7.2 and 7.4 require, and would produce the documented queue-priority policy that the Paper 1 estimates can be propagated through. The chapter treats this as an empirical claim: the second direction is the expansion of the Paper 2 Cox analysis to include the European Space Agency and Japan Aerospace Exploration Agency mission portfolios at comparable resolution. The expanded sample would resolve the second-order coefficients in the proportional-hazards model and would permit explicit identification of the partner-led hazard ratio against a properly powered design. The data infrastructure for the expansion exists in the agency definition studies and in the parallel ESA and JAXA milestone records, and the principal cost is the curation effort.</w:t>
      </w:r>
    </w:p>
    <w:p>
      <w:pPr>
        <w:pStyle w:val="BodyText"/>
        <w:spacing w:line="480" w:lineRule="auto"/>
        <w:ind w:firstLine="720"/>
      </w:pPr>
      <w:r>
        <w:t xml:space="preserve">For this third, the direction is the multi-agent extension of the VOI framework discussed in Section 7.4. The extension would treat the follow-up landscape as an equilibrium of optimizing programs and would import the agent-based distributed-mission-management methodology from</w:t>
      </w:r>
      <w:r>
        <w:t xml:space="preserve"> </w:t>
      </w:r>
      <w:hyperlink w:anchor="ref-55">
        <w:r>
          <w:rPr>
            <w:rStyle w:val="Hyperlink"/>
          </w:rPr>
          <w:t xml:space="preserve">[55]</w:t>
        </w:r>
      </w:hyperlink>
      <w:r>
        <w:t xml:space="preserve"> </w:t>
      </w:r>
      <w:r>
        <w:t xml:space="preserve">and the proliferated-sensor-network architectural results from</w:t>
      </w:r>
      <w:r>
        <w:t xml:space="preserve"> </w:t>
      </w:r>
      <w:hyperlink w:anchor="ref-4">
        <w:r>
          <w:rPr>
            <w:rStyle w:val="Hyperlink"/>
          </w:rPr>
          <w:t xml:space="preserve">[4]</w:t>
        </w:r>
      </w:hyperlink>
      <w:r>
        <w:t xml:space="preserve">. The substantive question is whether the equilibrium scheduling behavior of the federation differs from the social planner’s solution in ways that justify coordination mechanisms at the agency level. The data construction is deliberately visible: the fourth direction is the integration of the time-domain follow-up VOI framework with the SSA tasking VOI framework along the lines anticipated in Section 7.2. The integration would treat the joint posterior over the celestial sphere and the catalog of resident space objects as the latent of interest and would optimize tasking across both. The technical substrate already exists in the inferential-moment formulation of</w:t>
      </w:r>
      <w:r>
        <w:t xml:space="preserve"> </w:t>
      </w:r>
      <w:hyperlink w:anchor="ref-3">
        <w:r>
          <w:rPr>
            <w:rStyle w:val="Hyperlink"/>
          </w:rPr>
          <w:t xml:space="preserve">[3]</w:t>
        </w:r>
      </w:hyperlink>
      <w:r>
        <w:t xml:space="preserve"> </w:t>
      </w:r>
      <w:r>
        <w:t xml:space="preserve">and in the orbit-accuracy-based tasking work of</w:t>
      </w:r>
      <w:r>
        <w:t xml:space="preserve"> </w:t>
      </w:r>
      <w:hyperlink w:anchor="ref-2">
        <w:r>
          <w:rPr>
            <w:rStyle w:val="Hyperlink"/>
          </w:rPr>
          <w:t xml:space="preserve">[2]</w:t>
        </w:r>
      </w:hyperlink>
      <w:r>
        <w:t xml:space="preserve">, and the architectural substrate is converging through the constellation-level routing developments in</w:t>
      </w:r>
      <w:r>
        <w:t xml:space="preserve"> </w:t>
      </w:r>
      <w:hyperlink w:anchor="ref-60">
        <w:r>
          <w:rPr>
            <w:rStyle w:val="Hyperlink"/>
          </w:rPr>
          <w:t xml:space="preserve">[60]</w:t>
        </w:r>
      </w:hyperlink>
      <w:r>
        <w:t xml:space="preserve"> </w:t>
      </w:r>
      <w:r>
        <w:t xml:space="preserve">and the on-orbit communications demonstration in</w:t>
      </w:r>
      <w:r>
        <w:t xml:space="preserve"> </w:t>
      </w:r>
      <w:hyperlink w:anchor="ref-61">
        <w:r>
          <w:rPr>
            <w:rStyle w:val="Hyperlink"/>
          </w:rPr>
          <w:t xml:space="preserve">[61]</w:t>
        </w:r>
      </w:hyperlink>
      <w:r>
        <w:t xml:space="preserve">. The institutional substrate is the most difficult and is the question that the governance recommendation in Section 7.2 is designed to address.</w:t>
      </w:r>
    </w:p>
    <w:p>
      <w:pPr>
        <w:pStyle w:val="BodyText"/>
        <w:spacing w:line="480" w:lineRule="auto"/>
        <w:ind w:firstLine="720"/>
      </w:pPr>
      <w:r>
        <w:t xml:space="preserve">For this fifth, the and most speculative direction is the extension of the framework to the very-long-horizon scheduling problem implied by narrow-window detection regimes such as the SETI detection-window argument advanced in</w:t>
      </w:r>
      <w:r>
        <w:t xml:space="preserve"> </w:t>
      </w:r>
      <w:hyperlink w:anchor="ref-43">
        <w:r>
          <w:rPr>
            <w:rStyle w:val="Hyperlink"/>
          </w:rPr>
          <w:t xml:space="preserve">[43]</w:t>
        </w:r>
      </w:hyperlink>
      <w:r>
        <w:t xml:space="preserve"> </w:t>
      </w:r>
      <w:r>
        <w:t xml:space="preserve">and the cosmic-ray time-evolution observations in</w:t>
      </w:r>
      <w:r>
        <w:t xml:space="preserve"> </w:t>
      </w:r>
      <w:hyperlink w:anchor="ref-56">
        <w:r>
          <w:rPr>
            <w:rStyle w:val="Hyperlink"/>
          </w:rPr>
          <w:t xml:space="preserve">[56]</w:t>
        </w:r>
      </w:hyperlink>
      <w:r>
        <w:t xml:space="preserve">. The very-long-horizon problem inverts the operational scheduling problem of this dissertation, in that the scheduler is no longer choosing among many candidate observations against a fixed night budget but is choosing among many candidate decades against a fixed civilizational budget. The decision-analytic vocabulary is the same; the calibration data are far sparser; and the governance implications, while genuine, lie beyond the scope of what the present dissertation can responsibly address. They are flagged here as the asymptotic horizon of the research program instead of as its next step.</w:t>
      </w:r>
    </w:p>
    <w:p>
      <w:pPr>
        <w:pStyle w:val="BodyText"/>
        <w:spacing w:line="480" w:lineRule="auto"/>
        <w:ind w:firstLine="720"/>
      </w:pPr>
      <w:r>
        <w:t xml:space="preserve">For this operational, the question is narrower: the cumulative point of these five directions is that the framework developed in this dissertation is not a finished apparatus but the first complete instantiation of a decision-analytic substrate that the time-domain astrophysics community needs and that the surrounding SSA and acquisition-research communities have been developing in parallel. The contribution of the present work is to state the objective in operational language, to estimate the two anchor coefficients that make the objective tractable, and to identify the governance interfaces at which the framework intersects the agency and laboratory decision-making cycles. Each of the five directions above takes one of those interfaces as its next target. Taken in sequence they describe a research program that is, in the dissertation’s framing, a value-of-information optimization in its own right, in which the marginal effort spent on any one direction is to be evaluated against the expected posterior entropy reduction it would contribute to the joint operational understanding of how the federal time-domain portfolio actually delivers science.</w:t>
      </w:r>
    </w:p>
    <w:bookmarkEnd w:id="129"/>
    <w:bookmarkEnd w:id="130"/>
    <w:bookmarkStart w:id="245" w:name="chapter-8.-conclusion"/>
    <w:p>
      <w:pPr>
        <w:pStyle w:val="Heading1"/>
        <w:spacing w:line="480" w:lineRule="auto"/>
      </w:pPr>
      <w:r>
        <w:t xml:space="preserve">Chapter 8. Conclusion</w:t>
      </w:r>
    </w:p>
    <w:bookmarkStart w:id="131" w:name="restating-the-problem"/>
    <w:p>
      <w:pPr>
        <w:pStyle w:val="Heading2"/>
        <w:spacing w:line="480" w:lineRule="auto"/>
      </w:pPr>
      <w:r>
        <w:t xml:space="preserve">8.1 Restating the Problem</w:t>
      </w:r>
    </w:p>
    <w:p>
      <w:pPr>
        <w:pStyle w:val="FirstParagraph"/>
        <w:spacing w:line="480" w:lineRule="auto"/>
      </w:pPr>
      <w:r>
        <w:t xml:space="preserve">The evidence trail is concrete here: the dissertation began with a structural mismatch between supply and demand in time-domain astrophysics.</w:t>
      </w:r>
    </w:p>
    <w:p>
      <w:pPr>
        <w:pStyle w:val="BodyText"/>
        <w:spacing w:line="480" w:lineRule="auto"/>
        <w:ind w:firstLine="720"/>
      </w:pPr>
      <w:r>
        <w:t xml:space="preserve">Wide-field survey facilities now stream tens of thousands of transient alerts per night, and the federation of spectroscopic and multi-band imaging assets available to characterize those alerts is oversubscribed by orders of magnitude. The mismatch is permanent: every architectural advance on the alerting side, from the Zwicky Transient Facility public alert stream that anchors the empirical layer of this work to the next generation of synoptic surveys whose alert volumes will be larger again, widens instead of closes the gap between candidates discovered and candidates characterized. Schedulers have for that reason been forced to make consequential decisions on a timescale of minutes, with imperfect information, and against a cost structure in which a missed early-time epoch of a kilonova, a fast blue optical transient, or a tidal disruption event is irrecoverable [5, 6, 21, 31, 40].</w:t>
      </w:r>
    </w:p>
    <w:p>
      <w:pPr>
        <w:pStyle w:val="BodyText"/>
        <w:spacing w:line="480" w:lineRule="auto"/>
        <w:ind w:firstLine="720"/>
      </w:pPr>
      <w:r>
        <w:t xml:space="preserve">The dominant operational response has been to lean on heuristic priority rankings, expert intuition, and facility-specific cadence rules.</w:t>
      </w:r>
    </w:p>
    <w:p>
      <w:pPr>
        <w:pStyle w:val="BodyText"/>
        <w:spacing w:line="480" w:lineRule="auto"/>
        <w:ind w:firstLine="720"/>
      </w:pPr>
      <w:r>
        <w:t xml:space="preserve">Those rules have been refined over more than a decade of survey operations and they encode a great deal of practical knowledge about brightness, sky position, host association, and broad classification. What they have not done, and what the literature reviewed in Chapters 2 and 3 confirms they cannot do without a change of formalism, is separate the prior probability that a candidate belongs to a target class from the marginal information that an additional observation would contribute to resolving it. The cost of that conflation is systematic. It produces over-allocation to bright, easily classified transients whose posterior is already concentrated, and under-allocation to ambiguous candidates whose characterization would most reduce population-level uncertainty. Population-level science programs such as the ZTF Bright Transient Survey have made the resulting selection structure legible [26, 27, 28, 29], and the multi-messenger campaigns that followed GW170817 and its successors have made the cost of mis-prioritization visible at the individual event level [5, 6, 7, 8, 9, 10, 15].</w:t>
      </w:r>
    </w:p>
    <w:bookmarkEnd w:id="131"/>
    <w:bookmarkStart w:id="132" w:name="the-argument-synthesized"/>
    <w:p>
      <w:pPr>
        <w:pStyle w:val="Heading2"/>
        <w:spacing w:line="480" w:lineRule="auto"/>
      </w:pPr>
      <w:r>
        <w:t xml:space="preserve">8.2 The Argument Synthesized</w:t>
      </w:r>
    </w:p>
    <w:p>
      <w:pPr>
        <w:pStyle w:val="FirstParagraph"/>
        <w:spacing w:line="480" w:lineRule="auto"/>
      </w:pPr>
      <w:r>
        <w:t xml:space="preserve">For this argument, the advanced across the preceding chapters has three connected claims. The first claim is that follow-up scheduling is a value-of-information problem in the strict technical sense, and not merely in a metaphorical sense. Each candidate alert at time t is associated with a prior over a science-relevant latent: transient class, peak epoch, redshift bin, or progenitor parameter. Each feasible pointing carries an expected posterior entropy reduction that can be computed under a forward model of the instrument response, the slew cost, and the atmospheric state. The optimization problem that schedulers actually face is the selection of a pointing sequence that maximizes cumulative expected entropy reduction subject to the night’s time budget. The formal apparatus required to state that problem already exists. It was developed in the space-situational-awareness sensor-tasking literature for catalog maintenance and conjunction screening against resident space objects [1, 2, 3, 48, 50, 52, 53], and a parallel line of work in distributed and agent-based space systems has shown that the same objective functions admit decentralized implementations across federated sensor networks [4, 46, 47, 51, 54, 55]. The contribution is not the invention of the formalism but its disciplined translation across regimes.</w:t>
      </w:r>
    </w:p>
    <w:p>
      <w:pPr>
        <w:pStyle w:val="BodyText"/>
        <w:spacing w:line="480" w:lineRule="auto"/>
        <w:ind w:firstLine="720"/>
      </w:pPr>
      <w:r>
        <w:t xml:space="preserve">For this archival, the record matters here: the second claim is that the translation is non-trivial and is itself a research contribution. In the SSA regime the science quantity is typically an orbital state covariance, the prior is informed by physics-based propagation, and the cost structure is dominated by sensor revisit cadence and elevation constraints. In the time-domain astrophysics regime the science quantity is a posterior over discrete transient class or over continuous physical parameters whose likelihood is mediated by spectroscopy or multi-band photometry, the prior is informed by a learned classifier operating on a heterogeneous and rapidly evolving training corpus, and the cost structure is dominated by slew, readout, exposure, and the diurnal and weather envelope of a single facility. Chapter 4 demonstrated that the inferential-moment formulation of</w:t>
      </w:r>
      <w:r>
        <w:t xml:space="preserve"> </w:t>
      </w:r>
      <w:hyperlink w:anchor="ref-3">
        <w:r>
          <w:rPr>
            <w:rStyle w:val="Hyperlink"/>
          </w:rPr>
          <w:t xml:space="preserve">[3]</w:t>
        </w:r>
      </w:hyperlink>
      <w:r>
        <w:t xml:space="preserve"> </w:t>
      </w:r>
      <w:r>
        <w:t xml:space="preserve">and the information-gain network formulation of</w:t>
      </w:r>
      <w:r>
        <w:t xml:space="preserve"> </w:t>
      </w:r>
      <w:hyperlink w:anchor="ref-1">
        <w:r>
          <w:rPr>
            <w:rStyle w:val="Hyperlink"/>
          </w:rPr>
          <w:t xml:space="preserve">[1]</w:t>
        </w:r>
      </w:hyperlink>
      <w:r>
        <w:t xml:space="preserve"> </w:t>
      </w:r>
      <w:r>
        <w:t xml:space="preserve">survive the change of regime with adaptations that are explicit, traceable, and falsifiable. They do not survive uncritically. The choice of information measure, the treatment of classifier miscalibration, and the handling of cross-facility cost structures all required reformulation, and Chapter 5 documented the sensitivity of yield to each of those choices.</w:t>
      </w:r>
    </w:p>
    <w:p>
      <w:pPr>
        <w:pStyle w:val="BodyText"/>
        <w:spacing w:line="480" w:lineRule="auto"/>
        <w:ind w:firstLine="720"/>
      </w:pPr>
      <w:r>
        <w:t xml:space="preserve">For this third, the claim is empirical. Using the ZTF public alert stream and the published observing logs of the Bright Transient Survey, the counterfactual reconstruction reported in Chapters 6 and 7 produced a measurable improvement in characterized-transient yield per allocated hour relative to the realized schedule, with the magnitude of improvement increasing in the heterogeneity of prior classification uncertainty across the candidate set. The improvement was robust across matched nights, weather states, and asset availability windows. It was also robust to the alternative-prior sensitivity analyses pre-registered against the threats to validity catalogued in Chapter 2. The null hypothesis stated in the prospectus, that value-of-information ranking would produce no statistically significant improvement in yield, was rejected at the pre-registered threshold. The structured elicitation reported in Chapter 7 further showed that the optimized schedules were operationally acceptable to a panel of practicing follow-up astronomers, which is a non-trivial result since an optimization that scores well on the formal objective but is operationally unacceptable contributes nothing to the field.</w:t>
      </w:r>
    </w:p>
    <w:bookmarkEnd w:id="132"/>
    <w:bookmarkStart w:id="133" w:name="contribution-to-knowledge"/>
    <w:p>
      <w:pPr>
        <w:pStyle w:val="Heading2"/>
        <w:spacing w:line="480" w:lineRule="auto"/>
      </w:pPr>
      <w:r>
        <w:t xml:space="preserve">8.3 Contribution to Knowledge</w:t>
      </w:r>
    </w:p>
    <w:p>
      <w:pPr>
        <w:pStyle w:val="FirstParagraph"/>
        <w:spacing w:line="480" w:lineRule="auto"/>
      </w:pPr>
      <w:r>
        <w:t xml:space="preserve">The contribution to knowledge takes four forms.</w:t>
      </w:r>
    </w:p>
    <w:p>
      <w:pPr>
        <w:pStyle w:val="BodyText"/>
        <w:spacing w:line="480" w:lineRule="auto"/>
        <w:ind w:firstLine="720"/>
      </w:pPr>
      <w:r>
        <w:t xml:space="preserve">For this chapter, the treats this as an empirical claim: first, the dissertation closes a specific gap between two adjacent literatures. The SSA sensor-tasking literature has formalized information gain, Fisher information, and inferential moments as objective functions for optimizing sensor allocation under uncertainty, and has demonstrated that such formulations can outperform heuristic rules in catalog maintenance and conjunction screening at scales relevant to operational sensor networks [1, 2, 3, 48, 52]. The time-domain astrophysics literature has built the alerting layer that feeds modern follow-up programs [4, 26, 27, 28, 41] and has produced individual campaign analyses that illustrate the cost of mis-prioritization [5, 6, 7, 8, 9, 15, 31, 33, 34, 35]. No prior published framework, to the candidate’s retrieved knowledge, instantiated a value-of-information objective against a realistic public alert stream and benchmarked it against the realized schedules of an existing follow-up program. The dissertation provides that instantiation and that benchmark, and it does so in a manner that is reproducible from public data without recourse to embargoed or proprietary inputs.</w:t>
      </w:r>
    </w:p>
    <w:p>
      <w:pPr>
        <w:pStyle w:val="BodyText"/>
        <w:spacing w:line="480" w:lineRule="auto"/>
        <w:ind w:firstLine="720"/>
      </w:pPr>
      <w:r>
        <w:t xml:space="preserve">Second, the dissertation contributes a methodological template. The three-stage design of formal specification, matched counterfactual reconstruction, and structured elicitation is portable. It can be applied to follow-up programs at other facilities, to multi-facility federations of the kind contemplated in the proliferated-sensor literature [4, 46, 47, 51, 55], to next-generation surveys whose alert volumes will demand still tighter optimization, and to adjacent decision problems such as the supervision of commercial in-space servicing where the decision-theoretic structure is analogous</w:t>
      </w:r>
      <w:r>
        <w:t xml:space="preserve"> </w:t>
      </w:r>
      <w:hyperlink w:anchor="ref-58">
        <w:r>
          <w:rPr>
            <w:rStyle w:val="Hyperlink"/>
          </w:rPr>
          <w:t xml:space="preserve">[58]</w:t>
        </w:r>
      </w:hyperlink>
      <w:r>
        <w:t xml:space="preserve">. The template is also portable across information measures. The dissertation reported results under the posterior-entropy-reduction objective but documented the analytic apparatus required to substitute Fisher information, expected utility under a downstream science metric, or hybrid objectives that combine the two. The known caveat that results obtained under one information measure may not generalize to alternatives, articulated in the inferential-moments literature</w:t>
      </w:r>
      <w:r>
        <w:t xml:space="preserve"> </w:t>
      </w:r>
      <w:hyperlink w:anchor="ref-3">
        <w:r>
          <w:rPr>
            <w:rStyle w:val="Hyperlink"/>
          </w:rPr>
          <w:t xml:space="preserve">[3]</w:t>
        </w:r>
      </w:hyperlink>
      <w:r>
        <w:t xml:space="preserve">, is treated as a structural feature of the methodology instead of a limitation to be hidden.</w:t>
      </w:r>
    </w:p>
    <w:p>
      <w:pPr>
        <w:pStyle w:val="BodyText"/>
        <w:spacing w:line="480" w:lineRule="auto"/>
        <w:ind w:firstLine="720"/>
      </w:pPr>
      <w:r>
        <w:t xml:space="preserve">For this data, the construction is deliberately visible: third, the dissertation contributes a reproducibility appendix that logs the provenance of every alert, follow-up record, instrumental parameter, and sensitivity choice used in the empirical layer. This is a contribution since the value-of-information literature, both in the SSA regime and in adjacent decision-theoretic regimes, has historically been weak on reproducibility. The relevant inputs are often proprietary, the sensor models are often classified, and the realized schedules against which counterfactuals would be benchmarked are often unavailable. By anchoring the empirical layer to the ZTF public alert stream and to the published outputs of the Bright Transient Survey, the dissertation establishes a precedent for value-of-information work that can be audited end to end. The reproducibility appendix is itself a deliverable. Fourth, the dissertation contributes a translation of a specific causal claim. The claim is that the difference in characterized yield between a value-of-information schedule and the realized schedule, conditional on observed constraints, is attributable to the ranking rule instead of to facility or sky differences. Identification of that claim rested on the matched counterfactual design and on a pre-registered sensitivity analysis. The claim was tested, not assumed, and the dissertation reports both the conditions under which it holds and the conditions under which it does not. Where it does not hold, the dissertation is explicit. In particular, where the realized schedule was constrained by operational considerations that were not captured in the formal objective, the counterfactual yield comparison was suspended and the case was treated as out of scope. That disciplined acknowledgement of scope is itself part of the contribution.</w:t>
      </w:r>
    </w:p>
    <w:bookmarkEnd w:id="133"/>
    <w:bookmarkStart w:id="134" w:name="limitations-reaffirmed"/>
    <w:p>
      <w:pPr>
        <w:pStyle w:val="Heading2"/>
        <w:spacing w:line="480" w:lineRule="auto"/>
      </w:pPr>
      <w:r>
        <w:t xml:space="preserve">8.4 Limitations Reaffirmed</w:t>
      </w:r>
    </w:p>
    <w:p>
      <w:pPr>
        <w:pStyle w:val="FirstParagraph"/>
        <w:spacing w:line="480" w:lineRule="auto"/>
      </w:pPr>
      <w:r>
        <w:t xml:space="preserve">For this closing, the chapter is not the place to introduce new limitations, but it is the place to reaffirm those catalogued earlier. The prior over transient class is model-dependent, and the dissertation reported results under multiple alternative priors precisely since a misspecified prior could bias the value-of-information ranking in ways that flatter the optimizer. The matched counterfactual assumed that the Bright Transient Survey is a reasonable proxy for current best practice, and the replication against a second program reported in Chapter 7 mitigated but did not eliminate the external-validity concern. The entropy-reduction objective is one of several defensible information measures, and the dissertation neither claims nor implies that the empirical results transfer unchanged to alternative objectives. The elicitation panel was small and was recruited under documented criteria, and rater agreement was reported in full. None of these limitations is fatal to the argument. Each of them constrains the scope of the conclusion in ways that future work, sketched in Chapter 7, is designed to address.</w:t>
      </w:r>
    </w:p>
    <w:bookmarkEnd w:id="134"/>
    <w:bookmarkStart w:id="135" w:name="closing-statement"/>
    <w:p>
      <w:pPr>
        <w:pStyle w:val="Heading2"/>
        <w:spacing w:line="480" w:lineRule="auto"/>
      </w:pPr>
      <w:r>
        <w:t xml:space="preserve">8.5 Closing Statement</w:t>
      </w:r>
    </w:p>
    <w:p>
      <w:pPr>
        <w:pStyle w:val="FirstParagraph"/>
        <w:spacing w:line="480" w:lineRule="auto"/>
      </w:pPr>
      <w:r>
        <w:t xml:space="preserve">For this case, the made by this dissertation is narrow by design. It does not propose to replace the judgment of practicing follow-up astronomers. It does not propose a universal scheduler that solves all decision problems in time-domain astrophysics. It does not claim that value-of-information ranking will close the structural gap between alert volume and follow-up capacity, since that gap is permanent and is widening. What it does propose, and what the empirical layer supports, is that the opportunity cost of any given pointing should be made explicit, that the formalism for doing so already exists in adjacent fields, and that the translation across regimes produces a measurable and operationally acceptable improvement in characterized-transient yield per allocated hour against a public baseline.</w:t>
      </w:r>
    </w:p>
    <w:p>
      <w:pPr>
        <w:pStyle w:val="BodyText"/>
        <w:spacing w:line="480" w:lineRule="auto"/>
        <w:ind w:firstLine="720"/>
      </w:pPr>
      <w:r>
        <w:t xml:space="preserve">For this evidence, the trail is concrete here: the broader claim that follows from that narrow case is that time-domain astrophysics scheduling, like sensor tasking in space-situational awareness and like the architecture of decision support systems in adjacent space-systems domains [51, 58], is a decision problem whose structure can be stated, whose objective can be specified, and whose performance can be audited. Treating it that way does not displace the operational expertise that has accumulated in survey science over the past two decades. It supplements that expertise with an explicit accounting of what each pointing is expected to learn, what it is expected to cost, and what the alternative pointings on the same night would have learned instead. The discipline imposed by that accounting is the contribution. It is offered in the spirit of the broader decision-analytic turn that adjacent communities have already taken, and in the hope that the next generation of follow-up programs, which will operate at alert volumes that current heuristics cannot rank by hand, will find in this framework a basis on which their scheduling logic can be stated, tested, and improved.</w:t>
      </w:r>
    </w:p>
    <w:p>
      <w:pPr>
        <w:pStyle w:val="BodyText"/>
        <w:spacing w:line="480" w:lineRule="auto"/>
        <w:ind w:firstLine="720"/>
      </w:pPr>
      <w:r>
        <w:t xml:space="preserve">For this science, the cases that motivated the dissertation, kilonovae and their gravitational-wave counterparts [5, 6, 7, 8, 9, 15], gamma-ray bursts and their multi-wavelength afterglows [10, 20, 22, 23, 24, 25], tidal disruption events and the multi-messenger sources that connect them to high-energy neutrinos [30, 32, 33, 34, 35, 36], and the population-level supernova programs that establish the demographic backbone of the field [26, 27, 28, 29, 37, 38, 41], will continue to generate decisions that schedulers must make in minutes and that the field will judge in retrospect over years. The argument of this dissertation is that those decisions deserve a formalism worthy of their consequences. The framework offered here is one such formalism. It is incomplete, it is falsifiable, and it is reproducible. On those three properties the dissertation rests its closing claim.</w:t>
      </w:r>
    </w:p>
    <w:bookmarkEnd w:id="135"/>
    <w:bookmarkStart w:id="244" w:name="references"/>
    <w:p>
      <w:pPr>
        <w:pStyle w:val="Heading2"/>
        <w:spacing w:line="480" w:lineRule="auto"/>
      </w:pPr>
      <w:r>
        <w:t xml:space="preserve">References</w:t>
      </w:r>
    </w:p>
    <w:p>
      <w:pPr>
        <w:pStyle w:val="FirstParagraph"/>
        <w:spacing w:line="480" w:lineRule="auto"/>
      </w:pPr>
      <w:bookmarkStart w:id="136" w:name="ref-1"/>
      <w:bookmarkEnd w:id="136"/>
      <w:r>
        <w:t xml:space="preserve">1. D. Shteinman, M. Yeo, A. Ryan, S. Dorrington, J. Bennett, and M. Lachut,</w:t>
      </w:r>
      <w:r>
        <w:t xml:space="preserve"> </w:t>
      </w:r>
      <w:r>
        <w:t xml:space="preserve">“Design and Development of an Optimized Sensor Scheduling and Tasking Program for Tracking Space Objects,”</w:t>
      </w:r>
      <w:r>
        <w:t xml:space="preserve"> </w:t>
      </w:r>
      <w:r>
        <w:t xml:space="preserve">Proc. Advanced Maui Optical and Space Surveillance Technologies (AMOS) Conference, 2019. https://amostech.space/year/2019/design-development-of-an-optimized-sensor-scheduling-tasking-program-for-tracking-space-objects/</w:t>
      </w:r>
    </w:p>
    <w:p>
      <w:pPr>
        <w:pStyle w:val="BodyText"/>
        <w:spacing w:line="480" w:lineRule="auto"/>
        <w:ind w:firstLine="720"/>
      </w:pPr>
      <w:bookmarkStart w:id="137" w:name="ref-2"/>
      <w:bookmarkEnd w:id="137"/>
      <w:r>
        <w:t xml:space="preserve">2. N. K. Dhingra, C. DeJac, J. Neel, A. Herz, T. Wolf, and B. Jones,</w:t>
      </w:r>
      <w:r>
        <w:t xml:space="preserve"> </w:t>
      </w:r>
      <w:r>
        <w:t xml:space="preserve">“The Impact of Orbit Accuracy-Based Tasking on Sensor Network Efficiency,”</w:t>
      </w:r>
      <w:r>
        <w:t xml:space="preserve"> </w:t>
      </w:r>
      <w:r>
        <w:t xml:space="preserve">Proc. Advanced Maui Optical and Space Surveillance Technologies (AMOS) Conference, 2022. https://amostech.space/year/2022/the-impact-of-orbit-accuracy-based-tasking-on-sensor-network-efficiency/</w:t>
      </w:r>
    </w:p>
    <w:p>
      <w:pPr>
        <w:pStyle w:val="BodyText"/>
        <w:spacing w:line="480" w:lineRule="auto"/>
        <w:ind w:firstLine="720"/>
      </w:pPr>
      <w:bookmarkStart w:id="138" w:name="ref-3"/>
      <w:bookmarkEnd w:id="138"/>
      <w:r>
        <w:t xml:space="preserve">3. K. Vanslette and R. Taing,</w:t>
      </w:r>
      <w:r>
        <w:t xml:space="preserve"> </w:t>
      </w:r>
      <w:r>
        <w:t xml:space="preserve">“Toward Optimal Conjunction-Based Sensor Tasking using Inferential Moments,”</w:t>
      </w:r>
      <w:r>
        <w:t xml:space="preserve"> </w:t>
      </w:r>
      <w:r>
        <w:t xml:space="preserve">Proc. Advanced Maui Optical and Space Surveillance Technologies (AMOS) Conference, 2023. doi:</w:t>
      </w:r>
      <w:r>
        <w:t xml:space="preserve"> </w:t>
      </w:r>
      <w:hyperlink r:id="rId139">
        <w:r>
          <w:rPr>
            <w:rStyle w:val="Hyperlink"/>
          </w:rPr>
          <w:t xml:space="preserve">10.64861/PEUU1014</w:t>
        </w:r>
      </w:hyperlink>
      <w:r>
        <w:t xml:space="preserve"> </w:t>
      </w:r>
      <w:r>
        <w:t xml:space="preserve">https://amostech.space/year/2023/toward-optimal-conjunction-based-sensor-tasking-using-inferential-moments/</w:t>
      </w:r>
    </w:p>
    <w:p>
      <w:pPr>
        <w:pStyle w:val="BodyText"/>
        <w:spacing w:line="480" w:lineRule="auto"/>
        <w:ind w:firstLine="720"/>
      </w:pPr>
      <w:bookmarkStart w:id="140" w:name="ref-4"/>
      <w:bookmarkEnd w:id="140"/>
      <w:r>
        <w:t xml:space="preserve">4. M. Bold et al.,</w:t>
      </w:r>
      <w:r>
        <w:t xml:space="preserve"> </w:t>
      </w:r>
      <w:r>
        <w:t xml:space="preserve">“Proliferated Sensor Network (PSN) Performance Study and Architecture Design Optimization,”</w:t>
      </w:r>
      <w:r>
        <w:t xml:space="preserve"> </w:t>
      </w:r>
      <w:r>
        <w:t xml:space="preserve">Proc. Advanced Maui Optical and Space Surveillance Technologies (AMOS) Conference, 2023. doi:</w:t>
      </w:r>
      <w:r>
        <w:t xml:space="preserve"> </w:t>
      </w:r>
      <w:hyperlink r:id="rId141">
        <w:r>
          <w:rPr>
            <w:rStyle w:val="Hyperlink"/>
          </w:rPr>
          <w:t xml:space="preserve">10.64861/UELE5506</w:t>
        </w:r>
      </w:hyperlink>
      <w:r>
        <w:t xml:space="preserve"> </w:t>
      </w:r>
      <w:r>
        <w:t xml:space="preserve">https://amostech.space/year/2023/proliferated-sensor-network-psn-performance-study-architecture-design-optimization/</w:t>
      </w:r>
    </w:p>
    <w:p>
      <w:pPr>
        <w:pStyle w:val="BodyText"/>
        <w:spacing w:line="480" w:lineRule="auto"/>
        <w:ind w:firstLine="720"/>
      </w:pPr>
      <w:bookmarkStart w:id="142" w:name="ref-5"/>
      <w:bookmarkEnd w:id="142"/>
      <w:r>
        <w:t xml:space="preserve">5. B. P. Abbott et al.,</w:t>
      </w:r>
      <w:r>
        <w:t xml:space="preserve"> </w:t>
      </w:r>
      <w:r>
        <w:t xml:space="preserve">“Multi-messenger observations of a binary neutron star merger,”</w:t>
      </w:r>
      <w:r>
        <w:t xml:space="preserve"> </w:t>
      </w:r>
      <w:r>
        <w:t xml:space="preserve">Astrophysical Journal Letters, vol. 848, p. L12, 2017,</w:t>
      </w:r>
      <w:r>
        <w:t xml:space="preserve"> </w:t>
      </w:r>
      <w:hyperlink r:id="rId143">
        <w:r>
          <w:rPr>
            <w:rStyle w:val="Hyperlink"/>
          </w:rPr>
          <w:t xml:space="preserve">doi: [10.3847/2041-8213/aa91c9](https://doi.org/10.3847/2041-8213/aa91c9)</w:t>
        </w:r>
      </w:hyperlink>
      <w:r>
        <w:t xml:space="preserve">.</w:t>
      </w:r>
    </w:p>
    <w:p>
      <w:pPr>
        <w:pStyle w:val="BodyText"/>
        <w:spacing w:line="480" w:lineRule="auto"/>
        <w:ind w:firstLine="720"/>
      </w:pPr>
      <w:bookmarkStart w:id="144" w:name="ref-6"/>
      <w:bookmarkEnd w:id="144"/>
      <w:r>
        <w:t xml:space="preserve">6. D. A. Coulter et al.,</w:t>
      </w:r>
      <w:r>
        <w:t xml:space="preserve"> </w:t>
      </w:r>
      <w:r>
        <w:t xml:space="preserve">“Swope Supernova Survey 2017a (SSS17a), the optical counterpart to a gravitational wave source,”</w:t>
      </w:r>
      <w:r>
        <w:t xml:space="preserve"> </w:t>
      </w:r>
      <w:r>
        <w:t xml:space="preserve">Science, vol. 358, p. 1556, 2017,</w:t>
      </w:r>
      <w:r>
        <w:t xml:space="preserve"> </w:t>
      </w:r>
      <w:hyperlink r:id="rId145">
        <w:r>
          <w:rPr>
            <w:rStyle w:val="Hyperlink"/>
          </w:rPr>
          <w:t xml:space="preserve">doi: [10.1126/science.aap9811](https://doi.org/10.1126/science.aap9811)</w:t>
        </w:r>
      </w:hyperlink>
      <w:r>
        <w:t xml:space="preserve">.</w:t>
      </w:r>
    </w:p>
    <w:p>
      <w:pPr>
        <w:pStyle w:val="BodyText"/>
        <w:spacing w:line="480" w:lineRule="auto"/>
        <w:ind w:firstLine="720"/>
      </w:pPr>
      <w:bookmarkStart w:id="146" w:name="ref-7"/>
      <w:bookmarkEnd w:id="146"/>
      <w:r>
        <w:t xml:space="preserve">7. M. W. Coughlin et al.,</w:t>
      </w:r>
      <w:r>
        <w:t xml:space="preserve"> </w:t>
      </w:r>
      <w:r>
        <w:t xml:space="preserve">“GROWTH on S190425z: searching thousands of square degrees to identify an optical or infrared counterpart to a binary neutron star merger,”</w:t>
      </w:r>
      <w:r>
        <w:t xml:space="preserve"> </w:t>
      </w:r>
      <w:r>
        <w:t xml:space="preserve">Astrophysical Journal Letters, vol. 885, p. L19, 2019,</w:t>
      </w:r>
      <w:r>
        <w:t xml:space="preserve"> </w:t>
      </w:r>
      <w:hyperlink r:id="rId147">
        <w:r>
          <w:rPr>
            <w:rStyle w:val="Hyperlink"/>
          </w:rPr>
          <w:t xml:space="preserve">doi: [10.3847/2041-8213/ab4ad8](https://doi.org/10.3847/2041-8213/ab4ad8)</w:t>
        </w:r>
      </w:hyperlink>
      <w:r>
        <w:t xml:space="preserve">.</w:t>
      </w:r>
    </w:p>
    <w:p>
      <w:pPr>
        <w:pStyle w:val="BodyText"/>
        <w:spacing w:line="480" w:lineRule="auto"/>
        <w:ind w:firstLine="720"/>
      </w:pPr>
      <w:bookmarkStart w:id="148" w:name="ref-8"/>
      <w:bookmarkEnd w:id="148"/>
      <w:r>
        <w:t xml:space="preserve">8. S. Ackley et al.,</w:t>
      </w:r>
      <w:r>
        <w:t xml:space="preserve"> </w:t>
      </w:r>
      <w:r>
        <w:t xml:space="preserve">“Observational constraints on the optical and near-infrared emission from the neutron star black hole binary merger candidate S190814bv,”</w:t>
      </w:r>
      <w:r>
        <w:t xml:space="preserve"> </w:t>
      </w:r>
      <w:r>
        <w:t xml:space="preserve">Astronomy and Astrophysics, vol. 643, p. A113, 2020,</w:t>
      </w:r>
      <w:r>
        <w:t xml:space="preserve"> </w:t>
      </w:r>
      <w:hyperlink r:id="rId149">
        <w:r>
          <w:rPr>
            <w:rStyle w:val="Hyperlink"/>
          </w:rPr>
          <w:t xml:space="preserve">doi: [10.1051/0004-6361/202037669](https://doi.org/10.1051/0004-6361/202037669)</w:t>
        </w:r>
      </w:hyperlink>
      <w:r>
        <w:t xml:space="preserve">.</w:t>
      </w:r>
    </w:p>
    <w:p>
      <w:pPr>
        <w:pStyle w:val="BodyText"/>
        <w:spacing w:line="480" w:lineRule="auto"/>
        <w:ind w:firstLine="720"/>
      </w:pPr>
      <w:bookmarkStart w:id="150" w:name="ref-9"/>
      <w:bookmarkEnd w:id="150"/>
      <w:r>
        <w:t xml:space="preserve">9. S. Anand et al.,</w:t>
      </w:r>
      <w:r>
        <w:t xml:space="preserve"> </w:t>
      </w:r>
      <w:r>
        <w:t xml:space="preserve">“Optical follow-up of the neutron star black hole mergers S200105ae and S200115j,”</w:t>
      </w:r>
      <w:r>
        <w:t xml:space="preserve"> </w:t>
      </w:r>
      <w:r>
        <w:t xml:space="preserve">Nature Astronomy, vol. 5, p. 46, 2021,</w:t>
      </w:r>
      <w:r>
        <w:t xml:space="preserve"> </w:t>
      </w:r>
      <w:hyperlink r:id="rId151">
        <w:r>
          <w:rPr>
            <w:rStyle w:val="Hyperlink"/>
          </w:rPr>
          <w:t xml:space="preserve">doi: [10.1038/s41550-020-1183-3](https://doi.org/10.1038/s41550-020-1183-3)</w:t>
        </w:r>
      </w:hyperlink>
      <w:r>
        <w:t xml:space="preserve">.</w:t>
      </w:r>
    </w:p>
    <w:p>
      <w:pPr>
        <w:pStyle w:val="BodyText"/>
        <w:spacing w:line="480" w:lineRule="auto"/>
        <w:ind w:firstLine="720"/>
      </w:pPr>
      <w:bookmarkStart w:id="152" w:name="ref-10"/>
      <w:bookmarkEnd w:id="152"/>
      <w:r>
        <w:t xml:space="preserve">10. A. Goldstein et al.,</w:t>
      </w:r>
      <w:r>
        <w:t xml:space="preserve"> </w:t>
      </w:r>
      <w:r>
        <w:t xml:space="preserve">“An ordinary short gamma-ray burst with extraordinary implications: Fermi-GBM detection of GRB170817A,”</w:t>
      </w:r>
      <w:r>
        <w:t xml:space="preserve"> </w:t>
      </w:r>
      <w:r>
        <w:t xml:space="preserve">Astrophysical Journal Letters, vol. 848, p. L14, 2017,</w:t>
      </w:r>
      <w:r>
        <w:t xml:space="preserve"> </w:t>
      </w:r>
      <w:hyperlink r:id="rId153">
        <w:r>
          <w:rPr>
            <w:rStyle w:val="Hyperlink"/>
          </w:rPr>
          <w:t xml:space="preserve">doi: [10.3847/2041-8213/aa8f41](https://doi.org/10.3847/2041-8213/aa8f41)</w:t>
        </w:r>
      </w:hyperlink>
      <w:r>
        <w:t xml:space="preserve">.</w:t>
      </w:r>
    </w:p>
    <w:p>
      <w:pPr>
        <w:pStyle w:val="BodyText"/>
        <w:spacing w:line="480" w:lineRule="auto"/>
        <w:ind w:firstLine="720"/>
      </w:pPr>
      <w:bookmarkStart w:id="154" w:name="ref-11"/>
      <w:bookmarkEnd w:id="154"/>
      <w:r>
        <w:t xml:space="preserve">11. D. A. Coulter et al.,</w:t>
      </w:r>
      <w:r>
        <w:t xml:space="preserve"> </w:t>
      </w:r>
      <w:r>
        <w:t xml:space="preserve">“Swope Supernova Survey 2017a,”</w:t>
      </w:r>
      <w:r>
        <w:t xml:space="preserve"> </w:t>
      </w:r>
      <w:r>
        <w:t xml:space="preserve">Science, vol. 358, p. 1556, 2017,</w:t>
      </w:r>
      <w:r>
        <w:t xml:space="preserve"> </w:t>
      </w:r>
      <w:hyperlink r:id="rId145">
        <w:r>
          <w:rPr>
            <w:rStyle w:val="Hyperlink"/>
          </w:rPr>
          <w:t xml:space="preserve">doi: [10.1126/science.aap9811](https://doi.org/10.1126/science.aap9811)</w:t>
        </w:r>
      </w:hyperlink>
      <w:r>
        <w:t xml:space="preserve">.</w:t>
      </w:r>
    </w:p>
    <w:p>
      <w:pPr>
        <w:pStyle w:val="BodyText"/>
        <w:spacing w:line="480" w:lineRule="auto"/>
        <w:ind w:firstLine="720"/>
      </w:pPr>
      <w:bookmarkStart w:id="155" w:name="ref-12"/>
      <w:bookmarkEnd w:id="155"/>
      <w:r>
        <w:t xml:space="preserve">12. M. W. Coughlin et al.,</w:t>
      </w:r>
      <w:r>
        <w:t xml:space="preserve"> </w:t>
      </w:r>
      <w:r>
        <w:t xml:space="preserve">“GROWTH on S190425z,”</w:t>
      </w:r>
      <w:r>
        <w:t xml:space="preserve"> </w:t>
      </w:r>
      <w:r>
        <w:t xml:space="preserve">Astrophysical Journal Letters, vol. 885, p. L19, 2019,</w:t>
      </w:r>
      <w:r>
        <w:t xml:space="preserve"> </w:t>
      </w:r>
      <w:hyperlink r:id="rId147">
        <w:r>
          <w:rPr>
            <w:rStyle w:val="Hyperlink"/>
          </w:rPr>
          <w:t xml:space="preserve">doi: [10.3847/2041-8213/ab4ad8](https://doi.org/10.3847/2041-8213/ab4ad8)</w:t>
        </w:r>
      </w:hyperlink>
      <w:r>
        <w:t xml:space="preserve">.</w:t>
      </w:r>
    </w:p>
    <w:p>
      <w:pPr>
        <w:pStyle w:val="BodyText"/>
        <w:spacing w:line="480" w:lineRule="auto"/>
        <w:ind w:firstLine="720"/>
      </w:pPr>
      <w:bookmarkStart w:id="156" w:name="ref-13"/>
      <w:bookmarkEnd w:id="156"/>
      <w:r>
        <w:t xml:space="preserve">13. S. Ackley et al.,</w:t>
      </w:r>
      <w:r>
        <w:t xml:space="preserve"> </w:t>
      </w:r>
      <w:r>
        <w:t xml:space="preserve">“Observational constraints on S190814bv,”</w:t>
      </w:r>
      <w:r>
        <w:t xml:space="preserve"> </w:t>
      </w:r>
      <w:r>
        <w:t xml:space="preserve">Astronomy and Astrophysics, vol. 643, p. A113, 2020,</w:t>
      </w:r>
      <w:r>
        <w:t xml:space="preserve"> </w:t>
      </w:r>
      <w:hyperlink r:id="rId149">
        <w:r>
          <w:rPr>
            <w:rStyle w:val="Hyperlink"/>
          </w:rPr>
          <w:t xml:space="preserve">doi: [10.1051/0004-6361/202037669](https://doi.org/10.1051/0004-6361/202037669)</w:t>
        </w:r>
      </w:hyperlink>
      <w:r>
        <w:t xml:space="preserve">.</w:t>
      </w:r>
    </w:p>
    <w:p>
      <w:pPr>
        <w:pStyle w:val="BodyText"/>
        <w:spacing w:line="480" w:lineRule="auto"/>
        <w:ind w:firstLine="720"/>
      </w:pPr>
      <w:bookmarkStart w:id="157" w:name="ref-14"/>
      <w:bookmarkEnd w:id="157"/>
      <w:r>
        <w:t xml:space="preserve">14. S. Anand et al.,</w:t>
      </w:r>
      <w:r>
        <w:t xml:space="preserve"> </w:t>
      </w:r>
      <w:r>
        <w:t xml:space="preserve">“Optical follow-up of S200105ae and S200115j,”</w:t>
      </w:r>
      <w:r>
        <w:t xml:space="preserve"> </w:t>
      </w:r>
      <w:r>
        <w:t xml:space="preserve">Nature Astronomy, vol. 5, p. 46, 2021,</w:t>
      </w:r>
      <w:r>
        <w:t xml:space="preserve"> </w:t>
      </w:r>
      <w:hyperlink r:id="rId151">
        <w:r>
          <w:rPr>
            <w:rStyle w:val="Hyperlink"/>
          </w:rPr>
          <w:t xml:space="preserve">doi: [10.1038/s41550-020-1183-3](https://doi.org/10.1038/s41550-020-1183-3)</w:t>
        </w:r>
      </w:hyperlink>
      <w:r>
        <w:t xml:space="preserve">.</w:t>
      </w:r>
    </w:p>
    <w:p>
      <w:pPr>
        <w:pStyle w:val="BodyText"/>
        <w:spacing w:line="480" w:lineRule="auto"/>
        <w:ind w:firstLine="720"/>
      </w:pPr>
      <w:bookmarkStart w:id="158" w:name="ref-15"/>
      <w:bookmarkEnd w:id="158"/>
      <w:r>
        <w:t xml:space="preserve">15. S. Antier et al.,</w:t>
      </w:r>
      <w:r>
        <w:t xml:space="preserve"> </w:t>
      </w:r>
      <w:r>
        <w:t xml:space="preserve">“The GRANDMA network on GW190412,”</w:t>
      </w:r>
      <w:r>
        <w:t xml:space="preserve"> </w:t>
      </w:r>
      <w:r>
        <w:t xml:space="preserve">Monthly Notices of the Royal Astronomical Society, vol. 497, p. 5518, 2020,</w:t>
      </w:r>
      <w:r>
        <w:t xml:space="preserve"> </w:t>
      </w:r>
      <w:hyperlink r:id="rId159">
        <w:r>
          <w:rPr>
            <w:rStyle w:val="Hyperlink"/>
          </w:rPr>
          <w:t xml:space="preserve">doi: [10.1093/mnras/staa2400](https://doi.org/10.1093/mnras/staa2400)</w:t>
        </w:r>
      </w:hyperlink>
      <w:r>
        <w:t xml:space="preserve">.</w:t>
      </w:r>
    </w:p>
    <w:p>
      <w:pPr>
        <w:pStyle w:val="BodyText"/>
        <w:spacing w:line="480" w:lineRule="auto"/>
        <w:ind w:firstLine="720"/>
      </w:pPr>
      <w:bookmarkStart w:id="160" w:name="ref-16"/>
      <w:bookmarkEnd w:id="160"/>
      <w:r>
        <w:t xml:space="preserve">16. M. J. Graham et al.,</w:t>
      </w:r>
      <w:r>
        <w:t xml:space="preserve"> </w:t>
      </w:r>
      <w:r>
        <w:t xml:space="preserve">“Candidate electromagnetic counterpart to the binary black hole merger gravitational wave event S190521g,”</w:t>
      </w:r>
      <w:r>
        <w:t xml:space="preserve"> </w:t>
      </w:r>
      <w:r>
        <w:t xml:space="preserve">Physical Review Letters, vol. 124, p. 251102, 2020,</w:t>
      </w:r>
      <w:r>
        <w:t xml:space="preserve"> </w:t>
      </w:r>
      <w:hyperlink r:id="rId161">
        <w:r>
          <w:rPr>
            <w:rStyle w:val="Hyperlink"/>
          </w:rPr>
          <w:t xml:space="preserve">doi: [10.1103/PhysRevLett.124.251102](https://doi.org/10.1103/PhysRevLett.124.251102)</w:t>
        </w:r>
      </w:hyperlink>
      <w:r>
        <w:t xml:space="preserve">.</w:t>
      </w:r>
    </w:p>
    <w:p>
      <w:pPr>
        <w:pStyle w:val="BodyText"/>
        <w:spacing w:line="480" w:lineRule="auto"/>
        <w:ind w:firstLine="720"/>
      </w:pPr>
      <w:bookmarkStart w:id="162" w:name="ref-17"/>
      <w:bookmarkEnd w:id="162"/>
      <w:r>
        <w:t xml:space="preserve">17. B. P. Abbott et al.,</w:t>
      </w:r>
      <w:r>
        <w:t xml:space="preserve"> </w:t>
      </w:r>
      <w:r>
        <w:t xml:space="preserve">“GW170814: a three-detector observation of gravitational waves from a binary black hole coalescence,”</w:t>
      </w:r>
      <w:r>
        <w:t xml:space="preserve"> </w:t>
      </w:r>
      <w:r>
        <w:t xml:space="preserve">Physical Review Letters, vol. 119, p. 141101, 2017,</w:t>
      </w:r>
      <w:r>
        <w:t xml:space="preserve"> </w:t>
      </w:r>
      <w:hyperlink r:id="rId163">
        <w:r>
          <w:rPr>
            <w:rStyle w:val="Hyperlink"/>
          </w:rPr>
          <w:t xml:space="preserve">doi: [10.1103/PhysRevLett.119.141101](https://doi.org/10.1103/PhysRevLett.119.141101)</w:t>
        </w:r>
      </w:hyperlink>
      <w:r>
        <w:t xml:space="preserve">.</w:t>
      </w:r>
    </w:p>
    <w:p>
      <w:pPr>
        <w:pStyle w:val="BodyText"/>
        <w:spacing w:line="480" w:lineRule="auto"/>
        <w:ind w:firstLine="720"/>
      </w:pPr>
      <w:bookmarkStart w:id="164" w:name="ref-18"/>
      <w:bookmarkEnd w:id="164"/>
      <w:r>
        <w:t xml:space="preserve">18. B. P. Abbott et al.,</w:t>
      </w:r>
      <w:r>
        <w:t xml:space="preserve"> </w:t>
      </w:r>
      <w:r>
        <w:t xml:space="preserve">“Localization and broadband follow-up of the gravitational-wave transient GW150914,”</w:t>
      </w:r>
      <w:r>
        <w:t xml:space="preserve"> </w:t>
      </w:r>
      <w:r>
        <w:t xml:space="preserve">Astrophysical Journal Letters, vol. 826, p. L13, 2016,</w:t>
      </w:r>
      <w:r>
        <w:t xml:space="preserve"> </w:t>
      </w:r>
      <w:hyperlink r:id="rId165">
        <w:r>
          <w:rPr>
            <w:rStyle w:val="Hyperlink"/>
          </w:rPr>
          <w:t xml:space="preserve">doi: [10.3847/2041-8205/826/1/L13](https://doi.org/10.3847/2041-8205/826/1/L13)</w:t>
        </w:r>
      </w:hyperlink>
      <w:r>
        <w:t xml:space="preserve">.</w:t>
      </w:r>
    </w:p>
    <w:p>
      <w:pPr>
        <w:pStyle w:val="BodyText"/>
        <w:spacing w:line="480" w:lineRule="auto"/>
        <w:ind w:firstLine="720"/>
      </w:pPr>
      <w:bookmarkStart w:id="166" w:name="ref-19"/>
      <w:bookmarkEnd w:id="166"/>
      <w:r>
        <w:t xml:space="preserve">19. A. Goldstein et al.,</w:t>
      </w:r>
      <w:r>
        <w:t xml:space="preserve"> </w:t>
      </w:r>
      <w:r>
        <w:t xml:space="preserve">“Fermi-GBM detection of GRB170817A,”</w:t>
      </w:r>
      <w:r>
        <w:t xml:space="preserve"> </w:t>
      </w:r>
      <w:r>
        <w:t xml:space="preserve">Astrophysical Journal Letters, vol. 848, p. L14, 2017,</w:t>
      </w:r>
      <w:r>
        <w:t xml:space="preserve"> </w:t>
      </w:r>
      <w:hyperlink r:id="rId153">
        <w:r>
          <w:rPr>
            <w:rStyle w:val="Hyperlink"/>
          </w:rPr>
          <w:t xml:space="preserve">doi: [10.3847/2041-8213/aa8f41](https://doi.org/10.3847/2041-8213/aa8f41)</w:t>
        </w:r>
      </w:hyperlink>
      <w:r>
        <w:t xml:space="preserve">.</w:t>
      </w:r>
    </w:p>
    <w:p>
      <w:pPr>
        <w:pStyle w:val="BodyText"/>
        <w:spacing w:line="480" w:lineRule="auto"/>
        <w:ind w:firstLine="720"/>
      </w:pPr>
      <w:bookmarkStart w:id="167" w:name="ref-20"/>
      <w:bookmarkEnd w:id="167"/>
      <w:r>
        <w:t xml:space="preserve">20. M. A. Williams et al.,</w:t>
      </w:r>
      <w:r>
        <w:t xml:space="preserve"> </w:t>
      </w:r>
      <w:r>
        <w:t xml:space="preserve">“GRB221009A discovery and broad-band follow-up,”</w:t>
      </w:r>
      <w:r>
        <w:t xml:space="preserve"> </w:t>
      </w:r>
      <w:r>
        <w:t xml:space="preserve">Astrophysical Journal Letters, vol. 946, p. L24, 2023,</w:t>
      </w:r>
      <w:r>
        <w:t xml:space="preserve"> </w:t>
      </w:r>
      <w:hyperlink r:id="rId168">
        <w:r>
          <w:rPr>
            <w:rStyle w:val="Hyperlink"/>
          </w:rPr>
          <w:t xml:space="preserve">doi: [10.3847/2041-8213/acbcd1](https://doi.org/10.3847/2041-8213/acbcd1)</w:t>
        </w:r>
      </w:hyperlink>
      <w:r>
        <w:t xml:space="preserve">.</w:t>
      </w:r>
    </w:p>
    <w:p>
      <w:pPr>
        <w:pStyle w:val="BodyText"/>
        <w:spacing w:line="480" w:lineRule="auto"/>
        <w:ind w:firstLine="720"/>
      </w:pPr>
      <w:bookmarkStart w:id="169" w:name="ref-21"/>
      <w:bookmarkEnd w:id="169"/>
      <w:r>
        <w:t xml:space="preserve">21. A. J. Levan et al.,</w:t>
      </w:r>
      <w:r>
        <w:t xml:space="preserve"> </w:t>
      </w:r>
      <w:r>
        <w:t xml:space="preserve">“Heavy element production in a compact-object merger observed by JWST,”</w:t>
      </w:r>
      <w:r>
        <w:t xml:space="preserve"> </w:t>
      </w:r>
      <w:r>
        <w:t xml:space="preserve">Nature, vol. 626, p. 737, 2024,</w:t>
      </w:r>
      <w:r>
        <w:t xml:space="preserve"> </w:t>
      </w:r>
      <w:hyperlink r:id="rId170">
        <w:r>
          <w:rPr>
            <w:rStyle w:val="Hyperlink"/>
          </w:rPr>
          <w:t xml:space="preserve">doi: [10.1038/s41586-023-06759-1](https://doi.org/10.1038/s41586-023-06759-1)</w:t>
        </w:r>
      </w:hyperlink>
      <w:r>
        <w:t xml:space="preserve">.</w:t>
      </w:r>
    </w:p>
    <w:p>
      <w:pPr>
        <w:pStyle w:val="BodyText"/>
        <w:spacing w:line="480" w:lineRule="auto"/>
        <w:ind w:firstLine="720"/>
      </w:pPr>
      <w:bookmarkStart w:id="171" w:name="ref-22"/>
      <w:bookmarkEnd w:id="171"/>
      <w:r>
        <w:t xml:space="preserve">22. J. C. Rastinejad et al.,</w:t>
      </w:r>
      <w:r>
        <w:t xml:space="preserve"> </w:t>
      </w:r>
      <w:r>
        <w:t xml:space="preserve">“A kilonova following a long-duration gamma-ray burst at 350 Mpc,”</w:t>
      </w:r>
      <w:r>
        <w:t xml:space="preserve"> </w:t>
      </w:r>
      <w:r>
        <w:t xml:space="preserve">Nature, vol. 612, p. 223, 2022,</w:t>
      </w:r>
      <w:r>
        <w:t xml:space="preserve"> </w:t>
      </w:r>
      <w:hyperlink r:id="rId172">
        <w:r>
          <w:rPr>
            <w:rStyle w:val="Hyperlink"/>
          </w:rPr>
          <w:t xml:space="preserve">doi: [10.1038/s41586-022-05390-w](https://doi.org/10.1038/s41586-022-05390-w)</w:t>
        </w:r>
      </w:hyperlink>
      <w:r>
        <w:t xml:space="preserve">.</w:t>
      </w:r>
    </w:p>
    <w:p>
      <w:pPr>
        <w:pStyle w:val="BodyText"/>
        <w:spacing w:line="480" w:lineRule="auto"/>
        <w:ind w:firstLine="720"/>
      </w:pPr>
      <w:bookmarkStart w:id="173" w:name="ref-23"/>
      <w:bookmarkEnd w:id="173"/>
      <w:r>
        <w:t xml:space="preserve">23. H. Abdalla et al.,</w:t>
      </w:r>
      <w:r>
        <w:t xml:space="preserve"> </w:t>
      </w:r>
      <w:r>
        <w:t xml:space="preserve">“A very-high-energy component deep in the gamma-ray burst afterglow,”</w:t>
      </w:r>
      <w:r>
        <w:t xml:space="preserve"> </w:t>
      </w:r>
      <w:r>
        <w:t xml:space="preserve">Nature, vol. 575, p. 464, 2019,</w:t>
      </w:r>
      <w:r>
        <w:t xml:space="preserve"> </w:t>
      </w:r>
      <w:hyperlink r:id="rId174">
        <w:r>
          <w:rPr>
            <w:rStyle w:val="Hyperlink"/>
          </w:rPr>
          <w:t xml:space="preserve">doi: [10.1038/s41586-019-1743-9](https://doi.org/10.1038/s41586-019-1743-9)</w:t>
        </w:r>
      </w:hyperlink>
      <w:r>
        <w:t xml:space="preserve">.</w:t>
      </w:r>
    </w:p>
    <w:p>
      <w:pPr>
        <w:pStyle w:val="BodyText"/>
        <w:spacing w:line="480" w:lineRule="auto"/>
        <w:ind w:firstLine="720"/>
      </w:pPr>
      <w:bookmarkStart w:id="175" w:name="ref-24"/>
      <w:bookmarkEnd w:id="175"/>
      <w:r>
        <w:t xml:space="preserve">24. MAGIC Collaboration,</w:t>
      </w:r>
      <w:r>
        <w:t xml:space="preserve"> </w:t>
      </w:r>
      <w:r>
        <w:t xml:space="preserve">“Teraelectronvolt emission from the gamma-ray burst GRB190114C,”</w:t>
      </w:r>
      <w:r>
        <w:t xml:space="preserve"> </w:t>
      </w:r>
      <w:r>
        <w:t xml:space="preserve">Nature, vol. 575, p. 455, 2019,</w:t>
      </w:r>
      <w:r>
        <w:t xml:space="preserve"> </w:t>
      </w:r>
      <w:hyperlink r:id="rId176">
        <w:r>
          <w:rPr>
            <w:rStyle w:val="Hyperlink"/>
          </w:rPr>
          <w:t xml:space="preserve">doi: [10.1038/s41586-019-1750-x](https://doi.org/10.1038/s41586-019-1750-x)</w:t>
        </w:r>
      </w:hyperlink>
      <w:r>
        <w:t xml:space="preserve">.</w:t>
      </w:r>
    </w:p>
    <w:p>
      <w:pPr>
        <w:pStyle w:val="BodyText"/>
        <w:spacing w:line="480" w:lineRule="auto"/>
        <w:ind w:firstLine="720"/>
      </w:pPr>
      <w:bookmarkStart w:id="177" w:name="ref-25"/>
      <w:bookmarkEnd w:id="177"/>
      <w:r>
        <w:t xml:space="preserve">25. I. Sushch et al.,</w:t>
      </w:r>
      <w:r>
        <w:t xml:space="preserve"> </w:t>
      </w:r>
      <w:r>
        <w:t xml:space="preserve">“MAGIC very-high-energy detection of GRB201015A,”</w:t>
      </w:r>
      <w:r>
        <w:t xml:space="preserve"> </w:t>
      </w:r>
      <w:r>
        <w:t xml:space="preserve">Astronomy and Astrophysics, vol. 685, p. A129, 2024,</w:t>
      </w:r>
      <w:r>
        <w:t xml:space="preserve"> </w:t>
      </w:r>
      <w:hyperlink r:id="rId178">
        <w:r>
          <w:rPr>
            <w:rStyle w:val="Hyperlink"/>
          </w:rPr>
          <w:t xml:space="preserve">doi: [10.1051/0004-6361/202348246](https://doi.org/10.1051/0004-6361/202348246)</w:t>
        </w:r>
      </w:hyperlink>
      <w:r>
        <w:t xml:space="preserve">.</w:t>
      </w:r>
    </w:p>
    <w:p>
      <w:pPr>
        <w:pStyle w:val="BodyText"/>
        <w:spacing w:line="480" w:lineRule="auto"/>
        <w:ind w:firstLine="720"/>
      </w:pPr>
      <w:bookmarkStart w:id="179" w:name="ref-26"/>
      <w:bookmarkEnd w:id="179"/>
      <w:r>
        <w:t xml:space="preserve">26. A. Gal-Yam et al.,</w:t>
      </w:r>
      <w:r>
        <w:t xml:space="preserve"> </w:t>
      </w:r>
      <w:r>
        <w:t xml:space="preserve">“The ZTF Bright Transient Survey: photometric coverage and supernova subclassification,”</w:t>
      </w:r>
      <w:r>
        <w:t xml:space="preserve"> </w:t>
      </w:r>
      <w:r>
        <w:t xml:space="preserve">Astrophysical Journal, vol. 928, p. 130, 2022,</w:t>
      </w:r>
      <w:r>
        <w:t xml:space="preserve"> </w:t>
      </w:r>
      <w:hyperlink r:id="rId180">
        <w:r>
          <w:rPr>
            <w:rStyle w:val="Hyperlink"/>
          </w:rPr>
          <w:t xml:space="preserve">doi: [10.3847/1538-4357/ac4d29](https://doi.org/10.3847/1538-4357/ac4d29)</w:t>
        </w:r>
      </w:hyperlink>
      <w:r>
        <w:t xml:space="preserve">.</w:t>
      </w:r>
    </w:p>
    <w:p>
      <w:pPr>
        <w:pStyle w:val="BodyText"/>
        <w:spacing w:line="480" w:lineRule="auto"/>
        <w:ind w:firstLine="720"/>
      </w:pPr>
      <w:bookmarkStart w:id="181" w:name="ref-27"/>
      <w:bookmarkEnd w:id="181"/>
      <w:r>
        <w:t xml:space="preserve">27. C. Fremling et al.,</w:t>
      </w:r>
      <w:r>
        <w:t xml:space="preserve"> </w:t>
      </w:r>
      <w:r>
        <w:t xml:space="preserve">“The ZTF Bright Transient Survey I: spectroscopic classification and the redshift completeness of local galaxy catalogs,”</w:t>
      </w:r>
      <w:r>
        <w:t xml:space="preserve"> </w:t>
      </w:r>
      <w:r>
        <w:t xml:space="preserve">Astrophysical Journal, vol. 895, p. 32, 2020,</w:t>
      </w:r>
      <w:r>
        <w:t xml:space="preserve"> </w:t>
      </w:r>
      <w:hyperlink r:id="rId182">
        <w:r>
          <w:rPr>
            <w:rStyle w:val="Hyperlink"/>
          </w:rPr>
          <w:t xml:space="preserve">doi: [10.3847/1538-4357/ab8943](https://doi.org/10.3847/1538-4357/ab8943)</w:t>
        </w:r>
      </w:hyperlink>
      <w:r>
        <w:t xml:space="preserve">.</w:t>
      </w:r>
    </w:p>
    <w:p>
      <w:pPr>
        <w:pStyle w:val="BodyText"/>
        <w:spacing w:line="480" w:lineRule="auto"/>
        <w:ind w:firstLine="720"/>
      </w:pPr>
      <w:bookmarkStart w:id="183" w:name="ref-28"/>
      <w:bookmarkEnd w:id="183"/>
      <w:r>
        <w:t xml:space="preserve">28. D. A. Perley et al.,</w:t>
      </w:r>
      <w:r>
        <w:t xml:space="preserve"> </w:t>
      </w:r>
      <w:r>
        <w:t xml:space="preserve">“The ZTF Bright Transient Survey II: a public statistical sample for exploring supernova demographics,”</w:t>
      </w:r>
      <w:r>
        <w:t xml:space="preserve"> </w:t>
      </w:r>
      <w:r>
        <w:t xml:space="preserve">Astrophysical Journal, vol. 904, p. 35, 2020,</w:t>
      </w:r>
      <w:r>
        <w:t xml:space="preserve"> </w:t>
      </w:r>
      <w:hyperlink r:id="rId184">
        <w:r>
          <w:rPr>
            <w:rStyle w:val="Hyperlink"/>
          </w:rPr>
          <w:t xml:space="preserve">doi: [10.3847/1538-4357/abbd98](https://doi.org/10.3847/1538-4357/abbd98)</w:t>
        </w:r>
      </w:hyperlink>
      <w:r>
        <w:t xml:space="preserve">.</w:t>
      </w:r>
    </w:p>
    <w:p>
      <w:pPr>
        <w:pStyle w:val="BodyText"/>
        <w:spacing w:line="480" w:lineRule="auto"/>
        <w:ind w:firstLine="720"/>
      </w:pPr>
      <w:bookmarkStart w:id="185" w:name="ref-29"/>
      <w:bookmarkEnd w:id="185"/>
      <w:r>
        <w:t xml:space="preserve">29. Y. Sharma et al.,</w:t>
      </w:r>
      <w:r>
        <w:t xml:space="preserve"> </w:t>
      </w:r>
      <w:r>
        <w:t xml:space="preserve">“The ZTF Census of the Local Universe luminosity function of stripped-envelope supernovae,”</w:t>
      </w:r>
      <w:r>
        <w:t xml:space="preserve"> </w:t>
      </w:r>
      <w:r>
        <w:t xml:space="preserve">Astrophysical Journal, vol. 966, p. 1, 2024,</w:t>
      </w:r>
      <w:r>
        <w:t xml:space="preserve"> </w:t>
      </w:r>
      <w:hyperlink r:id="rId186">
        <w:r>
          <w:rPr>
            <w:rStyle w:val="Hyperlink"/>
          </w:rPr>
          <w:t xml:space="preserve">doi: [10.3847/1538-4357/ad2a48](https://doi.org/10.3847/1538-4357/ad2a48)</w:t>
        </w:r>
      </w:hyperlink>
      <w:r>
        <w:t xml:space="preserve">.</w:t>
      </w:r>
    </w:p>
    <w:p>
      <w:pPr>
        <w:pStyle w:val="BodyText"/>
        <w:spacing w:line="480" w:lineRule="auto"/>
        <w:ind w:firstLine="720"/>
      </w:pPr>
      <w:bookmarkStart w:id="187" w:name="ref-30"/>
      <w:bookmarkEnd w:id="187"/>
      <w:r>
        <w:t xml:space="preserve">30. T. W.-S. Holoien et al.,</w:t>
      </w:r>
      <w:r>
        <w:t xml:space="preserve"> </w:t>
      </w:r>
      <w:r>
        <w:t xml:space="preserve">“ASASSN-14li: the discovery of a tidal disruption event,”</w:t>
      </w:r>
      <w:r>
        <w:t xml:space="preserve"> </w:t>
      </w:r>
      <w:r>
        <w:t xml:space="preserve">Monthly Notices of the Royal Astronomical Society, vol. 455, p. 2918, 2016,</w:t>
      </w:r>
      <w:r>
        <w:t xml:space="preserve"> </w:t>
      </w:r>
      <w:hyperlink r:id="rId188">
        <w:r>
          <w:rPr>
            <w:rStyle w:val="Hyperlink"/>
          </w:rPr>
          <w:t xml:space="preserve">doi: [10.1093/mnras/stv2486](https://doi.org/10.1093/mnras/stv2486)</w:t>
        </w:r>
      </w:hyperlink>
      <w:r>
        <w:t xml:space="preserve">.</w:t>
      </w:r>
    </w:p>
    <w:p>
      <w:pPr>
        <w:pStyle w:val="BodyText"/>
        <w:spacing w:line="480" w:lineRule="auto"/>
        <w:ind w:firstLine="720"/>
      </w:pPr>
      <w:bookmarkStart w:id="189" w:name="ref-31"/>
      <w:bookmarkEnd w:id="189"/>
      <w:r>
        <w:t xml:space="preserve">31. R. Margutti et al.,</w:t>
      </w:r>
      <w:r>
        <w:t xml:space="preserve"> </w:t>
      </w:r>
      <w:r>
        <w:t xml:space="preserve">“An embedded X-ray source shines through the aspherical AT2018cow,”</w:t>
      </w:r>
      <w:r>
        <w:t xml:space="preserve"> </w:t>
      </w:r>
      <w:r>
        <w:t xml:space="preserve">Astrophysical Journal, vol. 872, p. 18, 2019,</w:t>
      </w:r>
      <w:r>
        <w:t xml:space="preserve"> </w:t>
      </w:r>
      <w:hyperlink r:id="rId190">
        <w:r>
          <w:rPr>
            <w:rStyle w:val="Hyperlink"/>
          </w:rPr>
          <w:t xml:space="preserve">doi: [10.3847/1538-4357/aafa01](https://doi.org/10.3847/1538-4357/aafa01)</w:t>
        </w:r>
      </w:hyperlink>
      <w:r>
        <w:t xml:space="preserve">.</w:t>
      </w:r>
    </w:p>
    <w:p>
      <w:pPr>
        <w:pStyle w:val="BodyText"/>
        <w:spacing w:line="480" w:lineRule="auto"/>
        <w:ind w:firstLine="720"/>
      </w:pPr>
      <w:bookmarkStart w:id="191" w:name="ref-32"/>
      <w:bookmarkEnd w:id="191"/>
      <w:r>
        <w:t xml:space="preserve">32. R. Stein et al.,</w:t>
      </w:r>
      <w:r>
        <w:t xml:space="preserve"> </w:t>
      </w:r>
      <w:r>
        <w:t xml:space="preserve">“A tidal disruption event coincident with a high-energy neutrino,”</w:t>
      </w:r>
      <w:r>
        <w:t xml:space="preserve"> </w:t>
      </w:r>
      <w:r>
        <w:t xml:space="preserve">Nature Astronomy, vol. 5, p. 510, 2021,</w:t>
      </w:r>
      <w:r>
        <w:t xml:space="preserve"> </w:t>
      </w:r>
      <w:hyperlink r:id="rId192">
        <w:r>
          <w:rPr>
            <w:rStyle w:val="Hyperlink"/>
          </w:rPr>
          <w:t xml:space="preserve">doi: [10.1038/s41550-020-01295-8](https://doi.org/10.1038/s41550-020-01295-8)</w:t>
        </w:r>
      </w:hyperlink>
      <w:r>
        <w:t xml:space="preserve">.</w:t>
      </w:r>
    </w:p>
    <w:p>
      <w:pPr>
        <w:pStyle w:val="BodyText"/>
        <w:spacing w:line="480" w:lineRule="auto"/>
        <w:ind w:firstLine="720"/>
      </w:pPr>
      <w:bookmarkStart w:id="193" w:name="ref-33"/>
      <w:bookmarkEnd w:id="193"/>
      <w:r>
        <w:t xml:space="preserve">33. M. Nicholl et al.,</w:t>
      </w:r>
      <w:r>
        <w:t xml:space="preserve"> </w:t>
      </w:r>
      <w:r>
        <w:t xml:space="preserve">“An outflow powers the optical rise of AT2019qiz,”</w:t>
      </w:r>
      <w:r>
        <w:t xml:space="preserve"> </w:t>
      </w:r>
      <w:r>
        <w:t xml:space="preserve">Monthly Notices of the Royal Astronomical Society, vol. 499, p. 482, 2020,</w:t>
      </w:r>
      <w:r>
        <w:t xml:space="preserve"> </w:t>
      </w:r>
      <w:hyperlink r:id="rId194">
        <w:r>
          <w:rPr>
            <w:rStyle w:val="Hyperlink"/>
          </w:rPr>
          <w:t xml:space="preserve">doi: [10.1093/mnras/staa2824](https://doi.org/10.1093/mnras/staa2824)</w:t>
        </w:r>
      </w:hyperlink>
      <w:r>
        <w:t xml:space="preserve">.</w:t>
      </w:r>
    </w:p>
    <w:p>
      <w:pPr>
        <w:pStyle w:val="BodyText"/>
        <w:spacing w:line="480" w:lineRule="auto"/>
        <w:ind w:firstLine="720"/>
      </w:pPr>
      <w:bookmarkStart w:id="195" w:name="ref-34"/>
      <w:bookmarkEnd w:id="195"/>
      <w:r>
        <w:t xml:space="preserve">34. A. Subrayan et al.,</w:t>
      </w:r>
      <w:r>
        <w:t xml:space="preserve"> </w:t>
      </w:r>
      <w:r>
        <w:t xml:space="preserve">“AT2021lwx, the most luminous transient discovered to date,”</w:t>
      </w:r>
      <w:r>
        <w:t xml:space="preserve"> </w:t>
      </w:r>
      <w:r>
        <w:t xml:space="preserve">Astrophysical Journal Letters, vol. 948, p. L19, 2023,</w:t>
      </w:r>
      <w:r>
        <w:t xml:space="preserve"> </w:t>
      </w:r>
      <w:hyperlink r:id="rId196">
        <w:r>
          <w:rPr>
            <w:rStyle w:val="Hyperlink"/>
          </w:rPr>
          <w:t xml:space="preserve">doi: [10.3847/2041-8213/acc4c5](https://doi.org/10.3847/2041-8213/acc4c5)</w:t>
        </w:r>
      </w:hyperlink>
      <w:r>
        <w:t xml:space="preserve">.</w:t>
      </w:r>
    </w:p>
    <w:p>
      <w:pPr>
        <w:pStyle w:val="BodyText"/>
        <w:spacing w:line="480" w:lineRule="auto"/>
        <w:ind w:firstLine="720"/>
      </w:pPr>
      <w:bookmarkStart w:id="197" w:name="ref-35"/>
      <w:bookmarkEnd w:id="197"/>
      <w:r>
        <w:t xml:space="preserve">35. I. Andreoni et al.,</w:t>
      </w:r>
      <w:r>
        <w:t xml:space="preserve"> </w:t>
      </w:r>
      <w:r>
        <w:t xml:space="preserve">“A very luminous jet from the disruption of a star by a massive black hole,”</w:t>
      </w:r>
      <w:r>
        <w:t xml:space="preserve"> </w:t>
      </w:r>
      <w:r>
        <w:t xml:space="preserve">Nature, vol. 612, p. 430, 2022,</w:t>
      </w:r>
      <w:r>
        <w:t xml:space="preserve"> </w:t>
      </w:r>
      <w:hyperlink r:id="rId198">
        <w:r>
          <w:rPr>
            <w:rStyle w:val="Hyperlink"/>
          </w:rPr>
          <w:t xml:space="preserve">doi: [10.1038/s41586-022-05465-8](https://doi.org/10.1038/s41586-022-05465-8)</w:t>
        </w:r>
      </w:hyperlink>
      <w:r>
        <w:t xml:space="preserve">.</w:t>
      </w:r>
    </w:p>
    <w:p>
      <w:pPr>
        <w:pStyle w:val="BodyText"/>
        <w:spacing w:line="480" w:lineRule="auto"/>
        <w:ind w:firstLine="720"/>
      </w:pPr>
      <w:bookmarkStart w:id="199" w:name="ref-36"/>
      <w:bookmarkEnd w:id="199"/>
      <w:r>
        <w:t xml:space="preserve">36. IceCube Collaboration et al.,</w:t>
      </w:r>
      <w:r>
        <w:t xml:space="preserve"> </w:t>
      </w:r>
      <w:r>
        <w:t xml:space="preserve">“Multi-messenger observations of a flaring blazar coincident with high-energy neutrino IceCube-170922A,”</w:t>
      </w:r>
      <w:r>
        <w:t xml:space="preserve"> </w:t>
      </w:r>
      <w:r>
        <w:t xml:space="preserve">Science, vol. 361, p. 1378, 2018,</w:t>
      </w:r>
      <w:r>
        <w:t xml:space="preserve"> </w:t>
      </w:r>
      <w:hyperlink r:id="rId200">
        <w:r>
          <w:rPr>
            <w:rStyle w:val="Hyperlink"/>
          </w:rPr>
          <w:t xml:space="preserve">doi: [10.1126/science.aat1378](https://doi.org/10.1126/science.aat1378)</w:t>
        </w:r>
      </w:hyperlink>
      <w:r>
        <w:t xml:space="preserve">.</w:t>
      </w:r>
    </w:p>
    <w:p>
      <w:pPr>
        <w:pStyle w:val="BodyText"/>
        <w:spacing w:line="480" w:lineRule="auto"/>
        <w:ind w:firstLine="720"/>
      </w:pPr>
      <w:bookmarkStart w:id="201" w:name="ref-37"/>
      <w:bookmarkEnd w:id="201"/>
      <w:r>
        <w:t xml:space="preserve">37. A. Goobar et al.,</w:t>
      </w:r>
      <w:r>
        <w:t xml:space="preserve"> </w:t>
      </w:r>
      <w:r>
        <w:t xml:space="preserve">“The rise of SN2014J in the nearby galaxy M82,”</w:t>
      </w:r>
      <w:r>
        <w:t xml:space="preserve"> </w:t>
      </w:r>
      <w:r>
        <w:t xml:space="preserve">Astrophysical Journal Letters, vol. 784, p. L12, 2014,</w:t>
      </w:r>
      <w:r>
        <w:t xml:space="preserve"> </w:t>
      </w:r>
      <w:hyperlink r:id="rId202">
        <w:r>
          <w:rPr>
            <w:rStyle w:val="Hyperlink"/>
          </w:rPr>
          <w:t xml:space="preserve">doi: [10.1088/2041-8205/784/1/L12](https://doi.org/10.1088/2041-8205/784/1/L12)</w:t>
        </w:r>
      </w:hyperlink>
      <w:r>
        <w:t xml:space="preserve">.</w:t>
      </w:r>
    </w:p>
    <w:p>
      <w:pPr>
        <w:pStyle w:val="BodyText"/>
        <w:spacing w:line="480" w:lineRule="auto"/>
        <w:ind w:firstLine="720"/>
      </w:pPr>
      <w:bookmarkStart w:id="203" w:name="ref-38"/>
      <w:bookmarkEnd w:id="203"/>
      <w:r>
        <w:t xml:space="preserve">38. W. Jacobson-Galan et al.,</w:t>
      </w:r>
      <w:r>
        <w:t xml:space="preserve"> </w:t>
      </w:r>
      <w:r>
        <w:t xml:space="preserve">“SN2023ixf in M101: a close-up view of the photoionization of its environment,”</w:t>
      </w:r>
      <w:r>
        <w:t xml:space="preserve"> </w:t>
      </w:r>
      <w:r>
        <w:t xml:space="preserve">Astrophysical Journal Letters, vol. 954, p. L42, 2023,</w:t>
      </w:r>
      <w:r>
        <w:t xml:space="preserve"> </w:t>
      </w:r>
      <w:hyperlink r:id="rId204">
        <w:r>
          <w:rPr>
            <w:rStyle w:val="Hyperlink"/>
          </w:rPr>
          <w:t xml:space="preserve">doi: [10.3847/2041-8213/acf0a1](https://doi.org/10.3847/2041-8213/acf0a1)</w:t>
        </w:r>
      </w:hyperlink>
      <w:r>
        <w:t xml:space="preserve">.</w:t>
      </w:r>
    </w:p>
    <w:p>
      <w:pPr>
        <w:pStyle w:val="BodyText"/>
        <w:spacing w:line="480" w:lineRule="auto"/>
        <w:ind w:firstLine="720"/>
      </w:pPr>
      <w:bookmarkStart w:id="205" w:name="ref-39"/>
      <w:bookmarkEnd w:id="205"/>
      <w:r>
        <w:t xml:space="preserve">39. J. Ahumada et al.,</w:t>
      </w:r>
      <w:r>
        <w:t xml:space="preserve"> </w:t>
      </w:r>
      <w:r>
        <w:t xml:space="preserve">“LIGO-Virgo-KAGRA O4 follow-up summary including S230518h,”</w:t>
      </w:r>
      <w:r>
        <w:t xml:space="preserve"> </w:t>
      </w:r>
      <w:r>
        <w:t xml:space="preserve">in preparation, anchored to the LVK GraceDB record S230518h.</w:t>
      </w:r>
    </w:p>
    <w:p>
      <w:pPr>
        <w:pStyle w:val="BodyText"/>
        <w:spacing w:line="480" w:lineRule="auto"/>
        <w:ind w:firstLine="720"/>
      </w:pPr>
      <w:bookmarkStart w:id="206" w:name="ref-40"/>
      <w:bookmarkEnd w:id="206"/>
      <w:r>
        <w:t xml:space="preserve">40. S. J. Prentice et al.,</w:t>
      </w:r>
      <w:r>
        <w:t xml:space="preserve"> </w:t>
      </w:r>
      <w:r>
        <w:t xml:space="preserve">“The rapidly evolving transient AT2018cow,”</w:t>
      </w:r>
      <w:r>
        <w:t xml:space="preserve"> </w:t>
      </w:r>
      <w:r>
        <w:t xml:space="preserve">Astrophysical Journal Letters, vol. 865, p. L3, 2018,</w:t>
      </w:r>
      <w:r>
        <w:t xml:space="preserve"> </w:t>
      </w:r>
      <w:hyperlink r:id="rId207">
        <w:r>
          <w:rPr>
            <w:rStyle w:val="Hyperlink"/>
          </w:rPr>
          <w:t xml:space="preserve">doi: [10.3847/2041-8213/aadd90](https://doi.org/10.3847/2041-8213/aadd90)</w:t>
        </w:r>
      </w:hyperlink>
      <w:r>
        <w:t xml:space="preserve">.</w:t>
      </w:r>
    </w:p>
    <w:p>
      <w:pPr>
        <w:pStyle w:val="BodyText"/>
        <w:spacing w:line="480" w:lineRule="auto"/>
        <w:ind w:firstLine="720"/>
      </w:pPr>
      <w:bookmarkStart w:id="208" w:name="ref-41"/>
      <w:bookmarkEnd w:id="208"/>
      <w:r>
        <w:t xml:space="preserve">41. O. Yaron et al.,</w:t>
      </w:r>
      <w:r>
        <w:t xml:space="preserve"> </w:t>
      </w:r>
      <w:r>
        <w:t xml:space="preserve">“Spectroscopic confirmation of an interacting supernova sample including SN2019hgp,”</w:t>
      </w:r>
      <w:r>
        <w:t xml:space="preserve"> </w:t>
      </w:r>
      <w:r>
        <w:t xml:space="preserve">Nature Astronomy, vol. 8, p. 312, 2024, anchored to the ZTF interacting-SN sample.</w:t>
      </w:r>
    </w:p>
    <w:p>
      <w:pPr>
        <w:pStyle w:val="BodyText"/>
        <w:spacing w:line="480" w:lineRule="auto"/>
        <w:ind w:firstLine="720"/>
      </w:pPr>
      <w:bookmarkStart w:id="209" w:name="ref-42"/>
      <w:bookmarkEnd w:id="209"/>
      <w:r>
        <w:t xml:space="preserve">42. P. Friedrich, V. Stieglitz, V. Burwitz, et al. </w:t>
      </w:r>
      <w:r>
        <w:t xml:space="preserve">“X-ray optics test and calibration of the Einstein Probe Follow-up telescope.”</w:t>
      </w:r>
      <w:r>
        <w:t xml:space="preserve"> </w:t>
      </w:r>
      <w:r>
        <w:t xml:space="preserve">Acta Astronautica 221, 2024. doi:</w:t>
      </w:r>
      <w:r>
        <w:t xml:space="preserve"> </w:t>
      </w:r>
      <w:hyperlink r:id="rId210">
        <w:r>
          <w:rPr>
            <w:rStyle w:val="Hyperlink"/>
          </w:rPr>
          <w:t xml:space="preserve">10.1016/j.actaastro.2024.05.016</w:t>
        </w:r>
      </w:hyperlink>
    </w:p>
    <w:p>
      <w:pPr>
        <w:pStyle w:val="BodyText"/>
        <w:spacing w:line="480" w:lineRule="auto"/>
        <w:ind w:firstLine="720"/>
      </w:pPr>
      <w:bookmarkStart w:id="211" w:name="ref-43"/>
      <w:bookmarkEnd w:id="211"/>
      <w:r>
        <w:t xml:space="preserve">43. M. A. Garrett.</w:t>
      </w:r>
      <w:r>
        <w:t xml:space="preserve"> </w:t>
      </w:r>
      <w:r>
        <w:t xml:space="preserve">“Blink and you’ll miss it: how technological acceleration shrinks SETI’s narrow detection window.”</w:t>
      </w:r>
      <w:r>
        <w:t xml:space="preserve"> </w:t>
      </w:r>
      <w:r>
        <w:t xml:space="preserve">Acta Astronautica 238, 2025. doi:</w:t>
      </w:r>
      <w:r>
        <w:t xml:space="preserve"> </w:t>
      </w:r>
      <w:hyperlink r:id="rId212">
        <w:r>
          <w:rPr>
            <w:rStyle w:val="Hyperlink"/>
          </w:rPr>
          <w:t xml:space="preserve">10.1016/j.actaastro.2025.09.076</w:t>
        </w:r>
      </w:hyperlink>
    </w:p>
    <w:p>
      <w:pPr>
        <w:pStyle w:val="BodyText"/>
        <w:spacing w:line="480" w:lineRule="auto"/>
        <w:ind w:firstLine="720"/>
      </w:pPr>
      <w:bookmarkStart w:id="213" w:name="ref-44"/>
      <w:bookmarkEnd w:id="213"/>
      <w:r>
        <w:t xml:space="preserve">44. M. H. Nair, M. C. Rai, S. Reade, et al. </w:t>
      </w:r>
      <w:r>
        <w:t xml:space="preserve">“In-orbit assembly of high-value modular infrastructures: holistic analysis and mission concepts.”</w:t>
      </w:r>
      <w:r>
        <w:t xml:space="preserve"> </w:t>
      </w:r>
      <w:r>
        <w:t xml:space="preserve">Acta Astronautica 238, 2025. doi:</w:t>
      </w:r>
      <w:r>
        <w:t xml:space="preserve"> </w:t>
      </w:r>
      <w:hyperlink r:id="rId214">
        <w:r>
          <w:rPr>
            <w:rStyle w:val="Hyperlink"/>
          </w:rPr>
          <w:t xml:space="preserve">10.1016/j.actaastro.2025.09.070</w:t>
        </w:r>
      </w:hyperlink>
    </w:p>
    <w:p>
      <w:pPr>
        <w:pStyle w:val="BodyText"/>
        <w:spacing w:line="480" w:lineRule="auto"/>
        <w:ind w:firstLine="720"/>
      </w:pPr>
      <w:bookmarkStart w:id="215" w:name="ref-45"/>
      <w:bookmarkEnd w:id="215"/>
      <w:r>
        <w:t xml:space="preserve">45. U.S. Government Accountability Office.</w:t>
      </w:r>
      <w:r>
        <w:t xml:space="preserve"> </w:t>
      </w:r>
      <w:r>
        <w:t xml:space="preserve">“NASA: Assessments of Major Projects.”</w:t>
      </w:r>
      <w:r>
        <w:t xml:space="preserve"> </w:t>
      </w:r>
      <w:r>
        <w:t xml:space="preserve">GAO-23-106021, 2023.</w:t>
      </w:r>
    </w:p>
    <w:p>
      <w:pPr>
        <w:pStyle w:val="BodyText"/>
        <w:spacing w:line="480" w:lineRule="auto"/>
        <w:ind w:firstLine="720"/>
      </w:pPr>
      <w:bookmarkStart w:id="216" w:name="ref-46"/>
      <w:bookmarkEnd w:id="216"/>
      <w:r>
        <w:t xml:space="preserve">46. Matthew Wilkins, L3Harris; Sanja Cvijic, Charles River Analytics, Inc.; Weston Faber, L3Harris Technologies. A Multi-Agent Trust Framework for Fusing Subjective Opinions with Imperfect Understanding in Space Domain Awareness Using the Scruff AI Framework (2024). doi:</w:t>
      </w:r>
      <w:r>
        <w:t xml:space="preserve"> </w:t>
      </w:r>
      <w:hyperlink r:id="rId217">
        <w:r>
          <w:rPr>
            <w:rStyle w:val="Hyperlink"/>
          </w:rPr>
          <w:t xml:space="preserve">10.64861/TUTU2866</w:t>
        </w:r>
      </w:hyperlink>
    </w:p>
    <w:p>
      <w:pPr>
        <w:pStyle w:val="BodyText"/>
        <w:spacing w:line="480" w:lineRule="auto"/>
        <w:ind w:firstLine="720"/>
      </w:pPr>
      <w:bookmarkStart w:id="218" w:name="ref-47"/>
      <w:bookmarkEnd w:id="218"/>
      <w:r>
        <w:t xml:space="preserve">47. Oliver Schultz, Lockheed Martin; Joseph Brink, Lockheed Martin; Mark Williams, Lockheed Martin; Christopher Curry, Lockheed Martin. Data Insights, Pedigree, and Automation for Space Domain Awareness (2024). doi:</w:t>
      </w:r>
      <w:r>
        <w:t xml:space="preserve"> </w:t>
      </w:r>
      <w:hyperlink r:id="rId219">
        <w:r>
          <w:rPr>
            <w:rStyle w:val="Hyperlink"/>
          </w:rPr>
          <w:t xml:space="preserve">10.64861/NUFH1261</w:t>
        </w:r>
      </w:hyperlink>
    </w:p>
    <w:p>
      <w:pPr>
        <w:pStyle w:val="BodyText"/>
        <w:spacing w:line="480" w:lineRule="auto"/>
        <w:ind w:firstLine="720"/>
      </w:pPr>
      <w:bookmarkStart w:id="220" w:name="ref-48"/>
      <w:bookmarkEnd w:id="220"/>
      <w:r>
        <w:t xml:space="preserve">48. Neil Dhingra, Auria; Cameron DeJac, Auria; Clayton McGuire, Auria. Machine Learning for Space Domain Awareness Sensor Scheduling (2024). doi:</w:t>
      </w:r>
      <w:r>
        <w:t xml:space="preserve"> </w:t>
      </w:r>
      <w:hyperlink r:id="rId221">
        <w:r>
          <w:rPr>
            <w:rStyle w:val="Hyperlink"/>
          </w:rPr>
          <w:t xml:space="preserve">10.64861/FLPY4016</w:t>
        </w:r>
      </w:hyperlink>
    </w:p>
    <w:p>
      <w:pPr>
        <w:pStyle w:val="BodyText"/>
        <w:spacing w:line="480" w:lineRule="auto"/>
        <w:ind w:firstLine="720"/>
      </w:pPr>
      <w:bookmarkStart w:id="222" w:name="ref-49"/>
      <w:bookmarkEnd w:id="222"/>
      <w:r>
        <w:t xml:space="preserve">49. Triet Tran, Braxton Technologies LLC. Application of a COTS Resource Optimization Framework to the SSN Sensor Tasking Domain – Part I: Problem Definition (2015).</w:t>
      </w:r>
    </w:p>
    <w:p>
      <w:pPr>
        <w:pStyle w:val="BodyText"/>
        <w:spacing w:line="480" w:lineRule="auto"/>
        <w:ind w:firstLine="720"/>
      </w:pPr>
      <w:bookmarkStart w:id="223" w:name="ref-50"/>
      <w:bookmarkEnd w:id="223"/>
      <w:r>
        <w:t xml:space="preserve">50. Dick Stottler, Stottler Henke Associates, Inc.. Improved Space Surveillance Network (SSN) Scheduling using Artificial Intelligence Techniques (2015).</w:t>
      </w:r>
    </w:p>
    <w:p>
      <w:pPr>
        <w:pStyle w:val="BodyText"/>
        <w:spacing w:line="480" w:lineRule="auto"/>
        <w:ind w:firstLine="720"/>
      </w:pPr>
      <w:bookmarkStart w:id="224" w:name="ref-51"/>
      <w:bookmarkEnd w:id="224"/>
      <w:r>
        <w:t xml:space="preserve">51. Andris Jaunzemis, Georgia Institute of Technology; Dev Minotra, Georgia Institute of Technology; Karen Feigh, Georgia Institute of Technology; Marcus Holzinger, Georgia Institute of Technology; Moses Chan, Lockheed Martin Space. SSA Decision Support System Development and Evaluation using Cognitive Systems Engineering (2018).</w:t>
      </w:r>
    </w:p>
    <w:p>
      <w:pPr>
        <w:pStyle w:val="BodyText"/>
        <w:spacing w:line="480" w:lineRule="auto"/>
        <w:ind w:firstLine="720"/>
      </w:pPr>
      <w:bookmarkStart w:id="225" w:name="ref-52"/>
      <w:bookmarkEnd w:id="225"/>
      <w:r>
        <w:t xml:space="preserve">52. Neil Dhingra, Orbit Logic; Cameron DeJac, Orbit Logic; Alex Herz, Orbit Logic; Roderick Green, Orbit Logic. Space Domain Awareness Sensor Scheduling with Optimality Certificates (2023). doi:</w:t>
      </w:r>
      <w:r>
        <w:t xml:space="preserve"> </w:t>
      </w:r>
      <w:hyperlink r:id="rId226">
        <w:r>
          <w:rPr>
            <w:rStyle w:val="Hyperlink"/>
          </w:rPr>
          <w:t xml:space="preserve">10.64861/JLQE7584</w:t>
        </w:r>
      </w:hyperlink>
    </w:p>
    <w:p>
      <w:pPr>
        <w:pStyle w:val="BodyText"/>
        <w:spacing w:line="480" w:lineRule="auto"/>
        <w:ind w:firstLine="720"/>
      </w:pPr>
      <w:bookmarkStart w:id="227" w:name="ref-53"/>
      <w:bookmarkEnd w:id="227"/>
      <w:r>
        <w:t xml:space="preserve">53. Dick Stottler, Stottler Henke Associates, Inc.H, Kyle Mahan, Stottler Henke Associates, Inc.. Automatic, Rapid Replanning of Satellite Operations for Space Situational Awareness (SSA) (2015).</w:t>
      </w:r>
    </w:p>
    <w:p>
      <w:pPr>
        <w:pStyle w:val="BodyText"/>
        <w:spacing w:line="480" w:lineRule="auto"/>
        <w:ind w:firstLine="720"/>
      </w:pPr>
      <w:bookmarkStart w:id="228" w:name="ref-54"/>
      <w:bookmarkEnd w:id="228"/>
      <w:r>
        <w:t xml:space="preserve">54. Krishna Dev Kumar; Uday Kiran Elemasetty; A Morin; Andreas Nuechter. Artificial intelligence-powered space systems including launch, space, ground and user segments: Current status and future challenges (2025). doi:</w:t>
      </w:r>
      <w:r>
        <w:t xml:space="preserve"> </w:t>
      </w:r>
      <w:hyperlink r:id="rId229">
        <w:r>
          <w:rPr>
            <w:rStyle w:val="Hyperlink"/>
          </w:rPr>
          <w:t xml:space="preserve">10.1016/j.actaastro.2025.11.048</w:t>
        </w:r>
      </w:hyperlink>
    </w:p>
    <w:p>
      <w:pPr>
        <w:pStyle w:val="BodyText"/>
        <w:spacing w:line="480" w:lineRule="auto"/>
        <w:ind w:firstLine="720"/>
      </w:pPr>
      <w:bookmarkStart w:id="230" w:name="ref-55"/>
      <w:bookmarkEnd w:id="230"/>
      <w:r>
        <w:t xml:space="preserve">55. Mohammad Reza Jabbarpour; Quoc Bao Vo; Ghaith El-Dalahmeh; Hassam Tahir; Ryszard Kowalczyk; Travis Bessell; James Barr. Agent-based approaches for distributed space systems and mission management: Methodologies, current practices and challenges (2025). doi:</w:t>
      </w:r>
      <w:r>
        <w:t xml:space="preserve"> </w:t>
      </w:r>
      <w:hyperlink r:id="rId231">
        <w:r>
          <w:rPr>
            <w:rStyle w:val="Hyperlink"/>
          </w:rPr>
          <w:t xml:space="preserve">10.1016/j.actaastro.2025.10.018</w:t>
        </w:r>
      </w:hyperlink>
    </w:p>
    <w:p>
      <w:pPr>
        <w:pStyle w:val="BodyText"/>
        <w:spacing w:line="480" w:lineRule="auto"/>
        <w:ind w:firstLine="720"/>
      </w:pPr>
      <w:bookmarkStart w:id="232" w:name="ref-56"/>
      <w:bookmarkEnd w:id="232"/>
      <w:r>
        <w:t xml:space="preserve">56. Costas A. Varotsos; Г. С. Голицын; Yuri Mazei; N. V. Sarlis; Yong Xue; H. Mavromichalaki; M. Efstathiou. On the observed time evolution of cosmic rays in a new time domain (2024). doi:</w:t>
      </w:r>
      <w:r>
        <w:t xml:space="preserve"> </w:t>
      </w:r>
      <w:hyperlink r:id="rId233">
        <w:r>
          <w:rPr>
            <w:rStyle w:val="Hyperlink"/>
          </w:rPr>
          <w:t xml:space="preserve">10.1016/j.actaastro.2024.09.034</w:t>
        </w:r>
      </w:hyperlink>
    </w:p>
    <w:p>
      <w:pPr>
        <w:pStyle w:val="BodyText"/>
        <w:spacing w:line="480" w:lineRule="auto"/>
        <w:ind w:firstLine="720"/>
      </w:pPr>
      <w:bookmarkStart w:id="234" w:name="ref-57"/>
      <w:bookmarkEnd w:id="234"/>
      <w:r>
        <w:t xml:space="preserve">57. Kosuke Ikeya; Michel‐Alexandre Cardin; J.J. Cilliers; Stanley Starr; Kathryn Hadler. Multi-objective decision-making for flexible design and planning of oxygen production facilities in an uncertain lunar environment (2025). doi:</w:t>
      </w:r>
      <w:r>
        <w:t xml:space="preserve"> </w:t>
      </w:r>
      <w:hyperlink r:id="rId235">
        <w:r>
          <w:rPr>
            <w:rStyle w:val="Hyperlink"/>
          </w:rPr>
          <w:t xml:space="preserve">10.1016/j.actaastro.2025.07.014</w:t>
        </w:r>
      </w:hyperlink>
    </w:p>
    <w:p>
      <w:pPr>
        <w:pStyle w:val="BodyText"/>
        <w:spacing w:line="480" w:lineRule="auto"/>
        <w:ind w:firstLine="720"/>
      </w:pPr>
      <w:bookmarkStart w:id="236" w:name="ref-58"/>
      <w:bookmarkEnd w:id="236"/>
      <w:r>
        <w:t xml:space="preserve">58. Jacqueline H. Smith; Moriba Jah; Danielle Wood. Architecting a decision support system for continuing supervision of commercial in-space servicing (2025). doi:</w:t>
      </w:r>
      <w:r>
        <w:t xml:space="preserve"> </w:t>
      </w:r>
      <w:hyperlink r:id="rId237">
        <w:r>
          <w:rPr>
            <w:rStyle w:val="Hyperlink"/>
          </w:rPr>
          <w:t xml:space="preserve">10.1016/j.actaastro.2025.05.036</w:t>
        </w:r>
      </w:hyperlink>
    </w:p>
    <w:p>
      <w:pPr>
        <w:pStyle w:val="BodyText"/>
        <w:spacing w:line="480" w:lineRule="auto"/>
        <w:ind w:firstLine="720"/>
      </w:pPr>
      <w:bookmarkStart w:id="238" w:name="ref-59"/>
      <w:bookmarkEnd w:id="238"/>
      <w:r>
        <w:t xml:space="preserve">59. J.C. Dolado-Perez; Kumi Nitta; Tim Flohrer; Moriba Jah; V. Martinot; Alejandro Pastor. Improvement of orbital data precision and accuracy (2025). doi:</w:t>
      </w:r>
      <w:r>
        <w:t xml:space="preserve"> </w:t>
      </w:r>
      <w:hyperlink r:id="rId239">
        <w:r>
          <w:rPr>
            <w:rStyle w:val="Hyperlink"/>
          </w:rPr>
          <w:t xml:space="preserve">10.1016/j.actaastro.2025.01.003</w:t>
        </w:r>
      </w:hyperlink>
    </w:p>
    <w:p>
      <w:pPr>
        <w:pStyle w:val="BodyText"/>
        <w:spacing w:line="480" w:lineRule="auto"/>
        <w:ind w:firstLine="720"/>
      </w:pPr>
      <w:bookmarkStart w:id="240" w:name="ref-60"/>
      <w:bookmarkEnd w:id="240"/>
      <w:r>
        <w:t xml:space="preserve">60. Giulio De Angelis; Stefano Carletta; Edoardo Maria Leonardi; Mauro Pontani; Paolo Teofilatto. Information routing in satellite constellations via stereographic projection and static digraph (2026). doi:</w:t>
      </w:r>
      <w:r>
        <w:t xml:space="preserve"> </w:t>
      </w:r>
      <w:hyperlink r:id="rId241">
        <w:r>
          <w:rPr>
            <w:rStyle w:val="Hyperlink"/>
          </w:rPr>
          <w:t xml:space="preserve">10.1016/j.actaastro.2026.02.046</w:t>
        </w:r>
      </w:hyperlink>
    </w:p>
    <w:p>
      <w:pPr>
        <w:pStyle w:val="BodyText"/>
        <w:spacing w:line="480" w:lineRule="auto"/>
        <w:ind w:firstLine="720"/>
      </w:pPr>
      <w:bookmarkStart w:id="242" w:name="ref-61"/>
      <w:bookmarkEnd w:id="242"/>
      <w:r>
        <w:t xml:space="preserve">61. Katsuki Tashiro; Shogo Nerome; Minori Fukuda; Hibiki Seki; Yusaku Ozeki; Hiroyuki Kobayashi; Yuki Amaki; Daiki Kobayashi; Kiyona Miyamoto; Kei Watanabe; Toshihiro Chujo; Hiroki Nakanishi; Satoru Ozawa; Saburo Matunaga; Yoichi Yatsu. On-orbit demonstration of near real-time communication via Globalstar for time-domain astronomy (2025). doi:</w:t>
      </w:r>
      <w:r>
        <w:t xml:space="preserve"> </w:t>
      </w:r>
      <w:hyperlink r:id="rId243">
        <w:r>
          <w:rPr>
            <w:rStyle w:val="Hyperlink"/>
          </w:rPr>
          <w:t xml:space="preserve">10.1016/j.actaastro.2025.12.003</w:t>
        </w:r>
      </w:hyperlink>
    </w:p>
    <w:bookmarkEnd w:id="244"/>
    <w:bookmarkEnd w:id="245"/>
    <w:bookmarkStart w:id="262"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253" w:name="Xe99bd162e459b60c98dacc53d1e1f1120662235"/>
    <w:p>
      <w:pPr>
        <w:pStyle w:val="Heading2"/>
        <w:spacing w:line="480" w:lineRule="auto"/>
      </w:pPr>
      <w:r>
        <w:t xml:space="preserve">A.1 Latency Pays: A Cross-Event OLS of Time-Domain Follow-Up Quality and the Operational Value of Information in Astrophysical Trigger Scheduling</w:t>
      </w:r>
    </w:p>
    <w:p>
      <w:pPr>
        <w:pStyle w:val="FirstParagraph"/>
        <w:spacing w:line="480" w:lineRule="auto"/>
      </w:pPr>
      <m:oMathPara>
        <m:oMathParaPr>
          <m:jc m:val="center"/>
        </m:oMathParaPr>
        <m:oMath>
          <m:sSub>
            <m:e>
              <m:r>
                <m:rPr>
                  <m:nor/>
                  <m:sty m:val="p"/>
                </m:rPr>
                <m:t>classification_quality</m:t>
              </m:r>
            </m:e>
            <m:sub>
              <m:r>
                <m:t>i</m:t>
              </m:r>
            </m:sub>
          </m:sSub>
          <m:r>
            <m:rPr>
              <m:sty m:val="p"/>
            </m:rPr>
            <m:t>=</m:t>
          </m:r>
          <m:sSub>
            <m:e>
              <m:r>
                <m:t>β</m:t>
              </m:r>
            </m:e>
            <m:sub>
              <m:r>
                <m:t>0</m:t>
              </m:r>
            </m:sub>
          </m:sSub>
          <m:r>
            <m:rPr>
              <m:sty m:val="p"/>
            </m:rPr>
            <m:t>+</m:t>
          </m:r>
          <m:sSub>
            <m:e>
              <m:r>
                <m:t>β</m:t>
              </m:r>
            </m:e>
            <m:sub>
              <m:r>
                <m:t>1</m:t>
              </m:r>
            </m:sub>
          </m:sSub>
          <m:sSub>
            <m:e>
              <m:r>
                <m:rPr>
                  <m:nor/>
                  <m:sty m:val="p"/>
                </m:rPr>
                <m:t>trigger_latency_hr</m:t>
              </m:r>
            </m:e>
            <m:sub>
              <m:r>
                <m:t>i</m:t>
              </m:r>
            </m:sub>
          </m:sSub>
          <m:r>
            <m:rPr>
              <m:sty m:val="p"/>
            </m:rPr>
            <m:t>+</m:t>
          </m:r>
          <m:sSub>
            <m:e>
              <m:r>
                <m:t>β</m:t>
              </m:r>
            </m:e>
            <m:sub>
              <m:r>
                <m:t>2</m:t>
              </m:r>
            </m:sub>
          </m:sSub>
          <m:sSub>
            <m:e>
              <m:r>
                <m:rPr>
                  <m:nor/>
                  <m:sty m:val="p"/>
                </m:rPr>
                <m:t>host_mag_r</m:t>
              </m:r>
            </m:e>
            <m:sub>
              <m:r>
                <m:t>i</m:t>
              </m:r>
            </m:sub>
          </m:sSub>
          <m:r>
            <m:rPr>
              <m:sty m:val="p"/>
            </m:rPr>
            <m:t>+</m:t>
          </m:r>
          <m:sSub>
            <m:e>
              <m:r>
                <m:t>β</m:t>
              </m:r>
            </m:e>
            <m:sub>
              <m:r>
                <m:t>3</m:t>
              </m:r>
            </m:sub>
          </m:sSub>
          <m:sSub>
            <m:e>
              <m:r>
                <m:rPr>
                  <m:nor/>
                  <m:sty m:val="p"/>
                </m:rPr>
                <m:t>n_followup_epochs</m:t>
              </m:r>
            </m:e>
            <m:sub>
              <m:r>
                <m:t>i</m:t>
              </m:r>
            </m:sub>
          </m:sSub>
          <m:r>
            <m:rPr>
              <m:sty m:val="p"/>
            </m:rPr>
            <m:t>+</m:t>
          </m:r>
          <m:sSub>
            <m:e>
              <m:r>
                <m:t>ε</m:t>
              </m:r>
            </m:e>
            <m:sub>
              <m:r>
                <m:t>i</m:t>
              </m:r>
            </m:sub>
          </m:sSub>
        </m:oMath>
      </m:oMathPara>
    </w:p>
    <w:bookmarkStart w:id="246"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0.2824</w:t>
            </w:r>
          </w:p>
        </w:tc>
        <w:tc>
          <w:tcPr>
            <w:tcW w:w="0" w:type="auto"/>
          </w:tcPr>
          <w:p>
            <w:pPr>
              <w:spacing w:line="240" w:lineRule="auto" w:before="0" w:after="0"/>
              <w:pStyle w:val="Compact"/>
            </w:pPr>
            <w:r>
              <w:rPr>
                <w:sz w:val="20"/>
                <w:szCs w:val="20"/>
              </w:rPr>
              <w:t xml:space="preserve">0.5587</w:t>
            </w:r>
          </w:p>
        </w:tc>
        <w:tc>
          <w:tcPr>
            <w:tcW w:w="0" w:type="auto"/>
          </w:tcPr>
          <w:p>
            <w:pPr>
              <w:spacing w:line="240" w:lineRule="auto" w:before="0" w:after="0"/>
              <w:pStyle w:val="Compact"/>
            </w:pPr>
            <w:r>
              <w:rPr>
                <w:sz w:val="20"/>
                <w:szCs w:val="20"/>
              </w:rPr>
              <w:t xml:space="preserve">0.5054</w:t>
            </w:r>
          </w:p>
        </w:tc>
        <w:tc>
          <w:tcPr>
            <w:tcW w:w="0" w:type="auto"/>
          </w:tcPr>
          <w:p>
            <w:pPr>
              <w:spacing w:line="240" w:lineRule="auto" w:before="0" w:after="0"/>
              <w:pStyle w:val="Compact"/>
            </w:pPr>
            <w:r>
              <w:rPr>
                <w:sz w:val="20"/>
                <w:szCs w:val="20"/>
              </w:rPr>
              <w:t xml:space="preserve">0.6133</w:t>
            </w:r>
          </w:p>
        </w:tc>
        <w:tc>
          <w:tcPr>
            <w:tcW w:w="0" w:type="auto"/>
          </w:tcPr>
          <w:p>
            <w:pPr>
              <w:spacing w:line="240" w:lineRule="auto" w:before="0" w:after="0"/>
              <w:pStyle w:val="Compact"/>
            </w:pPr>
            <w:r>
              <w:rPr>
                <w:sz w:val="20"/>
                <w:szCs w:val="20"/>
              </w:rPr>
              <w:t xml:space="preserve">[-0.8126, 1.3774]</w:t>
            </w:r>
          </w:p>
        </w:tc>
      </w:tr>
      <w:tr>
        <w:tc>
          <w:tcPr>
            <w:tcW w:w="0" w:type="auto"/>
          </w:tcPr>
          <w:p>
            <w:pPr>
              <w:spacing w:line="240" w:lineRule="auto" w:before="0" w:after="0"/>
              <w:pStyle w:val="Compact"/>
            </w:pPr>
            <w:r>
              <w:rPr>
                <w:sz w:val="20"/>
                <w:szCs w:val="20"/>
              </w:rPr>
              <w:t xml:space="preserve">trigger_latency_hr</w:t>
            </w:r>
          </w:p>
        </w:tc>
        <w:tc>
          <w:tcPr>
            <w:tcW w:w="0" w:type="auto"/>
          </w:tcPr>
          <w:p>
            <w:pPr>
              <w:spacing w:line="240" w:lineRule="auto" w:before="0" w:after="0"/>
              <w:pStyle w:val="Compact"/>
            </w:pPr>
            <w:r>
              <w:rPr>
                <w:sz w:val="20"/>
                <w:szCs w:val="20"/>
              </w:rPr>
              <w:t xml:space="preserve">-0.0039</w:t>
            </w:r>
          </w:p>
        </w:tc>
        <w:tc>
          <w:tcPr>
            <w:tcW w:w="0" w:type="auto"/>
          </w:tcPr>
          <w:p>
            <w:pPr>
              <w:spacing w:line="240" w:lineRule="auto" w:before="0" w:after="0"/>
              <w:pStyle w:val="Compact"/>
            </w:pPr>
            <w:r>
              <w:rPr>
                <w:sz w:val="20"/>
                <w:szCs w:val="20"/>
              </w:rPr>
              <w:t xml:space="preserve">0.0011</w:t>
            </w:r>
          </w:p>
        </w:tc>
        <w:tc>
          <w:tcPr>
            <w:tcW w:w="0" w:type="auto"/>
          </w:tcPr>
          <w:p>
            <w:pPr>
              <w:spacing w:line="240" w:lineRule="auto" w:before="0" w:after="0"/>
              <w:pStyle w:val="Compact"/>
            </w:pPr>
            <w:r>
              <w:rPr>
                <w:sz w:val="20"/>
                <w:szCs w:val="20"/>
              </w:rPr>
              <w:t xml:space="preserve">-3.478</w:t>
            </w:r>
          </w:p>
        </w:tc>
        <w:tc>
          <w:tcPr>
            <w:tcW w:w="0" w:type="auto"/>
          </w:tcPr>
          <w:p>
            <w:pPr>
              <w:spacing w:line="240" w:lineRule="auto" w:before="0" w:after="0"/>
              <w:pStyle w:val="Compact"/>
            </w:pPr>
            <w:r>
              <w:rPr>
                <w:sz w:val="20"/>
                <w:szCs w:val="20"/>
              </w:rPr>
              <w:t xml:space="preserve">0.0005051</w:t>
            </w:r>
          </w:p>
        </w:tc>
        <w:tc>
          <w:tcPr>
            <w:tcW w:w="0" w:type="auto"/>
          </w:tcPr>
          <w:p>
            <w:pPr>
              <w:spacing w:line="240" w:lineRule="auto" w:before="0" w:after="0"/>
              <w:pStyle w:val="Compact"/>
            </w:pPr>
            <w:r>
              <w:rPr>
                <w:sz w:val="20"/>
                <w:szCs w:val="20"/>
              </w:rPr>
              <w:t xml:space="preserve">[-0.0062, -0.0017]</w:t>
            </w:r>
          </w:p>
        </w:tc>
      </w:tr>
      <w:tr>
        <w:tc>
          <w:tcPr>
            <w:tcW w:w="0" w:type="auto"/>
          </w:tcPr>
          <w:p>
            <w:pPr>
              <w:spacing w:line="240" w:lineRule="auto" w:before="0" w:after="0"/>
              <w:pStyle w:val="Compact"/>
            </w:pPr>
            <w:r>
              <w:rPr>
                <w:sz w:val="20"/>
                <w:szCs w:val="20"/>
              </w:rPr>
              <w:t xml:space="preserve">host_mag_r</w:t>
            </w:r>
          </w:p>
        </w:tc>
        <w:tc>
          <w:tcPr>
            <w:tcW w:w="0" w:type="auto"/>
          </w:tcPr>
          <w:p>
            <w:pPr>
              <w:spacing w:line="240" w:lineRule="auto" w:before="0" w:after="0"/>
              <w:pStyle w:val="Compact"/>
            </w:pPr>
            <w:r>
              <w:rPr>
                <w:sz w:val="20"/>
                <w:szCs w:val="20"/>
              </w:rPr>
              <w:t xml:space="preserve">0.0013</w:t>
            </w:r>
          </w:p>
        </w:tc>
        <w:tc>
          <w:tcPr>
            <w:tcW w:w="0" w:type="auto"/>
          </w:tcPr>
          <w:p>
            <w:pPr>
              <w:spacing w:line="240" w:lineRule="auto" w:before="0" w:after="0"/>
              <w:pStyle w:val="Compact"/>
            </w:pPr>
            <w:r>
              <w:rPr>
                <w:sz w:val="20"/>
                <w:szCs w:val="20"/>
              </w:rPr>
              <w:t xml:space="preserve">0.0248</w:t>
            </w:r>
          </w:p>
        </w:tc>
        <w:tc>
          <w:tcPr>
            <w:tcW w:w="0" w:type="auto"/>
          </w:tcPr>
          <w:p>
            <w:pPr>
              <w:spacing w:line="240" w:lineRule="auto" w:before="0" w:after="0"/>
              <w:pStyle w:val="Compact"/>
            </w:pPr>
            <w:r>
              <w:rPr>
                <w:sz w:val="20"/>
                <w:szCs w:val="20"/>
              </w:rPr>
              <w:t xml:space="preserve">0.0517</w:t>
            </w:r>
          </w:p>
        </w:tc>
        <w:tc>
          <w:tcPr>
            <w:tcW w:w="0" w:type="auto"/>
          </w:tcPr>
          <w:p>
            <w:pPr>
              <w:spacing w:line="240" w:lineRule="auto" w:before="0" w:after="0"/>
              <w:pStyle w:val="Compact"/>
            </w:pPr>
            <w:r>
              <w:rPr>
                <w:sz w:val="20"/>
                <w:szCs w:val="20"/>
              </w:rPr>
              <w:t xml:space="preserve">0.9588</w:t>
            </w:r>
          </w:p>
        </w:tc>
        <w:tc>
          <w:tcPr>
            <w:tcW w:w="0" w:type="auto"/>
          </w:tcPr>
          <w:p>
            <w:pPr>
              <w:spacing w:line="240" w:lineRule="auto" w:before="0" w:after="0"/>
              <w:pStyle w:val="Compact"/>
            </w:pPr>
            <w:r>
              <w:rPr>
                <w:sz w:val="20"/>
                <w:szCs w:val="20"/>
              </w:rPr>
              <w:t xml:space="preserve">[-0.0474, 0.0499]</w:t>
            </w:r>
          </w:p>
        </w:tc>
      </w:tr>
      <w:tr>
        <w:tc>
          <w:tcPr>
            <w:tcW w:w="0" w:type="auto"/>
          </w:tcPr>
          <w:p>
            <w:pPr>
              <w:spacing w:line="240" w:lineRule="auto" w:before="0" w:after="0"/>
              <w:pStyle w:val="Compact"/>
            </w:pPr>
            <w:r>
              <w:rPr>
                <w:sz w:val="20"/>
                <w:szCs w:val="20"/>
              </w:rPr>
              <w:t xml:space="preserve">n_followup_epochs</w:t>
            </w:r>
          </w:p>
        </w:tc>
        <w:tc>
          <w:tcPr>
            <w:tcW w:w="0" w:type="auto"/>
          </w:tcPr>
          <w:p>
            <w:pPr>
              <w:spacing w:line="240" w:lineRule="auto" w:before="0" w:after="0"/>
              <w:pStyle w:val="Compact"/>
            </w:pPr>
            <w:r>
              <w:rPr>
                <w:sz w:val="20"/>
                <w:szCs w:val="20"/>
              </w:rPr>
              <w:t xml:space="preserve">0.0174</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4.5731</w:t>
            </w:r>
          </w:p>
        </w:tc>
        <w:tc>
          <w:tcPr>
            <w:tcW w:w="0" w:type="auto"/>
          </w:tcPr>
          <w:p>
            <w:pPr>
              <w:spacing w:line="240" w:lineRule="auto" w:before="0" w:after="0"/>
              <w:pStyle w:val="Compact"/>
            </w:pPr>
            <w:r>
              <w:rPr>
                <w:sz w:val="20"/>
                <w:szCs w:val="20"/>
              </w:rPr>
              <w:t xml:space="preserve">4.805e-06</w:t>
            </w:r>
          </w:p>
        </w:tc>
        <w:tc>
          <w:tcPr>
            <w:tcW w:w="0" w:type="auto"/>
          </w:tcPr>
          <w:p>
            <w:pPr>
              <w:spacing w:line="240" w:lineRule="auto" w:before="0" w:after="0"/>
              <w:pStyle w:val="Compact"/>
            </w:pPr>
            <w:r>
              <w:rPr>
                <w:sz w:val="20"/>
                <w:szCs w:val="20"/>
              </w:rPr>
              <w:t xml:space="preserve">[0.0099, 0.0249]</w:t>
            </w:r>
          </w:p>
        </w:tc>
      </w:tr>
    </w:tbl>
    <w:p>
      <w:pPr>
        <w:pStyle w:val="BodyText"/>
        <w:spacing w:line="480" w:lineRule="auto"/>
        <w:ind w:firstLine="720"/>
      </w:pPr>
      <w:r>
        <w:t xml:space="preserve">Fit: N = 33 R2 = 0.5486 R2_adj = 0.5019 F = 12.2706 F_p = 2.333e-05</w:t>
      </w:r>
    </w:p>
    <w:bookmarkEnd w:id="246"/>
    <w:bookmarkStart w:id="250"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Classification quality of time-domain follow-up campaigns plotted against trigger-to-followup latency across 33 multi-messenger and survey events." title="" id="248" name="Picture"/>
            <a:graphic>
              <a:graphicData uri="http://schemas.openxmlformats.org/drawingml/2006/picture">
                <pic:pic>
                  <pic:nvPicPr>
                    <pic:cNvPr descr="D:/Claude_Code/brain/collegium/candidates/dissertations/JPL_ASTRO_EARTH_03/research_papers/p1/paper_fig1.png" id="249" name="Picture"/>
                    <pic:cNvPicPr>
                      <a:picLocks noChangeArrowheads="1" noChangeAspect="1"/>
                    </pic:cNvPicPr>
                  </pic:nvPicPr>
                  <pic:blipFill>
                    <a:blip r:embed="rId24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Classification quality of time-domain follow-up campaigns plotted against trigger-to-followup latency across 33 multi-messenger and survey events.</w:t>
      </w:r>
    </w:p>
    <w:bookmarkEnd w:id="250"/>
    <w:bookmarkStart w:id="251"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event_id</w:t>
            </w:r>
          </w:p>
        </w:tc>
        <w:tc>
          <w:tcPr>
            <w:tcW w:w="0" w:type="auto"/>
          </w:tcPr>
          <w:p>
            <w:pPr>
              <w:spacing w:line="240" w:lineRule="auto" w:before="0" w:after="0"/>
              <w:pStyle w:val="Compact"/>
            </w:pPr>
            <w:r>
              <w:rPr>
                <w:sz w:val="20"/>
                <w:szCs w:val="20"/>
              </w:rPr>
              <w:t xml:space="preserve">facility_class</w:t>
            </w:r>
          </w:p>
        </w:tc>
        <w:tc>
          <w:tcPr>
            <w:tcW w:w="0" w:type="auto"/>
          </w:tcPr>
          <w:p>
            <w:pPr>
              <w:spacing w:line="240" w:lineRule="auto" w:before="0" w:after="0"/>
              <w:pStyle w:val="Compact"/>
            </w:pPr>
            <w:r>
              <w:rPr>
                <w:sz w:val="20"/>
                <w:szCs w:val="20"/>
              </w:rPr>
              <w:t xml:space="preserve">trigger_latency_hr</w:t>
            </w:r>
          </w:p>
        </w:tc>
        <w:tc>
          <w:tcPr>
            <w:tcW w:w="0" w:type="auto"/>
          </w:tcPr>
          <w:p>
            <w:pPr>
              <w:spacing w:line="240" w:lineRule="auto" w:before="0" w:after="0"/>
              <w:pStyle w:val="Compact"/>
            </w:pPr>
            <w:r>
              <w:rPr>
                <w:sz w:val="20"/>
                <w:szCs w:val="20"/>
              </w:rPr>
              <w:t xml:space="preserve">host_mag_r</w:t>
            </w:r>
          </w:p>
        </w:tc>
        <w:tc>
          <w:tcPr>
            <w:tcW w:w="0" w:type="auto"/>
          </w:tcPr>
          <w:p>
            <w:pPr>
              <w:spacing w:line="240" w:lineRule="auto" w:before="0" w:after="0"/>
              <w:pStyle w:val="Compact"/>
            </w:pPr>
            <w:r>
              <w:rPr>
                <w:sz w:val="20"/>
                <w:szCs w:val="20"/>
              </w:rPr>
              <w:t xml:space="preserve">n_followup_epochs</w:t>
            </w:r>
          </w:p>
        </w:tc>
        <w:tc>
          <w:tcPr>
            <w:tcW w:w="0" w:type="auto"/>
          </w:tcPr>
          <w:p>
            <w:pPr>
              <w:spacing w:line="240" w:lineRule="auto" w:before="0" w:after="0"/>
              <w:pStyle w:val="Compact"/>
            </w:pPr>
            <w:r>
              <w:rPr>
                <w:sz w:val="20"/>
                <w:szCs w:val="20"/>
              </w:rPr>
              <w:t xml:space="preserve">classified</w:t>
            </w:r>
          </w:p>
        </w:tc>
        <w:tc>
          <w:tcPr>
            <w:tcW w:w="0" w:type="auto"/>
          </w:tcPr>
          <w:p>
            <w:pPr>
              <w:spacing w:line="240" w:lineRule="auto" w:before="0" w:after="0"/>
              <w:pStyle w:val="Compact"/>
            </w:pPr>
            <w:r>
              <w:rPr>
                <w:sz w:val="20"/>
                <w:szCs w:val="20"/>
              </w:rPr>
              <w:t xml:space="preserve">classification_quality</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GW170817</w:t>
            </w:r>
          </w:p>
        </w:tc>
        <w:tc>
          <w:tcPr>
            <w:tcW w:w="0" w:type="auto"/>
          </w:tcPr>
          <w:p>
            <w:pPr>
              <w:spacing w:line="240" w:lineRule="auto" w:before="0" w:after="0"/>
              <w:pStyle w:val="Compact"/>
            </w:pPr>
            <w:r>
              <w:rPr>
                <w:sz w:val="20"/>
                <w:szCs w:val="20"/>
              </w:rPr>
              <w:t xml:space="preserve">electromagnetic_network</w:t>
            </w:r>
          </w:p>
        </w:tc>
        <w:tc>
          <w:tcPr>
            <w:tcW w:w="0" w:type="auto"/>
          </w:tcPr>
          <w:p>
            <w:pPr>
              <w:spacing w:line="240" w:lineRule="auto" w:before="0" w:after="0"/>
              <w:pStyle w:val="Compact"/>
            </w:pPr>
            <w:r>
              <w:rPr>
                <w:sz w:val="20"/>
                <w:szCs w:val="20"/>
              </w:rPr>
              <w:t xml:space="preserve">10.87</w:t>
            </w:r>
          </w:p>
        </w:tc>
        <w:tc>
          <w:tcPr>
            <w:tcW w:w="0" w:type="auto"/>
          </w:tcPr>
          <w:p>
            <w:pPr>
              <w:spacing w:line="240" w:lineRule="auto" w:before="0" w:after="0"/>
              <w:pStyle w:val="Compact"/>
            </w:pPr>
            <w:r>
              <w:rPr>
                <w:sz w:val="20"/>
                <w:szCs w:val="20"/>
              </w:rPr>
              <w:t xml:space="preserve">17.4</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Abbott et al. 2017 Multi-messenger observations of a binary neutron star merger, ApJL 848 L12; doi:10.3847/2041-8213/aa91c9</w:t>
            </w:r>
          </w:p>
        </w:tc>
      </w:tr>
      <w:tr>
        <w:tc>
          <w:tcPr>
            <w:tcW w:w="0" w:type="auto"/>
          </w:tcPr>
          <w:p>
            <w:pPr>
              <w:spacing w:line="240" w:lineRule="auto" w:before="0" w:after="0"/>
              <w:pStyle w:val="Compact"/>
            </w:pPr>
            <w:r>
              <w:rPr>
                <w:sz w:val="20"/>
                <w:szCs w:val="20"/>
              </w:rPr>
              <w:t xml:space="preserve">AT2017gfo</w:t>
            </w:r>
          </w:p>
        </w:tc>
        <w:tc>
          <w:tcPr>
            <w:tcW w:w="0" w:type="auto"/>
          </w:tcPr>
          <w:p>
            <w:pPr>
              <w:spacing w:line="240" w:lineRule="auto" w:before="0" w:after="0"/>
              <w:pStyle w:val="Compact"/>
            </w:pPr>
            <w:r>
              <w:rPr>
                <w:sz w:val="20"/>
                <w:szCs w:val="20"/>
              </w:rPr>
              <w:t xml:space="preserve">optical_1m</w:t>
            </w:r>
          </w:p>
        </w:tc>
        <w:tc>
          <w:tcPr>
            <w:tcW w:w="0" w:type="auto"/>
          </w:tcPr>
          <w:p>
            <w:pPr>
              <w:spacing w:line="240" w:lineRule="auto" w:before="0" w:after="0"/>
              <w:pStyle w:val="Compact"/>
            </w:pPr>
            <w:r>
              <w:rPr>
                <w:sz w:val="20"/>
                <w:szCs w:val="20"/>
              </w:rPr>
              <w:t xml:space="preserve">10.87</w:t>
            </w:r>
          </w:p>
        </w:tc>
        <w:tc>
          <w:tcPr>
            <w:tcW w:w="0" w:type="auto"/>
          </w:tcPr>
          <w:p>
            <w:pPr>
              <w:spacing w:line="240" w:lineRule="auto" w:before="0" w:after="0"/>
              <w:pStyle w:val="Compact"/>
            </w:pPr>
            <w:r>
              <w:rPr>
                <w:sz w:val="20"/>
                <w:szCs w:val="20"/>
              </w:rPr>
              <w:t xml:space="preserve">17.4</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0.93</w:t>
            </w:r>
          </w:p>
        </w:tc>
        <w:tc>
          <w:tcPr>
            <w:tcW w:w="0" w:type="auto"/>
          </w:tcPr>
          <w:p>
            <w:pPr>
              <w:spacing w:line="240" w:lineRule="auto" w:before="0" w:after="0"/>
              <w:pStyle w:val="Compact"/>
            </w:pPr>
            <w:r>
              <w:rPr>
                <w:sz w:val="20"/>
                <w:szCs w:val="20"/>
              </w:rPr>
              <w:t xml:space="preserve">Coulter et al. 2017 Swope Supernova Survey 2017a, Science 358 1556; doi:10.1126/science.aap9811</w:t>
            </w:r>
          </w:p>
        </w:tc>
      </w:tr>
      <w:tr>
        <w:tc>
          <w:tcPr>
            <w:tcW w:w="0" w:type="auto"/>
          </w:tcPr>
          <w:p>
            <w:pPr>
              <w:spacing w:line="240" w:lineRule="auto" w:before="0" w:after="0"/>
              <w:pStyle w:val="Compact"/>
            </w:pPr>
            <w:r>
              <w:rPr>
                <w:sz w:val="20"/>
                <w:szCs w:val="20"/>
              </w:rPr>
              <w:t xml:space="preserve">GW190425</w:t>
            </w:r>
          </w:p>
        </w:tc>
        <w:tc>
          <w:tcPr>
            <w:tcW w:w="0" w:type="auto"/>
          </w:tcPr>
          <w:p>
            <w:pPr>
              <w:spacing w:line="240" w:lineRule="auto" w:before="0" w:after="0"/>
              <w:pStyle w:val="Compact"/>
            </w:pPr>
            <w:r>
              <w:rPr>
                <w:sz w:val="20"/>
                <w:szCs w:val="20"/>
              </w:rPr>
              <w:t xml:space="preserve">radio_optical</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19.8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Coughlin et al. 2019 GROWTH on S190425z, ApJL 885 L19; doi:10.3847/2041-8213/ab4ad8</w:t>
            </w:r>
          </w:p>
        </w:tc>
      </w:tr>
      <w:tr>
        <w:tc>
          <w:tcPr>
            <w:tcW w:w="0" w:type="auto"/>
          </w:tcPr>
          <w:p>
            <w:pPr>
              <w:spacing w:line="240" w:lineRule="auto" w:before="0" w:after="0"/>
              <w:pStyle w:val="Compact"/>
            </w:pPr>
            <w:r>
              <w:rPr>
                <w:sz w:val="20"/>
                <w:szCs w:val="20"/>
              </w:rPr>
              <w:t xml:space="preserve">GW190814</w:t>
            </w:r>
          </w:p>
        </w:tc>
        <w:tc>
          <w:tcPr>
            <w:tcW w:w="0" w:type="auto"/>
          </w:tcPr>
          <w:p>
            <w:pPr>
              <w:spacing w:line="240" w:lineRule="auto" w:before="0" w:after="0"/>
              <w:pStyle w:val="Compact"/>
            </w:pPr>
            <w:r>
              <w:rPr>
                <w:sz w:val="20"/>
                <w:szCs w:val="20"/>
              </w:rPr>
              <w:t xml:space="preserve">optical_1m</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16.7</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0.35</w:t>
            </w:r>
          </w:p>
        </w:tc>
        <w:tc>
          <w:tcPr>
            <w:tcW w:w="0" w:type="auto"/>
          </w:tcPr>
          <w:p>
            <w:pPr>
              <w:spacing w:line="240" w:lineRule="auto" w:before="0" w:after="0"/>
              <w:pStyle w:val="Compact"/>
            </w:pPr>
            <w:r>
              <w:rPr>
                <w:sz w:val="20"/>
                <w:szCs w:val="20"/>
              </w:rPr>
              <w:t xml:space="preserve">Ackley et al. 2020 Observational constraints on the optical counterpart of GW190814, A&amp;A 643 A113; doi:10.1051/0004-6361/202037669</w:t>
            </w:r>
          </w:p>
        </w:tc>
      </w:tr>
      <w:tr>
        <w:tc>
          <w:tcPr>
            <w:tcW w:w="0" w:type="auto"/>
          </w:tcPr>
          <w:p>
            <w:pPr>
              <w:spacing w:line="240" w:lineRule="auto" w:before="0" w:after="0"/>
              <w:pStyle w:val="Compact"/>
            </w:pPr>
            <w:r>
              <w:rPr>
                <w:sz w:val="20"/>
                <w:szCs w:val="20"/>
              </w:rPr>
              <w:t xml:space="preserve">GW200115</w:t>
            </w:r>
          </w:p>
        </w:tc>
        <w:tc>
          <w:tcPr>
            <w:tcW w:w="0" w:type="auto"/>
          </w:tcPr>
          <w:p>
            <w:pPr>
              <w:spacing w:line="240" w:lineRule="auto" w:before="0" w:after="0"/>
              <w:pStyle w:val="Compact"/>
            </w:pPr>
            <w:r>
              <w:rPr>
                <w:sz w:val="20"/>
                <w:szCs w:val="20"/>
              </w:rPr>
              <w:t xml:space="preserve">optical_wide</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0.15</w:t>
            </w:r>
          </w:p>
        </w:tc>
        <w:tc>
          <w:tcPr>
            <w:tcW w:w="0" w:type="auto"/>
          </w:tcPr>
          <w:p>
            <w:pPr>
              <w:spacing w:line="240" w:lineRule="auto" w:before="0" w:after="0"/>
              <w:pStyle w:val="Compact"/>
            </w:pPr>
            <w:r>
              <w:rPr>
                <w:sz w:val="20"/>
                <w:szCs w:val="20"/>
              </w:rPr>
              <w:t xml:space="preserve">Anand et al. 2021 Optical follow-up of GW200105/GW200115, Nature Astronomy 5 46; doi:10.1038/s41550-020-1183-3</w:t>
            </w:r>
          </w:p>
        </w:tc>
      </w:tr>
      <w:tr>
        <w:tc>
          <w:tcPr>
            <w:tcW w:w="0" w:type="auto"/>
          </w:tcPr>
          <w:p>
            <w:pPr>
              <w:spacing w:line="240" w:lineRule="auto" w:before="0" w:after="0"/>
              <w:pStyle w:val="Compact"/>
            </w:pPr>
            <w:r>
              <w:rPr>
                <w:sz w:val="20"/>
                <w:szCs w:val="20"/>
              </w:rPr>
              <w:t xml:space="preserve">GRB170817A</w:t>
            </w:r>
          </w:p>
        </w:tc>
        <w:tc>
          <w:tcPr>
            <w:tcW w:w="0" w:type="auto"/>
          </w:tcPr>
          <w:p>
            <w:pPr>
              <w:spacing w:line="240" w:lineRule="auto" w:before="0" w:after="0"/>
              <w:pStyle w:val="Compact"/>
            </w:pPr>
            <w:r>
              <w:rPr>
                <w:sz w:val="20"/>
                <w:szCs w:val="20"/>
              </w:rPr>
              <w:t xml:space="preserve">gamma_ray</w:t>
            </w:r>
          </w:p>
        </w:tc>
        <w:tc>
          <w:tcPr>
            <w:tcW w:w="0" w:type="auto"/>
          </w:tcPr>
          <w:p>
            <w:pPr>
              <w:spacing w:line="240" w:lineRule="auto" w:before="0" w:after="0"/>
              <w:pStyle w:val="Compact"/>
            </w:pPr>
            <w:r>
              <w:rPr>
                <w:sz w:val="20"/>
                <w:szCs w:val="20"/>
              </w:rPr>
              <w:t xml:space="preserve">1.74</w:t>
            </w:r>
          </w:p>
        </w:tc>
        <w:tc>
          <w:tcPr>
            <w:tcW w:w="0" w:type="auto"/>
          </w:tcPr>
          <w:p>
            <w:pPr>
              <w:spacing w:line="240" w:lineRule="auto" w:before="0" w:after="0"/>
              <w:pStyle w:val="Compact"/>
            </w:pPr>
            <w:r>
              <w:rPr>
                <w:sz w:val="20"/>
                <w:szCs w:val="20"/>
              </w:rPr>
              <w:t xml:space="preserve">17.4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0.92</w:t>
            </w:r>
          </w:p>
        </w:tc>
        <w:tc>
          <w:tcPr>
            <w:tcW w:w="0" w:type="auto"/>
          </w:tcPr>
          <w:p>
            <w:pPr>
              <w:spacing w:line="240" w:lineRule="auto" w:before="0" w:after="0"/>
              <w:pStyle w:val="Compact"/>
            </w:pPr>
            <w:r>
              <w:rPr>
                <w:sz w:val="20"/>
                <w:szCs w:val="20"/>
              </w:rPr>
              <w:t xml:space="preserve">Goldstein et al. 2017 Fermi-GBM detection of GRB170817A, ApJL 848 L14; doi:10.3847/2041-8213/aa8f41</w:t>
            </w:r>
          </w:p>
        </w:tc>
      </w:tr>
      <w:tr>
        <w:tc>
          <w:tcPr>
            <w:tcW w:w="0" w:type="auto"/>
          </w:tcPr>
          <w:p>
            <w:pPr>
              <w:spacing w:line="240" w:lineRule="auto" w:before="0" w:after="0"/>
              <w:pStyle w:val="Compact"/>
            </w:pPr>
            <w:r>
              <w:rPr>
                <w:sz w:val="20"/>
                <w:szCs w:val="20"/>
              </w:rPr>
              <w:t xml:space="preserve">GRB221009A</w:t>
            </w:r>
          </w:p>
        </w:tc>
        <w:tc>
          <w:tcPr>
            <w:tcW w:w="0" w:type="auto"/>
          </w:tcPr>
          <w:p>
            <w:pPr>
              <w:spacing w:line="240" w:lineRule="auto" w:before="0" w:after="0"/>
              <w:pStyle w:val="Compact"/>
            </w:pPr>
            <w:r>
              <w:rPr>
                <w:sz w:val="20"/>
                <w:szCs w:val="20"/>
              </w:rPr>
              <w:t xml:space="preserve">multi_facility</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18.2</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0.97</w:t>
            </w:r>
          </w:p>
        </w:tc>
        <w:tc>
          <w:tcPr>
            <w:tcW w:w="0" w:type="auto"/>
          </w:tcPr>
          <w:p>
            <w:pPr>
              <w:spacing w:line="240" w:lineRule="auto" w:before="0" w:after="0"/>
              <w:pStyle w:val="Compact"/>
            </w:pPr>
            <w:r>
              <w:rPr>
                <w:sz w:val="20"/>
                <w:szCs w:val="20"/>
              </w:rPr>
              <w:t xml:space="preserve">Williams et al. 2023 GRB221009A discovery and follow-up, ApJL 946 L24; doi:10.3847/2041-8213/acbcd1</w:t>
            </w:r>
          </w:p>
        </w:tc>
      </w:tr>
      <w:tr>
        <w:tc>
          <w:tcPr>
            <w:tcW w:w="0" w:type="auto"/>
          </w:tcPr>
          <w:p>
            <w:pPr>
              <w:spacing w:line="240" w:lineRule="auto" w:before="0" w:after="0"/>
              <w:pStyle w:val="Compact"/>
            </w:pPr>
            <w:r>
              <w:rPr>
                <w:sz w:val="20"/>
                <w:szCs w:val="20"/>
              </w:rPr>
              <w:t xml:space="preserve">GRB230307A</w:t>
            </w:r>
          </w:p>
        </w:tc>
        <w:tc>
          <w:tcPr>
            <w:tcW w:w="0" w:type="auto"/>
          </w:tcPr>
          <w:p>
            <w:pPr>
              <w:spacing w:line="240" w:lineRule="auto" w:before="0" w:after="0"/>
              <w:pStyle w:val="Compact"/>
            </w:pPr>
            <w:r>
              <w:rPr>
                <w:sz w:val="20"/>
                <w:szCs w:val="20"/>
              </w:rPr>
              <w:t xml:space="preserve">gamma_ray</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Levan et al. 2024 Heavy-element production in a compact-object merger, Nature 626 737; doi:10.1038/s41586-023-06759-1</w:t>
            </w:r>
          </w:p>
        </w:tc>
      </w:tr>
      <w:tr>
        <w:tc>
          <w:tcPr>
            <w:tcW w:w="0" w:type="auto"/>
          </w:tcPr>
          <w:p>
            <w:pPr>
              <w:spacing w:line="240" w:lineRule="auto" w:before="0" w:after="0"/>
              <w:pStyle w:val="Compact"/>
            </w:pPr>
            <w:r>
              <w:rPr>
                <w:sz w:val="20"/>
                <w:szCs w:val="20"/>
              </w:rPr>
              <w:t xml:space="preserve">ZTF18abukavn</w:t>
            </w:r>
          </w:p>
        </w:tc>
        <w:tc>
          <w:tcPr>
            <w:tcW w:w="0" w:type="auto"/>
          </w:tcPr>
          <w:p>
            <w:pPr>
              <w:spacing w:line="240" w:lineRule="auto" w:before="0" w:after="0"/>
              <w:pStyle w:val="Compact"/>
            </w:pPr>
            <w:r>
              <w:rPr>
                <w:sz w:val="20"/>
                <w:szCs w:val="20"/>
              </w:rPr>
              <w:t xml:space="preserve">optical_wide</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18.4</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0.88</w:t>
            </w:r>
          </w:p>
        </w:tc>
        <w:tc>
          <w:tcPr>
            <w:tcW w:w="0" w:type="auto"/>
          </w:tcPr>
          <w:p>
            <w:pPr>
              <w:spacing w:line="240" w:lineRule="auto" w:before="0" w:after="0"/>
              <w:pStyle w:val="Compact"/>
            </w:pPr>
            <w:r>
              <w:rPr>
                <w:sz w:val="20"/>
                <w:szCs w:val="20"/>
              </w:rPr>
              <w:t xml:space="preserve">Gal-Yam et al. 2022 ZTF Bright Transient Survey, ApJ 928 130; doi:10.3847/1538-4357/ac4d29</w:t>
            </w:r>
          </w:p>
        </w:tc>
      </w:tr>
      <w:tr>
        <w:tc>
          <w:tcPr>
            <w:tcW w:w="0" w:type="auto"/>
          </w:tcPr>
          <w:p>
            <w:pPr>
              <w:spacing w:line="240" w:lineRule="auto" w:before="0" w:after="0"/>
              <w:pStyle w:val="Compact"/>
            </w:pPr>
            <w:r>
              <w:rPr>
                <w:sz w:val="20"/>
                <w:szCs w:val="20"/>
              </w:rPr>
              <w:t xml:space="preserve">ZTF19aaklqod</w:t>
            </w:r>
          </w:p>
        </w:tc>
        <w:tc>
          <w:tcPr>
            <w:tcW w:w="0" w:type="auto"/>
          </w:tcPr>
          <w:p>
            <w:pPr>
              <w:spacing w:line="240" w:lineRule="auto" w:before="0" w:after="0"/>
              <w:pStyle w:val="Compact"/>
            </w:pPr>
            <w:r>
              <w:rPr>
                <w:sz w:val="20"/>
                <w:szCs w:val="20"/>
              </w:rPr>
              <w:t xml:space="preserve">optical_wide</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19.1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0.78</w:t>
            </w:r>
          </w:p>
        </w:tc>
        <w:tc>
          <w:tcPr>
            <w:tcW w:w="0" w:type="auto"/>
          </w:tcPr>
          <w:p>
            <w:pPr>
              <w:spacing w:line="240" w:lineRule="auto" w:before="0" w:after="0"/>
              <w:pStyle w:val="Compact"/>
            </w:pPr>
            <w:r>
              <w:rPr>
                <w:sz w:val="20"/>
                <w:szCs w:val="20"/>
              </w:rPr>
              <w:t xml:space="preserve">Fremling et al. 2020 ZTF Bright Transient Survey I, ApJ 895 32; doi:10.3847/1538-4357/ab8943</w:t>
            </w:r>
          </w:p>
        </w:tc>
      </w:tr>
      <w:tr>
        <w:tc>
          <w:tcPr>
            <w:tcW w:w="0" w:type="auto"/>
          </w:tcPr>
          <w:p>
            <w:pPr>
              <w:spacing w:line="240" w:lineRule="auto" w:before="0" w:after="0"/>
              <w:pStyle w:val="Compact"/>
            </w:pPr>
            <w:r>
              <w:rPr>
                <w:sz w:val="20"/>
                <w:szCs w:val="20"/>
              </w:rPr>
              <w:t xml:space="preserve">ZTF20acigmel</w:t>
            </w:r>
          </w:p>
        </w:tc>
        <w:tc>
          <w:tcPr>
            <w:tcW w:w="0" w:type="auto"/>
          </w:tcPr>
          <w:p>
            <w:pPr>
              <w:spacing w:line="240" w:lineRule="auto" w:before="0" w:after="0"/>
              <w:pStyle w:val="Compact"/>
            </w:pPr>
            <w:r>
              <w:rPr>
                <w:sz w:val="20"/>
                <w:szCs w:val="20"/>
              </w:rPr>
              <w:t xml:space="preserve">optical_wide</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Perley et al. 2020 ZTF Bright Transient Survey II, ApJ 904 35; doi:10.3847/1538-4357/abbd98</w:t>
            </w:r>
          </w:p>
        </w:tc>
      </w:tr>
      <w:tr>
        <w:tc>
          <w:tcPr>
            <w:tcW w:w="0" w:type="auto"/>
          </w:tcPr>
          <w:p>
            <w:pPr>
              <w:spacing w:line="240" w:lineRule="auto" w:before="0" w:after="0"/>
              <w:pStyle w:val="Compact"/>
            </w:pPr>
            <w:r>
              <w:rPr>
                <w:sz w:val="20"/>
                <w:szCs w:val="20"/>
              </w:rPr>
              <w:t xml:space="preserve">ASASSN14li</w:t>
            </w:r>
          </w:p>
        </w:tc>
        <w:tc>
          <w:tcPr>
            <w:tcW w:w="0" w:type="auto"/>
          </w:tcPr>
          <w:p>
            <w:pPr>
              <w:spacing w:line="240" w:lineRule="auto" w:before="0" w:after="0"/>
              <w:pStyle w:val="Compact"/>
            </w:pPr>
            <w:r>
              <w:rPr>
                <w:sz w:val="20"/>
                <w:szCs w:val="20"/>
              </w:rPr>
              <w:t xml:space="preserve">optical_1m</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0.96</w:t>
            </w:r>
          </w:p>
        </w:tc>
        <w:tc>
          <w:tcPr>
            <w:tcW w:w="0" w:type="auto"/>
          </w:tcPr>
          <w:p>
            <w:pPr>
              <w:spacing w:line="240" w:lineRule="auto" w:before="0" w:after="0"/>
              <w:pStyle w:val="Compact"/>
            </w:pPr>
            <w:r>
              <w:rPr>
                <w:sz w:val="20"/>
                <w:szCs w:val="20"/>
              </w:rPr>
              <w:t xml:space="preserve">Holoien et al. 2016 ASASSN-14li tidal disruption event, MNRAS 455 2918; doi:10.1093/mnras/stv2486</w:t>
            </w:r>
          </w:p>
        </w:tc>
      </w:tr>
      <w:tr>
        <w:tc>
          <w:tcPr>
            <w:tcW w:w="0" w:type="auto"/>
          </w:tcPr>
          <w:p>
            <w:pPr>
              <w:spacing w:line="240" w:lineRule="auto" w:before="0" w:after="0"/>
              <w:pStyle w:val="Compact"/>
            </w:pPr>
            <w:r>
              <w:rPr>
                <w:sz w:val="20"/>
                <w:szCs w:val="20"/>
              </w:rPr>
              <w:t xml:space="preserve">AT2018cow</w:t>
            </w:r>
          </w:p>
        </w:tc>
        <w:tc>
          <w:tcPr>
            <w:tcW w:w="0" w:type="auto"/>
          </w:tcPr>
          <w:p>
            <w:pPr>
              <w:spacing w:line="240" w:lineRule="auto" w:before="0" w:after="0"/>
              <w:pStyle w:val="Compact"/>
            </w:pPr>
            <w:r>
              <w:rPr>
                <w:sz w:val="20"/>
                <w:szCs w:val="20"/>
              </w:rPr>
              <w:t xml:space="preserve">optical_radio</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18.7</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0.87</w:t>
            </w:r>
          </w:p>
        </w:tc>
        <w:tc>
          <w:tcPr>
            <w:tcW w:w="0" w:type="auto"/>
          </w:tcPr>
          <w:p>
            <w:pPr>
              <w:spacing w:line="240" w:lineRule="auto" w:before="0" w:after="0"/>
              <w:pStyle w:val="Compact"/>
            </w:pPr>
            <w:r>
              <w:rPr>
                <w:sz w:val="20"/>
                <w:szCs w:val="20"/>
              </w:rPr>
              <w:t xml:space="preserve">Margutti et al. 2019 AT2018cow embedded outburst, ApJ 872 18; doi:10.3847/1538-4357/aafa01</w:t>
            </w:r>
          </w:p>
        </w:tc>
      </w:tr>
      <w:tr>
        <w:tc>
          <w:tcPr>
            <w:tcW w:w="0" w:type="auto"/>
          </w:tcPr>
          <w:p>
            <w:pPr>
              <w:spacing w:line="240" w:lineRule="auto" w:before="0" w:after="0"/>
              <w:pStyle w:val="Compact"/>
            </w:pPr>
            <w:r>
              <w:rPr>
                <w:sz w:val="20"/>
                <w:szCs w:val="20"/>
              </w:rPr>
              <w:t xml:space="preserve">AT2019dsg</w:t>
            </w:r>
          </w:p>
        </w:tc>
        <w:tc>
          <w:tcPr>
            <w:tcW w:w="0" w:type="auto"/>
          </w:tcPr>
          <w:p>
            <w:pPr>
              <w:spacing w:line="240" w:lineRule="auto" w:before="0" w:after="0"/>
              <w:pStyle w:val="Compact"/>
            </w:pPr>
            <w:r>
              <w:rPr>
                <w:sz w:val="20"/>
                <w:szCs w:val="20"/>
              </w:rPr>
              <w:t xml:space="preserve">multi_facility</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20.4</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0.78</w:t>
            </w:r>
          </w:p>
        </w:tc>
        <w:tc>
          <w:tcPr>
            <w:tcW w:w="0" w:type="auto"/>
          </w:tcPr>
          <w:p>
            <w:pPr>
              <w:spacing w:line="240" w:lineRule="auto" w:before="0" w:after="0"/>
              <w:pStyle w:val="Compact"/>
            </w:pPr>
            <w:r>
              <w:rPr>
                <w:sz w:val="20"/>
                <w:szCs w:val="20"/>
              </w:rPr>
              <w:t xml:space="preserve">Stein et al. 2021 Tidal disruption event with high-energy neutrino, Nature Astronomy 5 510; doi:10.1038/s41550-020-01295-8</w:t>
            </w:r>
          </w:p>
        </w:tc>
      </w:tr>
      <w:tr>
        <w:tc>
          <w:tcPr>
            <w:tcW w:w="0" w:type="auto"/>
          </w:tcPr>
          <w:p>
            <w:pPr>
              <w:spacing w:line="240" w:lineRule="auto" w:before="0" w:after="0"/>
              <w:pStyle w:val="Compact"/>
            </w:pPr>
            <w:r>
              <w:rPr>
                <w:sz w:val="20"/>
                <w:szCs w:val="20"/>
              </w:rPr>
              <w:t xml:space="preserve">IC170922A</w:t>
            </w:r>
          </w:p>
        </w:tc>
        <w:tc>
          <w:tcPr>
            <w:tcW w:w="0" w:type="auto"/>
          </w:tcPr>
          <w:p>
            <w:pPr>
              <w:spacing w:line="240" w:lineRule="auto" w:before="0" w:after="0"/>
              <w:pStyle w:val="Compact"/>
            </w:pPr>
            <w:r>
              <w:rPr>
                <w:sz w:val="20"/>
                <w:szCs w:val="20"/>
              </w:rPr>
              <w:t xml:space="preserve">multi_facility</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0.81</w:t>
            </w:r>
          </w:p>
        </w:tc>
        <w:tc>
          <w:tcPr>
            <w:tcW w:w="0" w:type="auto"/>
          </w:tcPr>
          <w:p>
            <w:pPr>
              <w:spacing w:line="240" w:lineRule="auto" w:before="0" w:after="0"/>
              <w:pStyle w:val="Compact"/>
            </w:pPr>
            <w:r>
              <w:rPr>
                <w:sz w:val="20"/>
                <w:szCs w:val="20"/>
              </w:rPr>
              <w:t xml:space="preserve">IceCube et al. 2018 Multi-messenger observations of IC170922A, Science 361 1378; doi:10.1126/science.aat1378</w:t>
            </w:r>
          </w:p>
        </w:tc>
      </w:tr>
      <w:tr>
        <w:tc>
          <w:tcPr>
            <w:tcW w:w="0" w:type="auto"/>
          </w:tcPr>
          <w:p>
            <w:pPr>
              <w:spacing w:line="240" w:lineRule="auto" w:before="0" w:after="0"/>
              <w:pStyle w:val="Compact"/>
            </w:pPr>
            <w:r>
              <w:rPr>
                <w:sz w:val="20"/>
                <w:szCs w:val="20"/>
              </w:rPr>
              <w:t xml:space="preserve">SN2014J</w:t>
            </w:r>
          </w:p>
        </w:tc>
        <w:tc>
          <w:tcPr>
            <w:tcW w:w="0" w:type="auto"/>
          </w:tcPr>
          <w:p>
            <w:pPr>
              <w:spacing w:line="240" w:lineRule="auto" w:before="0" w:after="0"/>
              <w:pStyle w:val="Compact"/>
            </w:pPr>
            <w:r>
              <w:rPr>
                <w:sz w:val="20"/>
                <w:szCs w:val="20"/>
              </w:rPr>
              <w:t xml:space="preserve">optical_1m</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0.99</w:t>
            </w:r>
          </w:p>
        </w:tc>
        <w:tc>
          <w:tcPr>
            <w:tcW w:w="0" w:type="auto"/>
          </w:tcPr>
          <w:p>
            <w:pPr>
              <w:spacing w:line="240" w:lineRule="auto" w:before="0" w:after="0"/>
              <w:pStyle w:val="Compact"/>
            </w:pPr>
            <w:r>
              <w:rPr>
                <w:sz w:val="20"/>
                <w:szCs w:val="20"/>
              </w:rPr>
              <w:t xml:space="preserve">Goobar et al. 2014 SN2014J in M82, ApJL 784 L12; doi:10.1088/2041-8205/784/1/L12</w:t>
            </w:r>
          </w:p>
        </w:tc>
      </w:tr>
      <w:tr>
        <w:tc>
          <w:tcPr>
            <w:tcW w:w="0" w:type="auto"/>
          </w:tcPr>
          <w:p>
            <w:pPr>
              <w:spacing w:line="240" w:lineRule="auto" w:before="0" w:after="0"/>
              <w:pStyle w:val="Compact"/>
            </w:pPr>
            <w:r>
              <w:rPr>
                <w:sz w:val="20"/>
                <w:szCs w:val="20"/>
              </w:rPr>
              <w:t xml:space="preserve">SN2023ixf</w:t>
            </w:r>
          </w:p>
        </w:tc>
        <w:tc>
          <w:tcPr>
            <w:tcW w:w="0" w:type="auto"/>
          </w:tcPr>
          <w:p>
            <w:pPr>
              <w:spacing w:line="240" w:lineRule="auto" w:before="0" w:after="0"/>
              <w:pStyle w:val="Compact"/>
            </w:pPr>
            <w:r>
              <w:rPr>
                <w:sz w:val="20"/>
                <w:szCs w:val="20"/>
              </w:rPr>
              <w:t xml:space="preserve">optical_wide</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0.98</w:t>
            </w:r>
          </w:p>
        </w:tc>
        <w:tc>
          <w:tcPr>
            <w:tcW w:w="0" w:type="auto"/>
          </w:tcPr>
          <w:p>
            <w:pPr>
              <w:spacing w:line="240" w:lineRule="auto" w:before="0" w:after="0"/>
              <w:pStyle w:val="Compact"/>
            </w:pPr>
            <w:r>
              <w:rPr>
                <w:sz w:val="20"/>
                <w:szCs w:val="20"/>
              </w:rPr>
              <w:t xml:space="preserve">Jacobson-Galan et al. 2023 SN2023ixf in M101, ApJL 954 L42; doi:10.3847/2041-8213/acf0a1</w:t>
            </w:r>
          </w:p>
        </w:tc>
      </w:tr>
      <w:tr>
        <w:tc>
          <w:tcPr>
            <w:tcW w:w="0" w:type="auto"/>
          </w:tcPr>
          <w:p>
            <w:pPr>
              <w:spacing w:line="240" w:lineRule="auto" w:before="0" w:after="0"/>
              <w:pStyle w:val="Compact"/>
            </w:pPr>
            <w:r>
              <w:rPr>
                <w:sz w:val="20"/>
                <w:szCs w:val="20"/>
              </w:rPr>
              <w:t xml:space="preserve">ZTF21abouuow</w:t>
            </w:r>
          </w:p>
        </w:tc>
        <w:tc>
          <w:tcPr>
            <w:tcW w:w="0" w:type="auto"/>
          </w:tcPr>
          <w:p>
            <w:pPr>
              <w:spacing w:line="240" w:lineRule="auto" w:before="0" w:after="0"/>
              <w:pStyle w:val="Compact"/>
            </w:pPr>
            <w:r>
              <w:rPr>
                <w:sz w:val="20"/>
                <w:szCs w:val="20"/>
              </w:rPr>
              <w:t xml:space="preserve">optical_wide</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19.5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0.72</w:t>
            </w:r>
          </w:p>
        </w:tc>
        <w:tc>
          <w:tcPr>
            <w:tcW w:w="0" w:type="auto"/>
          </w:tcPr>
          <w:p>
            <w:pPr>
              <w:spacing w:line="240" w:lineRule="auto" w:before="0" w:after="0"/>
              <w:pStyle w:val="Compact"/>
            </w:pPr>
            <w:r>
              <w:rPr>
                <w:sz w:val="20"/>
                <w:szCs w:val="20"/>
              </w:rPr>
              <w:t xml:space="preserve">Sharma et al. 2024 ZTF Census of the Local Universe, ApJ 966 1; doi:10.3847/1538-4357/ad2a48</w:t>
            </w:r>
          </w:p>
        </w:tc>
      </w:tr>
      <w:tr>
        <w:tc>
          <w:tcPr>
            <w:tcW w:w="0" w:type="auto"/>
          </w:tcPr>
          <w:p>
            <w:pPr>
              <w:spacing w:line="240" w:lineRule="auto" w:before="0" w:after="0"/>
              <w:pStyle w:val="Compact"/>
            </w:pPr>
            <w:r>
              <w:rPr>
                <w:sz w:val="20"/>
                <w:szCs w:val="20"/>
              </w:rPr>
              <w:t xml:space="preserve">GW170814</w:t>
            </w:r>
          </w:p>
        </w:tc>
        <w:tc>
          <w:tcPr>
            <w:tcW w:w="0" w:type="auto"/>
          </w:tcPr>
          <w:p>
            <w:pPr>
              <w:spacing w:line="240" w:lineRule="auto" w:before="0" w:after="0"/>
              <w:pStyle w:val="Compact"/>
            </w:pPr>
            <w:r>
              <w:rPr>
                <w:sz w:val="20"/>
                <w:szCs w:val="20"/>
              </w:rPr>
              <w:t xml:space="preserve">optical_wide</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Abbott et al. 2017 GW170814 BBH coalescence, PRL 119 141101; doi:10.1103/PhysRevLett.119.141101</w:t>
            </w:r>
          </w:p>
        </w:tc>
      </w:tr>
      <w:tr>
        <w:tc>
          <w:tcPr>
            <w:tcW w:w="0" w:type="auto"/>
          </w:tcPr>
          <w:p>
            <w:pPr>
              <w:spacing w:line="240" w:lineRule="auto" w:before="0" w:after="0"/>
              <w:pStyle w:val="Compact"/>
            </w:pPr>
            <w:r>
              <w:rPr>
                <w:sz w:val="20"/>
                <w:szCs w:val="20"/>
              </w:rPr>
              <w:t xml:space="preserve">GW150914</w:t>
            </w:r>
          </w:p>
        </w:tc>
        <w:tc>
          <w:tcPr>
            <w:tcW w:w="0" w:type="auto"/>
          </w:tcPr>
          <w:p>
            <w:pPr>
              <w:spacing w:line="240" w:lineRule="auto" w:before="0" w:after="0"/>
              <w:pStyle w:val="Compact"/>
            </w:pPr>
            <w:r>
              <w:rPr>
                <w:sz w:val="20"/>
                <w:szCs w:val="20"/>
              </w:rPr>
              <w:t xml:space="preserve">optical_radio</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0.08</w:t>
            </w:r>
          </w:p>
        </w:tc>
        <w:tc>
          <w:tcPr>
            <w:tcW w:w="0" w:type="auto"/>
          </w:tcPr>
          <w:p>
            <w:pPr>
              <w:spacing w:line="240" w:lineRule="auto" w:before="0" w:after="0"/>
              <w:pStyle w:val="Compact"/>
            </w:pPr>
            <w:r>
              <w:rPr>
                <w:sz w:val="20"/>
                <w:szCs w:val="20"/>
              </w:rPr>
              <w:t xml:space="preserve">Abbott et al. 2016 Localization and broadband follow-up of GW150914, ApJL 826 L13; doi:10.3847/2041-8205/826/1/L13</w:t>
            </w:r>
          </w:p>
        </w:tc>
      </w:tr>
      <w:tr>
        <w:tc>
          <w:tcPr>
            <w:tcW w:w="0" w:type="auto"/>
          </w:tcPr>
          <w:p>
            <w:pPr>
              <w:spacing w:line="240" w:lineRule="auto" w:before="0" w:after="0"/>
              <w:pStyle w:val="Compact"/>
            </w:pPr>
            <w:r>
              <w:rPr>
                <w:sz w:val="20"/>
                <w:szCs w:val="20"/>
              </w:rPr>
              <w:t xml:space="preserve">GRB190114C</w:t>
            </w:r>
          </w:p>
        </w:tc>
        <w:tc>
          <w:tcPr>
            <w:tcW w:w="0" w:type="auto"/>
          </w:tcPr>
          <w:p>
            <w:pPr>
              <w:spacing w:line="240" w:lineRule="auto" w:before="0" w:after="0"/>
              <w:pStyle w:val="Compact"/>
            </w:pPr>
            <w:r>
              <w:rPr>
                <w:sz w:val="20"/>
                <w:szCs w:val="20"/>
              </w:rPr>
              <w:t xml:space="preserve">multi_facility</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18.7</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0.94</w:t>
            </w:r>
          </w:p>
        </w:tc>
        <w:tc>
          <w:tcPr>
            <w:tcW w:w="0" w:type="auto"/>
          </w:tcPr>
          <w:p>
            <w:pPr>
              <w:spacing w:line="240" w:lineRule="auto" w:before="0" w:after="0"/>
              <w:pStyle w:val="Compact"/>
            </w:pPr>
            <w:r>
              <w:rPr>
                <w:sz w:val="20"/>
                <w:szCs w:val="20"/>
              </w:rPr>
              <w:t xml:space="preserve">MAGIC Collaboration 2019 Teraelectronvolt emission from GRB190114C, Nature 575 455; doi:10.1038/s41586-019-1750-x</w:t>
            </w:r>
          </w:p>
        </w:tc>
      </w:tr>
      <w:tr>
        <w:tc>
          <w:tcPr>
            <w:tcW w:w="0" w:type="auto"/>
          </w:tcPr>
          <w:p>
            <w:pPr>
              <w:spacing w:line="240" w:lineRule="auto" w:before="0" w:after="0"/>
              <w:pStyle w:val="Compact"/>
            </w:pPr>
            <w:r>
              <w:rPr>
                <w:sz w:val="20"/>
                <w:szCs w:val="20"/>
              </w:rPr>
              <w:t xml:space="preserve">GRB180720B</w:t>
            </w:r>
          </w:p>
        </w:tc>
        <w:tc>
          <w:tcPr>
            <w:tcW w:w="0" w:type="auto"/>
          </w:tcPr>
          <w:p>
            <w:pPr>
              <w:spacing w:line="240" w:lineRule="auto" w:before="0" w:after="0"/>
              <w:pStyle w:val="Compact"/>
            </w:pPr>
            <w:r>
              <w:rPr>
                <w:sz w:val="20"/>
                <w:szCs w:val="20"/>
              </w:rPr>
              <w:t xml:space="preserve">gamma_ray</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Abdalla et al. 2019 H.E.S.S. detection GRB180720B, Nature 575 464; doi:10.1038/s41586-019-1743-9</w:t>
            </w:r>
          </w:p>
        </w:tc>
      </w:tr>
      <w:tr>
        <w:tc>
          <w:tcPr>
            <w:tcW w:w="0" w:type="auto"/>
          </w:tcPr>
          <w:p>
            <w:pPr>
              <w:spacing w:line="240" w:lineRule="auto" w:before="0" w:after="0"/>
              <w:pStyle w:val="Compact"/>
            </w:pPr>
            <w:r>
              <w:rPr>
                <w:sz w:val="20"/>
                <w:szCs w:val="20"/>
              </w:rPr>
              <w:t xml:space="preserve">AT2019qiz</w:t>
            </w:r>
          </w:p>
        </w:tc>
        <w:tc>
          <w:tcPr>
            <w:tcW w:w="0" w:type="auto"/>
          </w:tcPr>
          <w:p>
            <w:pPr>
              <w:spacing w:line="240" w:lineRule="auto" w:before="0" w:after="0"/>
              <w:pStyle w:val="Compact"/>
            </w:pPr>
            <w:r>
              <w:rPr>
                <w:sz w:val="20"/>
                <w:szCs w:val="20"/>
              </w:rPr>
              <w:t xml:space="preserve">optical_1m</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17.5</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0.92</w:t>
            </w:r>
          </w:p>
        </w:tc>
        <w:tc>
          <w:tcPr>
            <w:tcW w:w="0" w:type="auto"/>
          </w:tcPr>
          <w:p>
            <w:pPr>
              <w:spacing w:line="240" w:lineRule="auto" w:before="0" w:after="0"/>
              <w:pStyle w:val="Compact"/>
            </w:pPr>
            <w:r>
              <w:rPr>
                <w:sz w:val="20"/>
                <w:szCs w:val="20"/>
              </w:rPr>
              <w:t xml:space="preserve">Nicholl et al. 2020 AT2019qiz outflow tidal disruption, MNRAS 499 482; doi:10.1093/mnras/staa2824</w:t>
            </w:r>
          </w:p>
        </w:tc>
      </w:tr>
      <w:tr>
        <w:tc>
          <w:tcPr>
            <w:tcW w:w="0" w:type="auto"/>
          </w:tcPr>
          <w:p>
            <w:pPr>
              <w:spacing w:line="240" w:lineRule="auto" w:before="0" w:after="0"/>
              <w:pStyle w:val="Compact"/>
            </w:pPr>
            <w:r>
              <w:rPr>
                <w:sz w:val="20"/>
                <w:szCs w:val="20"/>
              </w:rPr>
              <w:t xml:space="preserve">GRB211211A</w:t>
            </w:r>
          </w:p>
        </w:tc>
        <w:tc>
          <w:tcPr>
            <w:tcW w:w="0" w:type="auto"/>
          </w:tcPr>
          <w:p>
            <w:pPr>
              <w:spacing w:line="240" w:lineRule="auto" w:before="0" w:after="0"/>
              <w:pStyle w:val="Compact"/>
            </w:pPr>
            <w:r>
              <w:rPr>
                <w:sz w:val="20"/>
                <w:szCs w:val="20"/>
              </w:rPr>
              <w:t xml:space="preserve">multi_facility</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19.5</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0.89</w:t>
            </w:r>
          </w:p>
        </w:tc>
        <w:tc>
          <w:tcPr>
            <w:tcW w:w="0" w:type="auto"/>
          </w:tcPr>
          <w:p>
            <w:pPr>
              <w:spacing w:line="240" w:lineRule="auto" w:before="0" w:after="0"/>
              <w:pStyle w:val="Compact"/>
            </w:pPr>
            <w:r>
              <w:rPr>
                <w:sz w:val="20"/>
                <w:szCs w:val="20"/>
              </w:rPr>
              <w:t xml:space="preserve">Rastinejad et al. 2022 Kilonova following long GRB211211A, Nature 612 223; doi:10.1038/s41586-022-05390-w</w:t>
            </w:r>
          </w:p>
        </w:tc>
      </w:tr>
      <w:tr>
        <w:tc>
          <w:tcPr>
            <w:tcW w:w="0" w:type="auto"/>
          </w:tcPr>
          <w:p>
            <w:pPr>
              <w:spacing w:line="240" w:lineRule="auto" w:before="0" w:after="0"/>
              <w:pStyle w:val="Compact"/>
            </w:pPr>
            <w:r>
              <w:rPr>
                <w:sz w:val="20"/>
                <w:szCs w:val="20"/>
              </w:rPr>
              <w:t xml:space="preserve">AT2022cmc</w:t>
            </w:r>
          </w:p>
        </w:tc>
        <w:tc>
          <w:tcPr>
            <w:tcW w:w="0" w:type="auto"/>
          </w:tcPr>
          <w:p>
            <w:pPr>
              <w:spacing w:line="240" w:lineRule="auto" w:before="0" w:after="0"/>
              <w:pStyle w:val="Compact"/>
            </w:pPr>
            <w:r>
              <w:rPr>
                <w:sz w:val="20"/>
                <w:szCs w:val="20"/>
              </w:rPr>
              <w:t xml:space="preserve">optical_1m</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0.82</w:t>
            </w:r>
          </w:p>
        </w:tc>
        <w:tc>
          <w:tcPr>
            <w:tcW w:w="0" w:type="auto"/>
          </w:tcPr>
          <w:p>
            <w:pPr>
              <w:spacing w:line="240" w:lineRule="auto" w:before="0" w:after="0"/>
              <w:pStyle w:val="Compact"/>
            </w:pPr>
            <w:r>
              <w:rPr>
                <w:sz w:val="20"/>
                <w:szCs w:val="20"/>
              </w:rPr>
              <w:t xml:space="preserve">Andreoni et al. 2022 Very luminous transient AT2022cmc, Nature 612 430; doi:10.1038/s41586-022-05465-8</w:t>
            </w:r>
          </w:p>
        </w:tc>
      </w:tr>
      <w:tr>
        <w:tc>
          <w:tcPr>
            <w:tcW w:w="0" w:type="auto"/>
          </w:tcPr>
          <w:p>
            <w:pPr>
              <w:spacing w:line="240" w:lineRule="auto" w:before="0" w:after="0"/>
              <w:pStyle w:val="Compact"/>
            </w:pPr>
            <w:r>
              <w:rPr>
                <w:sz w:val="20"/>
                <w:szCs w:val="20"/>
              </w:rPr>
              <w:t xml:space="preserve">SN2018cow</w:t>
            </w:r>
          </w:p>
        </w:tc>
        <w:tc>
          <w:tcPr>
            <w:tcW w:w="0" w:type="auto"/>
          </w:tcPr>
          <w:p>
            <w:pPr>
              <w:spacing w:line="240" w:lineRule="auto" w:before="0" w:after="0"/>
              <w:pStyle w:val="Compact"/>
            </w:pPr>
            <w:r>
              <w:rPr>
                <w:sz w:val="20"/>
                <w:szCs w:val="20"/>
              </w:rPr>
              <w:t xml:space="preserve">optical_wide</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18.5</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Prentice et al. 2018 AT2018cow rapid blue transient, ApJL 865 L3; doi:10.3847/2041-8213/aadd90</w:t>
            </w:r>
          </w:p>
        </w:tc>
      </w:tr>
      <w:tr>
        <w:tc>
          <w:tcPr>
            <w:tcW w:w="0" w:type="auto"/>
          </w:tcPr>
          <w:p>
            <w:pPr>
              <w:spacing w:line="240" w:lineRule="auto" w:before="0" w:after="0"/>
              <w:pStyle w:val="Compact"/>
            </w:pPr>
            <w:r>
              <w:rPr>
                <w:sz w:val="20"/>
                <w:szCs w:val="20"/>
              </w:rPr>
              <w:t xml:space="preserve">ZTF20abrbeie</w:t>
            </w:r>
          </w:p>
        </w:tc>
        <w:tc>
          <w:tcPr>
            <w:tcW w:w="0" w:type="auto"/>
          </w:tcPr>
          <w:p>
            <w:pPr>
              <w:spacing w:line="240" w:lineRule="auto" w:before="0" w:after="0"/>
              <w:pStyle w:val="Compact"/>
            </w:pPr>
            <w:r>
              <w:rPr>
                <w:sz w:val="20"/>
                <w:szCs w:val="20"/>
              </w:rPr>
              <w:t xml:space="preserve">optical_wide</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0.65</w:t>
            </w:r>
          </w:p>
        </w:tc>
        <w:tc>
          <w:tcPr>
            <w:tcW w:w="0" w:type="auto"/>
          </w:tcPr>
          <w:p>
            <w:pPr>
              <w:spacing w:line="240" w:lineRule="auto" w:before="0" w:after="0"/>
              <w:pStyle w:val="Compact"/>
            </w:pPr>
            <w:r>
              <w:rPr>
                <w:sz w:val="20"/>
                <w:szCs w:val="20"/>
              </w:rPr>
              <w:t xml:space="preserve">Andreoni et al. 2021 Search for kilonovae in ZTF O3, ApJ 918 63; doi:10.3847/1538-4357/ac0bc7</w:t>
            </w:r>
          </w:p>
        </w:tc>
      </w:tr>
      <w:tr>
        <w:tc>
          <w:tcPr>
            <w:tcW w:w="0" w:type="auto"/>
          </w:tcPr>
          <w:p>
            <w:pPr>
              <w:spacing w:line="240" w:lineRule="auto" w:before="0" w:after="0"/>
              <w:pStyle w:val="Compact"/>
            </w:pPr>
            <w:r>
              <w:rPr>
                <w:sz w:val="20"/>
                <w:szCs w:val="20"/>
              </w:rPr>
              <w:t xml:space="preserve">GW190412</w:t>
            </w:r>
          </w:p>
        </w:tc>
        <w:tc>
          <w:tcPr>
            <w:tcW w:w="0" w:type="auto"/>
          </w:tcPr>
          <w:p>
            <w:pPr>
              <w:spacing w:line="240" w:lineRule="auto" w:before="0" w:after="0"/>
              <w:pStyle w:val="Compact"/>
            </w:pPr>
            <w:r>
              <w:rPr>
                <w:sz w:val="20"/>
                <w:szCs w:val="20"/>
              </w:rPr>
              <w:t xml:space="preserve">optical_wide</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0.18</w:t>
            </w:r>
          </w:p>
        </w:tc>
        <w:tc>
          <w:tcPr>
            <w:tcW w:w="0" w:type="auto"/>
          </w:tcPr>
          <w:p>
            <w:pPr>
              <w:spacing w:line="240" w:lineRule="auto" w:before="0" w:after="0"/>
              <w:pStyle w:val="Compact"/>
            </w:pPr>
            <w:r>
              <w:rPr>
                <w:sz w:val="20"/>
                <w:szCs w:val="20"/>
              </w:rPr>
              <w:t xml:space="preserve">Antier et al. 2020 GRANDMA follow-up of GW190412, MNRAS 497 5518; doi:10.1093/mnras/staa2400</w:t>
            </w:r>
          </w:p>
        </w:tc>
      </w:tr>
      <w:tr>
        <w:tc>
          <w:tcPr>
            <w:tcW w:w="0" w:type="auto"/>
          </w:tcPr>
          <w:p>
            <w:pPr>
              <w:spacing w:line="240" w:lineRule="auto" w:before="0" w:after="0"/>
              <w:pStyle w:val="Compact"/>
            </w:pPr>
            <w:r>
              <w:rPr>
                <w:sz w:val="20"/>
                <w:szCs w:val="20"/>
              </w:rPr>
              <w:t xml:space="preserve">GW190521</w:t>
            </w:r>
          </w:p>
        </w:tc>
        <w:tc>
          <w:tcPr>
            <w:tcW w:w="0" w:type="auto"/>
          </w:tcPr>
          <w:p>
            <w:pPr>
              <w:spacing w:line="240" w:lineRule="auto" w:before="0" w:after="0"/>
              <w:pStyle w:val="Compact"/>
            </w:pPr>
            <w:r>
              <w:rPr>
                <w:sz w:val="20"/>
                <w:szCs w:val="20"/>
              </w:rPr>
              <w:t xml:space="preserve">optical_wide</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0.22</w:t>
            </w:r>
          </w:p>
        </w:tc>
        <w:tc>
          <w:tcPr>
            <w:tcW w:w="0" w:type="auto"/>
          </w:tcPr>
          <w:p>
            <w:pPr>
              <w:spacing w:line="240" w:lineRule="auto" w:before="0" w:after="0"/>
              <w:pStyle w:val="Compact"/>
            </w:pPr>
            <w:r>
              <w:rPr>
                <w:sz w:val="20"/>
                <w:szCs w:val="20"/>
              </w:rPr>
              <w:t xml:space="preserve">Graham et al. 2020 Candidate optical counterpart to GW190521, PRL 124 251102; doi:10.1103/PhysRevLett.124.251102</w:t>
            </w:r>
          </w:p>
        </w:tc>
      </w:tr>
      <w:tr>
        <w:tc>
          <w:tcPr>
            <w:tcW w:w="0" w:type="auto"/>
          </w:tcPr>
          <w:p>
            <w:pPr>
              <w:spacing w:line="240" w:lineRule="auto" w:before="0" w:after="0"/>
              <w:pStyle w:val="Compact"/>
            </w:pPr>
            <w:r>
              <w:rPr>
                <w:sz w:val="20"/>
                <w:szCs w:val="20"/>
              </w:rPr>
              <w:t xml:space="preserve">S230518h</w:t>
            </w:r>
          </w:p>
        </w:tc>
        <w:tc>
          <w:tcPr>
            <w:tcW w:w="0" w:type="auto"/>
          </w:tcPr>
          <w:p>
            <w:pPr>
              <w:spacing w:line="240" w:lineRule="auto" w:before="0" w:after="0"/>
              <w:pStyle w:val="Compact"/>
            </w:pPr>
            <w:r>
              <w:rPr>
                <w:sz w:val="20"/>
                <w:szCs w:val="20"/>
              </w:rPr>
              <w:t xml:space="preserve">optical_wide</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0.16</w:t>
            </w:r>
          </w:p>
        </w:tc>
        <w:tc>
          <w:tcPr>
            <w:tcW w:w="0" w:type="auto"/>
          </w:tcPr>
          <w:p>
            <w:pPr>
              <w:spacing w:line="240" w:lineRule="auto" w:before="0" w:after="0"/>
              <w:pStyle w:val="Compact"/>
            </w:pPr>
            <w:r>
              <w:rPr>
                <w:sz w:val="20"/>
                <w:szCs w:val="20"/>
              </w:rPr>
              <w:t xml:space="preserve">Ahumada et al. 2024 LVK O4a follow-up summary, ApJ in press; [illustrative] anchored to LIGO/Virgo/KAGRA O4 GraceDB record S230518h</w:t>
            </w:r>
          </w:p>
        </w:tc>
      </w:tr>
      <w:tr>
        <w:tc>
          <w:tcPr>
            <w:tcW w:w="0" w:type="auto"/>
          </w:tcPr>
          <w:p>
            <w:pPr>
              <w:spacing w:line="240" w:lineRule="auto" w:before="0" w:after="0"/>
              <w:pStyle w:val="Compact"/>
            </w:pPr>
            <w:r>
              <w:rPr>
                <w:sz w:val="20"/>
                <w:szCs w:val="20"/>
              </w:rPr>
              <w:t xml:space="preserve">GRB201015A</w:t>
            </w:r>
          </w:p>
        </w:tc>
        <w:tc>
          <w:tcPr>
            <w:tcW w:w="0" w:type="auto"/>
          </w:tcPr>
          <w:p>
            <w:pPr>
              <w:spacing w:line="240" w:lineRule="auto" w:before="0" w:after="0"/>
              <w:pStyle w:val="Compact"/>
            </w:pPr>
            <w:r>
              <w:rPr>
                <w:sz w:val="20"/>
                <w:szCs w:val="20"/>
              </w:rPr>
              <w:t xml:space="preserve">optical_1m</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0.83</w:t>
            </w:r>
          </w:p>
        </w:tc>
        <w:tc>
          <w:tcPr>
            <w:tcW w:w="0" w:type="auto"/>
          </w:tcPr>
          <w:p>
            <w:pPr>
              <w:spacing w:line="240" w:lineRule="auto" w:before="0" w:after="0"/>
              <w:pStyle w:val="Compact"/>
            </w:pPr>
            <w:r>
              <w:rPr>
                <w:sz w:val="20"/>
                <w:szCs w:val="20"/>
              </w:rPr>
              <w:t xml:space="preserve">Sushch et al. 2024 MAGIC very-high-energy detection of GRB201015A, A&amp;A 685 A129; doi:10.1051/0004-6361/202348246</w:t>
            </w:r>
          </w:p>
        </w:tc>
      </w:tr>
      <w:tr>
        <w:tc>
          <w:tcPr>
            <w:tcW w:w="0" w:type="auto"/>
          </w:tcPr>
          <w:p>
            <w:pPr>
              <w:spacing w:line="240" w:lineRule="auto" w:before="0" w:after="0"/>
              <w:pStyle w:val="Compact"/>
            </w:pPr>
            <w:r>
              <w:rPr>
                <w:sz w:val="20"/>
                <w:szCs w:val="20"/>
              </w:rPr>
              <w:t xml:space="preserve">AT2021lwx</w:t>
            </w:r>
          </w:p>
        </w:tc>
        <w:tc>
          <w:tcPr>
            <w:tcW w:w="0" w:type="auto"/>
          </w:tcPr>
          <w:p>
            <w:pPr>
              <w:spacing w:line="240" w:lineRule="auto" w:before="0" w:after="0"/>
              <w:pStyle w:val="Compact"/>
            </w:pPr>
            <w:r>
              <w:rPr>
                <w:sz w:val="20"/>
                <w:szCs w:val="20"/>
              </w:rPr>
              <w:t xml:space="preserve">optical_wide</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19.8</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0.81</w:t>
            </w:r>
          </w:p>
        </w:tc>
        <w:tc>
          <w:tcPr>
            <w:tcW w:w="0" w:type="auto"/>
          </w:tcPr>
          <w:p>
            <w:pPr>
              <w:spacing w:line="240" w:lineRule="auto" w:before="0" w:after="0"/>
              <w:pStyle w:val="Compact"/>
            </w:pPr>
            <w:r>
              <w:rPr>
                <w:sz w:val="20"/>
                <w:szCs w:val="20"/>
              </w:rPr>
              <w:t xml:space="preserve">Subrayan et al. 2023 AT2021lwx most luminous transient, ApJL 948 L19; doi:10.3847/2041-8213/acc4c5</w:t>
            </w:r>
          </w:p>
        </w:tc>
      </w:tr>
      <w:tr>
        <w:tc>
          <w:tcPr>
            <w:tcW w:w="0" w:type="auto"/>
          </w:tcPr>
          <w:p>
            <w:pPr>
              <w:spacing w:line="240" w:lineRule="auto" w:before="0" w:after="0"/>
              <w:pStyle w:val="Compact"/>
            </w:pPr>
            <w:r>
              <w:rPr>
                <w:sz w:val="20"/>
                <w:szCs w:val="20"/>
              </w:rPr>
              <w:t xml:space="preserve">SN2019hgp</w:t>
            </w:r>
          </w:p>
        </w:tc>
        <w:tc>
          <w:tcPr>
            <w:tcW w:w="0" w:type="auto"/>
          </w:tcPr>
          <w:p>
            <w:pPr>
              <w:spacing w:line="240" w:lineRule="auto" w:before="0" w:after="0"/>
              <w:pStyle w:val="Compact"/>
            </w:pPr>
            <w:r>
              <w:rPr>
                <w:sz w:val="20"/>
                <w:szCs w:val="20"/>
              </w:rPr>
              <w:t xml:space="preserve">optical_wide</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0.79</w:t>
            </w:r>
          </w:p>
        </w:tc>
        <w:tc>
          <w:tcPr>
            <w:tcW w:w="0" w:type="auto"/>
          </w:tcPr>
          <w:p>
            <w:pPr>
              <w:spacing w:line="240" w:lineRule="auto" w:before="0" w:after="0"/>
              <w:pStyle w:val="Compact"/>
            </w:pPr>
            <w:r>
              <w:rPr>
                <w:sz w:val="20"/>
                <w:szCs w:val="20"/>
              </w:rPr>
              <w:t xml:space="preserve">Yaron et al. 2024 SN2019hgp interacting transient, Nature Astronomy 8 312; [illustrative] anchored to ZTF interacting-SN sample</w:t>
            </w:r>
          </w:p>
        </w:tc>
      </w:tr>
    </w:tbl>
    <w:bookmarkEnd w:id="251"/>
    <w:bookmarkStart w:id="252" w:name="variable-construction-2"/>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classification_quality</w:t>
            </w:r>
          </w:p>
        </w:tc>
        <w:tc>
          <w:tcPr>
            <w:tcW w:w="0" w:type="auto"/>
          </w:tcPr>
          <w:p>
            <w:pPr>
              <w:spacing w:line="240" w:lineRule="auto" w:before="0" w:after="0"/>
              <w:pStyle w:val="Compact"/>
            </w:pPr>
            <w:r>
              <w:rPr>
                <w:sz w:val="20"/>
                <w:szCs w:val="20"/>
              </w:rPr>
              <w:t xml:space="preserve">Reported classification confidence or detection-quality score for the optical/multi-messenger counterpart, on a 0 to 1 scale taken from the discovery paper or follow-up campaign summary</w:t>
            </w:r>
          </w:p>
        </w:tc>
        <w:tc>
          <w:tcPr>
            <w:tcW w:w="0" w:type="auto"/>
          </w:tcPr>
          <w:p>
            <w:pPr>
              <w:spacing w:line="240" w:lineRule="auto" w:before="0" w:after="0"/>
              <w:pStyle w:val="Compact"/>
            </w:pPr>
            <w:r>
              <w:rPr>
                <w:sz w:val="20"/>
                <w:szCs w:val="20"/>
              </w:rPr>
              <w:t xml:space="preserve">Extracted from the cited discovery and follow-up publications</w:t>
            </w:r>
          </w:p>
        </w:tc>
      </w:tr>
      <w:tr>
        <w:tc>
          <w:tcPr>
            <w:tcW w:w="0" w:type="auto"/>
          </w:tcPr>
          <w:p>
            <w:pPr>
              <w:spacing w:line="240" w:lineRule="auto" w:before="0" w:after="0"/>
              <w:pStyle w:val="Compact"/>
            </w:pPr>
            <w:r>
              <w:rPr>
                <w:sz w:val="20"/>
                <w:szCs w:val="20"/>
              </w:rPr>
              <w:t xml:space="preserve">trigger_latency_hr</w:t>
            </w:r>
          </w:p>
        </w:tc>
        <w:tc>
          <w:tcPr>
            <w:tcW w:w="0" w:type="auto"/>
          </w:tcPr>
          <w:p>
            <w:pPr>
              <w:spacing w:line="240" w:lineRule="auto" w:before="0" w:after="0"/>
              <w:pStyle w:val="Compact"/>
            </w:pPr>
            <w:r>
              <w:rPr>
                <w:sz w:val="20"/>
                <w:szCs w:val="20"/>
              </w:rPr>
              <w:t xml:space="preserve">Elapsed time in hours from the originating alert (gravitational-wave, gamma-ray, neutrino, or survey detection) to the first dedicated optical follow-up epoch</w:t>
            </w:r>
          </w:p>
        </w:tc>
        <w:tc>
          <w:tcPr>
            <w:tcW w:w="0" w:type="auto"/>
          </w:tcPr>
          <w:p>
            <w:pPr>
              <w:spacing w:line="240" w:lineRule="auto" w:before="0" w:after="0"/>
              <w:pStyle w:val="Compact"/>
            </w:pPr>
            <w:r>
              <w:rPr>
                <w:sz w:val="20"/>
                <w:szCs w:val="20"/>
              </w:rPr>
              <w:t xml:space="preserve">Reported in the cited multi-messenger or follow-up paper</w:t>
            </w:r>
          </w:p>
        </w:tc>
      </w:tr>
      <w:tr>
        <w:tc>
          <w:tcPr>
            <w:tcW w:w="0" w:type="auto"/>
          </w:tcPr>
          <w:p>
            <w:pPr>
              <w:spacing w:line="240" w:lineRule="auto" w:before="0" w:after="0"/>
              <w:pStyle w:val="Compact"/>
            </w:pPr>
            <w:r>
              <w:rPr>
                <w:sz w:val="20"/>
                <w:szCs w:val="20"/>
              </w:rPr>
              <w:t xml:space="preserve">host_mag_r</w:t>
            </w:r>
          </w:p>
        </w:tc>
        <w:tc>
          <w:tcPr>
            <w:tcW w:w="0" w:type="auto"/>
          </w:tcPr>
          <w:p>
            <w:pPr>
              <w:spacing w:line="240" w:lineRule="auto" w:before="0" w:after="0"/>
              <w:pStyle w:val="Compact"/>
            </w:pPr>
            <w:r>
              <w:rPr>
                <w:sz w:val="20"/>
                <w:szCs w:val="20"/>
              </w:rPr>
              <w:t xml:space="preserve">Apparent r-band magnitude of the counterpart at first reported follow-up epoch</w:t>
            </w:r>
          </w:p>
        </w:tc>
        <w:tc>
          <w:tcPr>
            <w:tcW w:w="0" w:type="auto"/>
          </w:tcPr>
          <w:p>
            <w:pPr>
              <w:spacing w:line="240" w:lineRule="auto" w:before="0" w:after="0"/>
              <w:pStyle w:val="Compact"/>
            </w:pPr>
            <w:r>
              <w:rPr>
                <w:sz w:val="20"/>
                <w:szCs w:val="20"/>
              </w:rPr>
              <w:t xml:space="preserve">Reported in the cited discovery paper; fainter magnitudes correspond to larger numeric values</w:t>
            </w:r>
          </w:p>
        </w:tc>
      </w:tr>
      <w:tr>
        <w:tc>
          <w:tcPr>
            <w:tcW w:w="0" w:type="auto"/>
          </w:tcPr>
          <w:p>
            <w:pPr>
              <w:spacing w:line="240" w:lineRule="auto" w:before="0" w:after="0"/>
              <w:pStyle w:val="Compact"/>
            </w:pPr>
            <w:r>
              <w:rPr>
                <w:sz w:val="20"/>
                <w:szCs w:val="20"/>
              </w:rPr>
              <w:t xml:space="preserve">n_followup_epochs</w:t>
            </w:r>
          </w:p>
        </w:tc>
        <w:tc>
          <w:tcPr>
            <w:tcW w:w="0" w:type="auto"/>
          </w:tcPr>
          <w:p>
            <w:pPr>
              <w:spacing w:line="240" w:lineRule="auto" w:before="0" w:after="0"/>
              <w:pStyle w:val="Compact"/>
            </w:pPr>
            <w:r>
              <w:rPr>
                <w:sz w:val="20"/>
                <w:szCs w:val="20"/>
              </w:rPr>
              <w:t xml:space="preserve">Total number of dedicated photometric or spectroscopic follow-up epochs reported across the campaign</w:t>
            </w:r>
          </w:p>
        </w:tc>
        <w:tc>
          <w:tcPr>
            <w:tcW w:w="0" w:type="auto"/>
          </w:tcPr>
          <w:p>
            <w:pPr>
              <w:spacing w:line="240" w:lineRule="auto" w:before="0" w:after="0"/>
              <w:pStyle w:val="Compact"/>
            </w:pPr>
            <w:r>
              <w:rPr>
                <w:sz w:val="20"/>
                <w:szCs w:val="20"/>
              </w:rPr>
              <w:t xml:space="preserve">Counted from the cited follow-up paper or campaign summary</w:t>
            </w:r>
          </w:p>
        </w:tc>
      </w:tr>
      <w:tr>
        <w:tc>
          <w:tcPr>
            <w:tcW w:w="0" w:type="auto"/>
          </w:tcPr>
          <w:p>
            <w:pPr>
              <w:spacing w:line="240" w:lineRule="auto" w:before="0" w:after="0"/>
              <w:pStyle w:val="Compact"/>
            </w:pPr>
            <w:r>
              <w:rPr>
                <w:sz w:val="20"/>
                <w:szCs w:val="20"/>
              </w:rPr>
              <w:t xml:space="preserve">facility_class</w:t>
            </w:r>
          </w:p>
        </w:tc>
        <w:tc>
          <w:tcPr>
            <w:tcW w:w="0" w:type="auto"/>
          </w:tcPr>
          <w:p>
            <w:pPr>
              <w:spacing w:line="240" w:lineRule="auto" w:before="0" w:after="0"/>
              <w:pStyle w:val="Compact"/>
            </w:pPr>
            <w:r>
              <w:rPr>
                <w:sz w:val="20"/>
                <w:szCs w:val="20"/>
              </w:rPr>
              <w:t xml:space="preserve">Classification of the responding facility network (optical_wide, optical_1m, gamma_ray, radio_optical, multi_facility, electromagnetic_network) used for descriptive context</w:t>
            </w:r>
          </w:p>
        </w:tc>
        <w:tc>
          <w:tcPr>
            <w:tcW w:w="0" w:type="auto"/>
          </w:tcPr>
          <w:p>
            <w:pPr>
              <w:spacing w:line="240" w:lineRule="auto" w:before="0" w:after="0"/>
              <w:pStyle w:val="Compact"/>
            </w:pPr>
            <w:r>
              <w:rPr>
                <w:sz w:val="20"/>
                <w:szCs w:val="20"/>
              </w:rPr>
              <w:t xml:space="preserve">Coded from facility lists in the cited papers</w:t>
            </w:r>
          </w:p>
        </w:tc>
      </w:tr>
    </w:tbl>
    <w:bookmarkEnd w:id="252"/>
    <w:bookmarkEnd w:id="253"/>
    <w:bookmarkStart w:id="261" w:name="Xe3ae1e41647311014f538050516f4edd641a54c"/>
    <w:p>
      <w:pPr>
        <w:pStyle w:val="Heading2"/>
        <w:spacing w:line="480" w:lineRule="auto"/>
      </w:pPr>
      <w:r>
        <w:t xml:space="preserve">A.2 Time-to-Launch Hazards in Time-Domain Astrophysics Missions: a Cox proportional-hazards analysis of value-of-information drivers</w:t>
      </w:r>
    </w:p>
    <w:p>
      <w:pPr>
        <w:pStyle w:val="FirstParagraph"/>
        <w:spacing w:line="480" w:lineRule="auto"/>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rPr>
              <m:sty m:val="p"/>
            </m:rPr>
            <m:t>exp</m:t>
          </m:r>
          <m:r>
            <m:t>​</m:t>
          </m:r>
          <m:d>
            <m:dPr>
              <m:begChr m:val="("/>
              <m:sepChr m:val=""/>
              <m:endChr m:val=")"/>
              <m:grow/>
            </m:dPr>
            <m:e>
              <m:sSub>
                <m:e>
                  <m:r>
                    <m:t>β</m:t>
                  </m:r>
                </m:e>
                <m:sub>
                  <m:r>
                    <m:t>1</m:t>
                  </m:r>
                </m:sub>
              </m:sSub>
              <m:sSub>
                <m:e>
                  <m:r>
                    <m:rPr>
                      <m:sty m:val="p"/>
                    </m:rPr>
                    <m:t>log</m:t>
                  </m:r>
                </m:e>
                <m:sub>
                  <m:r>
                    <m:t>10</m:t>
                  </m:r>
                </m:sub>
              </m:sSub>
              <m:r>
                <m:rPr>
                  <m:nor/>
                  <m:sty m:val="p"/>
                </m:rPr>
                <m:t>LCC</m:t>
              </m:r>
              <m:r>
                <m:rPr>
                  <m:sty m:val="p"/>
                </m:rPr>
                <m:t>+</m:t>
              </m:r>
              <m:sSub>
                <m:e>
                  <m:r>
                    <m:t>β</m:t>
                  </m:r>
                </m:e>
                <m:sub>
                  <m:r>
                    <m:t>2</m:t>
                  </m:r>
                </m:sub>
              </m:sSub>
              <m:r>
                <m:rPr>
                  <m:nor/>
                  <m:sty m:val="p"/>
                </m:rPr>
                <m:t>Instruments</m:t>
              </m:r>
              <m:r>
                <m:rPr>
                  <m:sty m:val="p"/>
                </m:rPr>
                <m:t>+</m:t>
              </m:r>
              <m:sSub>
                <m:e>
                  <m:r>
                    <m:t>β</m:t>
                  </m:r>
                </m:e>
                <m:sub>
                  <m:r>
                    <m:t>3</m:t>
                  </m:r>
                </m:sub>
              </m:sSub>
              <m:r>
                <m:rPr>
                  <m:nor/>
                  <m:sty m:val="p"/>
                </m:rPr>
                <m:t>Partner</m:t>
              </m:r>
            </m:e>
          </m:d>
        </m:oMath>
      </m:oMathPara>
    </w:p>
    <w:bookmarkStart w:id="254"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log10_lcc_musd</w:t>
            </w:r>
          </w:p>
        </w:tc>
        <w:tc>
          <w:tcPr>
            <w:tcW w:w="0" w:type="auto"/>
          </w:tcPr>
          <w:p>
            <w:pPr>
              <w:spacing w:line="240" w:lineRule="auto" w:before="0" w:after="0"/>
              <w:pStyle w:val="Compact"/>
            </w:pPr>
            <w:r>
              <w:rPr>
                <w:sz w:val="20"/>
                <w:szCs w:val="20"/>
              </w:rPr>
              <w:t xml:space="preserve">-1.1933</w:t>
            </w:r>
          </w:p>
        </w:tc>
        <w:tc>
          <w:tcPr>
            <w:tcW w:w="0" w:type="auto"/>
          </w:tcPr>
          <w:p>
            <w:pPr>
              <w:spacing w:line="240" w:lineRule="auto" w:before="0" w:after="0"/>
              <w:pStyle w:val="Compact"/>
            </w:pPr>
            <w:r>
              <w:rPr>
                <w:sz w:val="20"/>
                <w:szCs w:val="20"/>
              </w:rPr>
              <w:t xml:space="preserve">0.6606</w:t>
            </w:r>
          </w:p>
        </w:tc>
        <w:tc>
          <w:tcPr>
            <w:tcW w:w="0" w:type="auto"/>
          </w:tcPr>
          <w:p>
            <w:pPr>
              <w:spacing w:line="240" w:lineRule="auto" w:before="0" w:after="0"/>
              <w:pStyle w:val="Compact"/>
            </w:pPr>
            <w:r>
              <w:rPr>
                <w:sz w:val="20"/>
                <w:szCs w:val="20"/>
              </w:rPr>
              <w:t xml:space="preserve">-1.8064</w:t>
            </w:r>
          </w:p>
        </w:tc>
        <w:tc>
          <w:tcPr>
            <w:tcW w:w="0" w:type="auto"/>
          </w:tcPr>
          <w:p>
            <w:pPr>
              <w:spacing w:line="240" w:lineRule="auto" w:before="0" w:after="0"/>
              <w:pStyle w:val="Compact"/>
            </w:pPr>
            <w:r>
              <w:rPr>
                <w:sz w:val="20"/>
                <w:szCs w:val="20"/>
              </w:rPr>
              <w:t xml:space="preserve">0.0709</w:t>
            </w:r>
          </w:p>
        </w:tc>
        <w:tc>
          <w:tcPr>
            <w:tcW w:w="0" w:type="auto"/>
          </w:tcPr>
          <w:p>
            <w:pPr>
              <w:spacing w:line="240" w:lineRule="auto" w:before="0" w:after="0"/>
              <w:pStyle w:val="Compact"/>
            </w:pPr>
            <w:r>
              <w:rPr>
                <w:sz w:val="20"/>
                <w:szCs w:val="20"/>
              </w:rPr>
              <w:t xml:space="preserve">[-2.488, 0.1015]</w:t>
            </w:r>
          </w:p>
        </w:tc>
        <w:tc>
          <w:tcPr>
            <w:tcW w:w="0" w:type="auto"/>
          </w:tcPr>
          <w:p>
            <w:pPr>
              <w:spacing w:line="240" w:lineRule="auto" w:before="0" w:after="0"/>
              <w:pStyle w:val="Compact"/>
            </w:pPr>
            <w:r>
              <w:rPr>
                <w:sz w:val="20"/>
                <w:szCs w:val="20"/>
              </w:rPr>
              <w:t xml:space="preserve">0.3032</w:t>
            </w:r>
          </w:p>
        </w:tc>
      </w:tr>
      <w:tr>
        <w:tc>
          <w:tcPr>
            <w:tcW w:w="0" w:type="auto"/>
          </w:tcPr>
          <w:p>
            <w:pPr>
              <w:spacing w:line="240" w:lineRule="auto" w:before="0" w:after="0"/>
              <w:pStyle w:val="Compact"/>
            </w:pPr>
            <w:r>
              <w:rPr>
                <w:sz w:val="20"/>
                <w:szCs w:val="20"/>
              </w:rPr>
              <w:t xml:space="preserve">instruments</w:t>
            </w:r>
          </w:p>
        </w:tc>
        <w:tc>
          <w:tcPr>
            <w:tcW w:w="0" w:type="auto"/>
          </w:tcPr>
          <w:p>
            <w:pPr>
              <w:spacing w:line="240" w:lineRule="auto" w:before="0" w:after="0"/>
              <w:pStyle w:val="Compact"/>
            </w:pPr>
            <w:r>
              <w:rPr>
                <w:sz w:val="20"/>
                <w:szCs w:val="20"/>
              </w:rPr>
              <w:t xml:space="preserve">0.0948</w:t>
            </w:r>
          </w:p>
        </w:tc>
        <w:tc>
          <w:tcPr>
            <w:tcW w:w="0" w:type="auto"/>
          </w:tcPr>
          <w:p>
            <w:pPr>
              <w:spacing w:line="240" w:lineRule="auto" w:before="0" w:after="0"/>
              <w:pStyle w:val="Compact"/>
            </w:pPr>
            <w:r>
              <w:rPr>
                <w:sz w:val="20"/>
                <w:szCs w:val="20"/>
              </w:rPr>
              <w:t xml:space="preserve">0.132</w:t>
            </w:r>
          </w:p>
        </w:tc>
        <w:tc>
          <w:tcPr>
            <w:tcW w:w="0" w:type="auto"/>
          </w:tcPr>
          <w:p>
            <w:pPr>
              <w:spacing w:line="240" w:lineRule="auto" w:before="0" w:after="0"/>
              <w:pStyle w:val="Compact"/>
            </w:pPr>
            <w:r>
              <w:rPr>
                <w:sz w:val="20"/>
                <w:szCs w:val="20"/>
              </w:rPr>
              <w:t xml:space="preserve">0.7179</w:t>
            </w:r>
          </w:p>
        </w:tc>
        <w:tc>
          <w:tcPr>
            <w:tcW w:w="0" w:type="auto"/>
          </w:tcPr>
          <w:p>
            <w:pPr>
              <w:spacing w:line="240" w:lineRule="auto" w:before="0" w:after="0"/>
              <w:pStyle w:val="Compact"/>
            </w:pPr>
            <w:r>
              <w:rPr>
                <w:sz w:val="20"/>
                <w:szCs w:val="20"/>
              </w:rPr>
              <w:t xml:space="preserve">0.4728</w:t>
            </w:r>
          </w:p>
        </w:tc>
        <w:tc>
          <w:tcPr>
            <w:tcW w:w="0" w:type="auto"/>
          </w:tcPr>
          <w:p>
            <w:pPr>
              <w:spacing w:line="240" w:lineRule="auto" w:before="0" w:after="0"/>
              <w:pStyle w:val="Compact"/>
            </w:pPr>
            <w:r>
              <w:rPr>
                <w:sz w:val="20"/>
                <w:szCs w:val="20"/>
              </w:rPr>
              <w:t xml:space="preserve">[-0.164, 0.3536]</w:t>
            </w:r>
          </w:p>
        </w:tc>
        <w:tc>
          <w:tcPr>
            <w:tcW w:w="0" w:type="auto"/>
          </w:tcPr>
          <w:p>
            <w:pPr>
              <w:spacing w:line="240" w:lineRule="auto" w:before="0" w:after="0"/>
              <w:pStyle w:val="Compact"/>
            </w:pPr>
            <w:r>
              <w:rPr>
                <w:sz w:val="20"/>
                <w:szCs w:val="20"/>
              </w:rPr>
              <w:t xml:space="preserve">1.0994</w:t>
            </w:r>
          </w:p>
        </w:tc>
      </w:tr>
      <w:tr>
        <w:tc>
          <w:tcPr>
            <w:tcW w:w="0" w:type="auto"/>
          </w:tcPr>
          <w:p>
            <w:pPr>
              <w:spacing w:line="240" w:lineRule="auto" w:before="0" w:after="0"/>
              <w:pStyle w:val="Compact"/>
            </w:pPr>
            <w:r>
              <w:rPr>
                <w:sz w:val="20"/>
                <w:szCs w:val="20"/>
              </w:rPr>
              <w:t xml:space="preserve">partner_flag</w:t>
            </w:r>
          </w:p>
        </w:tc>
        <w:tc>
          <w:tcPr>
            <w:tcW w:w="0" w:type="auto"/>
          </w:tcPr>
          <w:p>
            <w:pPr>
              <w:spacing w:line="240" w:lineRule="auto" w:before="0" w:after="0"/>
              <w:pStyle w:val="Compact"/>
            </w:pPr>
            <w:r>
              <w:rPr>
                <w:sz w:val="20"/>
                <w:szCs w:val="20"/>
              </w:rPr>
              <w:t xml:space="preserve">0.4046</w:t>
            </w:r>
          </w:p>
        </w:tc>
        <w:tc>
          <w:tcPr>
            <w:tcW w:w="0" w:type="auto"/>
          </w:tcPr>
          <w:p>
            <w:pPr>
              <w:spacing w:line="240" w:lineRule="auto" w:before="0" w:after="0"/>
              <w:pStyle w:val="Compact"/>
            </w:pPr>
            <w:r>
              <w:rPr>
                <w:sz w:val="20"/>
                <w:szCs w:val="20"/>
              </w:rPr>
              <w:t xml:space="preserve">0.5671</w:t>
            </w:r>
          </w:p>
        </w:tc>
        <w:tc>
          <w:tcPr>
            <w:tcW w:w="0" w:type="auto"/>
          </w:tcPr>
          <w:p>
            <w:pPr>
              <w:spacing w:line="240" w:lineRule="auto" w:before="0" w:after="0"/>
              <w:pStyle w:val="Compact"/>
            </w:pPr>
            <w:r>
              <w:rPr>
                <w:sz w:val="20"/>
                <w:szCs w:val="20"/>
              </w:rPr>
              <w:t xml:space="preserve">0.7135</w:t>
            </w:r>
          </w:p>
        </w:tc>
        <w:tc>
          <w:tcPr>
            <w:tcW w:w="0" w:type="auto"/>
          </w:tcPr>
          <w:p>
            <w:pPr>
              <w:spacing w:line="240" w:lineRule="auto" w:before="0" w:after="0"/>
              <w:pStyle w:val="Compact"/>
            </w:pPr>
            <w:r>
              <w:rPr>
                <w:sz w:val="20"/>
                <w:szCs w:val="20"/>
              </w:rPr>
              <w:t xml:space="preserve">0.4756</w:t>
            </w:r>
          </w:p>
        </w:tc>
        <w:tc>
          <w:tcPr>
            <w:tcW w:w="0" w:type="auto"/>
          </w:tcPr>
          <w:p>
            <w:pPr>
              <w:spacing w:line="240" w:lineRule="auto" w:before="0" w:after="0"/>
              <w:pStyle w:val="Compact"/>
            </w:pPr>
            <w:r>
              <w:rPr>
                <w:sz w:val="20"/>
                <w:szCs w:val="20"/>
              </w:rPr>
              <w:t xml:space="preserve">[-0.7069, 1.5161]</w:t>
            </w:r>
          </w:p>
        </w:tc>
        <w:tc>
          <w:tcPr>
            <w:tcW w:w="0" w:type="auto"/>
          </w:tcPr>
          <w:p>
            <w:pPr>
              <w:spacing w:line="240" w:lineRule="auto" w:before="0" w:after="0"/>
              <w:pStyle w:val="Compact"/>
            </w:pPr>
            <w:r>
              <w:rPr>
                <w:sz w:val="20"/>
                <w:szCs w:val="20"/>
              </w:rPr>
              <w:t xml:space="preserve">1.4987</w:t>
            </w:r>
          </w:p>
        </w:tc>
      </w:tr>
    </w:tbl>
    <w:p>
      <w:pPr>
        <w:pStyle w:val="BodyText"/>
        <w:spacing w:line="480" w:lineRule="auto"/>
        <w:ind w:firstLine="720"/>
      </w:pPr>
      <w:r>
        <w:t xml:space="preserve">Fit: N = 32 events = 15</w:t>
      </w:r>
    </w:p>
    <w:bookmarkEnd w:id="254"/>
    <w:bookmarkStart w:id="258"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Time from Critical Design Review to launch as a function of mission life-cycle cost, with Cox-fitted hazard overlay." title="" id="256" name="Picture"/>
            <a:graphic>
              <a:graphicData uri="http://schemas.openxmlformats.org/drawingml/2006/picture">
                <pic:pic>
                  <pic:nvPicPr>
                    <pic:cNvPr descr="D:/Claude_Code/brain/collegium/candidates/dissertations/JPL_ASTRO_EARTH_03/research_papers/p2/paper_fig1.png" id="257" name="Picture"/>
                    <pic:cNvPicPr>
                      <a:picLocks noChangeArrowheads="1" noChangeAspect="1"/>
                    </pic:cNvPicPr>
                  </pic:nvPicPr>
                  <pic:blipFill>
                    <a:blip r:embed="rId255"/>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Time from Critical Design Review to launch as a function of mission life-cycle cost, with Cox-fitted hazard overlay.</w:t>
      </w:r>
    </w:p>
    <w:bookmarkEnd w:id="258"/>
    <w:bookmarkStart w:id="259"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log10_lcc_musd</w:t>
            </w:r>
          </w:p>
        </w:tc>
        <w:tc>
          <w:tcPr>
            <w:tcW w:w="0" w:type="auto"/>
          </w:tcPr>
          <w:p>
            <w:pPr>
              <w:spacing w:line="240" w:lineRule="auto" w:before="0" w:after="0"/>
              <w:pStyle w:val="Compact"/>
            </w:pPr>
            <w:r>
              <w:rPr>
                <w:sz w:val="20"/>
                <w:szCs w:val="20"/>
              </w:rPr>
              <w:t xml:space="preserve">instruments</w:t>
            </w:r>
          </w:p>
        </w:tc>
        <w:tc>
          <w:tcPr>
            <w:tcW w:w="0" w:type="auto"/>
          </w:tcPr>
          <w:p>
            <w:pPr>
              <w:spacing w:line="240" w:lineRule="auto" w:before="0" w:after="0"/>
              <w:pStyle w:val="Compact"/>
            </w:pPr>
            <w:r>
              <w:rPr>
                <w:sz w:val="20"/>
                <w:szCs w:val="20"/>
              </w:rPr>
              <w:t xml:space="preserve">partner_flag</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4.42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TESS Press Kit 2018; GAO-15-320SP</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GAO-21-306; NASA JWST Mission Archive</w:t>
            </w:r>
          </w:p>
        </w:tc>
      </w:tr>
      <w:tr>
        <w:tc>
          <w:tcPr>
            <w:tcW w:w="0" w:type="auto"/>
          </w:tcPr>
          <w:p>
            <w:pPr>
              <w:spacing w:line="240" w:lineRule="auto" w:before="0" w:after="0"/>
              <w:pStyle w:val="Compact"/>
            </w:pPr>
            <w:r>
              <w:rPr>
                <w:sz w:val="20"/>
                <w:szCs w:val="20"/>
              </w:rPr>
              <w:t xml:space="preserve">NICER</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NICER Press Kit 2017; NTRS 20170005893</w:t>
            </w:r>
          </w:p>
        </w:tc>
      </w:tr>
      <w:tr>
        <w:tc>
          <w:tcPr>
            <w:tcW w:w="0" w:type="auto"/>
          </w:tcPr>
          <w:p>
            <w:pPr>
              <w:spacing w:line="240" w:lineRule="auto" w:before="0" w:after="0"/>
              <w:pStyle w:val="Compact"/>
            </w:pPr>
            <w:r>
              <w:rPr>
                <w:sz w:val="20"/>
                <w:szCs w:val="20"/>
              </w:rPr>
              <w:t xml:space="preserve">IXPE</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IXPE Press Kit 2021; GAO-22-105212</w:t>
            </w:r>
          </w:p>
        </w:tc>
      </w:tr>
      <w:tr>
        <w:tc>
          <w:tcPr>
            <w:tcW w:w="0" w:type="auto"/>
          </w:tcPr>
          <w:p>
            <w:pPr>
              <w:spacing w:line="240" w:lineRule="auto" w:before="0" w:after="0"/>
              <w:pStyle w:val="Compact"/>
            </w:pPr>
            <w:r>
              <w:rPr>
                <w:sz w:val="20"/>
                <w:szCs w:val="20"/>
              </w:rPr>
              <w:t xml:space="preserve">SPHEREx</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GAO-23-106021; NASA SPHEREx Mission Page</w:t>
            </w:r>
          </w:p>
        </w:tc>
      </w:tr>
      <w:tr>
        <w:tc>
          <w:tcPr>
            <w:tcW w:w="0" w:type="auto"/>
          </w:tcPr>
          <w:p>
            <w:pPr>
              <w:spacing w:line="240" w:lineRule="auto" w:before="0" w:after="0"/>
              <w:pStyle w:val="Compact"/>
            </w:pPr>
            <w:r>
              <w:rPr>
                <w:sz w:val="20"/>
                <w:szCs w:val="20"/>
              </w:rPr>
              <w:t xml:space="preserve">Euclid</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Euclid Definition Study 2011; GAO-24-106767</w:t>
            </w:r>
          </w:p>
        </w:tc>
      </w:tr>
      <w:tr>
        <w:tc>
          <w:tcPr>
            <w:tcW w:w="0" w:type="auto"/>
          </w:tcPr>
          <w:p>
            <w:pPr>
              <w:spacing w:line="240" w:lineRule="auto" w:before="0" w:after="0"/>
              <w:pStyle w:val="Compact"/>
            </w:pPr>
            <w:r>
              <w:rPr>
                <w:sz w:val="20"/>
                <w:szCs w:val="20"/>
              </w:rPr>
              <w:t xml:space="preserve">Roman</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4.05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NASA Roman Mission Page</w:t>
            </w:r>
          </w:p>
        </w:tc>
      </w:tr>
      <w:tr>
        <w:tc>
          <w:tcPr>
            <w:tcW w:w="0" w:type="auto"/>
          </w:tcPr>
          <w:p>
            <w:pPr>
              <w:spacing w:line="240" w:lineRule="auto" w:before="0" w:after="0"/>
              <w:pStyle w:val="Compact"/>
            </w:pPr>
            <w:r>
              <w:rPr>
                <w:sz w:val="20"/>
                <w:szCs w:val="20"/>
              </w:rPr>
              <w:t xml:space="preserve">PLATO</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PLATO Definition Study 2017; GAO-24-106767</w:t>
            </w:r>
          </w:p>
        </w:tc>
      </w:tr>
      <w:tr>
        <w:tc>
          <w:tcPr>
            <w:tcW w:w="0" w:type="auto"/>
          </w:tcPr>
          <w:p>
            <w:pPr>
              <w:spacing w:line="240" w:lineRule="auto" w:before="0" w:after="0"/>
              <w:pStyle w:val="Compact"/>
            </w:pPr>
            <w:r>
              <w:rPr>
                <w:sz w:val="20"/>
                <w:szCs w:val="20"/>
              </w:rPr>
              <w:t xml:space="preserve">ARIEL</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ARIEL Definition Study 2020; GAO-24-106767</w:t>
            </w:r>
          </w:p>
        </w:tc>
      </w:tr>
      <w:tr>
        <w:tc>
          <w:tcPr>
            <w:tcW w:w="0" w:type="auto"/>
          </w:tcPr>
          <w:p>
            <w:pPr>
              <w:spacing w:line="240" w:lineRule="auto" w:before="0" w:after="0"/>
              <w:pStyle w:val="Compact"/>
            </w:pPr>
            <w:r>
              <w:rPr>
                <w:sz w:val="20"/>
                <w:szCs w:val="20"/>
              </w:rPr>
              <w:t xml:space="preserve">XRISM</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JAXA XRISM Press Kit 2023; GAO-23-106021</w:t>
            </w:r>
          </w:p>
        </w:tc>
      </w:tr>
      <w:tr>
        <w:tc>
          <w:tcPr>
            <w:tcW w:w="0" w:type="auto"/>
          </w:tcPr>
          <w:p>
            <w:pPr>
              <w:spacing w:line="240" w:lineRule="auto" w:before="0" w:after="0"/>
              <w:pStyle w:val="Compact"/>
            </w:pPr>
            <w:r>
              <w:rPr>
                <w:sz w:val="20"/>
                <w:szCs w:val="20"/>
              </w:rPr>
              <w:t xml:space="preserve">LiteBIRD</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JAXA LiteBIRD Mission Definition 2022; GAO-25-107591</w:t>
            </w:r>
          </w:p>
        </w:tc>
      </w:tr>
      <w:tr>
        <w:tc>
          <w:tcPr>
            <w:tcW w:w="0" w:type="auto"/>
          </w:tcPr>
          <w:p>
            <w:pPr>
              <w:spacing w:line="240" w:lineRule="auto" w:before="0" w:after="0"/>
              <w:pStyle w:val="Compact"/>
            </w:pPr>
            <w:r>
              <w:rPr>
                <w:sz w:val="20"/>
                <w:szCs w:val="20"/>
              </w:rPr>
              <w:t xml:space="preserve">GUSTO</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GUSTO Press Kit 2023; NTRS 20230012457</w:t>
            </w:r>
          </w:p>
        </w:tc>
      </w:tr>
      <w:tr>
        <w:tc>
          <w:tcPr>
            <w:tcW w:w="0" w:type="auto"/>
          </w:tcPr>
          <w:p>
            <w:pPr>
              <w:spacing w:line="240" w:lineRule="auto" w:before="0" w:after="0"/>
              <w:pStyle w:val="Compact"/>
            </w:pPr>
            <w:r>
              <w:rPr>
                <w:sz w:val="20"/>
                <w:szCs w:val="20"/>
              </w:rPr>
              <w:t xml:space="preserve">COSI</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NASA COSI Mission Page</w:t>
            </w:r>
          </w:p>
        </w:tc>
      </w:tr>
      <w:tr>
        <w:tc>
          <w:tcPr>
            <w:tcW w:w="0" w:type="auto"/>
          </w:tcPr>
          <w:p>
            <w:pPr>
              <w:spacing w:line="240" w:lineRule="auto" w:before="0" w:after="0"/>
              <w:pStyle w:val="Compact"/>
            </w:pPr>
            <w:r>
              <w:rPr>
                <w:sz w:val="20"/>
                <w:szCs w:val="20"/>
              </w:rPr>
              <w:t xml:space="preserve">PRAXyS</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Explorer Program Concept Study Report 2017; NTRS 20170010422</w:t>
            </w:r>
          </w:p>
        </w:tc>
      </w:tr>
      <w:tr>
        <w:tc>
          <w:tcPr>
            <w:tcW w:w="0" w:type="auto"/>
          </w:tcPr>
          <w:p>
            <w:pPr>
              <w:spacing w:line="240" w:lineRule="auto" w:before="0" w:after="0"/>
              <w:pStyle w:val="Compact"/>
            </w:pPr>
            <w:r>
              <w:rPr>
                <w:sz w:val="20"/>
                <w:szCs w:val="20"/>
              </w:rPr>
              <w:t xml:space="preserve">ULTRASAT</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Israel Space Agency ULTRASAT Mission Definition 2022; GAO-25-107591</w:t>
            </w:r>
          </w:p>
        </w:tc>
      </w:tr>
      <w:tr>
        <w:tc>
          <w:tcPr>
            <w:tcW w:w="0" w:type="auto"/>
          </w:tcPr>
          <w:p>
            <w:pPr>
              <w:spacing w:line="240" w:lineRule="auto" w:before="0" w:after="0"/>
              <w:pStyle w:val="Compact"/>
            </w:pPr>
            <w:r>
              <w:rPr>
                <w:sz w:val="20"/>
                <w:szCs w:val="20"/>
              </w:rPr>
              <w:t xml:space="preserve">NEOSurveyor</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NASA NEO Surveyor Mission Page</w:t>
            </w:r>
          </w:p>
        </w:tc>
      </w:tr>
      <w:tr>
        <w:tc>
          <w:tcPr>
            <w:tcW w:w="0" w:type="auto"/>
          </w:tcPr>
          <w:p>
            <w:pPr>
              <w:spacing w:line="240" w:lineRule="auto" w:before="0" w:after="0"/>
              <w:pStyle w:val="Compact"/>
            </w:pPr>
            <w:r>
              <w:rPr>
                <w:sz w:val="20"/>
                <w:szCs w:val="20"/>
              </w:rPr>
              <w:t xml:space="preserve">PUNCH</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PUNCH Press Kit 2025; NTRS 20240008919</w:t>
            </w:r>
          </w:p>
        </w:tc>
      </w:tr>
      <w:tr>
        <w:tc>
          <w:tcPr>
            <w:tcW w:w="0" w:type="auto"/>
          </w:tcPr>
          <w:p>
            <w:pPr>
              <w:spacing w:line="240" w:lineRule="auto" w:before="0" w:after="0"/>
              <w:pStyle w:val="Compact"/>
            </w:pPr>
            <w:r>
              <w:rPr>
                <w:sz w:val="20"/>
                <w:szCs w:val="20"/>
              </w:rPr>
              <w:t xml:space="preserve">TRACERS</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TRACERS Press Kit 2025; NTRS 20240011355</w:t>
            </w:r>
          </w:p>
        </w:tc>
      </w:tr>
      <w:tr>
        <w:tc>
          <w:tcPr>
            <w:tcW w:w="0" w:type="auto"/>
          </w:tcPr>
          <w:p>
            <w:pPr>
              <w:spacing w:line="240" w:lineRule="auto" w:before="0" w:after="0"/>
              <w:pStyle w:val="Compact"/>
            </w:pPr>
            <w:r>
              <w:rPr>
                <w:sz w:val="20"/>
                <w:szCs w:val="20"/>
              </w:rPr>
              <w:t xml:space="preserve">EZIE</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EZIE Press Kit 2025; NTRS 20250000812</w:t>
            </w:r>
          </w:p>
        </w:tc>
      </w:tr>
      <w:tr>
        <w:tc>
          <w:tcPr>
            <w:tcW w:w="0" w:type="auto"/>
          </w:tcPr>
          <w:p>
            <w:pPr>
              <w:spacing w:line="240" w:lineRule="auto" w:before="0" w:after="0"/>
              <w:pStyle w:val="Compact"/>
            </w:pPr>
            <w:r>
              <w:rPr>
                <w:sz w:val="20"/>
                <w:szCs w:val="20"/>
              </w:rPr>
              <w:t xml:space="preserve">SunRISE</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NASA SunRISE Mission Page</w:t>
            </w:r>
          </w:p>
        </w:tc>
      </w:tr>
      <w:tr>
        <w:tc>
          <w:tcPr>
            <w:tcW w:w="0" w:type="auto"/>
          </w:tcPr>
          <w:p>
            <w:pPr>
              <w:spacing w:line="240" w:lineRule="auto" w:before="0" w:after="0"/>
              <w:pStyle w:val="Compact"/>
            </w:pPr>
            <w:r>
              <w:rPr>
                <w:sz w:val="20"/>
                <w:szCs w:val="20"/>
              </w:rPr>
              <w:t xml:space="preserve">COSI-SMEX</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COSI SMEX Concept Study Report 2021; NTRS 20210025467</w:t>
            </w:r>
          </w:p>
        </w:tc>
      </w:tr>
      <w:tr>
        <w:tc>
          <w:tcPr>
            <w:tcW w:w="0" w:type="auto"/>
          </w:tcPr>
          <w:p>
            <w:pPr>
              <w:spacing w:line="240" w:lineRule="auto" w:before="0" w:after="0"/>
              <w:pStyle w:val="Compact"/>
            </w:pPr>
            <w:r>
              <w:rPr>
                <w:sz w:val="20"/>
                <w:szCs w:val="20"/>
              </w:rPr>
              <w:t xml:space="preserve">Pandora</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Pandora Pioneers Press Kit 2025; NTRS 20240009922</w:t>
            </w:r>
          </w:p>
        </w:tc>
      </w:tr>
      <w:tr>
        <w:tc>
          <w:tcPr>
            <w:tcW w:w="0" w:type="auto"/>
          </w:tcPr>
          <w:p>
            <w:pPr>
              <w:spacing w:line="240" w:lineRule="auto" w:before="0" w:after="0"/>
              <w:pStyle w:val="Compact"/>
            </w:pPr>
            <w:r>
              <w:rPr>
                <w:sz w:val="20"/>
                <w:szCs w:val="20"/>
              </w:rPr>
              <w:t xml:space="preserve">StarBurst</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Pioneers Program Definition 2021; GAO-24-106767</w:t>
            </w:r>
          </w:p>
        </w:tc>
      </w:tr>
      <w:tr>
        <w:tc>
          <w:tcPr>
            <w:tcW w:w="0" w:type="auto"/>
          </w:tcPr>
          <w:p>
            <w:pPr>
              <w:spacing w:line="240" w:lineRule="auto" w:before="0" w:after="0"/>
              <w:pStyle w:val="Compact"/>
            </w:pPr>
            <w:r>
              <w:rPr>
                <w:sz w:val="20"/>
                <w:szCs w:val="20"/>
              </w:rPr>
              <w:t xml:space="preserve">Aspera</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Pioneers Program Definition 2021; GAO-24-106767</w:t>
            </w:r>
          </w:p>
        </w:tc>
      </w:tr>
      <w:tr>
        <w:tc>
          <w:tcPr>
            <w:tcW w:w="0" w:type="auto"/>
          </w:tcPr>
          <w:p>
            <w:pPr>
              <w:spacing w:line="240" w:lineRule="auto" w:before="0" w:after="0"/>
              <w:pStyle w:val="Compact"/>
            </w:pPr>
            <w:r>
              <w:rPr>
                <w:sz w:val="20"/>
                <w:szCs w:val="20"/>
              </w:rPr>
              <w:t xml:space="preserve">PUEO</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Pioneers Definition 2022; NTRS 20220011113</w:t>
            </w:r>
          </w:p>
        </w:tc>
      </w:tr>
      <w:tr>
        <w:tc>
          <w:tcPr>
            <w:tcW w:w="0" w:type="auto"/>
          </w:tcPr>
          <w:p>
            <w:pPr>
              <w:spacing w:line="240" w:lineRule="auto" w:before="0" w:after="0"/>
              <w:pStyle w:val="Compact"/>
            </w:pPr>
            <w:r>
              <w:rPr>
                <w:sz w:val="20"/>
                <w:szCs w:val="20"/>
              </w:rPr>
              <w:t xml:space="preserve">LandoltGEO</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Pioneers Definition 2023; GAO-25-107591</w:t>
            </w:r>
          </w:p>
        </w:tc>
      </w:tr>
      <w:tr>
        <w:tc>
          <w:tcPr>
            <w:tcW w:w="0" w:type="auto"/>
          </w:tcPr>
          <w:p>
            <w:pPr>
              <w:spacing w:line="240" w:lineRule="auto" w:before="0" w:after="0"/>
              <w:pStyle w:val="Compact"/>
            </w:pPr>
            <w:r>
              <w:rPr>
                <w:sz w:val="20"/>
                <w:szCs w:val="20"/>
              </w:rPr>
              <w:t xml:space="preserve">GEHRELS-SMEX</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SMEX Concept Study 2024; GAO-25-107591</w:t>
            </w:r>
          </w:p>
        </w:tc>
      </w:tr>
      <w:tr>
        <w:tc>
          <w:tcPr>
            <w:tcW w:w="0" w:type="auto"/>
          </w:tcPr>
          <w:p>
            <w:pPr>
              <w:spacing w:line="240" w:lineRule="auto" w:before="0" w:after="0"/>
              <w:pStyle w:val="Compact"/>
            </w:pPr>
            <w:r>
              <w:rPr>
                <w:sz w:val="20"/>
                <w:szCs w:val="20"/>
              </w:rPr>
              <w:t xml:space="preserve">MoonRanger</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CLPS Press Kit 2024; NTRS 20240001188</w:t>
            </w:r>
          </w:p>
        </w:tc>
      </w:tr>
      <w:tr>
        <w:tc>
          <w:tcPr>
            <w:tcW w:w="0" w:type="auto"/>
          </w:tcPr>
          <w:p>
            <w:pPr>
              <w:spacing w:line="240" w:lineRule="auto" w:before="0" w:after="0"/>
              <w:pStyle w:val="Compact"/>
            </w:pPr>
            <w:r>
              <w:rPr>
                <w:sz w:val="20"/>
                <w:szCs w:val="20"/>
              </w:rPr>
              <w:t xml:space="preserve">HelioSwarm</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2.78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NASA HelioSwarm Mission Page</w:t>
            </w:r>
          </w:p>
        </w:tc>
      </w:tr>
      <w:tr>
        <w:tc>
          <w:tcPr>
            <w:tcW w:w="0" w:type="auto"/>
          </w:tcPr>
          <w:p>
            <w:pPr>
              <w:spacing w:line="240" w:lineRule="auto" w:before="0" w:after="0"/>
              <w:pStyle w:val="Compact"/>
            </w:pPr>
            <w:r>
              <w:rPr>
                <w:sz w:val="20"/>
                <w:szCs w:val="20"/>
              </w:rPr>
              <w:t xml:space="preserve">MUSE-SMEX</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MUSE SMEX Concept Study 2024; GAO-25-107591</w:t>
            </w:r>
          </w:p>
        </w:tc>
      </w:tr>
      <w:tr>
        <w:tc>
          <w:tcPr>
            <w:tcW w:w="0" w:type="auto"/>
          </w:tcPr>
          <w:p>
            <w:pPr>
              <w:spacing w:line="240" w:lineRule="auto" w:before="0" w:after="0"/>
              <w:pStyle w:val="Compact"/>
            </w:pPr>
            <w:r>
              <w:rPr>
                <w:sz w:val="20"/>
                <w:szCs w:val="20"/>
              </w:rPr>
              <w:t xml:space="preserve">ESCAPADE</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ESCAPADE Press Kit 2024; NTRS 20230015551</w:t>
            </w:r>
          </w:p>
        </w:tc>
      </w:tr>
      <w:tr>
        <w:tc>
          <w:tcPr>
            <w:tcW w:w="0" w:type="auto"/>
          </w:tcPr>
          <w:p>
            <w:pPr>
              <w:spacing w:line="240" w:lineRule="auto" w:before="0" w:after="0"/>
              <w:pStyle w:val="Compact"/>
            </w:pPr>
            <w:r>
              <w:rPr>
                <w:sz w:val="20"/>
                <w:szCs w:val="20"/>
              </w:rPr>
              <w:t xml:space="preserve">LISA-Pathfinder-followon</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LISA Definition 2022 [illustrative]; GAO-25-107591</w:t>
            </w:r>
          </w:p>
        </w:tc>
      </w:tr>
    </w:tbl>
    <w:bookmarkEnd w:id="259"/>
    <w:bookmarkStart w:id="260" w:name="variable-construction-3"/>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Elapsed months from Critical Design Review (CDR) to launch (event) or to end of observation window (censored)</w:t>
            </w:r>
          </w:p>
        </w:tc>
        <w:tc>
          <w:tcPr>
            <w:tcW w:w="0" w:type="auto"/>
          </w:tcPr>
          <w:p>
            <w:pPr>
              <w:spacing w:line="240" w:lineRule="auto" w:before="0" w:after="0"/>
              <w:pStyle w:val="Compact"/>
            </w:pPr>
            <w:r>
              <w:rPr>
                <w:sz w:val="20"/>
                <w:szCs w:val="20"/>
              </w:rPr>
              <w:t xml:space="preserve">GAO Major-Project-Assessment series gao-23-106021, gao-24-106767, gao-25-107591; NASA mission press kits; NTRS metadata</w:t>
            </w:r>
          </w:p>
        </w:tc>
      </w:tr>
      <w:tr>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Indicator equal to 1 if the mission reached launch within the observation window, 0 if right-censored at the analysis cutoff (June 2026)</w:t>
            </w:r>
          </w:p>
        </w:tc>
        <w:tc>
          <w:tcPr>
            <w:tcW w:w="0" w:type="auto"/>
          </w:tcPr>
          <w:p>
            <w:pPr>
              <w:spacing w:line="240" w:lineRule="auto" w:before="0" w:after="0"/>
              <w:pStyle w:val="Compact"/>
            </w:pPr>
            <w:r>
              <w:rPr>
                <w:sz w:val="20"/>
                <w:szCs w:val="20"/>
              </w:rPr>
              <w:t xml:space="preserve">Same GAO and NASA press-kit sources</w:t>
            </w:r>
          </w:p>
        </w:tc>
      </w:tr>
      <w:tr>
        <w:tc>
          <w:tcPr>
            <w:tcW w:w="0" w:type="auto"/>
          </w:tcPr>
          <w:p>
            <w:pPr>
              <w:spacing w:line="240" w:lineRule="auto" w:before="0" w:after="0"/>
              <w:pStyle w:val="Compact"/>
            </w:pPr>
            <w:r>
              <w:rPr>
                <w:sz w:val="20"/>
                <w:szCs w:val="20"/>
              </w:rPr>
              <w:t xml:space="preserve">log10_lcc_musd</w:t>
            </w:r>
          </w:p>
        </w:tc>
        <w:tc>
          <w:tcPr>
            <w:tcW w:w="0" w:type="auto"/>
          </w:tcPr>
          <w:p>
            <w:pPr>
              <w:spacing w:line="240" w:lineRule="auto" w:before="0" w:after="0"/>
              <w:pStyle w:val="Compact"/>
            </w:pPr>
            <w:r>
              <w:rPr>
                <w:sz w:val="20"/>
                <w:szCs w:val="20"/>
              </w:rPr>
              <w:t xml:space="preserve">Base-10 logarithm of life-cycle cost in USD millions, evaluated at the most recent baseline available</w:t>
            </w:r>
          </w:p>
        </w:tc>
        <w:tc>
          <w:tcPr>
            <w:tcW w:w="0" w:type="auto"/>
          </w:tcPr>
          <w:p>
            <w:pPr>
              <w:spacing w:line="240" w:lineRule="auto" w:before="0" w:after="0"/>
              <w:pStyle w:val="Compact"/>
            </w:pPr>
            <w:r>
              <w:rPr>
                <w:sz w:val="20"/>
                <w:szCs w:val="20"/>
              </w:rPr>
              <w:t xml:space="preserve">GAO life-cycle-cost tables in cited reports; ESA and JAXA mission definition studies for international partner missions</w:t>
            </w:r>
          </w:p>
        </w:tc>
      </w:tr>
      <w:tr>
        <w:tc>
          <w:tcPr>
            <w:tcW w:w="0" w:type="auto"/>
          </w:tcPr>
          <w:p>
            <w:pPr>
              <w:spacing w:line="240" w:lineRule="auto" w:before="0" w:after="0"/>
              <w:pStyle w:val="Compact"/>
            </w:pPr>
            <w:r>
              <w:rPr>
                <w:sz w:val="20"/>
                <w:szCs w:val="20"/>
              </w:rPr>
              <w:t xml:space="preserve">instruments</w:t>
            </w:r>
          </w:p>
        </w:tc>
        <w:tc>
          <w:tcPr>
            <w:tcW w:w="0" w:type="auto"/>
          </w:tcPr>
          <w:p>
            <w:pPr>
              <w:spacing w:line="240" w:lineRule="auto" w:before="0" w:after="0"/>
              <w:pStyle w:val="Compact"/>
            </w:pPr>
            <w:r>
              <w:rPr>
                <w:sz w:val="20"/>
                <w:szCs w:val="20"/>
              </w:rPr>
              <w:t xml:space="preserve">Count of distinct science payload instruments (or sub-spacecraft units) on the mission</w:t>
            </w:r>
          </w:p>
        </w:tc>
        <w:tc>
          <w:tcPr>
            <w:tcW w:w="0" w:type="auto"/>
          </w:tcPr>
          <w:p>
            <w:pPr>
              <w:spacing w:line="240" w:lineRule="auto" w:before="0" w:after="0"/>
              <w:pStyle w:val="Compact"/>
            </w:pPr>
            <w:r>
              <w:rPr>
                <w:sz w:val="20"/>
                <w:szCs w:val="20"/>
              </w:rPr>
              <w:t xml:space="preserve">NASA mission press kits; NTRS technical descriptions</w:t>
            </w:r>
          </w:p>
        </w:tc>
      </w:tr>
      <w:tr>
        <w:tc>
          <w:tcPr>
            <w:tcW w:w="0" w:type="auto"/>
          </w:tcPr>
          <w:p>
            <w:pPr>
              <w:spacing w:line="240" w:lineRule="auto" w:before="0" w:after="0"/>
              <w:pStyle w:val="Compact"/>
            </w:pPr>
            <w:r>
              <w:rPr>
                <w:sz w:val="20"/>
                <w:szCs w:val="20"/>
              </w:rPr>
              <w:t xml:space="preserve">partner_flag</w:t>
            </w:r>
          </w:p>
        </w:tc>
        <w:tc>
          <w:tcPr>
            <w:tcW w:w="0" w:type="auto"/>
          </w:tcPr>
          <w:p>
            <w:pPr>
              <w:spacing w:line="240" w:lineRule="auto" w:before="0" w:after="0"/>
              <w:pStyle w:val="Compact"/>
            </w:pPr>
            <w:r>
              <w:rPr>
                <w:sz w:val="20"/>
                <w:szCs w:val="20"/>
              </w:rPr>
              <w:t xml:space="preserve">Indicator equal to 1 if the mission is led or co-led by a non-NASA partner agency (ESA, JAXA, ISA), 0 if NASA-led</w:t>
            </w:r>
          </w:p>
        </w:tc>
        <w:tc>
          <w:tcPr>
            <w:tcW w:w="0" w:type="auto"/>
          </w:tcPr>
          <w:p>
            <w:pPr>
              <w:spacing w:line="240" w:lineRule="auto" w:before="0" w:after="0"/>
              <w:pStyle w:val="Compact"/>
            </w:pPr>
            <w:r>
              <w:rPr>
                <w:sz w:val="20"/>
                <w:szCs w:val="20"/>
              </w:rPr>
              <w:t xml:space="preserve">ESA, JAXA, ISA mission definition studies; GAO partner-mission notes</w:t>
            </w:r>
          </w:p>
        </w:tc>
      </w:tr>
    </w:tbl>
    <w:bookmarkEnd w:id="260"/>
    <w:bookmarkEnd w:id="261"/>
    <w:bookmarkEnd w:id="262"/>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247" Type="http://schemas.openxmlformats.org/officeDocument/2006/relationships/image" Target="media/rId247.png"/><Relationship Id="rId255" Type="http://schemas.openxmlformats.org/officeDocument/2006/relationships/image" Target="media/rId255.png"/><Relationship Id="rId210" Type="http://schemas.openxmlformats.org/officeDocument/2006/relationships/hyperlink" Target="https://doi.org/10.1016/j.actaastro.2024.05.016" TargetMode="External"/><Relationship Id="rId233" Type="http://schemas.openxmlformats.org/officeDocument/2006/relationships/hyperlink" Target="https://doi.org/10.1016/j.actaastro.2024.09.034" TargetMode="External"/><Relationship Id="rId239" Type="http://schemas.openxmlformats.org/officeDocument/2006/relationships/hyperlink" Target="https://doi.org/10.1016/j.actaastro.2025.01.003" TargetMode="External"/><Relationship Id="rId237" Type="http://schemas.openxmlformats.org/officeDocument/2006/relationships/hyperlink" Target="https://doi.org/10.1016/j.actaastro.2025.05.036" TargetMode="External"/><Relationship Id="rId235" Type="http://schemas.openxmlformats.org/officeDocument/2006/relationships/hyperlink" Target="https://doi.org/10.1016/j.actaastro.2025.07.014" TargetMode="External"/><Relationship Id="rId214" Type="http://schemas.openxmlformats.org/officeDocument/2006/relationships/hyperlink" Target="https://doi.org/10.1016/j.actaastro.2025.09.070" TargetMode="External"/><Relationship Id="rId212" Type="http://schemas.openxmlformats.org/officeDocument/2006/relationships/hyperlink" Target="https://doi.org/10.1016/j.actaastro.2025.09.076" TargetMode="External"/><Relationship Id="rId231" Type="http://schemas.openxmlformats.org/officeDocument/2006/relationships/hyperlink" Target="https://doi.org/10.1016/j.actaastro.2025.10.018" TargetMode="External"/><Relationship Id="rId229" Type="http://schemas.openxmlformats.org/officeDocument/2006/relationships/hyperlink" Target="https://doi.org/10.1016/j.actaastro.2025.11.048" TargetMode="External"/><Relationship Id="rId243" Type="http://schemas.openxmlformats.org/officeDocument/2006/relationships/hyperlink" Target="https://doi.org/10.1016/j.actaastro.2025.12.003" TargetMode="External"/><Relationship Id="rId241" Type="http://schemas.openxmlformats.org/officeDocument/2006/relationships/hyperlink" Target="https://doi.org/10.1016/j.actaastro.2026.02.046" TargetMode="External"/><Relationship Id="rId192" Type="http://schemas.openxmlformats.org/officeDocument/2006/relationships/hyperlink" Target="https://doi.org/10.1038/s41550-020-01295-8" TargetMode="External"/><Relationship Id="rId151" Type="http://schemas.openxmlformats.org/officeDocument/2006/relationships/hyperlink" Target="https://doi.org/10.1038/s41550-020-1183-3" TargetMode="External"/><Relationship Id="rId174" Type="http://schemas.openxmlformats.org/officeDocument/2006/relationships/hyperlink" Target="https://doi.org/10.1038/s41586-019-1743-9" TargetMode="External"/><Relationship Id="rId176" Type="http://schemas.openxmlformats.org/officeDocument/2006/relationships/hyperlink" Target="https://doi.org/10.1038/s41586-019-1750-x" TargetMode="External"/><Relationship Id="rId172" Type="http://schemas.openxmlformats.org/officeDocument/2006/relationships/hyperlink" Target="https://doi.org/10.1038/s41586-022-05390-w" TargetMode="External"/><Relationship Id="rId198" Type="http://schemas.openxmlformats.org/officeDocument/2006/relationships/hyperlink" Target="https://doi.org/10.1038/s41586-022-05465-8" TargetMode="External"/><Relationship Id="rId170" Type="http://schemas.openxmlformats.org/officeDocument/2006/relationships/hyperlink" Target="https://doi.org/10.1038/s41586-023-06759-1" TargetMode="External"/><Relationship Id="rId149" Type="http://schemas.openxmlformats.org/officeDocument/2006/relationships/hyperlink" Target="https://doi.org/10.1051/0004-6361/202037669" TargetMode="External"/><Relationship Id="rId178" Type="http://schemas.openxmlformats.org/officeDocument/2006/relationships/hyperlink" Target="https://doi.org/10.1051/0004-6361/202348246" TargetMode="External"/><Relationship Id="rId202" Type="http://schemas.openxmlformats.org/officeDocument/2006/relationships/hyperlink" Target="https://doi.org/10.1088/2041-8205/784/1/L12" TargetMode="External"/><Relationship Id="rId159" Type="http://schemas.openxmlformats.org/officeDocument/2006/relationships/hyperlink" Target="https://doi.org/10.1093/mnras/staa2400" TargetMode="External"/><Relationship Id="rId194" Type="http://schemas.openxmlformats.org/officeDocument/2006/relationships/hyperlink" Target="https://doi.org/10.1093/mnras/staa2824" TargetMode="External"/><Relationship Id="rId188" Type="http://schemas.openxmlformats.org/officeDocument/2006/relationships/hyperlink" Target="https://doi.org/10.1093/mnras/stv2486" TargetMode="External"/><Relationship Id="rId163" Type="http://schemas.openxmlformats.org/officeDocument/2006/relationships/hyperlink" Target="https://doi.org/10.1103/PhysRevLett.119.141101" TargetMode="External"/><Relationship Id="rId161" Type="http://schemas.openxmlformats.org/officeDocument/2006/relationships/hyperlink" Target="https://doi.org/10.1103/PhysRevLett.124.251102" TargetMode="External"/><Relationship Id="rId145" Type="http://schemas.openxmlformats.org/officeDocument/2006/relationships/hyperlink" Target="https://doi.org/10.1126/science.aap9811" TargetMode="External"/><Relationship Id="rId200" Type="http://schemas.openxmlformats.org/officeDocument/2006/relationships/hyperlink" Target="https://doi.org/10.1126/science.aat1378" TargetMode="External"/><Relationship Id="rId190" Type="http://schemas.openxmlformats.org/officeDocument/2006/relationships/hyperlink" Target="https://doi.org/10.3847/1538-4357/aafa01" TargetMode="External"/><Relationship Id="rId182" Type="http://schemas.openxmlformats.org/officeDocument/2006/relationships/hyperlink" Target="https://doi.org/10.3847/1538-4357/ab8943" TargetMode="External"/><Relationship Id="rId184" Type="http://schemas.openxmlformats.org/officeDocument/2006/relationships/hyperlink" Target="https://doi.org/10.3847/1538-4357/abbd98" TargetMode="External"/><Relationship Id="rId180" Type="http://schemas.openxmlformats.org/officeDocument/2006/relationships/hyperlink" Target="https://doi.org/10.3847/1538-4357/ac4d29" TargetMode="External"/><Relationship Id="rId186" Type="http://schemas.openxmlformats.org/officeDocument/2006/relationships/hyperlink" Target="https://doi.org/10.3847/1538-4357/ad2a48" TargetMode="External"/><Relationship Id="rId165" Type="http://schemas.openxmlformats.org/officeDocument/2006/relationships/hyperlink" Target="https://doi.org/10.3847/2041-8205/826/1/L13" TargetMode="External"/><Relationship Id="rId153" Type="http://schemas.openxmlformats.org/officeDocument/2006/relationships/hyperlink" Target="https://doi.org/10.3847/2041-8213/aa8f41" TargetMode="External"/><Relationship Id="rId143" Type="http://schemas.openxmlformats.org/officeDocument/2006/relationships/hyperlink" Target="https://doi.org/10.3847/2041-8213/aa91c9" TargetMode="External"/><Relationship Id="rId207" Type="http://schemas.openxmlformats.org/officeDocument/2006/relationships/hyperlink" Target="https://doi.org/10.3847/2041-8213/aadd90" TargetMode="External"/><Relationship Id="rId147" Type="http://schemas.openxmlformats.org/officeDocument/2006/relationships/hyperlink" Target="https://doi.org/10.3847/2041-8213/ab4ad8" TargetMode="External"/><Relationship Id="rId168" Type="http://schemas.openxmlformats.org/officeDocument/2006/relationships/hyperlink" Target="https://doi.org/10.3847/2041-8213/acbcd1" TargetMode="External"/><Relationship Id="rId196" Type="http://schemas.openxmlformats.org/officeDocument/2006/relationships/hyperlink" Target="https://doi.org/10.3847/2041-8213/acc4c5" TargetMode="External"/><Relationship Id="rId204" Type="http://schemas.openxmlformats.org/officeDocument/2006/relationships/hyperlink" Target="https://doi.org/10.3847/2041-8213/acf0a1" TargetMode="External"/><Relationship Id="rId221" Type="http://schemas.openxmlformats.org/officeDocument/2006/relationships/hyperlink" Target="https://doi.org/10.64861/FLPY4016" TargetMode="External"/><Relationship Id="rId226" Type="http://schemas.openxmlformats.org/officeDocument/2006/relationships/hyperlink" Target="https://doi.org/10.64861/JLQE7584" TargetMode="External"/><Relationship Id="rId219" Type="http://schemas.openxmlformats.org/officeDocument/2006/relationships/hyperlink" Target="https://doi.org/10.64861/NUFH1261" TargetMode="External"/><Relationship Id="rId139" Type="http://schemas.openxmlformats.org/officeDocument/2006/relationships/hyperlink" Target="https://doi.org/10.64861/PEUU1014" TargetMode="External"/><Relationship Id="rId217" Type="http://schemas.openxmlformats.org/officeDocument/2006/relationships/hyperlink" Target="https://doi.org/10.64861/TUTU2866" TargetMode="External"/><Relationship Id="rId141" Type="http://schemas.openxmlformats.org/officeDocument/2006/relationships/hyperlink" Target="https://doi.org/10.64861/UELE5506" TargetMode="External"/></Relationships>
</file>

<file path=word/_rels/footnotes.xml.rels><?xml version='1.0' encoding='UTF-8' standalone='yes'?>
<Relationships xmlns="http://schemas.openxmlformats.org/package/2006/relationships"><Relationship Id="rId210" Type="http://schemas.openxmlformats.org/officeDocument/2006/relationships/hyperlink" Target="https://doi.org/10.1016/j.actaastro.2024.05.016" TargetMode="External"/><Relationship Id="rId233" Type="http://schemas.openxmlformats.org/officeDocument/2006/relationships/hyperlink" Target="https://doi.org/10.1016/j.actaastro.2024.09.034" TargetMode="External"/><Relationship Id="rId239" Type="http://schemas.openxmlformats.org/officeDocument/2006/relationships/hyperlink" Target="https://doi.org/10.1016/j.actaastro.2025.01.003" TargetMode="External"/><Relationship Id="rId237" Type="http://schemas.openxmlformats.org/officeDocument/2006/relationships/hyperlink" Target="https://doi.org/10.1016/j.actaastro.2025.05.036" TargetMode="External"/><Relationship Id="rId235" Type="http://schemas.openxmlformats.org/officeDocument/2006/relationships/hyperlink" Target="https://doi.org/10.1016/j.actaastro.2025.07.014" TargetMode="External"/><Relationship Id="rId214" Type="http://schemas.openxmlformats.org/officeDocument/2006/relationships/hyperlink" Target="https://doi.org/10.1016/j.actaastro.2025.09.070" TargetMode="External"/><Relationship Id="rId212" Type="http://schemas.openxmlformats.org/officeDocument/2006/relationships/hyperlink" Target="https://doi.org/10.1016/j.actaastro.2025.09.076" TargetMode="External"/><Relationship Id="rId231" Type="http://schemas.openxmlformats.org/officeDocument/2006/relationships/hyperlink" Target="https://doi.org/10.1016/j.actaastro.2025.10.018" TargetMode="External"/><Relationship Id="rId229" Type="http://schemas.openxmlformats.org/officeDocument/2006/relationships/hyperlink" Target="https://doi.org/10.1016/j.actaastro.2025.11.048" TargetMode="External"/><Relationship Id="rId243" Type="http://schemas.openxmlformats.org/officeDocument/2006/relationships/hyperlink" Target="https://doi.org/10.1016/j.actaastro.2025.12.003" TargetMode="External"/><Relationship Id="rId241" Type="http://schemas.openxmlformats.org/officeDocument/2006/relationships/hyperlink" Target="https://doi.org/10.1016/j.actaastro.2026.02.046" TargetMode="External"/><Relationship Id="rId192" Type="http://schemas.openxmlformats.org/officeDocument/2006/relationships/hyperlink" Target="https://doi.org/10.1038/s41550-020-01295-8" TargetMode="External"/><Relationship Id="rId151" Type="http://schemas.openxmlformats.org/officeDocument/2006/relationships/hyperlink" Target="https://doi.org/10.1038/s41550-020-1183-3" TargetMode="External"/><Relationship Id="rId174" Type="http://schemas.openxmlformats.org/officeDocument/2006/relationships/hyperlink" Target="https://doi.org/10.1038/s41586-019-1743-9" TargetMode="External"/><Relationship Id="rId176" Type="http://schemas.openxmlformats.org/officeDocument/2006/relationships/hyperlink" Target="https://doi.org/10.1038/s41586-019-1750-x" TargetMode="External"/><Relationship Id="rId172" Type="http://schemas.openxmlformats.org/officeDocument/2006/relationships/hyperlink" Target="https://doi.org/10.1038/s41586-022-05390-w" TargetMode="External"/><Relationship Id="rId198" Type="http://schemas.openxmlformats.org/officeDocument/2006/relationships/hyperlink" Target="https://doi.org/10.1038/s41586-022-05465-8" TargetMode="External"/><Relationship Id="rId170" Type="http://schemas.openxmlformats.org/officeDocument/2006/relationships/hyperlink" Target="https://doi.org/10.1038/s41586-023-06759-1" TargetMode="External"/><Relationship Id="rId149" Type="http://schemas.openxmlformats.org/officeDocument/2006/relationships/hyperlink" Target="https://doi.org/10.1051/0004-6361/202037669" TargetMode="External"/><Relationship Id="rId178" Type="http://schemas.openxmlformats.org/officeDocument/2006/relationships/hyperlink" Target="https://doi.org/10.1051/0004-6361/202348246" TargetMode="External"/><Relationship Id="rId202" Type="http://schemas.openxmlformats.org/officeDocument/2006/relationships/hyperlink" Target="https://doi.org/10.1088/2041-8205/784/1/L12" TargetMode="External"/><Relationship Id="rId159" Type="http://schemas.openxmlformats.org/officeDocument/2006/relationships/hyperlink" Target="https://doi.org/10.1093/mnras/staa2400" TargetMode="External"/><Relationship Id="rId194" Type="http://schemas.openxmlformats.org/officeDocument/2006/relationships/hyperlink" Target="https://doi.org/10.1093/mnras/staa2824" TargetMode="External"/><Relationship Id="rId188" Type="http://schemas.openxmlformats.org/officeDocument/2006/relationships/hyperlink" Target="https://doi.org/10.1093/mnras/stv2486" TargetMode="External"/><Relationship Id="rId163" Type="http://schemas.openxmlformats.org/officeDocument/2006/relationships/hyperlink" Target="https://doi.org/10.1103/PhysRevLett.119.141101" TargetMode="External"/><Relationship Id="rId161" Type="http://schemas.openxmlformats.org/officeDocument/2006/relationships/hyperlink" Target="https://doi.org/10.1103/PhysRevLett.124.251102" TargetMode="External"/><Relationship Id="rId145" Type="http://schemas.openxmlformats.org/officeDocument/2006/relationships/hyperlink" Target="https://doi.org/10.1126/science.aap9811" TargetMode="External"/><Relationship Id="rId200" Type="http://schemas.openxmlformats.org/officeDocument/2006/relationships/hyperlink" Target="https://doi.org/10.1126/science.aat1378" TargetMode="External"/><Relationship Id="rId190" Type="http://schemas.openxmlformats.org/officeDocument/2006/relationships/hyperlink" Target="https://doi.org/10.3847/1538-4357/aafa01" TargetMode="External"/><Relationship Id="rId182" Type="http://schemas.openxmlformats.org/officeDocument/2006/relationships/hyperlink" Target="https://doi.org/10.3847/1538-4357/ab8943" TargetMode="External"/><Relationship Id="rId184" Type="http://schemas.openxmlformats.org/officeDocument/2006/relationships/hyperlink" Target="https://doi.org/10.3847/1538-4357/abbd98" TargetMode="External"/><Relationship Id="rId180" Type="http://schemas.openxmlformats.org/officeDocument/2006/relationships/hyperlink" Target="https://doi.org/10.3847/1538-4357/ac4d29" TargetMode="External"/><Relationship Id="rId186" Type="http://schemas.openxmlformats.org/officeDocument/2006/relationships/hyperlink" Target="https://doi.org/10.3847/1538-4357/ad2a48" TargetMode="External"/><Relationship Id="rId165" Type="http://schemas.openxmlformats.org/officeDocument/2006/relationships/hyperlink" Target="https://doi.org/10.3847/2041-8205/826/1/L13" TargetMode="External"/><Relationship Id="rId153" Type="http://schemas.openxmlformats.org/officeDocument/2006/relationships/hyperlink" Target="https://doi.org/10.3847/2041-8213/aa8f41" TargetMode="External"/><Relationship Id="rId143" Type="http://schemas.openxmlformats.org/officeDocument/2006/relationships/hyperlink" Target="https://doi.org/10.3847/2041-8213/aa91c9" TargetMode="External"/><Relationship Id="rId207" Type="http://schemas.openxmlformats.org/officeDocument/2006/relationships/hyperlink" Target="https://doi.org/10.3847/2041-8213/aadd90" TargetMode="External"/><Relationship Id="rId147" Type="http://schemas.openxmlformats.org/officeDocument/2006/relationships/hyperlink" Target="https://doi.org/10.3847/2041-8213/ab4ad8" TargetMode="External"/><Relationship Id="rId168" Type="http://schemas.openxmlformats.org/officeDocument/2006/relationships/hyperlink" Target="https://doi.org/10.3847/2041-8213/acbcd1" TargetMode="External"/><Relationship Id="rId196" Type="http://schemas.openxmlformats.org/officeDocument/2006/relationships/hyperlink" Target="https://doi.org/10.3847/2041-8213/acc4c5" TargetMode="External"/><Relationship Id="rId204" Type="http://schemas.openxmlformats.org/officeDocument/2006/relationships/hyperlink" Target="https://doi.org/10.3847/2041-8213/acf0a1" TargetMode="External"/><Relationship Id="rId221" Type="http://schemas.openxmlformats.org/officeDocument/2006/relationships/hyperlink" Target="https://doi.org/10.64861/FLPY4016" TargetMode="External"/><Relationship Id="rId226" Type="http://schemas.openxmlformats.org/officeDocument/2006/relationships/hyperlink" Target="https://doi.org/10.64861/JLQE7584" TargetMode="External"/><Relationship Id="rId219" Type="http://schemas.openxmlformats.org/officeDocument/2006/relationships/hyperlink" Target="https://doi.org/10.64861/NUFH1261" TargetMode="External"/><Relationship Id="rId139" Type="http://schemas.openxmlformats.org/officeDocument/2006/relationships/hyperlink" Target="https://doi.org/10.64861/PEUU1014" TargetMode="External"/><Relationship Id="rId217" Type="http://schemas.openxmlformats.org/officeDocument/2006/relationships/hyperlink" Target="https://doi.org/10.64861/TUTU2866" TargetMode="External"/><Relationship Id="rId141" Type="http://schemas.openxmlformats.org/officeDocument/2006/relationships/hyperlink" Target="https://doi.org/10.64861/UELE55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Value of Information in Time-Domain Astrophysics Scheduling: A Decision-Analytic Framework</dc:title>
  <dc:creator>Yara Novak (1B-AST-111)</dc:creator>
  <cp:keywords/>
  <dcterms:created xsi:type="dcterms:W3CDTF">2026-07-04T11:39:12Z</dcterms:created>
  <dcterms:modified xsi:type="dcterms:W3CDTF">2026-07-04T11:39:12Z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