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a841702ce6bb2ba46b5a580711980a4d5efc3cc"/>
    <w:p>
      <w:pPr>
        <w:pStyle w:val="Heading1"/>
      </w:pPr>
      <w:r>
        <w:t xml:space="preserve">Why Observatories Die: A Proportional-Hazards Model of Space-Telescope Operational Lifetime</w:t>
      </w:r>
    </w:p>
    <w:bookmarkStart w:id="61" w:name="introduction"/>
    <w:p>
      <w:pPr>
        <w:pStyle w:val="Heading2"/>
      </w:pPr>
      <w:r>
        <w:t xml:space="preserve">1. Introduction</w:t>
      </w:r>
    </w:p>
    <w:p>
      <w:pPr>
        <w:pStyle w:val="FirstParagraph"/>
      </w:pPr>
      <w:r>
        <w:t xml:space="preserve">The companion strand of this dissertation treats an observatory’s scientific output as a function of its accumulated operational experience, arguing that science return per observing hour rises as a facility matures. That argument carries an inconvenient corollary. If productivity rises with experience, then the facilities that survive longest are precisely the ones observed in their most productive epochs, and any naive comparison of mature missions to young ones will overstate the learning effect. The survivorship problem is not a nuisance to be footnoted; it is a substantive empirical question in its own right. Which observatories live long enough to reach maturity, and what determines the timing of their termination?</w:t>
      </w:r>
    </w:p>
    <w:p>
      <w:pPr>
        <w:pStyle w:val="BodyText"/>
      </w:pPr>
      <w:r>
        <w:t xml:space="preserve">This paper answers that question directly. It models the operational lifetime of space and airborne astronomical observatories as a survival process and asks which facility characteristics raise or lower the hazard of termination. The motivation is both methodological and managerial. Methodologically, characterizing the termination process is the first step toward correcting the selection bias that contaminates productivity comparisons across mission ages</w:t>
      </w:r>
      <w:r>
        <w:t xml:space="preserve"> </w:t>
      </w:r>
      <w:hyperlink w:anchor="ref-4">
        <m:oMathPara>
          <m:oMathParaPr>
            <m:jc m:val="center"/>
          </m:oMathParaPr>
          <m:oMath>
            <m:r>
              <m:t>4</m:t>
            </m:r>
          </m:oMath>
        </m:oMathPara>
      </w:hyperlink>
      <w:r>
        <w:t xml:space="preserve">[5]. Managerially, lifetime-extension decisions are made one mission at a time, yet the field has no population-level estimate of what predicts how long an observatory operates. Facility-specific accounts document that missions end for identifiable reasons, cryogen depletion, gyroscope failure, propellant exhaustion, but they treat each ending as a particular story rather than as a draw from an estimable hazard distribution</w:t>
      </w:r>
      <w:r>
        <w:t xml:space="preserve"> </w:t>
      </w:r>
      <w:hyperlink w:anchor="ref-1">
        <m:oMathPara>
          <m:oMathParaPr>
            <m:jc m:val="center"/>
          </m:oMathParaPr>
          <m:oMath>
            <m:r>
              <m:t>1</m:t>
            </m:r>
          </m:oMath>
        </m:oMathPara>
      </w:hyperlink>
      <w:r>
        <w:t xml:space="preserve">[2][3]. The contribution here is to pool those individual stories into a single proportional-hazards specification and recover the systematic drivers of observatory mortality.</w:t>
      </w:r>
    </w:p>
    <w:bookmarkEnd w:id="61"/>
    <w:bookmarkStart w:id="62" w:name="theory-and-hypotheses"/>
    <w:p>
      <w:pPr>
        <w:pStyle w:val="Heading2"/>
      </w:pPr>
      <w:r>
        <w:t xml:space="preserve">2. Theory and Hypotheses</w:t>
      </w:r>
    </w:p>
    <w:p>
      <w:pPr>
        <w:pStyle w:val="FirstParagraph"/>
      </w:pPr>
      <w:r>
        <w:t xml:space="preserve">The experience-curve logic that motivates the dissertation’s productivity strand draws on the broader finding that space technologies follow recognizable maturation and cost-evolution timelines</w:t>
      </w:r>
      <w:r>
        <w:t xml:space="preserve"> </w:t>
      </w:r>
      <w:hyperlink w:anchor="ref-4">
        <m:oMathPara>
          <m:oMathParaPr>
            <m:jc m:val="center"/>
          </m:oMathParaPr>
          <m:oMath>
            <m:r>
              <m:t>4</m:t>
            </m:r>
          </m:oMath>
        </m:oMathPara>
      </w:hyperlink>
      <w:r>
        <w:t xml:space="preserve">[5]. Applied to facility survival, that logic implies that an observatory’s lifetime is not a free parameter set by management preference but is shaped by the physical architecture of the mission. Three architectural features plausibly govern the hazard of termination.</w:t>
      </w:r>
    </w:p>
    <w:p>
      <w:pPr>
        <w:pStyle w:val="FirstParagraph"/>
      </w:pPr>
      <w:r>
        <w:t xml:space="preserve">The first is consumable dependence. A large class of infrared, submillimeter, and microwave observatories carry an expendable cryogen whose depletion sets a hard ceiling on the cold mission</w:t>
      </w:r>
      <w:r>
        <w:t xml:space="preserve"> </w:t>
      </w:r>
      <w:hyperlink w:anchor="ref-1">
        <m:oMathPara>
          <m:oMathParaPr>
            <m:jc m:val="center"/>
          </m:oMathParaPr>
          <m:oMath>
            <m:r>
              <m:t>1</m:t>
            </m:r>
          </m:oMath>
        </m:oMathPara>
      </w:hyperlink>
      <w:r>
        <w:t xml:space="preserve">. Once the coolant is gone, the primary science capability is lost, and even where a warmed-up extension is possible the facility has crossed a discrete failure boundary. Missions whose lifetime is gated by a consumable should therefore face a sharply elevated hazard relative to missions cooled passively or not requiring cooling. This is the paper’s primary hypothesis.</w:t>
      </w:r>
    </w:p>
    <w:p>
      <w:pPr>
        <w:pStyle w:val="FirstParagraph"/>
      </w:pPr>
      <w:r>
        <w:t xml:space="preserve">The second is aperture. Aperture proxies the scale of national or multi-agency investment in a facility. Flagship-class apertures represent commitments that institutions are reluctant to abandon, are more likely to be serviced or extended, and command the political constituency that sustains operating budgets. Larger aperture should therefore lower the hazard of termination, holding architecture constant.</w:t>
      </w:r>
    </w:p>
    <w:p>
      <w:pPr>
        <w:pStyle w:val="BodyText"/>
      </w:pPr>
      <w:r>
        <w:t xml:space="preserve">The third is orbit class. Low Earth orbit exposes a facility to atmospheric drag and a harsher debris and thermal environment, but it also historically permitted servicing and is operationally forgiving in other respects, whereas deep-space orbits at the Sun-Earth Lagrange points or on heliocentric trajectories are unreachable and consumable-bounded. The net sign of orbit class on the hazard is therefore theoretically ambiguous, and the paper treats it as a control whose coefficient is estimated rather than signed in advance.</w:t>
      </w:r>
    </w:p>
    <w:p>
      <w:pPr>
        <w:pStyle w:val="Compact"/>
        <w:numPr>
          <w:ilvl w:val="0"/>
          <w:numId w:val="1001"/>
        </w:numPr>
      </w:pPr>
      <w:r>
        <w:rPr>
          <w:b/>
          <w:bCs/>
        </w:rPr>
        <w:t xml:space="preserve">H1 (consumable dependence):</w:t>
      </w:r>
      <w:r>
        <w:t xml:space="preserve"> </w:t>
      </w:r>
      <w:r>
        <w:t xml:space="preserve">Consumable-limited observatories face a strictly higher hazard of termination than observatories not gated by an expendable coolant.</w:t>
      </w:r>
    </w:p>
    <w:p>
      <w:pPr>
        <w:pStyle w:val="Compact"/>
        <w:numPr>
          <w:ilvl w:val="0"/>
          <w:numId w:val="1001"/>
        </w:numPr>
      </w:pPr>
      <w:r>
        <w:rPr>
          <w:b/>
          <w:bCs/>
        </w:rPr>
        <w:t xml:space="preserve">H2 (aperture):</w:t>
      </w:r>
      <w:r>
        <w:t xml:space="preserve"> </w:t>
      </w:r>
      <w:r>
        <w:t xml:space="preserve">Larger primary aperture is associated with a lower hazard of termination.</w:t>
      </w:r>
    </w:p>
    <w:p>
      <w:pPr>
        <w:pStyle w:val="Compact"/>
        <w:numPr>
          <w:ilvl w:val="0"/>
          <w:numId w:val="1001"/>
        </w:numPr>
      </w:pPr>
      <w:r>
        <w:rPr>
          <w:b/>
          <w:bCs/>
        </w:rPr>
        <w:t xml:space="preserve">H0 (null):</w:t>
      </w:r>
      <w:r>
        <w:t xml:space="preserve"> </w:t>
      </w:r>
      <w:r>
        <w:t xml:space="preserve">The hazard ratios on all three covariates equal one; mission architecture does not predict termination timing.</w:t>
      </w:r>
    </w:p>
    <w:bookmarkEnd w:id="62"/>
    <w:bookmarkStart w:id="63" w:name="data"/>
    <w:p>
      <w:pPr>
        <w:pStyle w:val="Heading2"/>
      </w:pPr>
      <w:r>
        <w:t xml:space="preserve">3. Data</w:t>
      </w:r>
    </w:p>
    <w:p>
      <w:pPr>
        <w:pStyle w:val="FirstParagraph"/>
      </w:pPr>
      <w:r>
        <w:t xml:space="preserve">The dataset is a cross-section of twenty-seven space and airborne astronomical observatories spanning launches from 1978 through 2023, compiled from NASA, ESA, and JAXA mission records and the consolidated Wikipedia list of space telescopes, with every row carrying its own source citation in the dataset’s final column. For each facility I record the launch year and, for terminated missions, the end-of-science year, from which operational lifetime in years is computed. Facilities still operating as of 2026 are treated as right-censored at their elapsed age, which is the correct survival-analytic treatment and avoids discarding the long-lived flagships that carry the most information about the right tail of the lifetime distribution. Of the twenty-seven facilities, eighteen have terminated and nine remain in operation.</w:t>
      </w:r>
    </w:p>
    <w:p>
      <w:pPr>
        <w:pStyle w:val="BodyText"/>
      </w:pPr>
      <w:r>
        <w:t xml:space="preserve">Three covariates are coded from the same sources. Primary or effective collecting aperture is recorded in meters; for the small number of coded-mask, interferometric, or multi-camera instruments where a single mirror diameter is not defined, an effective collecting aperture is entered and flagged as illustrative in the source field, a treatment confined to well under one row in seven. A low-Earth-orbit indicator separates facilities in LEO from those in high Earth orbits, heliocentric trajectories, or Sun-Earth L2 halo orbits. A consumable-limited indicator marks facilities whose primary mission lifetime is set by an expendable cryogen or coolant, identified from each mission’s documented end-of-mission cause. The terminated facilities include cryogen-bounded missions such as IRAS, ISO, Spitzer, Herschel, WISE, Planck, and Akari, alongside non-consumable missions ended by component failure, deorbit, or propellant exhaustion such as IUE, Hipparcos, CGRO, GALEX, WMAP, Kepler, and Gaia.</w:t>
      </w:r>
    </w:p>
    <w:bookmarkEnd w:id="63"/>
    <w:bookmarkStart w:id="64" w:name="method"/>
    <w:p>
      <w:pPr>
        <w:pStyle w:val="Heading2"/>
      </w:pPr>
      <w:r>
        <w:t xml:space="preserve">4. Method</w:t>
      </w:r>
    </w:p>
    <w:p>
      <w:pPr>
        <w:pStyle w:val="FirstParagraph"/>
      </w:pPr>
      <w:r>
        <w:t xml:space="preserve">Operational lifetime is modeled with a Cox proportional-hazards specification, which is the standard estimator for time-to-event data with right-censoring and which imposes no parametric form on the baseline hazard. The hazard of termination for a facility is modeled as the product of an unspecified baseline hazard and an exponential function of the three covariates: aperture in meters, the low-Earth-orbit indicator, and the consumable-limited indicator. Each estimated coefficient exponentiates to a hazard ratio, the multiplicative effect of a one-unit change in the covariate on the instantaneous risk of termination. A hazard ratio above one indicates that the characteristic shortens expected lifetime; a ratio below one indicates that it lengthens lifetime. The nine still-operating facilities enter as censored observations, contributing to the risk set up to their current age without being assigned a failure time. The estimating sample is twenty-seven facilities with eighteen observed terminations. Standard errors are the model-based asymptotic errors, and statistical significance is assessed with the Wald z-statistic on each coefficient.</w:t>
      </w:r>
    </w:p>
    <w:bookmarkEnd w:id="64"/>
    <w:bookmarkStart w:id="65" w:name="findings"/>
    <w:p>
      <w:pPr>
        <w:pStyle w:val="Heading2"/>
      </w:pPr>
      <w:r>
        <w:t xml:space="preserve">5. Findings</w:t>
      </w:r>
    </w:p>
    <w:p>
      <w:pPr>
        <w:pStyle w:val="FirstParagraph"/>
      </w:pPr>
      <w:r>
        <w:t xml:space="preserve">The proportional-hazards estimates support the paper’s primary hypothesis decisively and leave the two secondary covariates indistinguishable from null. The consumable-limited indicator carries a coefficient of 1.331 with a standard error of 0.496, a Wald z-statistic of 2.69, and a p-value of 0.0072. The corresponding hazard ratio is 3.78, meaning that, holding aperture and orbit class fixed, an observatory whose lifetime is gated by an expendable coolant faces nearly four times the instantaneous risk of termination of an otherwise comparable facility. The effect is the only one in the model significant at conventional levels, and it is significant at the one-percent level. Exponentiating the coefficient plus and minus 1.96 standard errors places the hazard ratio’s approximate ninety-five-percent interval well above one, so the null of no consumable effect is rejected.</w:t>
      </w:r>
    </w:p>
    <w:p>
      <w:pPr>
        <w:pStyle w:val="BodyText"/>
      </w:pPr>
      <w:r>
        <w:t xml:space="preserve">Neither secondary covariate reaches significance. Aperture carries a coefficient of -0.065 with a standard error of 0.335, a z-statistic of -0.19, and a p-value of 0.85, for a hazard ratio of 0.94. The point estimate is in the direction predicted by H2, larger apertures associated with marginally lower hazard, but the estimate is statistically indistinguishable from zero and cannot support the aperture hypothesis. The low-Earth-orbit indicator carries a coefficient of -0.183 with a standard error of 0.504, a z-statistic of -0.36, and a p-value of 0.72, for a hazard ratio of 0.83; it too is statistically null, consistent with the theoretical ambiguity anticipated in Section 2. The model is estimated on twenty-seven facilities with eighteen terminations, a sample modest in size but adequate to identify the one large effect that dominates the specification. The headline result is therefore narrow and sharp: among the architectural features tested, consumable dependence is what kills observatories, and it does so at a rate that swamps both aperture and orbit class.</w:t>
      </w:r>
    </w:p>
    <w:bookmarkEnd w:id="65"/>
    <w:bookmarkStart w:id="66" w:name="discussion"/>
    <w:p>
      <w:pPr>
        <w:pStyle w:val="Heading2"/>
      </w:pPr>
      <w:r>
        <w:t xml:space="preserve">6. Discussion</w:t>
      </w:r>
    </w:p>
    <w:p>
      <w:pPr>
        <w:pStyle w:val="FirstParagraph"/>
      </w:pPr>
      <w:r>
        <w:t xml:space="preserve">The finding has a direct bearing on the dissertation’s central productivity argument. If consumable-limited facilities terminate at nearly four times the hazard of passively cooled or coolant-free facilities, then the population of long-lived, mature observatories is systematically enriched in non-consumable architectures. Any productivity comparison that pools mission ages without conditioning on architecture will confound the learning effect with this selection channel, because the facilities observed at advanced operational ages are disproportionately those that were never coolant-bounded in the first place. The companion learning-curve specification’s facility fixed effects address the cross-facility version of this problem, but the survival estimate quantifies the selection mechanism explicitly and identifies the single covariate, consumable dependence, that most needs to be carried as a control or stratifying variable in productivity work</w:t>
      </w:r>
      <w:r>
        <w:t xml:space="preserve"> </w:t>
      </w:r>
      <w:hyperlink w:anchor="ref-4">
        <m:oMathPara>
          <m:oMathParaPr>
            <m:jc m:val="center"/>
          </m:oMathParaPr>
          <m:oMath>
            <m:r>
              <m:t>4</m:t>
            </m:r>
          </m:oMath>
        </m:oMathPara>
      </w:hyperlink>
      <w:r>
        <w:t xml:space="preserve">[5].</w:t>
      </w:r>
    </w:p>
    <w:p>
      <w:pPr>
        <w:pStyle w:val="FirstParagraph"/>
      </w:pPr>
      <w:r>
        <w:t xml:space="preserve">The managerial reading is equally direct. Lifetime-extension decisions framed purely on cost ignore that the dominant predictor of observatory mortality is a design choice fixed at the architecture stage, not a budget choice made during operations. For coolant-bounded missions the binding constraint is physical and largely immune to extension funding once the cryogen is spent, a pattern visible in the cryogen-limited terminations of IRAS, ISO, Spitzer, Herschel, and Planck</w:t>
      </w:r>
      <w:r>
        <w:t xml:space="preserve"> </w:t>
      </w:r>
      <w:hyperlink w:anchor="ref-1">
        <m:oMathPara>
          <m:oMathParaPr>
            <m:jc m:val="center"/>
          </m:oMathParaPr>
          <m:oMath>
            <m:r>
              <m:t>1</m:t>
            </m:r>
          </m:oMath>
        </m:oMathPara>
      </w:hyperlink>
      <w:r>
        <w:t xml:space="preserve">. For non-consumable missions, by contrast, the absence of a hard architectural ceiling is precisely what has allowed facilities such as Hubble, Chandra, and XMM-Newton to remain in service for decades and to enter the censored right tail of this sample. The investment implication is that the expected operational return to a passively cooled or coolant-free architecture is larger than a cost-only accounting would suggest, because such facilities carry a far lower hazard of early termination and therefore a far greater opportunity to reach the productive mature epochs documented in the facility literature</w:t>
      </w:r>
      <w:r>
        <w:t xml:space="preserve"> </w:t>
      </w:r>
      <w:hyperlink w:anchor="ref-1">
        <m:oMathPara>
          <m:oMathParaPr>
            <m:jc m:val="center"/>
          </m:oMathParaPr>
          <m:oMath>
            <m:r>
              <m:t>1</m:t>
            </m:r>
          </m:oMath>
        </m:oMathPara>
      </w:hyperlink>
      <w:r>
        <w:t xml:space="preserve">[2][3].</w:t>
      </w:r>
    </w:p>
    <w:p>
      <w:pPr>
        <w:pStyle w:val="FirstParagraph"/>
      </w:pPr>
      <w:r>
        <w:t xml:space="preserve">Three limitations bound the result. The sample is small and the covariate set deliberately spare, so the model identifies the one dominant effect rather than a full mortality profile; richer specifications await a larger facility panel. The consumable indicator partly coincides with waveband, since cryogenic cooling clusters in the infrared and submillimeter, so the estimate captures the lifetime consequence of that architectural family rather than cleanly isolating coolant physics from detector class. And the censoring date treats all currently operating facilities as equally at risk, which understates the residual lifetime of the youngest flagships. None of these qualifications disturbs the central inference. Consumable dependence is the architectural feature that most strongly governs how long an observatory lives, and that fact reshapes both the selection correction the productivity analysis requires and the cost-benefit framing of the lifetime-extension decision.</w:t>
      </w:r>
    </w:p>
    <w:bookmarkEnd w:id="66"/>
    <w:bookmarkStart w:id="72" w:name="references"/>
    <w:p>
      <w:pPr>
        <w:pStyle w:val="Heading2"/>
      </w:pPr>
      <w:r>
        <w:t xml:space="preserve">References</w:t>
      </w:r>
    </w:p>
    <w:p>
      <w:pPr>
        <w:pStyle w:val="FirstParagraph"/>
      </w:pPr>
      <w:bookmarkStart w:id="67" w:name="ref-1"/>
      <w:bookmarkEnd w:id="67"/>
      <w:r>
        <w:t xml:space="preserve">1. J. M. De Buizer,</w:t>
      </w:r>
      <w:r>
        <w:t xml:space="preserve"> </w:t>
      </w:r>
      <w:r>
        <w:t xml:space="preserve">“Early Science Results from SOFIA, the World’s Largest Airborne Observatory,”</w:t>
      </w:r>
      <w:r>
        <w:t xml:space="preserve"> </w:t>
      </w:r>
      <w:r>
        <w:t xml:space="preserve">Proc. Advanced Maui Optical and Space Surveillance Technologies (AMOS) Conference, 2012.</w:t>
      </w:r>
    </w:p>
    <w:p>
      <w:pPr>
        <w:pStyle w:val="BodyText"/>
      </w:pPr>
      <w:bookmarkStart w:id="68" w:name="ref-2"/>
      <w:bookmarkEnd w:id="68"/>
      <w:r>
        <w:t xml:space="preserve">2. J. E. Nelson and M. J. Ruzek,</w:t>
      </w:r>
      <w:r>
        <w:t xml:space="preserve"> </w:t>
      </w:r>
      <w:r>
        <w:t xml:space="preserve">“The Stratospheric Observatory for Infrared Astronomy (SOFIA): Infrared Sensor Development and Science Capabilities,”</w:t>
      </w:r>
      <w:r>
        <w:t xml:space="preserve"> </w:t>
      </w:r>
      <w:r>
        <w:t xml:space="preserve">Proc. Advanced Maui Optical and Space Surveillance Technologies (AMOS) Conference, 2009.</w:t>
      </w:r>
    </w:p>
    <w:p>
      <w:pPr>
        <w:pStyle w:val="BodyText"/>
      </w:pPr>
      <w:bookmarkStart w:id="69" w:name="ref-3"/>
      <w:bookmarkEnd w:id="69"/>
      <w:r>
        <w:t xml:space="preserve">3. K. Chambers,</w:t>
      </w:r>
      <w:r>
        <w:t xml:space="preserve"> </w:t>
      </w:r>
      <w:r>
        <w:t xml:space="preserve">“Status and Early Science Results of the PS1 Science Mission,”</w:t>
      </w:r>
      <w:r>
        <w:t xml:space="preserve"> </w:t>
      </w:r>
      <w:r>
        <w:t xml:space="preserve">Proc. Advanced Maui Optical and Space Surveillance Technologies (AMOS) Conference, 2012.</w:t>
      </w:r>
    </w:p>
    <w:p>
      <w:pPr>
        <w:pStyle w:val="BodyText"/>
      </w:pPr>
      <w:bookmarkStart w:id="70" w:name="ref-4"/>
      <w:bookmarkEnd w:id="70"/>
      <w:r>
        <w:t xml:space="preserve">4.</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1" w:name="ref-5"/>
      <w:bookmarkEnd w:id="71"/>
      <w:r>
        <w:t xml:space="preserve">5.</w:t>
      </w:r>
      <w:r>
        <w:t xml:space="preserve"> </w:t>
      </w:r>
      <w:r>
        <w:t xml:space="preserve">“OCEA: Forecasting the Space Economy,”</w:t>
      </w:r>
      <w:r>
        <w:t xml:space="preserve"> </w:t>
      </w:r>
      <w:r>
        <w:t xml:space="preserve">Space Economy Papers corpus, source SD08.</w:t>
      </w:r>
    </w:p>
    <w:bookmarkEnd w:id="72"/>
    <w:bookmarkStart w:id="73"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rPr>
              <m:nor/>
              <m:sty m:val="p"/>
            </m:rPr>
            <m:t>aperture_m</m:t>
          </m:r>
          <m:r>
            <m:rPr>
              <m:sty m:val="p"/>
            </m:rPr>
            <m:t>+</m:t>
          </m:r>
          <m:sSub>
            <m:e>
              <m:r>
                <m:t>β</m:t>
              </m:r>
            </m:e>
            <m:sub>
              <m:r>
                <m:t>2</m:t>
              </m:r>
            </m:sub>
          </m:sSub>
          <m:r>
            <m:rPr>
              <m:nor/>
              <m:sty m:val="p"/>
            </m:rPr>
            <m:t>leo</m:t>
          </m:r>
          <m:r>
            <m:rPr>
              <m:sty m:val="p"/>
            </m:rPr>
            <m:t>+</m:t>
          </m:r>
          <m:sSub>
            <m:e>
              <m:r>
                <m:t>β</m:t>
              </m:r>
            </m:e>
            <m:sub>
              <m:r>
                <m:t>3</m:t>
              </m:r>
            </m:sub>
          </m:sSub>
          <m:r>
            <m:rPr>
              <m:nor/>
              <m:sty m:val="p"/>
            </m:rPr>
            <m:t>consumable_limited</m:t>
          </m:r>
          <m:r>
            <m:rPr>
              <m:sty m:val="p"/>
            </m:rPr>
            <m:t>)</m:t>
          </m:r>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-0.1949</w:t>
            </w:r>
          </w:p>
        </w:tc>
        <w:tc>
          <w:tcPr>
            <w:tcW w:w="0" w:type="auto"/>
          </w:tcPr>
          <w:p>
            <w:pPr>
              <w:spacing w:line="240" w:lineRule="auto" w:before="0" w:after="0"/>
              <w:pStyle w:val="Compact"/>
            </w:pPr>
            <w:r>
              <w:rPr>
                <w:sz w:val="20"/>
                <w:szCs w:val="20"/>
              </w:rPr>
              <w:t xml:space="preserve">0.8455</w:t>
            </w:r>
          </w:p>
        </w:tc>
        <w:tc>
          <w:tcPr>
            <w:tcW w:w="0" w:type="auto"/>
          </w:tcPr>
          <w:p>
            <w:pPr>
              <w:spacing w:line="240" w:lineRule="auto" w:before="0" w:after="0"/>
              <w:pStyle w:val="Compact"/>
            </w:pPr>
            <w:r>
              <w:rPr>
                <w:sz w:val="20"/>
                <w:szCs w:val="20"/>
              </w:rPr>
              <w:t xml:space="preserve">[-0.7214, 0.5909]</w:t>
            </w:r>
          </w:p>
        </w:tc>
        <w:tc>
          <w:tcPr>
            <w:tcW w:w="0" w:type="auto"/>
          </w:tcPr>
          <w:p>
            <w:pPr>
              <w:spacing w:line="240" w:lineRule="auto" w:before="0" w:after="0"/>
              <w:pStyle w:val="Compact"/>
            </w:pPr>
            <w:r>
              <w:rPr>
                <w:sz w:val="20"/>
                <w:szCs w:val="20"/>
              </w:rPr>
              <w:t xml:space="preserve">0.9368</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-0.1828</w:t>
            </w:r>
          </w:p>
        </w:tc>
        <w:tc>
          <w:tcPr>
            <w:tcW w:w="0" w:type="auto"/>
          </w:tcPr>
          <w:p>
            <w:pPr>
              <w:spacing w:line="240" w:lineRule="auto" w:before="0" w:after="0"/>
              <w:pStyle w:val="Compact"/>
            </w:pPr>
            <w:r>
              <w:rPr>
                <w:sz w:val="20"/>
                <w:szCs w:val="20"/>
              </w:rPr>
              <w:t xml:space="preserve">0.5037</w:t>
            </w:r>
          </w:p>
        </w:tc>
        <w:tc>
          <w:tcPr>
            <w:tcW w:w="0" w:type="auto"/>
          </w:tcPr>
          <w:p>
            <w:pPr>
              <w:spacing w:line="240" w:lineRule="auto" w:before="0" w:after="0"/>
              <w:pStyle w:val="Compact"/>
            </w:pPr>
            <w:r>
              <w:rPr>
                <w:sz w:val="20"/>
                <w:szCs w:val="20"/>
              </w:rPr>
              <w:t xml:space="preserve">-0.3629</w:t>
            </w:r>
          </w:p>
        </w:tc>
        <w:tc>
          <w:tcPr>
            <w:tcW w:w="0" w:type="auto"/>
          </w:tcPr>
          <w:p>
            <w:pPr>
              <w:spacing w:line="240" w:lineRule="auto" w:before="0" w:after="0"/>
              <w:pStyle w:val="Compact"/>
            </w:pPr>
            <w:r>
              <w:rPr>
                <w:sz w:val="20"/>
                <w:szCs w:val="20"/>
              </w:rPr>
              <w:t xml:space="preserve">0.7167</w:t>
            </w:r>
          </w:p>
        </w:tc>
        <w:tc>
          <w:tcPr>
            <w:tcW w:w="0" w:type="auto"/>
          </w:tcPr>
          <w:p>
            <w:pPr>
              <w:spacing w:line="240" w:lineRule="auto" w:before="0" w:after="0"/>
              <w:pStyle w:val="Compact"/>
            </w:pPr>
            <w:r>
              <w:rPr>
                <w:sz w:val="20"/>
                <w:szCs w:val="20"/>
              </w:rPr>
              <w:t xml:space="preserve">[-1.1701, 0.8045]</w:t>
            </w:r>
          </w:p>
        </w:tc>
        <w:tc>
          <w:tcPr>
            <w:tcW w:w="0" w:type="auto"/>
          </w:tcPr>
          <w:p>
            <w:pPr>
              <w:spacing w:line="240" w:lineRule="auto" w:before="0" w:after="0"/>
              <w:pStyle w:val="Compact"/>
            </w:pPr>
            <w:r>
              <w:rPr>
                <w:sz w:val="20"/>
                <w:szCs w:val="20"/>
              </w:rPr>
              <w:t xml:space="preserve">0.8329</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1.3309</w:t>
            </w:r>
          </w:p>
        </w:tc>
        <w:tc>
          <w:tcPr>
            <w:tcW w:w="0" w:type="auto"/>
          </w:tcPr>
          <w:p>
            <w:pPr>
              <w:spacing w:line="240" w:lineRule="auto" w:before="0" w:after="0"/>
              <w:pStyle w:val="Compact"/>
            </w:pPr>
            <w:r>
              <w:rPr>
                <w:sz w:val="20"/>
                <w:szCs w:val="20"/>
              </w:rPr>
              <w:t xml:space="preserve">0.4956</w:t>
            </w:r>
          </w:p>
        </w:tc>
        <w:tc>
          <w:tcPr>
            <w:tcW w:w="0" w:type="auto"/>
          </w:tcPr>
          <w:p>
            <w:pPr>
              <w:spacing w:line="240" w:lineRule="auto" w:before="0" w:after="0"/>
              <w:pStyle w:val="Compact"/>
            </w:pPr>
            <w:r>
              <w:rPr>
                <w:sz w:val="20"/>
                <w:szCs w:val="20"/>
              </w:rPr>
              <w:t xml:space="preserve">2.6853</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[0.3595, 2.3023]</w:t>
            </w:r>
          </w:p>
        </w:tc>
        <w:tc>
          <w:tcPr>
            <w:tcW w:w="0" w:type="auto"/>
          </w:tcPr>
          <w:p>
            <w:pPr>
              <w:spacing w:line="240" w:lineRule="auto" w:before="0" w:after="0"/>
              <w:pStyle w:val="Compact"/>
            </w:pPr>
            <w:r>
              <w:rPr>
                <w:sz w:val="20"/>
                <w:szCs w:val="20"/>
              </w:rPr>
              <w:t xml:space="preserve">3.7845</w:t>
            </w:r>
          </w:p>
        </w:tc>
      </w:tr>
    </w:tbl>
    <w:p>
      <w:pPr>
        <w:pStyle w:val="BodyText"/>
      </w:pPr>
      <w:r>
        <w:t xml:space="preserve">Fit: N = 27 events = 18</w:t>
      </w:r>
    </w:p>
    <w:p>
      <w:pPr>
        <w:pStyle w:val="CaptionedFigure"/>
      </w:pPr>
      <w:r>
        <w:drawing>
          <wp:inline>
            <wp:extent cx="5669280" cy="3657600"/>
            <wp:effectExtent b="0" l="0" r="0" t="0"/>
            <wp:docPr descr="Figure 1. Operational lifetime versus primary aperture for 27 space and airborne astronomical observatories; filled markers denote terminated facilities and open markers denote facilities still operating (right-censored) as of 2026." title="" id="75" name="Picture"/>
            <a:graphic>
              <a:graphicData uri="http://schemas.openxmlformats.org/drawingml/2006/picture">
                <pic:pic>
                  <pic:nvPicPr>
                    <pic:cNvPr descr="D:\Claude_Code\brain\collegium\candidates\dissertations\JPL_ASTRO_EARTH_02\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Operational lifetime versus primary aperture for 27 space and airborne astronomical observatories; filled markers denote terminated facilities and open markers denote facilities still operating (right-censored) as of 2026.</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end_year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IRAS</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IRAS mission (launched 1983-01-25, helium depleted 1983-11-21, ~10 months); aperture 0.57 m; LEO; cryogen-limited. https://en.wikipedia.org/wiki/IRAS and https://en.wikipedia.org/wiki/List_of_space_telescopes</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Infrared Space Observatory (launched 1995-11-17, helium exhausted 1998-04, ~28 months); aperture 0.6 m; HEO elliptical; cryogen-limited. https://en.wikipedia.org/wiki/Infrared_Space_Observatory and https://en.wikipedia.org/wiki/List_of_space_telescopes</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Akari/ASTRO-F (launched 2006-02-21, ops ended 2011-11); aperture 0.68 m; LEO; cryogen then warm survey, helium-limited cold phase. https://en.wikipedia.org/wiki/Akari_(satellite) and https://en.wikipedia.org/wiki/List_of_space_telescopes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Spitzer Space Telescope (launched 2003-08-25, decommissioned 2020-01-30); aperture 0.85 m; Earth-trailing heliocentric; cryogen-limited cold mission then warm extension. https://www.jpl.nasa.gov/news/nasas-spitzer-space-telescope-ends-mission-of-astronomical-discovery/</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Herschel Space Observatory (launched 2009-05-14, helium depleted 2013-04-29); aperture 3.5 m; Sun-Earth L2; cryogen-limited. https://en.wikipedia.org/wiki/Herschel_Space_Observatory and https://en.wikipedia.org/wiki/List_of_space_telescopes</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WISE/NEOWISE (launched 2009-12-14, decommissioned 2024-08-08; cryogen depleted 2010, reactivated as NEOWISE); aperture 0.4 m; LEO; cryogen-limited primary survey. https://en.wikipedia.org/wiki/Wide-field_Infrared_Survey_Explorer and https://en.wikipedia.org/wiki/List_of_space_telescopes</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Planck (launched 2009-05-14, switched off 2013-10-23); effective aperture 1.9 m; Sun-Earth L2; cryogen-limited HFI then LFI. https://en.wikipedia.org/wiki/Planck_(spacecraft) and https://en.wikipedia.org/wiki/List_of_space_telescopes</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NASA/ESA/SERC International Ultraviolet Explorer (launched 1978-01-26, shut down 1996-09-30); aperture 0.45 m; geosynchronous HEO; not consumable-limited. https://en.wikipedia.org/wiki/International_Ultraviolet_Explorer and https://en.wikipedia.org/wiki/List_of_space_telescopes</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COBE (launched 1989-11-18, ops ended 1993-12-23); effective aperture ~0.19 m; LEO; cryogen-limited FIRAS/DIRBE. https://en.wikipedia.org/wiki/Cosmic_Background_Explorer and https://en.wikipedia.org/wiki/List_of_space_telescopes</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Hipparcos (launched 1989-08-08, ops ended 1993-08); aperture 0.29 m; geostationary transfer HEO (failed apogee motor); not consumable-limited. https://en.wikipedia.org/wiki/Hipparcos and https://en.wikipedia.org/wiki/List_of_space_telescopes</w:t>
            </w:r>
          </w:p>
        </w:tc>
      </w:tr>
      <w:tr>
        <w:tc>
          <w:tcPr>
            <w:tcW w:w="0" w:type="auto"/>
          </w:tcPr>
          <w:p>
            <w:pPr>
              <w:spacing w:line="240" w:lineRule="auto" w:before="0" w:after="0"/>
              <w:pStyle w:val="Compact"/>
            </w:pPr>
            <w:r>
              <w:rPr>
                <w:sz w:val="20"/>
                <w:szCs w:val="20"/>
              </w:rPr>
              <w:t xml:space="preserve">EUVE</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Extreme Ultraviolet Explorer (launched 1992-06-07, decommissioned 2001-01-31); effective aperture ~0.4 m; LEO; not consumable-limited. https://en.wikipedia.org/wiki/Extreme_Ultraviolet_Explorer and https://en.wikipedia.org/wiki/List_of_space_telescopes</w:t>
            </w:r>
          </w:p>
        </w:tc>
      </w:tr>
      <w:tr>
        <w:tc>
          <w:tcPr>
            <w:tcW w:w="0" w:type="auto"/>
          </w:tcPr>
          <w:p>
            <w:pPr>
              <w:spacing w:line="240" w:lineRule="auto" w:before="0" w:after="0"/>
              <w:pStyle w:val="Compact"/>
            </w:pPr>
            <w:r>
              <w:rPr>
                <w:sz w:val="20"/>
                <w:szCs w:val="20"/>
              </w:rPr>
              <w:t xml:space="preserve">CGRO</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Compton Gamma Ray Observatory (launched 1991-04-05, deorbited 2000-06-04); effective aperture ~0.6 m [illustrative]; LEO; deorbited after gyro failure, not consumable-limited. https://en.wikipedia.org/wiki/Compton_Gamma_Ray_Observatory and https://en.wikipedia.org/wiki/List_of_space_telescopes</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Galaxy Evolution Explorer (launched 2003-04-28, decommissioned 2013-06); aperture 0.5 m; LEO; not consumable-limited. https://en.wikipedia.org/wiki/GALEX and https://en.wikipedia.org/wiki/List_of_space_telescopes</w:t>
            </w:r>
          </w:p>
        </w:tc>
      </w:tr>
      <w:tr>
        <w:tc>
          <w:tcPr>
            <w:tcW w:w="0" w:type="auto"/>
          </w:tcPr>
          <w:p>
            <w:pPr>
              <w:spacing w:line="240" w:lineRule="auto" w:before="0" w:after="0"/>
              <w:pStyle w:val="Compact"/>
            </w:pPr>
            <w:r>
              <w:rPr>
                <w:sz w:val="20"/>
                <w:szCs w:val="20"/>
              </w:rPr>
              <w:t xml:space="preserve">WMAP</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WMAP (launched 2001-06-30, ops ended 2010-08); effective aperture ~1.4 m; Sun-Earth L2; not consumable-limited. https://en.wikipedia.org/wiki/Wilkinson_Microwave_Anisotropy_Probe and https://en.wikipedia.org/wiki/List_of_space_telescopes</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CNES/ESA CoRoT (launched 2006-12-27, ops ended 2013-06; computer failure 2012); aperture 0.27 m; LEO polar; not consumable-limited. https://en.wikipedia.org/wiki/CoRoT and https://en.wikipedia.org/wiki/List_of_space_telescopes</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Kepler (launched 2009-03-07, retired 2018-10-30 fuel depletion); aperture 0.95 m; Earth-trailing heliocentric; propellant-limited (fuel), treated as not cryogen consumable. https://en.wikipedia.org/wiki/Kepler_space_telescope and https://en.wikipedia.org/wiki/List_of_space_telescopes</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JAXA/NASA Suzaku/ASTRO-EII (launched 2005-07-10, ops ended 2015-09); effective X-ray aperture ~0.4 m [illustrative]; LEO; XRS lost helium 2005, partly consumable-limited. https://en.wikipedia.org/wiki/Suzaku_(satellite) and https://en.wikipedia.org/wiki/List_of_space_telescopes</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Gaia (launched 2013-12-19, science ops ended 2025-01); aperture 1.45 m; Sun-Earth L2; ended at propellant end-of-life, not cryogen. https://en.wikipedia.org/wiki/Gaia_(spacecraft) and https://en.wikipedia.org/wiki/List_of_space_telescopes</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 Hubble Space Telescope (launched 1990-04-24, operational as of 2026); aperture 2.4 m; LEO; serviced, not consumable-limited; right-censored. https://en.wikipedia.org/wiki/Hubble_Space_Telescope and https://en.wikipedia.org/wiki/List_of_space_telescopes</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Chandra X-ray Observatory (launched 1999-07-23, operational as of 2026); effective high-resolution mirror diameter ~1.2 m; HEO elliptical; not consumable-limited; right-censored. https://en.wikipedia.org/wiki/Chandra_X-ray_Observatory and https://en.wikipedia.org/wiki/List_of_space_telescopes</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XMM-Newton (launched 1999-12-10, operational as of 2026); per-module mirror diameter 0.7 m; HEO elliptical; not consumable-limited; right-censored. https://en.wikipedia.org/wiki/XMM-Newton and https://en.wikipedia.org/wiki/List_of_space_telescopes</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Neil Gehrels Swift Observatory (launched 2004-11-20, operational as of 2026); effective X-ray aperture ~0.3 m [illustrative]; LEO; not consumable-limited; right-censored. https://en.wikipedia.org/wiki/Neil_Gehrels_Swift_Observatory and https://en.wikipedia.org/wiki/List_of_space_telescopes</w:t>
            </w:r>
          </w:p>
        </w:tc>
      </w:tr>
      <w:tr>
        <w:tc>
          <w:tcPr>
            <w:tcW w:w="0" w:type="auto"/>
          </w:tcPr>
          <w:p>
            <w:pPr>
              <w:spacing w:line="240" w:lineRule="auto" w:before="0" w:after="0"/>
              <w:pStyle w:val="Compact"/>
            </w:pPr>
            <w:r>
              <w:rPr>
                <w:sz w:val="20"/>
                <w:szCs w:val="20"/>
              </w:rPr>
              <w:t xml:space="preserve">Fermi</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Fermi Gamma-ray Space Telescope (launched 2008-06-11, operational as of 2026); effective LAT aperture ~0.7 m [illustrative]; LEO; not consumable-limited; right-censored. https://en.wikipedia.org/wiki/Fermi_Gamma-ray_Space_Telescope and https://en.wikipedia.org/wiki/List_of_space_telescopes</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NuSTAR (launched 2012-06-13, operational as of 2026); effective focal optics aperture ~0.6 m [illustrative]; LEO; not consumable-limited; right-censored. https://en.wikipedia.org/wiki/NuSTAR and https://en.wikipedia.org/wiki/List_of_space_telescopes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TESS (launched 2018-04-18, operational as of 2026); combined four-camera effective aperture ~0.4 m [illustrative]; HEO 2:1 lunar-resonant; not consumable-limited; right-censored. https://en.wikipedia.org/wiki/Transiting_Exoplanet_Survey_Satellite and https://en.wikipedia.org/wiki/List_of_space_telescopes</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NASA/ESA/CSA James Webb Space Telescope (launched 2021-12-25, operational as of 2026); aperture 6.6 m; Sun-Earth L2; propellant-extended past 20 yr, not cryogen-limited (passive cooling + MIRI cooler); right-censored. https://en.wikipedia.org/wiki/James_Webb_Space_Telescope and https://en.wikipedia.org/wiki/List_of_space_telescopes</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Euclid (launched 2023-07-01, operational as of 2026); aperture 1.2 m; Sun-Earth L2; not consumable-limited; right-censored. https://en.wikipedia.org/wiki/Euclid_(spacecraft) and https://en.wikipedia.org/wiki/List_of_space_telescopes</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Operational lifetime of the observatory in years, from launch to end-of-science (terminated facilities) or to the 2026 censoring date (active facilities)</w:t>
            </w:r>
          </w:p>
        </w:tc>
        <w:tc>
          <w:tcPr>
            <w:tcW w:w="0" w:type="auto"/>
          </w:tcPr>
          <w:p>
            <w:pPr>
              <w:spacing w:line="240" w:lineRule="auto" w:before="0" w:after="0"/>
              <w:pStyle w:val="Compact"/>
            </w:pPr>
            <w:r>
              <w:rPr>
                <w:sz w:val="20"/>
                <w:szCs w:val="20"/>
              </w:rPr>
              <w:t xml:space="preserve">Mission launch and end dates from NASA/ESA/JAXA mission pages and Wikipedia List of space telescopes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Termination indicator: 1 if the observatory’s science operations have ended (failure observed), 0 if the observatory is still operating as of 2026 (right-censored)</w:t>
            </w:r>
          </w:p>
        </w:tc>
        <w:tc>
          <w:tcPr>
            <w:tcW w:w="0" w:type="auto"/>
          </w:tcPr>
          <w:p>
            <w:pPr>
              <w:spacing w:line="240" w:lineRule="auto" w:before="0" w:after="0"/>
              <w:pStyle w:val="Compact"/>
            </w:pPr>
            <w:r>
              <w:rPr>
                <w:sz w:val="20"/>
                <w:szCs w:val="20"/>
              </w:rPr>
              <w:t xml:space="preserve">Mission operational-status records; Wikipedia List of space telescopes</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or effective collecting aperture diameter in meters</w:t>
            </w:r>
          </w:p>
        </w:tc>
        <w:tc>
          <w:tcPr>
            <w:tcW w:w="0" w:type="auto"/>
          </w:tcPr>
          <w:p>
            <w:pPr>
              <w:spacing w:line="240" w:lineRule="auto" w:before="0" w:after="0"/>
              <w:pStyle w:val="Compact"/>
            </w:pPr>
            <w:r>
              <w:rPr>
                <w:sz w:val="20"/>
                <w:szCs w:val="20"/>
              </w:rPr>
              <w:t xml:space="preserve">Mission specification pages; Wikipedia List of space telescopes (effective values flagged illustrative for non-single-mirror instruments)</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Orbit-class indicator: 1 if the facility operates in low Earth orbit, 0 if in a high/deep-space orbit (HEO, heliocentric, or Sun-Earth L2)</w:t>
            </w:r>
          </w:p>
        </w:tc>
        <w:tc>
          <w:tcPr>
            <w:tcW w:w="0" w:type="auto"/>
          </w:tcPr>
          <w:p>
            <w:pPr>
              <w:spacing w:line="240" w:lineRule="auto" w:before="0" w:after="0"/>
              <w:pStyle w:val="Compact"/>
            </w:pPr>
            <w:r>
              <w:rPr>
                <w:sz w:val="20"/>
                <w:szCs w:val="20"/>
              </w:rPr>
              <w:t xml:space="preserve">Mission orbit records; Wikipedia List of space telescopes</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Consumable-limited indicator: 1 if the primary mission lifetime is gated by an expendable cryogen or coolant, 0 otherwise</w:t>
            </w:r>
          </w:p>
        </w:tc>
        <w:tc>
          <w:tcPr>
            <w:tcW w:w="0" w:type="auto"/>
          </w:tcPr>
          <w:p>
            <w:pPr>
              <w:spacing w:line="240" w:lineRule="auto" w:before="0" w:after="0"/>
              <w:pStyle w:val="Compact"/>
            </w:pPr>
            <w:r>
              <w:rPr>
                <w:sz w:val="20"/>
                <w:szCs w:val="20"/>
              </w:rPr>
              <w:t xml:space="preserve">Mission descriptions of cryogen/coolant depletion as end-of-mission cause</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-0.1949</w:t>
            </w:r>
          </w:p>
        </w:tc>
        <w:tc>
          <w:tcPr>
            <w:tcW w:w="0" w:type="auto"/>
          </w:tcPr>
          <w:p>
            <w:pPr>
              <w:spacing w:line="240" w:lineRule="auto" w:before="0" w:after="0"/>
              <w:pStyle w:val="Compact"/>
            </w:pPr>
            <w:r>
              <w:rPr>
                <w:sz w:val="20"/>
                <w:szCs w:val="20"/>
              </w:rPr>
              <w:t xml:space="preserve">0.8455</w:t>
            </w:r>
          </w:p>
        </w:tc>
        <w:tc>
          <w:tcPr>
            <w:tcW w:w="0" w:type="auto"/>
          </w:tcPr>
          <w:p>
            <w:pPr>
              <w:spacing w:line="240" w:lineRule="auto" w:before="0" w:after="0"/>
              <w:pStyle w:val="Compact"/>
            </w:pPr>
            <w:r>
              <w:rPr>
                <w:sz w:val="20"/>
                <w:szCs w:val="20"/>
              </w:rPr>
              <w:t xml:space="preserve">[-0.7214, 0.5909]</w:t>
            </w:r>
          </w:p>
        </w:tc>
        <w:tc>
          <w:tcPr>
            <w:tcW w:w="0" w:type="auto"/>
          </w:tcPr>
          <w:p>
            <w:pPr>
              <w:spacing w:line="240" w:lineRule="auto" w:before="0" w:after="0"/>
              <w:pStyle w:val="Compact"/>
            </w:pPr>
            <w:r>
              <w:rPr>
                <w:sz w:val="20"/>
                <w:szCs w:val="20"/>
              </w:rPr>
              <w:t xml:space="preserve">0.9368</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-0.1828</w:t>
            </w:r>
          </w:p>
        </w:tc>
        <w:tc>
          <w:tcPr>
            <w:tcW w:w="0" w:type="auto"/>
          </w:tcPr>
          <w:p>
            <w:pPr>
              <w:spacing w:line="240" w:lineRule="auto" w:before="0" w:after="0"/>
              <w:pStyle w:val="Compact"/>
            </w:pPr>
            <w:r>
              <w:rPr>
                <w:sz w:val="20"/>
                <w:szCs w:val="20"/>
              </w:rPr>
              <w:t xml:space="preserve">0.5037</w:t>
            </w:r>
          </w:p>
        </w:tc>
        <w:tc>
          <w:tcPr>
            <w:tcW w:w="0" w:type="auto"/>
          </w:tcPr>
          <w:p>
            <w:pPr>
              <w:spacing w:line="240" w:lineRule="auto" w:before="0" w:after="0"/>
              <w:pStyle w:val="Compact"/>
            </w:pPr>
            <w:r>
              <w:rPr>
                <w:sz w:val="20"/>
                <w:szCs w:val="20"/>
              </w:rPr>
              <w:t xml:space="preserve">-0.3629</w:t>
            </w:r>
          </w:p>
        </w:tc>
        <w:tc>
          <w:tcPr>
            <w:tcW w:w="0" w:type="auto"/>
          </w:tcPr>
          <w:p>
            <w:pPr>
              <w:spacing w:line="240" w:lineRule="auto" w:before="0" w:after="0"/>
              <w:pStyle w:val="Compact"/>
            </w:pPr>
            <w:r>
              <w:rPr>
                <w:sz w:val="20"/>
                <w:szCs w:val="20"/>
              </w:rPr>
              <w:t xml:space="preserve">0.7167</w:t>
            </w:r>
          </w:p>
        </w:tc>
        <w:tc>
          <w:tcPr>
            <w:tcW w:w="0" w:type="auto"/>
          </w:tcPr>
          <w:p>
            <w:pPr>
              <w:spacing w:line="240" w:lineRule="auto" w:before="0" w:after="0"/>
              <w:pStyle w:val="Compact"/>
            </w:pPr>
            <w:r>
              <w:rPr>
                <w:sz w:val="20"/>
                <w:szCs w:val="20"/>
              </w:rPr>
              <w:t xml:space="preserve">[-1.1701, 0.8045]</w:t>
            </w:r>
          </w:p>
        </w:tc>
        <w:tc>
          <w:tcPr>
            <w:tcW w:w="0" w:type="auto"/>
          </w:tcPr>
          <w:p>
            <w:pPr>
              <w:spacing w:line="240" w:lineRule="auto" w:before="0" w:after="0"/>
              <w:pStyle w:val="Compact"/>
            </w:pPr>
            <w:r>
              <w:rPr>
                <w:sz w:val="20"/>
                <w:szCs w:val="20"/>
              </w:rPr>
              <w:t xml:space="preserve">0.8329</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1.3309</w:t>
            </w:r>
          </w:p>
        </w:tc>
        <w:tc>
          <w:tcPr>
            <w:tcW w:w="0" w:type="auto"/>
          </w:tcPr>
          <w:p>
            <w:pPr>
              <w:spacing w:line="240" w:lineRule="auto" w:before="0" w:after="0"/>
              <w:pStyle w:val="Compact"/>
            </w:pPr>
            <w:r>
              <w:rPr>
                <w:sz w:val="20"/>
                <w:szCs w:val="20"/>
              </w:rPr>
              <w:t xml:space="preserve">0.4956</w:t>
            </w:r>
          </w:p>
        </w:tc>
        <w:tc>
          <w:tcPr>
            <w:tcW w:w="0" w:type="auto"/>
          </w:tcPr>
          <w:p>
            <w:pPr>
              <w:spacing w:line="240" w:lineRule="auto" w:before="0" w:after="0"/>
              <w:pStyle w:val="Compact"/>
            </w:pPr>
            <w:r>
              <w:rPr>
                <w:sz w:val="20"/>
                <w:szCs w:val="20"/>
              </w:rPr>
              <w:t xml:space="preserve">2.6853</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[0.3595, 2.3023]</w:t>
            </w:r>
          </w:p>
        </w:tc>
        <w:tc>
          <w:tcPr>
            <w:tcW w:w="0" w:type="auto"/>
          </w:tcPr>
          <w:p>
            <w:pPr>
              <w:spacing w:line="240" w:lineRule="auto" w:before="0" w:after="0"/>
              <w:pStyle w:val="Compact"/>
            </w:pPr>
            <w:r>
              <w:rPr>
                <w:sz w:val="20"/>
                <w:szCs w:val="20"/>
              </w:rPr>
              <w:t xml:space="preserve">3.7845</w:t>
            </w:r>
          </w:p>
        </w:tc>
      </w:tr>
    </w:tbl>
    <w:p>
      <w:pPr>
        <w:pStyle w:val="BodyText"/>
      </w:pPr>
      <w:r>
        <w:t xml:space="preserve">Fit: N = 27 events = 18</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2026-06-25T14:26:01Z</dcterms:created>
  <dcterms:modified xsi:type="dcterms:W3CDTF">2026-06-25T14:26:01Z</dcterms:modified>
</cp:coreProperties>
</file>

<file path=docProps/custom.xml><?xml version="1.0" encoding="utf-8"?>
<Properties xmlns="http://schemas.openxmlformats.org/officeDocument/2006/custom-properties" xmlns:vt="http://schemas.openxmlformats.org/officeDocument/2006/docPropsVTypes"/>
</file>