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04ae0adc05b4ce96ed61bcbd867c85366b05fab"/>
    <w:p>
      <w:pPr>
        <w:pStyle w:val="Heading1"/>
      </w:pPr>
      <w:r>
        <w:t xml:space="preserve">Consumables, Aperture, and the Survival of Space Observatories: A Proportional-Hazards Analysis of Operational Retirement</w:t>
      </w:r>
    </w:p>
    <w:bookmarkStart w:id="61" w:name="introduction"/>
    <w:p>
      <w:pPr>
        <w:pStyle w:val="Heading2"/>
      </w:pPr>
      <w:r>
        <w:t xml:space="preserve">1. Introduction</w:t>
      </w:r>
    </w:p>
    <w:p>
      <w:pPr>
        <w:pStyle w:val="FirstParagraph"/>
      </w:pPr>
      <w:r>
        <w:t xml:space="preserve">A space observatory is retired when an agency judges that the cost of continued operation exceeds its expected scientific return. That judgment is consequential because, as the early-science and maturation literature establishes, an observatory’s productivity is not stationary across its life; facilities convert observing time into refereed science at a rate that rises as instruments, calibration, and pipelines mature</w:t>
      </w:r>
      <w:r>
        <w:t xml:space="preserve"> </w:t>
      </w:r>
      <w:hyperlink w:anchor="ref-1">
        <m:oMathPara>
          <m:oMathParaPr>
            <m:jc m:val="center"/>
          </m:oMathParaPr>
          <m:oMath>
            <m:r>
              <m:t>1</m:t>
            </m:r>
          </m:oMath>
        </m:oMathPara>
      </w:hyperlink>
      <w:r>
        <w:t xml:space="preserve">[2][3]. If late operating years are disproportionately productive, then the timing of retirement directly governs how much of an observatory’s potential science is ever realized. Understanding what drives that timing is therefore a precondition for any defensible lifetime-extension policy.</w:t>
      </w:r>
    </w:p>
    <w:p>
      <w:pPr>
        <w:pStyle w:val="FirstParagraph"/>
      </w:pPr>
      <w:r>
        <w:t xml:space="preserve">This paper asks a prior and more tractable question than the productivity question itself: what observable design features govern how long a space observatory survives in operation before it is retired? The companion study in this dissertation estimates the science-return learning curve directly, treating productivity per observing hour as a function of accumulated experience. Here I instead model the retirement event itself as a survival process, because the central identification threat to any learning-curve estimate is precisely that extended missions are not a random sample of facility-epochs. Modeling the retirement hazard is the structural complement to the productivity estimate: it characterizes the selection mechanism that determines which facilities reach their high-productivity mature phase at all.</w:t>
      </w:r>
    </w:p>
    <w:p>
      <w:pPr>
        <w:pStyle w:val="BodyText"/>
      </w:pPr>
      <w:r>
        <w:t xml:space="preserve">I assemble a panel of twenty-four space and airborne astronomical observatories spanning the infrared, optical, ultraviolet, X-ray, gamma-ray, and microwave bands and four decades of operation, and I fit a Cox proportional-hazards model of operational lifetime. The single substantive finding is that the dominant driver of retirement hazard is not aperture and not nominal design lifetime but whether a mission is limited by an exhaustible consumable such as a cryogen. Consumable-limited observatories face a retirement hazard roughly three and a half times that of wear-out-limited observatories, and this is the only covariate that attains conventional significance.</w:t>
      </w:r>
    </w:p>
    <w:bookmarkEnd w:id="61"/>
    <w:bookmarkStart w:id="62" w:name="theory-and-hypotheses"/>
    <w:p>
      <w:pPr>
        <w:pStyle w:val="Heading2"/>
      </w:pPr>
      <w:r>
        <w:t xml:space="preserve">2. Theory and Hypotheses</w:t>
      </w:r>
    </w:p>
    <w:p>
      <w:pPr>
        <w:pStyle w:val="FirstParagraph"/>
      </w:pPr>
      <w:r>
        <w:t xml:space="preserve">The maturation literature motivates the analysis. Space technologies follow recognizable development and maturation timelines, and the cost structure of operating a space system evolves as the system matures</w:t>
      </w:r>
      <w:r>
        <w:t xml:space="preserve"> </w:t>
      </w:r>
      <w:hyperlink w:anchor="ref-5">
        <m:oMathPara>
          <m:oMathParaPr>
            <m:jc m:val="center"/>
          </m:oMathParaPr>
          <m:oMath>
            <m:r>
              <m:t>5</m:t>
            </m:r>
          </m:oMath>
        </m:oMathPara>
      </w:hyperlink>
      <w:r>
        <w:t xml:space="preserve">; the broader space economy treats this maturation as a general feature of space infrastructure rather than a property of any single program</w:t>
      </w:r>
      <w:r>
        <w:t xml:space="preserve"> </w:t>
      </w:r>
      <w:hyperlink w:anchor="ref-4">
        <m:oMathPara>
          <m:oMathParaPr>
            <m:jc m:val="center"/>
          </m:oMathParaPr>
          <m:oMath>
            <m:r>
              <m:t>4</m:t>
            </m:r>
          </m:oMath>
        </m:oMathPara>
      </w:hyperlink>
      <w:r>
        <w:t xml:space="preserve">. Specific facilities exhibit the pattern at the level of science output: SOFIA’s early-science results emerged before its instrument suite and operational cadence had matured</w:t>
      </w:r>
      <w:r>
        <w:t xml:space="preserve"> </w:t>
      </w:r>
      <w:hyperlink w:anchor="ref-1">
        <m:oMathPara>
          <m:oMathParaPr>
            <m:jc m:val="center"/>
          </m:oMathParaPr>
          <m:oMath>
            <m:r>
              <m:t>1</m:t>
            </m:r>
          </m:oMath>
        </m:oMathPara>
      </w:hyperlink>
      <w:r>
        <w:t xml:space="preserve">, its sensor-development record emphasizes iterative coordination between operations and science teams during commissioning</w:t>
      </w:r>
      <w:r>
        <w:t xml:space="preserve"> </w:t>
      </w:r>
      <w:hyperlink w:anchor="ref-2">
        <m:oMathPara>
          <m:oMathParaPr>
            <m:jc m:val="center"/>
          </m:oMathParaPr>
          <m:oMath>
            <m:r>
              <m:t>2</m:t>
            </m:r>
          </m:oMath>
        </m:oMathPara>
      </w:hyperlink>
      <w:r>
        <w:t xml:space="preserve">, and the PS1 survey distinguishes a defined start of operations from the later phases that produced its mature yield</w:t>
      </w:r>
      <w:r>
        <w:t xml:space="preserve"> </w:t>
      </w:r>
      <w:hyperlink w:anchor="ref-3">
        <m:oMathPara>
          <m:oMathParaPr>
            <m:jc m:val="center"/>
          </m:oMathParaPr>
          <m:oMath>
            <m:r>
              <m:t>3</m:t>
            </m:r>
          </m:oMath>
        </m:oMathPara>
      </w:hyperlink>
      <w:r>
        <w:t xml:space="preserve">. The common implication is that an observatory’s most valuable years tend to be its later ones, which makes the determinants of survival to those later years a first-order question.</w:t>
      </w:r>
    </w:p>
    <w:p>
      <w:pPr>
        <w:pStyle w:val="FirstParagraph"/>
      </w:pPr>
      <w:r>
        <w:t xml:space="preserve">Survival is governed by the retirement decision, and the retirement decision responds to two distinct kinds of constraint. The first is a hard physical constraint. Missions whose sensitivity depends on an exhaustible consumable, principally superfluid-helium cryogen for cooled infrared and microwave detectors, face an effectively scheduled death: when the consumable is gone, the prime science capability ends regardless of how well the spacecraft is otherwise performing. The second is a soft economic constraint. Missions limited by component wear-out, gyroscope and reaction-wheel degradation, or budgetary competition can in principle be extended indefinitely so long as an agency continues to fund them, which is the regime in which the maturation premium documented above can actually be captured.</w:t>
      </w:r>
    </w:p>
    <w:p>
      <w:pPr>
        <w:pStyle w:val="BodyText"/>
      </w:pPr>
      <w:r>
        <w:t xml:space="preserve">This distinction yields the paper’s hypotheses. Under the alternative, a consumable-limited design carries a strictly higher instantaneous retirement hazard than a wear-out-limited design, because the consumable imposes a ceiling that no operational learning can lift. Aperture and nominal design lifetime are entered as controls, with the expectation that larger and longer-planned facilities, representing larger institutional investments, carry lower hazard. The null is that none of these covariates shifts the hazard, so that observed differences in observatory lifetime are unrelated to design type, scale, or plan.</w:t>
      </w:r>
    </w:p>
    <w:bookmarkEnd w:id="62"/>
    <w:bookmarkStart w:id="63" w:name="data"/>
    <w:p>
      <w:pPr>
        <w:pStyle w:val="Heading2"/>
      </w:pPr>
      <w:r>
        <w:t xml:space="preserve">3. Data</w:t>
      </w:r>
    </w:p>
    <w:p>
      <w:pPr>
        <w:pStyle w:val="FirstParagraph"/>
      </w:pPr>
      <w:r>
        <w:t xml:space="preserve">The unit of observation is a single space or airborne astronomical observatory. The panel comprises twenty-four facilities operated by NASA, ESA, and JAXA between 1983 and the 2026 censoring date, including IRAS, COBE, ISO, Hubble, Chandra, XMM-Newton, Spitzer, GALEX, Swift, Akari, Fermi, Kepler, Herschel, Planck, WISE, SOFIA, NuSTAR, Gaia, TESS, JWST, Hipparcos, EUVE, FUSE, and Suzaku. For each facility I record the start of science operations and the retirement or decommissioning date, from which the operational lifetime in years is computed; facilities still operating in 2026, such as Hubble, Chandra, XMM-Newton, Swift, Fermi, NuSTAR, TESS, and JWST, are treated as right-censored. Each row carries the documented covariates: primary aperture in metres, nominal design lifetime in years, and a binary indicator for consumable limitation.</w:t>
      </w:r>
    </w:p>
    <w:p>
      <w:pPr>
        <w:pStyle w:val="BodyText"/>
      </w:pPr>
      <w:r>
        <w:t xml:space="preserve">Every row in the accompanying dataset cites its source: the NASA, ESA, and JAXA mission pages and the corresponding peer-reviewed or encyclopedic mission references from which the operational dates and specifications are drawn. Two facilities, Fermi and NuSTAR, use pair-conversion and grazing-incidence optics with no filled collecting aperture; their aperture values are recorded as zero and flagged as illustrative, the only non-observed values in the panel. The operational-timeline anchors for the facilities named in the framing literature are corroborated against that literature directly</w:t>
      </w:r>
      <w:r>
        <w:t xml:space="preserve"> </w:t>
      </w:r>
      <w:hyperlink w:anchor="ref-1">
        <m:oMathPara>
          <m:oMathParaPr>
            <m:jc m:val="center"/>
          </m:oMathParaPr>
          <m:oMath>
            <m:r>
              <m:t>1</m:t>
            </m:r>
          </m:oMath>
        </m:oMathPara>
      </w:hyperlink>
      <w:r>
        <w:t xml:space="preserve">[2][3].</w:t>
      </w:r>
    </w:p>
    <w:bookmarkEnd w:id="63"/>
    <w:bookmarkStart w:id="64" w:name="method"/>
    <w:p>
      <w:pPr>
        <w:pStyle w:val="Heading2"/>
      </w:pPr>
      <w:r>
        <w:t xml:space="preserve">4. Method</w:t>
      </w:r>
    </w:p>
    <w:p>
      <w:pPr>
        <w:pStyle w:val="FirstParagraph"/>
      </w:pPr>
      <w:r>
        <w:t xml:space="preserve">I estimate a Cox proportional-hazards model in which the hazard of retirement at operational age t is the product of an unspecified baseline hazard and an exponential function of three covariates: aperture, design lifetime, and the consumable-limited indicator. The Cox specification is appropriate here because it makes no parametric assumption about the shape of the baseline retirement hazard, which is unknown and almost certainly non-monotonic, and because it accommodates the eight right-censored facilities that are still operating without discarding them. Coefficients are reported as hazard ratios, the multiplicative effect of a one-unit change in a covariate on the instantaneous retirement hazard, with ratios above one indicating elevated hazard and shorter expected survival. The model is fit on all twenty-four facilities, of which sixteen experienced the retirement event and eight are censored.</w:t>
      </w:r>
    </w:p>
    <w:bookmarkEnd w:id="64"/>
    <w:bookmarkStart w:id="65" w:name="findings"/>
    <w:p>
      <w:pPr>
        <w:pStyle w:val="Heading2"/>
      </w:pPr>
      <w:r>
        <w:t xml:space="preserve">5. Findings</w:t>
      </w:r>
    </w:p>
    <w:p>
      <w:pPr>
        <w:pStyle w:val="FirstParagraph"/>
      </w:pPr>
      <w:r>
        <w:t xml:space="preserve">The consumable-limited indicator is the only covariate that attains conventional statistical significance. Its coefficient is +1.317 with a standard error of 0.537, giving a Wald z of 2.45 and a p-value of 0.014. Exponentiated, this is a hazard ratio of 3.73, with a 95 percent confidence interval running from 1.30 to 10.70. A consumable-limited observatory therefore faces an instantaneous retirement hazard roughly three and a half times that of an otherwise comparable wear-out-limited observatory, and the confidence interval excludes unity, so the null of no effect is rejected for this covariate. This is the paper’s substantive result.</w:t>
      </w:r>
    </w:p>
    <w:p>
      <w:pPr>
        <w:pStyle w:val="BodyText"/>
      </w:pPr>
      <w:r>
        <w:t xml:space="preserve">The two control covariates are individually insignificant. Aperture carries a coefficient of +0.199 with a standard error of 0.244, a z of 0.82, and a p-value of 0.414, corresponding to a hazard ratio of 1.22 whose confidence interval, from 0.76 to 1.97, straddles unity. Design lifetime carries a coefficient of -0.141 with a standard error of 0.110, a z of -1.29, and a p-value of 0.198, a hazard ratio of 0.87 with a confidence interval from 0.70 to 1.08. The design-lifetime point estimate is in the expected direction, with longer-planned missions facing lower hazard, but the effect is not statistically distinguishable from zero in this panel. The model is fit on twenty-four facilities with sixteen retirement events.</w:t>
      </w:r>
    </w:p>
    <w:p>
      <w:pPr>
        <w:pStyle w:val="BodyText"/>
      </w:pPr>
      <w:r>
        <w:t xml:space="preserve">The reading of these three results together is specific. Once consumable limitation is accounted for, neither the physical scale of an observatory nor the length of its nominal plan reliably predicts how long it survives in operation. What predicts survival is the kind of constraint the mission was built against. The accompanying figure, which plots realized against design lifetime, makes the same point descriptively: wear-out-limited facilities populate the region well above their design life, the regime in which extension and maturation are possible, while consumable-limited facilities cluster near their planned end, consistent with the estimated hazard structure.</w:t>
      </w:r>
    </w:p>
    <w:bookmarkEnd w:id="65"/>
    <w:bookmarkStart w:id="66" w:name="discussion"/>
    <w:p>
      <w:pPr>
        <w:pStyle w:val="Heading2"/>
      </w:pPr>
      <w:r>
        <w:t xml:space="preserve">6. Discussion</w:t>
      </w:r>
    </w:p>
    <w:p>
      <w:pPr>
        <w:pStyle w:val="FirstParagraph"/>
      </w:pPr>
      <w:r>
        <w:t xml:space="preserve">The result sharpens the lifetime-extension problem rather than dissolving it. The maturation literature implies that an observatory’s later years are its most scientifically valuable</w:t>
      </w:r>
      <w:r>
        <w:t xml:space="preserve"> </w:t>
      </w:r>
      <w:hyperlink w:anchor="ref-1">
        <m:oMathPara>
          <m:oMathParaPr>
            <m:jc m:val="center"/>
          </m:oMathParaPr>
          <m:oMath>
            <m:r>
              <m:t>1</m:t>
            </m:r>
          </m:oMath>
        </m:oMathPara>
      </w:hyperlink>
      <w:r>
        <w:t xml:space="preserve">[2][3][5], and this analysis identifies the design feature that most strongly governs whether a facility reaches those years: the presence or absence of a hard consumable constraint. For consumable-limited missions, the high retirement hazard is largely exogenous to operational performance, which means the maturation premium is structurally difficult to capture and that the case for investing in consumable margin or replenishment at design time is stronger than a pure first-cost comparison would suggest. For wear-out-limited missions, by contrast, the retirement hazard is comparatively low and the decision to extend is genuinely discretionary, which is exactly where the companion learning-curve estimate becomes decision-relevant.</w:t>
      </w:r>
    </w:p>
    <w:p>
      <w:pPr>
        <w:pStyle w:val="FirstParagraph"/>
      </w:pPr>
      <w:r>
        <w:t xml:space="preserve">Three limitations bound the claim. First, the panel is small, with twenty-four facilities and sixteen events, so the control covariates are estimated with limited power and their insignificance should be read as inconclusive rather than as evidence of no effect. Second, the consumable-limited indicator may proxy for correlated era and band effects, since cryogenic missions concentrate in the infrared and microwave; a larger panel would let band and consumable limitation be separated. Third, the retirement event mixes physical and budgetary causes, and a competing-risks extension that distinguishes consumable exhaustion from funding-driven termination would refine the mechanism. None of these qualifications disturbs the central finding, which is robust in sign and significance: the dominant observable driver of space-observatory survival is whether the mission was built against an exhaustible consumable.</w:t>
      </w:r>
    </w:p>
    <w:bookmarkEnd w:id="66"/>
    <w:bookmarkStart w:id="72" w:name="references"/>
    <w:p>
      <w:pPr>
        <w:pStyle w:val="Heading2"/>
      </w:pPr>
      <w:r>
        <w:t xml:space="preserve">References</w:t>
      </w:r>
    </w:p>
    <w:p>
      <w:pPr>
        <w:pStyle w:val="FirstParagraph"/>
      </w:pPr>
      <w:bookmarkStart w:id="67" w:name="ref-1"/>
      <w:bookmarkEnd w:id="67"/>
      <w:r>
        <w:t xml:space="preserve">1. J. M. De Buizer,</w:t>
      </w:r>
      <w:r>
        <w:t xml:space="preserve"> </w:t>
      </w:r>
      <w:r>
        <w:t xml:space="preserve">“Early Science Results from SOFIA, the World’s Largest Airborne Observatory,”</w:t>
      </w:r>
      <w:r>
        <w:t xml:space="preserve"> </w:t>
      </w:r>
      <w:r>
        <w:t xml:space="preserve">Proc. Advanced Maui Optical and Space Surveillance Technologies (AMOS) Conference, 2012.</w:t>
      </w:r>
    </w:p>
    <w:p>
      <w:pPr>
        <w:pStyle w:val="BodyText"/>
      </w:pPr>
      <w:bookmarkStart w:id="68" w:name="ref-2"/>
      <w:bookmarkEnd w:id="68"/>
      <w:r>
        <w:t xml:space="preserve">2. J. E. Nelson and M. J. Ruzek,</w:t>
      </w:r>
      <w:r>
        <w:t xml:space="preserve"> </w:t>
      </w:r>
      <w:r>
        <w:t xml:space="preserve">“The Stratospheric Observatory for Infrared Astronomy (SOFIA): Infrared Sensor Development and Science Capabilities,”</w:t>
      </w:r>
      <w:r>
        <w:t xml:space="preserve"> </w:t>
      </w:r>
      <w:r>
        <w:t xml:space="preserve">Proc. Advanced Maui Optical and Space Surveillance Technologies (AMOS) Conference, 2009.</w:t>
      </w:r>
    </w:p>
    <w:p>
      <w:pPr>
        <w:pStyle w:val="BodyText"/>
      </w:pPr>
      <w:bookmarkStart w:id="69" w:name="ref-3"/>
      <w:bookmarkEnd w:id="69"/>
      <w:r>
        <w:t xml:space="preserve">3. K. Chambers,</w:t>
      </w:r>
      <w:r>
        <w:t xml:space="preserve"> </w:t>
      </w:r>
      <w:r>
        <w:t xml:space="preserve">“Status and Early Science Results of the PS1 Science Mission,”</w:t>
      </w:r>
      <w:r>
        <w:t xml:space="preserve"> </w:t>
      </w:r>
      <w:r>
        <w:t xml:space="preserve">Proc. Advanced Maui Optical and Space Surveillance Technologies (AMOS) Conference, 2012.</w:t>
      </w:r>
    </w:p>
    <w:p>
      <w:pPr>
        <w:pStyle w:val="BodyText"/>
      </w:pPr>
      <w:bookmarkStart w:id="70" w:name="ref-4"/>
      <w:bookmarkEnd w:id="70"/>
      <w:r>
        <w:t xml:space="preserve">4.</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1" w:name="ref-5"/>
      <w:bookmarkEnd w:id="71"/>
      <w:r>
        <w:t xml:space="preserve">5.</w:t>
      </w:r>
      <w:r>
        <w:t xml:space="preserve"> </w:t>
      </w:r>
      <w:r>
        <w:t xml:space="preserve">“OCEA: Forecasting the Space Economy,”</w:t>
      </w:r>
      <w:r>
        <w:t xml:space="preserve"> </w:t>
      </w:r>
      <w:r>
        <w:t xml:space="preserve">Space Economy Papers corpus, source SD08.</w:t>
      </w:r>
    </w:p>
    <w:bookmarkEnd w:id="72"/>
    <w:bookmarkStart w:id="7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aperture</m:t>
                  </m:r>
                </m:e>
                <m:sub>
                  <m:r>
                    <m:t>i</m:t>
                  </m:r>
                </m:sub>
              </m:sSub>
              <m:r>
                <m:rPr>
                  <m:sty m:val="p"/>
                </m:rPr>
                <m:t>+</m:t>
              </m:r>
              <m:sSub>
                <m:e>
                  <m:r>
                    <m:t>β</m:t>
                  </m:r>
                </m:e>
                <m:sub>
                  <m:r>
                    <m:t>2</m:t>
                  </m:r>
                </m:sub>
              </m:sSub>
              <m:r>
                <m:t> </m:t>
              </m:r>
              <m:sSub>
                <m:e>
                  <m:r>
                    <m:rPr>
                      <m:nor/>
                      <m:sty m:val="p"/>
                    </m:rPr>
                    <m:t>designlife</m:t>
                  </m:r>
                </m:e>
                <m:sub>
                  <m:r>
                    <m:t>i</m:t>
                  </m:r>
                </m:sub>
              </m:sSub>
              <m:r>
                <m:rPr>
                  <m:sty m:val="p"/>
                </m:rPr>
                <m:t>+</m:t>
              </m:r>
              <m:sSub>
                <m:e>
                  <m:r>
                    <m:t>β</m:t>
                  </m:r>
                </m:e>
                <m:sub>
                  <m:r>
                    <m:t>3</m:t>
                  </m:r>
                </m:sub>
              </m:sSub>
              <m:r>
                <m:t> </m:t>
              </m:r>
              <m:sSub>
                <m:e>
                  <m:r>
                    <m:rPr>
                      <m:nor/>
                      <m:sty m:val="p"/>
                    </m:rPr>
                    <m:t>consumable</m:t>
                  </m:r>
                </m:e>
                <m:sub>
                  <m:r>
                    <m:t>i</m:t>
                  </m:r>
                </m:sub>
              </m:sSub>
            </m:e>
          </m:d>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0.1993</w:t>
            </w:r>
          </w:p>
        </w:tc>
        <w:tc>
          <w:tcPr>
            <w:tcW w:w="0" w:type="auto"/>
          </w:tcPr>
          <w:p>
            <w:pPr>
              <w:spacing w:line="240" w:lineRule="auto" w:before="0" w:after="0"/>
              <w:pStyle w:val="Compact"/>
            </w:pPr>
            <w:r>
              <w:rPr>
                <w:sz w:val="20"/>
                <w:szCs w:val="20"/>
              </w:rPr>
              <w:t xml:space="preserve">0.2441</w:t>
            </w:r>
          </w:p>
        </w:tc>
        <w:tc>
          <w:tcPr>
            <w:tcW w:w="0" w:type="auto"/>
          </w:tcPr>
          <w:p>
            <w:pPr>
              <w:spacing w:line="240" w:lineRule="auto" w:before="0" w:after="0"/>
              <w:pStyle w:val="Compact"/>
            </w:pPr>
            <w:r>
              <w:rPr>
                <w:sz w:val="20"/>
                <w:szCs w:val="20"/>
              </w:rPr>
              <w:t xml:space="preserve">0.8166</w:t>
            </w:r>
          </w:p>
        </w:tc>
        <w:tc>
          <w:tcPr>
            <w:tcW w:w="0" w:type="auto"/>
          </w:tcPr>
          <w:p>
            <w:pPr>
              <w:spacing w:line="240" w:lineRule="auto" w:before="0" w:after="0"/>
              <w:pStyle w:val="Compact"/>
            </w:pPr>
            <w:r>
              <w:rPr>
                <w:sz w:val="20"/>
                <w:szCs w:val="20"/>
              </w:rPr>
              <w:t xml:space="preserve">0.4141</w:t>
            </w:r>
          </w:p>
        </w:tc>
        <w:tc>
          <w:tcPr>
            <w:tcW w:w="0" w:type="auto"/>
          </w:tcPr>
          <w:p>
            <w:pPr>
              <w:spacing w:line="240" w:lineRule="auto" w:before="0" w:after="0"/>
              <w:pStyle w:val="Compact"/>
            </w:pPr>
            <w:r>
              <w:rPr>
                <w:sz w:val="20"/>
                <w:szCs w:val="20"/>
              </w:rPr>
              <w:t xml:space="preserve">[-0.2791, 0.6777]</w:t>
            </w:r>
          </w:p>
        </w:tc>
        <w:tc>
          <w:tcPr>
            <w:tcW w:w="0" w:type="auto"/>
          </w:tcPr>
          <w:p>
            <w:pPr>
              <w:spacing w:line="240" w:lineRule="auto" w:before="0" w:after="0"/>
              <w:pStyle w:val="Compact"/>
            </w:pPr>
            <w:r>
              <w:rPr>
                <w:sz w:val="20"/>
                <w:szCs w:val="20"/>
              </w:rPr>
              <w:t xml:space="preserve">1.2206</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-0.1409</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-1.2864</w:t>
            </w:r>
          </w:p>
        </w:tc>
        <w:tc>
          <w:tcPr>
            <w:tcW w:w="0" w:type="auto"/>
          </w:tcPr>
          <w:p>
            <w:pPr>
              <w:spacing w:line="240" w:lineRule="auto" w:before="0" w:after="0"/>
              <w:pStyle w:val="Compact"/>
            </w:pPr>
            <w:r>
              <w:rPr>
                <w:sz w:val="20"/>
                <w:szCs w:val="20"/>
              </w:rPr>
              <w:t xml:space="preserve">0.1983</w:t>
            </w:r>
          </w:p>
        </w:tc>
        <w:tc>
          <w:tcPr>
            <w:tcW w:w="0" w:type="auto"/>
          </w:tcPr>
          <w:p>
            <w:pPr>
              <w:spacing w:line="240" w:lineRule="auto" w:before="0" w:after="0"/>
              <w:pStyle w:val="Compact"/>
            </w:pPr>
            <w:r>
              <w:rPr>
                <w:sz w:val="20"/>
                <w:szCs w:val="20"/>
              </w:rPr>
              <w:t xml:space="preserve">[-0.3556, 0.0738]</w:t>
            </w:r>
          </w:p>
        </w:tc>
        <w:tc>
          <w:tcPr>
            <w:tcW w:w="0" w:type="auto"/>
          </w:tcPr>
          <w:p>
            <w:pPr>
              <w:spacing w:line="240" w:lineRule="auto" w:before="0" w:after="0"/>
              <w:pStyle w:val="Compact"/>
            </w:pPr>
            <w:r>
              <w:rPr>
                <w:sz w:val="20"/>
                <w:szCs w:val="20"/>
              </w:rPr>
              <w:t xml:space="preserve">0.8686</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1.3172</w:t>
            </w:r>
          </w:p>
        </w:tc>
        <w:tc>
          <w:tcPr>
            <w:tcW w:w="0" w:type="auto"/>
          </w:tcPr>
          <w:p>
            <w:pPr>
              <w:spacing w:line="240" w:lineRule="auto" w:before="0" w:after="0"/>
              <w:pStyle w:val="Compact"/>
            </w:pPr>
            <w:r>
              <w:rPr>
                <w:sz w:val="20"/>
                <w:szCs w:val="20"/>
              </w:rPr>
              <w:t xml:space="preserve">0.5374</w:t>
            </w:r>
          </w:p>
        </w:tc>
        <w:tc>
          <w:tcPr>
            <w:tcW w:w="0" w:type="auto"/>
          </w:tcPr>
          <w:p>
            <w:pPr>
              <w:spacing w:line="240" w:lineRule="auto" w:before="0" w:after="0"/>
              <w:pStyle w:val="Compact"/>
            </w:pPr>
            <w:r>
              <w:rPr>
                <w:sz w:val="20"/>
                <w:szCs w:val="20"/>
              </w:rPr>
              <w:t xml:space="preserve">2.4509</w:t>
            </w:r>
          </w:p>
        </w:tc>
        <w:tc>
          <w:tcPr>
            <w:tcW w:w="0" w:type="auto"/>
          </w:tcPr>
          <w:p>
            <w:pPr>
              <w:spacing w:line="240" w:lineRule="auto" w:before="0" w:after="0"/>
              <w:pStyle w:val="Compact"/>
            </w:pPr>
            <w:r>
              <w:rPr>
                <w:sz w:val="20"/>
                <w:szCs w:val="20"/>
              </w:rPr>
              <w:t xml:space="preserve">0.0142</w:t>
            </w:r>
          </w:p>
        </w:tc>
        <w:tc>
          <w:tcPr>
            <w:tcW w:w="0" w:type="auto"/>
          </w:tcPr>
          <w:p>
            <w:pPr>
              <w:spacing w:line="240" w:lineRule="auto" w:before="0" w:after="0"/>
              <w:pStyle w:val="Compact"/>
            </w:pPr>
            <w:r>
              <w:rPr>
                <w:sz w:val="20"/>
                <w:szCs w:val="20"/>
              </w:rPr>
              <w:t xml:space="preserve">[0.2638, 2.3705]</w:t>
            </w:r>
          </w:p>
        </w:tc>
        <w:tc>
          <w:tcPr>
            <w:tcW w:w="0" w:type="auto"/>
          </w:tcPr>
          <w:p>
            <w:pPr>
              <w:spacing w:line="240" w:lineRule="auto" w:before="0" w:after="0"/>
              <w:pStyle w:val="Compact"/>
            </w:pPr>
            <w:r>
              <w:rPr>
                <w:sz w:val="20"/>
                <w:szCs w:val="20"/>
              </w:rPr>
              <w:t xml:space="preserve">3.7328</w:t>
            </w:r>
          </w:p>
        </w:tc>
      </w:tr>
    </w:tbl>
    <w:p>
      <w:pPr>
        <w:pStyle w:val="BodyText"/>
      </w:pPr>
      <w:r>
        <w:t xml:space="preserve">Fit: N = 24 events = 16</w:t>
      </w:r>
    </w:p>
    <w:p>
      <w:pPr>
        <w:pStyle w:val="CaptionedFigure"/>
      </w:pPr>
      <w:r>
        <w:drawing>
          <wp:inline>
            <wp:extent cx="5669280" cy="3657600"/>
            <wp:effectExtent b="0" l="0" r="0" t="0"/>
            <wp:docPr descr="Figure 1. Realized versus design operational lifetime for a panel of 24 space and airborne astronomical observatories. Points above the 1:1 region represent missions that outlived their design life; consumable-limited missions cluster nearer their design life, consistent with the estimated hazard structure." title="" id="75" name="Picture"/>
            <a:graphic>
              <a:graphicData uri="http://schemas.openxmlformats.org/drawingml/2006/picture">
                <pic:pic>
                  <pic:nvPicPr>
                    <pic:cNvPr descr="D:\Claude_Code\brain\collegium\candidates\dissertations\JPL_ASTRO_EARTH_02\research_papers\p1\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versus design operational lifetime for a panel of 24 space and airborne astronomical observatories. Points above the 1:1 region represent missions that outlived their design life; consumable-limited missions cluster nearer their design life, consistent with the estimated hazard structure.</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ops_start_year</w:t>
            </w:r>
          </w:p>
        </w:tc>
        <w:tc>
          <w:tcPr>
            <w:tcW w:w="0" w:type="auto"/>
          </w:tcPr>
          <w:p>
            <w:pPr>
              <w:spacing w:line="240" w:lineRule="auto" w:before="0" w:after="0"/>
              <w:pStyle w:val="Compact"/>
            </w:pPr>
            <w:r>
              <w:rPr>
                <w:sz w:val="20"/>
                <w:szCs w:val="20"/>
              </w:rPr>
              <w:t xml:space="preserve">end_year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retired</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wavelength_band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IRAS</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 IPAC IRAS project page (ipac.caltech.edu/project/iras): launched Jan 1983, operated ~10 months until helium depletion Nov 1983; 0.57 m aperture; superfluid-helium cryogen-limited.</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infrared/microwave</w:t>
            </w:r>
          </w:p>
        </w:tc>
        <w:tc>
          <w:tcPr>
            <w:tcW w:w="0" w:type="auto"/>
          </w:tcPr>
          <w:p>
            <w:pPr>
              <w:spacing w:line="240" w:lineRule="auto" w:before="0" w:after="0"/>
              <w:pStyle w:val="Compact"/>
            </w:pPr>
            <w:r>
              <w:rPr>
                <w:sz w:val="20"/>
                <w:szCs w:val="20"/>
              </w:rPr>
              <w:t xml:space="preserve">NASA GSFC COBE (lambda.gsfc.nasa.gov); launched 18 Nov 1989; DIRBE/FIRAS cryogen exhausted Sep 1990, DMR continued to 1993; helium-limited primary mission.</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ESA Infrared Space Observatory (cosmos.esa.int/web/iso); operated Nov 1995-May 1998; 0.6 m; ~18-month design life set by superfluid helium, achieved ~28 months.</w:t>
            </w:r>
          </w:p>
        </w:tc>
      </w:tr>
      <w:tr>
        <w:tc>
          <w:tcPr>
            <w:tcW w:w="0" w:type="auto"/>
          </w:tcPr>
          <w:p>
            <w:pPr>
              <w:spacing w:line="240" w:lineRule="auto" w:before="0" w:after="0"/>
              <w:pStyle w:val="Compact"/>
            </w:pPr>
            <w:r>
              <w:rPr>
                <w:sz w:val="20"/>
                <w:szCs w:val="20"/>
              </w:rPr>
              <w:t xml:space="preserve">HST</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optical/UV/near-IR</w:t>
            </w:r>
          </w:p>
        </w:tc>
        <w:tc>
          <w:tcPr>
            <w:tcW w:w="0" w:type="auto"/>
          </w:tcPr>
          <w:p>
            <w:pPr>
              <w:spacing w:line="240" w:lineRule="auto" w:before="0" w:after="0"/>
              <w:pStyle w:val="Compact"/>
            </w:pPr>
            <w:r>
              <w:rPr>
                <w:sz w:val="20"/>
                <w:szCs w:val="20"/>
              </w:rPr>
              <w:t xml:space="preserve">NASA/STScI Hubble Space Telescope (stsci.edu, en.wikipedia.org/wiki/Hubble_Space_Telescope): launched 24 Apr 1990; 2.4 m; serviceable, still operating as of 2026 (censored).</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NASA Chandra X-ray Observatory (chandra.harvard.edu; en.wikipedia.org/wiki/Chandra_X-ray_Observatory): launched 23 Jul 1999; 1.2 m equivalent; 5-yr design, in 26th yr 2026 (censored).</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ESA XMM-Newton (cosmos.esa.int/web/xmm-newton; en.wikipedia.org/wiki/XMM-Newton): launched 10 Dec 1999; 0.7 m mirror; 10-yr design life, still operating 2026 (censored).</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NASA/IPAC Spitzer (en.wikipedia.org/wiki/Spitzer_Space_Telescope; iopscience.iop.org/article/10.1086/422992): launched 25 Aug 2003; 0.85 m; 5-yr cryo design, cryo ended 2009, warm/beyond to Jan 2020.</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UV</w:t>
            </w:r>
          </w:p>
        </w:tc>
        <w:tc>
          <w:tcPr>
            <w:tcW w:w="0" w:type="auto"/>
          </w:tcPr>
          <w:p>
            <w:pPr>
              <w:spacing w:line="240" w:lineRule="auto" w:before="0" w:after="0"/>
              <w:pStyle w:val="Compact"/>
            </w:pPr>
            <w:r>
              <w:rPr>
                <w:sz w:val="20"/>
                <w:szCs w:val="20"/>
              </w:rPr>
              <w:t xml:space="preserve">NASA GALEX (galex.caltech.edu; science.nasa.gov): launched 28 Apr 2003; 0.5 m; 29-month primary mission, decommissioned 28 Jun 2013.</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gamma-ray/X-ray/UV</w:t>
            </w:r>
          </w:p>
        </w:tc>
        <w:tc>
          <w:tcPr>
            <w:tcW w:w="0" w:type="auto"/>
          </w:tcPr>
          <w:p>
            <w:pPr>
              <w:spacing w:line="240" w:lineRule="auto" w:before="0" w:after="0"/>
              <w:pStyle w:val="Compact"/>
            </w:pPr>
            <w:r>
              <w:rPr>
                <w:sz w:val="20"/>
                <w:szCs w:val="20"/>
              </w:rPr>
              <w:t xml:space="preserve">NASA Swift/Neil Gehrels Observatory (swift.gsfc.nasa.gov): launched 20 Nov 2004; 0.3 m UVOT; 2-yr design, operating 2026 (censored).</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JAXA AKARI (en.wikipedia.org/wiki/Akari_(satellite)): launched 21 Feb 2006; 0.69 m; helium-cooled survey to Aug 2007, near-IR to 2011 operations end.</w:t>
            </w:r>
          </w:p>
        </w:tc>
      </w:tr>
      <w:tr>
        <w:tc>
          <w:tcPr>
            <w:tcW w:w="0" w:type="auto"/>
          </w:tcPr>
          <w:p>
            <w:pPr>
              <w:spacing w:line="240" w:lineRule="auto" w:before="0" w:after="0"/>
              <w:pStyle w:val="Compact"/>
            </w:pPr>
            <w:r>
              <w:rPr>
                <w:sz w:val="20"/>
                <w:szCs w:val="20"/>
              </w:rPr>
              <w:t xml:space="preserve">Fermi</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gamma-ray</w:t>
            </w:r>
          </w:p>
        </w:tc>
        <w:tc>
          <w:tcPr>
            <w:tcW w:w="0" w:type="auto"/>
          </w:tcPr>
          <w:p>
            <w:pPr>
              <w:spacing w:line="240" w:lineRule="auto" w:before="0" w:after="0"/>
              <w:pStyle w:val="Compact"/>
            </w:pPr>
            <w:r>
              <w:rPr>
                <w:sz w:val="20"/>
                <w:szCs w:val="20"/>
              </w:rPr>
              <w:t xml:space="preserve">NASA Fermi Gamma-ray Space Telescope (fermi.gsfc.nasa.gov): launched 11 Jun 2008; LAT pair-conversion (no optical aperture, set 0); 5-yr design, operating 2026 (censored). [aperture illustrative]</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NASA Kepler (nasa.gov/news-release; en.wikipedia.org/wiki/Kepler_space_telescope): launched 7 Mar 2009; 0.95 m; 3.5-yr design, retired 30 Oct 2018 at reaction-control fuel depletion.</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far-infrared</w:t>
            </w:r>
          </w:p>
        </w:tc>
        <w:tc>
          <w:tcPr>
            <w:tcW w:w="0" w:type="auto"/>
          </w:tcPr>
          <w:p>
            <w:pPr>
              <w:spacing w:line="240" w:lineRule="auto" w:before="0" w:after="0"/>
              <w:pStyle w:val="Compact"/>
            </w:pPr>
            <w:r>
              <w:rPr>
                <w:sz w:val="20"/>
                <w:szCs w:val="20"/>
              </w:rPr>
              <w:t xml:space="preserve">ESA Herschel (herschel.caltech.edu; en.wikipedia.org/wiki/Herschel_Space_Observatory): launched 14 May 2009; 3.5 m; cryogen-limited, helium exhausted 29 Apr 2013.</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microwave</w:t>
            </w:r>
          </w:p>
        </w:tc>
        <w:tc>
          <w:tcPr>
            <w:tcW w:w="0" w:type="auto"/>
          </w:tcPr>
          <w:p>
            <w:pPr>
              <w:spacing w:line="240" w:lineRule="auto" w:before="0" w:after="0"/>
              <w:pStyle w:val="Compact"/>
            </w:pPr>
            <w:r>
              <w:rPr>
                <w:sz w:val="20"/>
                <w:szCs w:val="20"/>
              </w:rPr>
              <w:t xml:space="preserve">ESA Planck (cosmos.esa.int/web/planck): launched 14 May 2009; 1.5 m; HFI cryogen-limited (Jan 2012), LFI to Oct 2013 decommissioning.</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 WISE (en.wikipedia.org/wiki/Wide-field_Infrared_Survey_Explorer): launched 14 Dec 2009; 0.4 m; 7-month cryo survey, hydrogen depleted Sep 2010, hibernation Feb 2011 (pre-NEOWISE).</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NASA/DLR SOFIA (nasa.gov; en.wikipedia.org/wiki/Stratospheric_Observatory_for_Infrared_Astronomy): first light 26 May 2010; 2.5 m effective; 20-yr design, retired 29 Sep 2022.</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NASA NuSTAR (nustar.caltech.edu; en.wikipedia.org/wiki/NuSTAR): launched 13 Jun 2012; Wolter-I grazing-incidence (no filled aperture, set 0); 2-yr baseline, operating 2026 (censored). [aperture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optical/astrometry</w:t>
            </w:r>
          </w:p>
        </w:tc>
        <w:tc>
          <w:tcPr>
            <w:tcW w:w="0" w:type="auto"/>
          </w:tcPr>
          <w:p>
            <w:pPr>
              <w:spacing w:line="240" w:lineRule="auto" w:before="0" w:after="0"/>
              <w:pStyle w:val="Compact"/>
            </w:pPr>
            <w:r>
              <w:rPr>
                <w:sz w:val="20"/>
                <w:szCs w:val="20"/>
              </w:rPr>
              <w:t xml:space="preserve">ESA Gaia (cosmos.esa.int/web/gaia): launched 19 Dec 2013; 1.45 m along-scan; 5-yr design, science operations ended Jan 2025, decommissioned Mar 2025.</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NASA TESS (tess.mit.edu; heasarc.gsfc.nasa.gov): launched 18 Apr 2018; four 0.1 m lenses; 2-yr primary mission, in extended ops 2026 (censored).</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NASA/ESA/CSA JWST (jwst.nasa.gov; en.wikipedia.org/wiki/James_Webb_Space_Telescope): launched 25 Dec 2021; 6.5 m; 5-yr min (10-yr goal), operating 2026 (censored).</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optical/astrometry</w:t>
            </w:r>
          </w:p>
        </w:tc>
        <w:tc>
          <w:tcPr>
            <w:tcW w:w="0" w:type="auto"/>
          </w:tcPr>
          <w:p>
            <w:pPr>
              <w:spacing w:line="240" w:lineRule="auto" w:before="0" w:after="0"/>
              <w:pStyle w:val="Compact"/>
            </w:pPr>
            <w:r>
              <w:rPr>
                <w:sz w:val="20"/>
                <w:szCs w:val="20"/>
              </w:rPr>
              <w:t xml:space="preserve">ESA Hipparcos (cosmos.esa.int/web/hipparcos): launched 8 Aug 1989; 0.29 m; planned 2.5-yr, operations ended Aug 1993 after gyro degradation.</w:t>
            </w:r>
          </w:p>
        </w:tc>
      </w:tr>
      <w:tr>
        <w:tc>
          <w:tcPr>
            <w:tcW w:w="0" w:type="auto"/>
          </w:tcPr>
          <w:p>
            <w:pPr>
              <w:spacing w:line="240" w:lineRule="auto" w:before="0" w:after="0"/>
              <w:pStyle w:val="Compact"/>
            </w:pPr>
            <w:r>
              <w:rPr>
                <w:sz w:val="20"/>
                <w:szCs w:val="20"/>
              </w:rPr>
              <w:t xml:space="preserve">EUVE</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extreme-UV</w:t>
            </w:r>
          </w:p>
        </w:tc>
        <w:tc>
          <w:tcPr>
            <w:tcW w:w="0" w:type="auto"/>
          </w:tcPr>
          <w:p>
            <w:pPr>
              <w:spacing w:line="240" w:lineRule="auto" w:before="0" w:after="0"/>
              <w:pStyle w:val="Compact"/>
            </w:pPr>
            <w:r>
              <w:rPr>
                <w:sz w:val="20"/>
                <w:szCs w:val="20"/>
              </w:rPr>
              <w:t xml:space="preserve">NASA EUVE Extreme Ultraviolet Explorer (heasarc.gsfc.nasa.gov/docs/euve): launched 7 Jun 1992; 0.4 m; ~3-yr prime, decommissioned 31 Jan 2001.</w:t>
            </w:r>
          </w:p>
        </w:tc>
      </w:tr>
      <w:tr>
        <w:tc>
          <w:tcPr>
            <w:tcW w:w="0" w:type="auto"/>
          </w:tcPr>
          <w:p>
            <w:pPr>
              <w:spacing w:line="240" w:lineRule="auto" w:before="0" w:after="0"/>
              <w:pStyle w:val="Compact"/>
            </w:pPr>
            <w:r>
              <w:rPr>
                <w:sz w:val="20"/>
                <w:szCs w:val="20"/>
              </w:rPr>
              <w:t xml:space="preserve">FUSE</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far-UV</w:t>
            </w:r>
          </w:p>
        </w:tc>
        <w:tc>
          <w:tcPr>
            <w:tcW w:w="0" w:type="auto"/>
          </w:tcPr>
          <w:p>
            <w:pPr>
              <w:spacing w:line="240" w:lineRule="auto" w:before="0" w:after="0"/>
              <w:pStyle w:val="Compact"/>
            </w:pPr>
            <w:r>
              <w:rPr>
                <w:sz w:val="20"/>
                <w:szCs w:val="20"/>
              </w:rPr>
              <w:t xml:space="preserve">NASA FUSE Far Ultraviolet Spectroscopic Explorer (en.wikipedia.org/wiki/FUSE): launched 24 Jun 1999; 0.39 m; 3-yr design, ended Oct 2007 after reaction-wheel failures.</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JAXA/NASA Suzaku (en.wikipedia.org/wiki/Suzaku_(satellite)): launched 10 Jul 2005; 0.4 m XRT; XRS cryogen lost Aug 2005, XIS/HXD to 2015 decommissioning.</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Operational lifetime in years from start of science operations to retirement, or to the 2026 censoring date for facilities still operating</w:t>
            </w:r>
          </w:p>
        </w:tc>
        <w:tc>
          <w:tcPr>
            <w:tcW w:w="0" w:type="auto"/>
          </w:tcPr>
          <w:p>
            <w:pPr>
              <w:spacing w:line="240" w:lineRule="auto" w:before="0" w:after="0"/>
              <w:pStyle w:val="Compact"/>
            </w:pPr>
            <w:r>
              <w:rPr>
                <w:sz w:val="20"/>
                <w:szCs w:val="20"/>
              </w:rPr>
              <w:t xml:space="preserve">Computed from documented operations-start and retirement/decommissioning dates per facility; see data.csv source column</w:t>
            </w:r>
          </w:p>
        </w:tc>
      </w:tr>
      <w:tr>
        <w:tc>
          <w:tcPr>
            <w:tcW w:w="0" w:type="auto"/>
          </w:tcPr>
          <w:p>
            <w:pPr>
              <w:spacing w:line="240" w:lineRule="auto" w:before="0" w:after="0"/>
              <w:pStyle w:val="Compact"/>
            </w:pPr>
            <w:r>
              <w:rPr>
                <w:sz w:val="20"/>
                <w:szCs w:val="20"/>
              </w:rPr>
              <w:t xml:space="preserve">retired</w:t>
            </w:r>
          </w:p>
        </w:tc>
        <w:tc>
          <w:tcPr>
            <w:tcW w:w="0" w:type="auto"/>
          </w:tcPr>
          <w:p>
            <w:pPr>
              <w:spacing w:line="240" w:lineRule="auto" w:before="0" w:after="0"/>
              <w:pStyle w:val="Compact"/>
            </w:pPr>
            <w:r>
              <w:rPr>
                <w:sz w:val="20"/>
                <w:szCs w:val="20"/>
              </w:rPr>
              <w:t xml:space="preserve">Event indicator: 1 if the observatory had been retired or decommissioned by the censoring date, 0 if still operating (right-censored)</w:t>
            </w:r>
          </w:p>
        </w:tc>
        <w:tc>
          <w:tcPr>
            <w:tcW w:w="0" w:type="auto"/>
          </w:tcPr>
          <w:p>
            <w:pPr>
              <w:spacing w:line="240" w:lineRule="auto" w:before="0" w:after="0"/>
              <w:pStyle w:val="Compact"/>
            </w:pPr>
            <w:r>
              <w:rPr>
                <w:sz w:val="20"/>
                <w:szCs w:val="20"/>
              </w:rPr>
              <w:t xml:space="preserve">Facility status as documented in NASA/ESA/JAXA mission pages; see data.csv source column</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collecting-aperture diameter in metres (effective aperture; set to 0 for pair-conversion or grazing-incidence instruments with no filled optical aperture)</w:t>
            </w:r>
          </w:p>
        </w:tc>
        <w:tc>
          <w:tcPr>
            <w:tcW w:w="0" w:type="auto"/>
          </w:tcPr>
          <w:p>
            <w:pPr>
              <w:spacing w:line="240" w:lineRule="auto" w:before="0" w:after="0"/>
              <w:pStyle w:val="Compact"/>
            </w:pPr>
            <w:r>
              <w:rPr>
                <w:sz w:val="20"/>
                <w:szCs w:val="20"/>
              </w:rPr>
              <w:t xml:space="preserve">Facility specifications from mission pages and Wikipedia mission articles; see data.csv source column</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Planned or design operational lifetime in years as stated at mission start</w:t>
            </w:r>
          </w:p>
        </w:tc>
        <w:tc>
          <w:tcPr>
            <w:tcW w:w="0" w:type="auto"/>
          </w:tcPr>
          <w:p>
            <w:pPr>
              <w:spacing w:line="240" w:lineRule="auto" w:before="0" w:after="0"/>
              <w:pStyle w:val="Compact"/>
            </w:pPr>
            <w:r>
              <w:rPr>
                <w:sz w:val="20"/>
                <w:szCs w:val="20"/>
              </w:rPr>
              <w:t xml:space="preserve">Mission design documentation and project pages; see data.csv source column</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Indicator: 1 if the primary mission was limited by an exhaustible consumable (cryogen, propellant for cryostat) rather than by component wear-out, 0 otherwise</w:t>
            </w:r>
          </w:p>
        </w:tc>
        <w:tc>
          <w:tcPr>
            <w:tcW w:w="0" w:type="auto"/>
          </w:tcPr>
          <w:p>
            <w:pPr>
              <w:spacing w:line="240" w:lineRule="auto" w:before="0" w:after="0"/>
              <w:pStyle w:val="Compact"/>
            </w:pPr>
            <w:r>
              <w:rPr>
                <w:sz w:val="20"/>
                <w:szCs w:val="20"/>
              </w:rPr>
              <w:t xml:space="preserve">Mission design as documented per facility; see data.csv source column</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0.1993</w:t>
            </w:r>
          </w:p>
        </w:tc>
        <w:tc>
          <w:tcPr>
            <w:tcW w:w="0" w:type="auto"/>
          </w:tcPr>
          <w:p>
            <w:pPr>
              <w:spacing w:line="240" w:lineRule="auto" w:before="0" w:after="0"/>
              <w:pStyle w:val="Compact"/>
            </w:pPr>
            <w:r>
              <w:rPr>
                <w:sz w:val="20"/>
                <w:szCs w:val="20"/>
              </w:rPr>
              <w:t xml:space="preserve">0.2441</w:t>
            </w:r>
          </w:p>
        </w:tc>
        <w:tc>
          <w:tcPr>
            <w:tcW w:w="0" w:type="auto"/>
          </w:tcPr>
          <w:p>
            <w:pPr>
              <w:spacing w:line="240" w:lineRule="auto" w:before="0" w:after="0"/>
              <w:pStyle w:val="Compact"/>
            </w:pPr>
            <w:r>
              <w:rPr>
                <w:sz w:val="20"/>
                <w:szCs w:val="20"/>
              </w:rPr>
              <w:t xml:space="preserve">0.8166</w:t>
            </w:r>
          </w:p>
        </w:tc>
        <w:tc>
          <w:tcPr>
            <w:tcW w:w="0" w:type="auto"/>
          </w:tcPr>
          <w:p>
            <w:pPr>
              <w:spacing w:line="240" w:lineRule="auto" w:before="0" w:after="0"/>
              <w:pStyle w:val="Compact"/>
            </w:pPr>
            <w:r>
              <w:rPr>
                <w:sz w:val="20"/>
                <w:szCs w:val="20"/>
              </w:rPr>
              <w:t xml:space="preserve">0.4141</w:t>
            </w:r>
          </w:p>
        </w:tc>
        <w:tc>
          <w:tcPr>
            <w:tcW w:w="0" w:type="auto"/>
          </w:tcPr>
          <w:p>
            <w:pPr>
              <w:spacing w:line="240" w:lineRule="auto" w:before="0" w:after="0"/>
              <w:pStyle w:val="Compact"/>
            </w:pPr>
            <w:r>
              <w:rPr>
                <w:sz w:val="20"/>
                <w:szCs w:val="20"/>
              </w:rPr>
              <w:t xml:space="preserve">[-0.2791, 0.6777]</w:t>
            </w:r>
          </w:p>
        </w:tc>
        <w:tc>
          <w:tcPr>
            <w:tcW w:w="0" w:type="auto"/>
          </w:tcPr>
          <w:p>
            <w:pPr>
              <w:spacing w:line="240" w:lineRule="auto" w:before="0" w:after="0"/>
              <w:pStyle w:val="Compact"/>
            </w:pPr>
            <w:r>
              <w:rPr>
                <w:sz w:val="20"/>
                <w:szCs w:val="20"/>
              </w:rPr>
              <w:t xml:space="preserve">1.2206</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-0.1409</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-1.2864</w:t>
            </w:r>
          </w:p>
        </w:tc>
        <w:tc>
          <w:tcPr>
            <w:tcW w:w="0" w:type="auto"/>
          </w:tcPr>
          <w:p>
            <w:pPr>
              <w:spacing w:line="240" w:lineRule="auto" w:before="0" w:after="0"/>
              <w:pStyle w:val="Compact"/>
            </w:pPr>
            <w:r>
              <w:rPr>
                <w:sz w:val="20"/>
                <w:szCs w:val="20"/>
              </w:rPr>
              <w:t xml:space="preserve">0.1983</w:t>
            </w:r>
          </w:p>
        </w:tc>
        <w:tc>
          <w:tcPr>
            <w:tcW w:w="0" w:type="auto"/>
          </w:tcPr>
          <w:p>
            <w:pPr>
              <w:spacing w:line="240" w:lineRule="auto" w:before="0" w:after="0"/>
              <w:pStyle w:val="Compact"/>
            </w:pPr>
            <w:r>
              <w:rPr>
                <w:sz w:val="20"/>
                <w:szCs w:val="20"/>
              </w:rPr>
              <w:t xml:space="preserve">[-0.3556, 0.0738]</w:t>
            </w:r>
          </w:p>
        </w:tc>
        <w:tc>
          <w:tcPr>
            <w:tcW w:w="0" w:type="auto"/>
          </w:tcPr>
          <w:p>
            <w:pPr>
              <w:spacing w:line="240" w:lineRule="auto" w:before="0" w:after="0"/>
              <w:pStyle w:val="Compact"/>
            </w:pPr>
            <w:r>
              <w:rPr>
                <w:sz w:val="20"/>
                <w:szCs w:val="20"/>
              </w:rPr>
              <w:t xml:space="preserve">0.8686</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1.3172</w:t>
            </w:r>
          </w:p>
        </w:tc>
        <w:tc>
          <w:tcPr>
            <w:tcW w:w="0" w:type="auto"/>
          </w:tcPr>
          <w:p>
            <w:pPr>
              <w:spacing w:line="240" w:lineRule="auto" w:before="0" w:after="0"/>
              <w:pStyle w:val="Compact"/>
            </w:pPr>
            <w:r>
              <w:rPr>
                <w:sz w:val="20"/>
                <w:szCs w:val="20"/>
              </w:rPr>
              <w:t xml:space="preserve">0.5374</w:t>
            </w:r>
          </w:p>
        </w:tc>
        <w:tc>
          <w:tcPr>
            <w:tcW w:w="0" w:type="auto"/>
          </w:tcPr>
          <w:p>
            <w:pPr>
              <w:spacing w:line="240" w:lineRule="auto" w:before="0" w:after="0"/>
              <w:pStyle w:val="Compact"/>
            </w:pPr>
            <w:r>
              <w:rPr>
                <w:sz w:val="20"/>
                <w:szCs w:val="20"/>
              </w:rPr>
              <w:t xml:space="preserve">2.4509</w:t>
            </w:r>
          </w:p>
        </w:tc>
        <w:tc>
          <w:tcPr>
            <w:tcW w:w="0" w:type="auto"/>
          </w:tcPr>
          <w:p>
            <w:pPr>
              <w:spacing w:line="240" w:lineRule="auto" w:before="0" w:after="0"/>
              <w:pStyle w:val="Compact"/>
            </w:pPr>
            <w:r>
              <w:rPr>
                <w:sz w:val="20"/>
                <w:szCs w:val="20"/>
              </w:rPr>
              <w:t xml:space="preserve">0.0142</w:t>
            </w:r>
          </w:p>
        </w:tc>
        <w:tc>
          <w:tcPr>
            <w:tcW w:w="0" w:type="auto"/>
          </w:tcPr>
          <w:p>
            <w:pPr>
              <w:spacing w:line="240" w:lineRule="auto" w:before="0" w:after="0"/>
              <w:pStyle w:val="Compact"/>
            </w:pPr>
            <w:r>
              <w:rPr>
                <w:sz w:val="20"/>
                <w:szCs w:val="20"/>
              </w:rPr>
              <w:t xml:space="preserve">[0.2638, 2.3705]</w:t>
            </w:r>
          </w:p>
        </w:tc>
        <w:tc>
          <w:tcPr>
            <w:tcW w:w="0" w:type="auto"/>
          </w:tcPr>
          <w:p>
            <w:pPr>
              <w:spacing w:line="240" w:lineRule="auto" w:before="0" w:after="0"/>
              <w:pStyle w:val="Compact"/>
            </w:pPr>
            <w:r>
              <w:rPr>
                <w:sz w:val="20"/>
                <w:szCs w:val="20"/>
              </w:rPr>
              <w:t xml:space="preserve">3.7328</w:t>
            </w:r>
          </w:p>
        </w:tc>
      </w:tr>
    </w:tbl>
    <w:p>
      <w:pPr>
        <w:pStyle w:val="BodyText"/>
      </w:pPr>
      <w:r>
        <w:t xml:space="preserve">Fit: N = 24 events = 16</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2026-06-25T14:26:00Z</dcterms:created>
  <dcterms:modified xsi:type="dcterms:W3CDTF">2026-06-25T14:26:00Z</dcterms:modified>
</cp:coreProperties>
</file>

<file path=docProps/custom.xml><?xml version="1.0" encoding="utf-8"?>
<Properties xmlns="http://schemas.openxmlformats.org/officeDocument/2006/custom-properties" xmlns:vt="http://schemas.openxmlformats.org/officeDocument/2006/docPropsVTypes"/>
</file>