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SCIENCE-RETURN LEARNING CURVE OF SPACE TELESCOPES: A PRODUCTIVITY ECONOMETRIC OF OBSERVATORY MATURATION</w:t>
      </w:r>
    </w:p>
    <w:p>
      <w:pPr>
        <w:jc w:val="center"/>
      </w:pPr>
    </w:p>
    <w:p>
      <w:pPr>
        <w:jc w:val="center"/>
      </w:pPr>
      <w:r>
        <w:rPr>
          <w:rFonts w:ascii="Times New Roman" w:hAnsi="Times New Roman"/>
          <w:sz w:val="24"/>
        </w:rPr>
        <w:t>by</w:t>
      </w:r>
    </w:p>
    <w:p>
      <w:pPr>
        <w:jc w:val="center"/>
      </w:pPr>
      <w:r>
        <w:rPr>
          <w:rFonts w:ascii="Times New Roman" w:hAnsi="Times New Roman"/>
          <w:b/>
          <w:sz w:val="28"/>
        </w:rPr>
        <w:t>Joon Cohen</w:t>
      </w:r>
    </w:p>
    <w:p>
      <w:pPr>
        <w:jc w:val="center"/>
      </w:pPr>
      <w:r>
        <w:rPr>
          <w:rFonts w:ascii="Times New Roman" w:hAnsi="Times New Roman"/>
          <w:sz w:val="24"/>
        </w:rPr>
        <w:t>1B-AST-050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Every operating space and airborne observatory eventually arrives at a decision that no amount of scientific enthusiasm can postpone indefinitely: whether to extend, descope, or terminate the facility. For the program office, for the agencies that fund astronomical infrastructure, and for the National Aeronautics and Space Administration and the Jet Propulsion Laboratory in particular, that decision is recurrent, expensive, and structurally lopsided.</w:t>
      </w:r>
    </w:p>
    <w:p>
      <w:pPr>
        <w:pStyle w:val="BodyText"/>
        <w:spacing w:line="480" w:lineRule="auto"/>
        <w:ind w:firstLine="720"/>
      </w:pPr>
      <w:r>
        <w:t xml:space="preserve">The clock changes the question. It is lopsided since the two sides of the ledger are measured with vastly unequal rigor. From a survival-model perspective, the cost of continued operation is known to the dollar; it appears in budget lines, staffing plans, and senior review submissions. For the program office, the benefit of continued operation, the rate at which a facility converts an additional hour of observing time into refereed scientific knowledge, is almost never measured as a function of where the facility sits in its own operational life. Within the confirmation baseline, the resulting pattern is a class of high-stakes decisions in which the numerator of the cost-benefit ratio is precise and the denominator is narrative.</w:t>
      </w:r>
    </w:p>
    <w:p>
      <w:pPr>
        <w:pStyle w:val="BodyText"/>
        <w:spacing w:line="480" w:lineRule="auto"/>
        <w:ind w:firstLine="720"/>
      </w:pPr>
      <w:r>
        <w:t xml:space="preserve">Within the confirmation baseline, this asymmetry would be harmless if scientific productivity were stationary across a mission’s lifetime. It is not. For JPL and NASA, the facility-specific literature is unambiguous on this point. Early-science reports from the Stratospheric Observatory for Infrared Astronomy describe a 2.7 m airborne reflecting telescope whose first results emerged before its full instrument suite and operational cadence had matured</w:t>
      </w:r>
      <w:r>
        <w:t xml:space="preserve"> </w:t>
      </w:r>
      <w:hyperlink w:anchor="ref-1">
        <w:r>
          <w:rPr>
            <w:rStyle w:val="Hyperlink"/>
          </w:rPr>
          <w:t xml:space="preserve">[1]</w:t>
        </w:r>
      </w:hyperlink>
      <w:r>
        <w:t xml:space="preserve">, and the observatory’s sensor-development record emphasizes the iterative coordination between operations and science teams that characterizes the commissioning period</w:t>
      </w:r>
      <w:r>
        <w:t xml:space="preserve"> </w:t>
      </w:r>
      <w:hyperlink w:anchor="ref-2">
        <w:r>
          <w:rPr>
            <w:rStyle w:val="Hyperlink"/>
          </w:rPr>
          <w:t xml:space="preserve">[2]</w:t>
        </w:r>
      </w:hyperlink>
      <w:r>
        <w:t xml:space="preserve">. Within the confirmation baseline, the Pan-STARRS PS1 survey likewise distinguishes a defined start of operations from the subsequent observatory, telescope, and survey phases that produced its mature science yield</w:t>
      </w:r>
      <w:r>
        <w:t xml:space="preserve"> </w:t>
      </w:r>
      <w:hyperlink w:anchor="ref-3">
        <w:r>
          <w:rPr>
            <w:rStyle w:val="Hyperlink"/>
          </w:rPr>
          <w:t xml:space="preserve">[3]</w:t>
        </w:r>
      </w:hyperlink>
      <w:r>
        <w:t xml:space="preserve">. In the public record, these accounts establish, qualitatively and repeatedly, that an observatory fails to deliver science at a constant rate; it learns to deliver science, and the learning is concentrated in the transition from early operations to maturity.</w:t>
      </w:r>
    </w:p>
    <w:p>
      <w:pPr>
        <w:pStyle w:val="BodyText"/>
        <w:spacing w:line="480" w:lineRule="auto"/>
        <w:ind w:firstLine="720"/>
      </w:pPr>
      <w:r>
        <w:t xml:space="preserve">In practical program terms, non-stationarity here is not a curiosity of individual missions. It is the operating signature of a broader regularity. That timing is measurable. Space-economy and technology-maturation research documents that space systems follow recognizable development and maturation timelines, and that the infrastructure, production, and return characteristics of those systems evolve as they mature instead of holding fixed from first light</w:t>
      </w:r>
      <w:r>
        <w:t xml:space="preserve"> </w:t>
      </w:r>
      <w:hyperlink w:anchor="ref-4">
        <w:r>
          <w:rPr>
            <w:rStyle w:val="Hyperlink"/>
          </w:rPr>
          <w:t xml:space="preserve">[4]</w:t>
        </w:r>
      </w:hyperlink>
      <w:r>
        <w:t xml:space="preserve">[5]. If astronomical observatories inherit this maturation behavior in their science-production function, as the facility literature strongly suggests they do</w:t>
      </w:r>
      <w:r>
        <w:t xml:space="preserve"> </w:t>
      </w:r>
      <w:hyperlink w:anchor="ref-1">
        <w:r>
          <w:rPr>
            <w:rStyle w:val="Hyperlink"/>
          </w:rPr>
          <w:t xml:space="preserve">[1]</w:t>
        </w:r>
      </w:hyperlink>
      <w:r>
        <w:t xml:space="preserve">[2][3], then the marginal scientific value of an observing hour is not a constant of the instrument; it is a function of the instrument’s accumulated operational experience. In practical program terms, a lifetime-extension decision made on cost grounds alone, holding the benefit term implicitly fixed, for that reason systematically misprices the very quantity it is meant to weigh.</w:t>
      </w:r>
    </w:p>
    <w:bookmarkEnd w:id="61"/>
    <w:bookmarkStart w:id="62" w:name="why-the-stakes-fall-on-nasa-and-jpl"/>
    <w:p>
      <w:pPr>
        <w:pStyle w:val="Heading2"/>
        <w:spacing w:line="480" w:lineRule="auto"/>
      </w:pPr>
      <w:r>
        <w:t xml:space="preserve">1.2 Why the Stakes Fall on NASA and JPL</w:t>
      </w:r>
    </w:p>
    <w:p>
      <w:pPr>
        <w:pStyle w:val="FirstParagraph"/>
        <w:spacing w:line="480" w:lineRule="auto"/>
      </w:pPr>
      <w:r>
        <w:t xml:space="preserve">This mispricing is not academic. NASA conducts periodic senior reviews of its operating astrophysics missions, and at each review a portfolio of facilities competes for a finite extended-operations budget. At the portfolio level, the facilities under review are precisely those that have already survived their primary missions and are candidates for the mature, high-productivity epochs that the facility literature identifies as an observatory’s most valuable years</w:t>
      </w:r>
      <w:r>
        <w:t xml:space="preserve"> </w:t>
      </w:r>
      <w:hyperlink w:anchor="ref-1">
        <w:r>
          <w:rPr>
            <w:rStyle w:val="Hyperlink"/>
          </w:rPr>
          <w:t xml:space="preserve">[1]</w:t>
        </w:r>
      </w:hyperlink>
      <w:r>
        <w:t xml:space="preserve">[2][3]. From a survival-model perspective, if late operating years are disproportionately productive, then the timing and outcome of these reviews directly govern how much of each observatory’s potential science is ever realized. In the mission archive, a facility terminated one senior-review cycle before its productivity plateau forfeits the most scientifically efficient hours it would ever have produced. A facility extended on the strength of a mature productivity that the agency could not actually quantify is a defensible bet made on intuition instead of evidence.</w:t>
      </w:r>
    </w:p>
    <w:p>
      <w:pPr>
        <w:pStyle w:val="BodyText"/>
        <w:spacing w:line="480" w:lineRule="auto"/>
        <w:ind w:firstLine="720"/>
      </w:pPr>
      <w:r>
        <w:t xml:space="preserve">From a survival-model perspective, for JPL the stakes are sharpened further by the structure of its portfolio. JPL operates and supports facilities across the infrared, optical, and other bands.</w:t>
      </w:r>
    </w:p>
    <w:p>
      <w:pPr>
        <w:pStyle w:val="BodyText"/>
        <w:spacing w:line="480" w:lineRule="auto"/>
        <w:ind w:firstLine="720"/>
      </w:pPr>
      <w:r>
        <w:t xml:space="preserve">The evidence remains public. Their architectures differ, and the difference turns out to matter decisively for whether the maturation premium can ever be captured. In practical program terms, a consumable-limited observatory, one whose prime sensitivity depends on an exhaustible cryogen, faces an effectively scheduled death: when the coolant is spent, the cold mission ends regardless of how well the spacecraft is otherwise performing. For the program office, a wear-out-limited observatory faces a soft economic constraint instead, and can in principle be extended for as long as an agency continues to fund it. Across the cost record, this dissertation’s companion survival analyses make the consequence quantitative. Against that evidence, across a panel of space and airborne observatories, consumable limitation is the dominant observable driver of retirement, raising the instantaneous hazard of termination by roughly a factor of three and a half to four relative to wear-out-limited facilities, while neither aperture nor nominal design lifetime attains conventional significance. Within the confirmation baseline, the implication for NASA and JPL is that the population of long-lived, mature observatories is systematically enriched in non-consumable architectures, and that the architectural choices fixed at design time, not the budget choices made during operations, most strongly govern which facilities ever reach the productive epochs that the senior-review process exists to evaluate. For JPL and NASA, a lifetime-extension framework that fails to measure the maturation premium, and fails to condition that measurement on the selection mechanism that determines which facilities survive to claim it, is for that reason mispricing both terms of the decision it is meant to inform.</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In practical program terms, the problem the analysis here addresses sits in the space between two literatures that bracket it without closing it.</w:t>
      </w:r>
    </w:p>
    <w:p>
      <w:pPr>
        <w:pStyle w:val="BodyText"/>
        <w:spacing w:line="480" w:lineRule="auto"/>
        <w:ind w:firstLine="720"/>
      </w:pPr>
      <w:r>
        <w:t xml:space="preserve">The first is the domain literature on individual facilities. Early-science and maturation reports document, facility by facility, that scientific output rises as instruments are commissioned, calibration is refined, and processing pipelines mature</w:t>
      </w:r>
      <w:r>
        <w:t xml:space="preserve"> </w:t>
      </w:r>
      <w:hyperlink w:anchor="ref-1">
        <w:r>
          <w:rPr>
            <w:rStyle w:val="Hyperlink"/>
          </w:rPr>
          <w:t xml:space="preserve">[1]</w:t>
        </w:r>
      </w:hyperlink>
      <w:r>
        <w:t xml:space="preserve">[2][3]. Timing matters.</w:t>
      </w:r>
    </w:p>
    <w:p>
      <w:pPr>
        <w:pStyle w:val="BodyText"/>
        <w:spacing w:line="480" w:lineRule="auto"/>
        <w:ind w:firstLine="720"/>
      </w:pPr>
      <w:r>
        <w:t xml:space="preserve">Within the confirmation baseline, this literature is rich, specific, and credible. Within the confirmation baseline, it establishes beyond reasonable doubt that learning occurs. Against that evidence, what it fails to do is measure the rate at which learning occurs. In the public record, the transition from early science to maturity is described as a story, a sequence of phases narrated for each observatory in its own terms, instead of estimated as a production relationship that holds across facilities and could be falsified by data. Against that evidence, the PS1 survey’s phase structure</w:t>
      </w:r>
      <w:r>
        <w:t xml:space="preserve"> </w:t>
      </w:r>
      <w:hyperlink w:anchor="ref-3">
        <w:r>
          <w:rPr>
            <w:rStyle w:val="Hyperlink"/>
          </w:rPr>
          <w:t xml:space="preserve">[3]</w:t>
        </w:r>
      </w:hyperlink>
      <w:r>
        <w:t xml:space="preserve"> </w:t>
      </w:r>
      <w:r>
        <w:t xml:space="preserve">and SOFIA’s commissioning record</w:t>
      </w:r>
      <w:r>
        <w:t xml:space="preserve"> </w:t>
      </w:r>
      <w:hyperlink w:anchor="ref-1">
        <w:r>
          <w:rPr>
            <w:rStyle w:val="Hyperlink"/>
          </w:rPr>
          <w:t xml:space="preserve">[1]</w:t>
        </w:r>
      </w:hyperlink>
      <w:r>
        <w:t xml:space="preserve">[2] are existence proofs of maturation; they are not estimates of its magnitude.</w:t>
      </w:r>
    </w:p>
    <w:p>
      <w:pPr>
        <w:pStyle w:val="BodyText"/>
        <w:spacing w:line="480" w:lineRule="auto"/>
        <w:ind w:firstLine="720"/>
      </w:pPr>
      <w:r>
        <w:t xml:space="preserve">From a survival-model perspective, the second is the econometric and space-economy literature on technology maturation. This body of work characterizes development timelines and cost evolution for space systems in aggregate, treating maturation as a general property of space infrastructure instead of of any single program</w:t>
      </w:r>
      <w:r>
        <w:t xml:space="preserve"> </w:t>
      </w:r>
      <w:hyperlink w:anchor="ref-4">
        <w:r>
          <w:rPr>
            <w:rStyle w:val="Hyperlink"/>
          </w:rPr>
          <w:t xml:space="preserve">[4]</w:t>
        </w:r>
      </w:hyperlink>
      <w:r>
        <w:t xml:space="preserve">[5]. It supplies the methodological vocabulary, the experience-curve and productivity-econometric apparatus, in which a learning relationship could be written down and estimated.</w:t>
      </w:r>
    </w:p>
    <w:p>
      <w:pPr>
        <w:pStyle w:val="BodyText"/>
        <w:spacing w:line="480" w:lineRule="auto"/>
        <w:ind w:firstLine="720"/>
      </w:pPr>
      <w:r>
        <w:t xml:space="preserve">What it fails to do is isolate the science-production function of an operating astronomical observatory. It fails to express observatory output in productivity terms, fails to take cumulative operational experience as an explanatory variable, and fails to supply a cross-facility specification in which the science return per observing hour is the quantity to be explained.</w:t>
      </w:r>
    </w:p>
    <w:p>
      <w:pPr>
        <w:pStyle w:val="BodyText"/>
        <w:spacing w:line="480" w:lineRule="auto"/>
        <w:ind w:firstLine="720"/>
      </w:pPr>
      <w:r>
        <w:t xml:space="preserve">The gap between these two literatures is for that reason neither descriptive nor methodological in isolation; it is the absence of their intersection. The domain literature has the phenomenon but not the estimator. Read as a development signal, the econometric literature has the estimator but not the phenomenon. In the mission archive, neither supplies a falsifiable specification in which cumulative operational experience is the regressor and refereed scientific output per observing hour is the regressand, accompanied by an explicit null hypothesis under which the relationship is zero. For the program office, the qualitative claim that observatories improve with experience is well supported</w:t>
      </w:r>
      <w:r>
        <w:t xml:space="preserve"> </w:t>
      </w:r>
      <w:hyperlink w:anchor="ref-1">
        <w:r>
          <w:rPr>
            <w:rStyle w:val="Hyperlink"/>
          </w:rPr>
          <w:t xml:space="preserve">[1]</w:t>
        </w:r>
      </w:hyperlink>
      <w:r>
        <w:t xml:space="preserve">[2][3]; the quantitative claim that they improve at a particular, testable rate has never been written down in a form that data could reject. For JPL and NASA, the empirical analysis here occupies exactly that intersection.</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In the mission archive, the dissertation defends one falsifiable contribution: an identified, replicable estimate of the science-return learning rate of astronomical observatories.</w:t>
      </w:r>
    </w:p>
    <w:p>
      <w:pPr>
        <w:pStyle w:val="BodyText"/>
        <w:spacing w:line="480" w:lineRule="auto"/>
        <w:ind w:firstLine="720"/>
      </w:pPr>
      <w:r>
        <w:t xml:space="preserve">From a survival-model perspective, the central contribution is stated precisely as a hypothesis test. In the public record, define science productivity as refereed scientific output per unit of allocated observing time for a facility in a given operational epoch. At the portfolio level, define cumulative experience as the facility’s accumulated operating time up to that epoch. Seen from the schedule line, the estimating equation is a log-linear experience-curve specification,</w:t>
      </w:r>
    </w:p>
    <w:p>
      <w:pPr>
        <w:pStyle w:val="BodyText"/>
        <w:spacing w:line="480" w:lineRule="auto"/>
        <w:ind w:firstLine="720"/>
      </w:pPr>
      <w:r>
        <w:t xml:space="preserve">log(productivity for facility i in epoch t) = alpha_i + beta * log(cumulative experience for facility i in epoch t) + gamma * X_it + error_it,</w:t>
      </w:r>
    </w:p>
    <w:p>
      <w:pPr>
        <w:pStyle w:val="BodyText"/>
        <w:spacing w:line="480" w:lineRule="auto"/>
        <w:ind w:firstLine="720"/>
      </w:pPr>
      <w:r>
        <w:t xml:space="preserve">in which alpha_i is a facility fixed effect that absorbs all time-invariant facility characteristics, X_it is a vector of controls including instrument-generation indicators and observing-band controls, and beta is the learning elasticity of interest. For the program office, the two hypotheses are:</w:t>
      </w:r>
    </w:p>
    <w:p>
      <w:pPr>
        <w:pStyle w:val="Compact"/>
        <w:spacing w:line="480" w:lineRule="auto"/>
        <w:numPr>
          <w:ilvl w:val="0"/>
          <w:numId w:val="1001"/>
        </w:numPr>
      </w:pPr>
      <w:r>
        <w:rPr>
          <w:b/>
          <w:bCs/>
        </w:rPr>
        <w:t xml:space="preserve">H0 (null):</w:t>
      </w:r>
      <w:r>
        <w:t xml:space="preserve"> </w:t>
      </w:r>
      <w:r>
        <w:t xml:space="preserve">beta equals zero. The elasticity of science productivity with respect to cumulative operational experience is zero; science return per observing hour does not change as a facility accumulates experience, and observed differences across epochs are noise.</w:t>
      </w:r>
    </w:p>
    <w:p>
      <w:pPr>
        <w:pStyle w:val="Compact"/>
        <w:spacing w:line="480" w:lineRule="auto"/>
        <w:numPr>
          <w:ilvl w:val="0"/>
          <w:numId w:val="1001"/>
        </w:numPr>
      </w:pPr>
      <w:r>
        <w:rPr>
          <w:b/>
          <w:bCs/>
        </w:rPr>
        <w:t xml:space="preserve">H1 (alternative):</w:t>
      </w:r>
      <w:r>
        <w:t xml:space="preserve"> </w:t>
      </w:r>
      <w:r>
        <w:t xml:space="preserve">beta is strictly greater than zero. Science return per observing hour rises with accumulated experience at a measurable, statistically significant rate, consistent with the experience-curve behavior documented for space technologies</w:t>
      </w:r>
      <w:r>
        <w:t xml:space="preserve"> </w:t>
      </w:r>
      <w:hyperlink w:anchor="ref-4">
        <w:r>
          <w:rPr>
            <w:rStyle w:val="Hyperlink"/>
          </w:rPr>
          <w:t xml:space="preserve">[4]</w:t>
        </w:r>
      </w:hyperlink>
      <w:r>
        <w:t xml:space="preserve">[5] and with the early-science-to-maturity transitions documented for specific facilities</w:t>
      </w:r>
      <w:r>
        <w:t xml:space="preserve"> </w:t>
      </w:r>
      <w:hyperlink w:anchor="ref-1">
        <w:r>
          <w:rPr>
            <w:rStyle w:val="Hyperlink"/>
          </w:rPr>
          <w:t xml:space="preserve">[1]</w:t>
        </w:r>
      </w:hyperlink>
      <w:r>
        <w:t xml:space="preserve">[2][3].</w:t>
      </w:r>
    </w:p>
    <w:p>
      <w:pPr>
        <w:pStyle w:val="FirstParagraph"/>
        <w:spacing w:line="480" w:lineRule="auto"/>
      </w:pPr>
      <w:r>
        <w:t xml:space="preserve">Rejection of H0 in favor of H1, with an estimated learning rate and a confidence interval, is the single contribution. From a survival-model perspective, the claim tested here is falsifiable in the strict sense: a failure to reject H0 is an equally publishable and equally informative result, since it would falsify the prevailing narrative assumption that observatories reliably mature into higher scientific productivity. The central contribution fails to depend on the direction of the finding; it depends on supplying, for the first time, a quantity that the senior-review and lifetime-extension processes currently treat as unmeasurable.</w:t>
      </w:r>
    </w:p>
    <w:p>
      <w:pPr>
        <w:pStyle w:val="BodyText"/>
        <w:spacing w:line="480" w:lineRule="auto"/>
        <w:ind w:firstLine="720"/>
      </w:pPr>
      <w:r>
        <w:t xml:space="preserve">The facility fixed effect alpha_i is what makes the estimate an identification instead of a correlation. From a survival-model perspective, the obvious confounder is that intrinsically more capable facilities both accumulate more experience and produce more science, which would induce a positive cross-facility association between experience and productivity even if no learning occurred within any facility.</w:t>
      </w:r>
    </w:p>
    <w:p>
      <w:pPr>
        <w:pStyle w:val="BodyText"/>
        <w:spacing w:line="480" w:lineRule="auto"/>
        <w:ind w:firstLine="720"/>
      </w:pPr>
      <w:r>
        <w:t xml:space="preserve">The claim stays falsifiable. Against that evidence, with alpha_i in the model, beta is identified from the time path of each facility’s own productivity, not from comparisons across facilities, so the within-facility maturation effect is separated from the cross-facility capability effect by construction. In practical program terms, two further threats are addressed structurally instead of assumed away. For the program office, selection into continued operation, the fact that productive facilities get extended and late epochs are for that reason non-random, is the central identification threat, and it is the reason the dissertation models the operational-continuation decision explicitly. For JPL and NASA, the survival analyses that accompany the productivity estimate establish that this selection is real and quantify its dominant channel: consumable-limited facilities terminate at roughly three and a half to four times the hazard of wear-out-limited facilities, so the surviving population that reaches maturity is architecturally non-random, and the productivity specification must carry that architecture as a control or stratifying variable. Instrument upgrades that coincide with experience accumulation are separated from pure operational learning by the instrument-generation indicators, so that beta captures procedural learning net of hardware change.</w:t>
      </w:r>
    </w:p>
    <w:p>
      <w:pPr>
        <w:pStyle w:val="BodyText"/>
        <w:spacing w:line="480" w:lineRule="auto"/>
        <w:ind w:firstLine="720"/>
      </w:pPr>
      <w:r>
        <w:t xml:space="preserve">Read as a development signal, the data have a fully traceable public provenance. In the public record, the dependent variable is built from the NASA Astrophysics Data System refereed-publication record, which provides facility-tagged and telescope-keyword-tagged bibliographies with citation counts and publication dates through its public interface and is the standard source for observatory bibliometric productivity. For JPL and NASA, observing-time allocations and operational epochs are drawn from facility operations records and annual reports, and the early-science-to-maturity epoch boundaries are corroborated against the peer-reviewed facility literature retrieved for this work</w:t>
      </w:r>
      <w:r>
        <w:t xml:space="preserve"> </w:t>
      </w:r>
      <w:hyperlink w:anchor="ref-1">
        <w:r>
          <w:rPr>
            <w:rStyle w:val="Hyperlink"/>
          </w:rPr>
          <w:t xml:space="preserve">[1]</w:t>
        </w:r>
      </w:hyperlink>
      <w:r>
        <w:t xml:space="preserve">[2][3]. For the program office, no proprietary or non-obtainable input is required.</w:t>
      </w:r>
    </w:p>
    <w:bookmarkEnd w:id="64"/>
    <w:bookmarkStart w:id="65" w:name="roadmap"/>
    <w:p>
      <w:pPr>
        <w:pStyle w:val="Heading2"/>
        <w:spacing w:line="480" w:lineRule="auto"/>
      </w:pPr>
      <w:r>
        <w:t xml:space="preserve">1.5 Roadmap</w:t>
      </w:r>
    </w:p>
    <w:p>
      <w:pPr>
        <w:pStyle w:val="FirstParagraph"/>
        <w:spacing w:line="480" w:lineRule="auto"/>
      </w:pPr>
      <w:r>
        <w:t xml:space="preserve">Seen from the schedule line, the remainder of the dissertation develops the contribution in three movements: the selection mechanism, the productivity estimate, and the synthesis for policy.</w:t>
      </w:r>
    </w:p>
    <w:p>
      <w:pPr>
        <w:pStyle w:val="BodyText"/>
        <w:spacing w:line="480" w:lineRule="auto"/>
        <w:ind w:firstLine="720"/>
      </w:pPr>
      <w:r>
        <w:t xml:space="preserve">Chapter 2 reviews the two bracketing literatures in detail and states the conceptual framework that links them, formalizing the science-production function and the experience-curve logic adapted from the space-technology maturation literature</w:t>
      </w:r>
      <w:r>
        <w:t xml:space="preserve"> </w:t>
      </w:r>
      <w:hyperlink w:anchor="ref-4">
        <w:r>
          <w:rPr>
            <w:rStyle w:val="Hyperlink"/>
          </w:rPr>
          <w:t xml:space="preserve">[4]</w:t>
        </w:r>
      </w:hyperlink>
      <w:r>
        <w:t xml:space="preserve">[5] to the specific case of astronomical facilities</w:t>
      </w:r>
      <w:r>
        <w:t xml:space="preserve"> </w:t>
      </w:r>
      <w:hyperlink w:anchor="ref-1">
        <w:r>
          <w:rPr>
            <w:rStyle w:val="Hyperlink"/>
          </w:rPr>
          <w:t xml:space="preserve">[1]</w:t>
        </w:r>
      </w:hyperlink>
      <w:r>
        <w:t xml:space="preserve">[2][3].</w:t>
      </w:r>
    </w:p>
    <w:p>
      <w:pPr>
        <w:pStyle w:val="BodyText"/>
        <w:spacing w:line="480" w:lineRule="auto"/>
        <w:ind w:firstLine="720"/>
      </w:pPr>
      <w:r>
        <w:t xml:space="preserve">Chapters 3 and 4 establish the selection mechanism that any learning-curve estimate must confront. Timing matters. In practical program terms, they model observatory operational lifetime as a survival process, fitting Cox proportional-hazards specifications to panels of space and airborne observatories and recovering the systematic drivers of retirement.</w:t>
      </w:r>
    </w:p>
    <w:p>
      <w:pPr>
        <w:pStyle w:val="BodyText"/>
        <w:spacing w:line="480" w:lineRule="auto"/>
        <w:ind w:firstLine="720"/>
      </w:pPr>
      <w:r>
        <w:t xml:space="preserve">In the public record, the central finding of these chapters is that consumable dependence, an architectural feature fixed at design time, is the dominant observable predictor of termination, raising the retirement hazard by roughly a factor of three and a half to four, while aperture and nominal design lifetime fail to attain conventional significance. From a survival-model perspective, this result is the structural complement to the productivity estimate: it characterizes which facilities reach their high-productivity mature epochs at all, and it identifies the single covariate, consumable limitation, that most needs to be carried as a control or stratifying variable in the productivity work that follows.</w:t>
      </w:r>
    </w:p>
    <w:p>
      <w:pPr>
        <w:pStyle w:val="BodyText"/>
        <w:spacing w:line="480" w:lineRule="auto"/>
        <w:ind w:firstLine="720"/>
      </w:pPr>
      <w:r>
        <w:t xml:space="preserve">Chapter 5 presents the dissertation’s central estimate. Across the cost record, it specifies and fits the log-linear experience-curve model, identifies the learning elasticity beta from within-facility variation across operational epochs, and reports the estimate with its confidence interval under the explicit H0-versus-H1 test stated above. In practical program terms, the chapter assesses robustness across alternative productivity denominators, alternative experience measures, and specifications that include and exclude the continuation correction implied by the survival analyses of Chapters 3 and 4.</w:t>
      </w:r>
    </w:p>
    <w:p>
      <w:pPr>
        <w:pStyle w:val="BodyText"/>
        <w:spacing w:line="480" w:lineRule="auto"/>
        <w:ind w:firstLine="720"/>
      </w:pPr>
      <w:r>
        <w:t xml:space="preserve">Chapter 6 confronts the threats to validity directly: bibliometric measurement error in refereed output and in facility tagging, survivorship and selection in the panel of facility-epochs, confounding instrument upgrades, and the limited external validity of a small panel of long-lived, well-documented observatories</w:t>
      </w:r>
      <w:r>
        <w:t xml:space="preserve"> </w:t>
      </w:r>
      <w:hyperlink w:anchor="ref-1">
        <w:r>
          <w:rPr>
            <w:rStyle w:val="Hyperlink"/>
          </w:rPr>
          <w:t xml:space="preserve">[1]</w:t>
        </w:r>
      </w:hyperlink>
      <w:r>
        <w:t xml:space="preserve">[2][3]. Each threat is paired with the specific mitigation built into the design instead of acknowledged and set aside.</w:t>
      </w:r>
    </w:p>
    <w:p>
      <w:pPr>
        <w:pStyle w:val="BodyText"/>
        <w:spacing w:line="480" w:lineRule="auto"/>
        <w:ind w:firstLine="720"/>
      </w:pPr>
      <w:r>
        <w:t xml:space="preserve">From a survival-model perspective, chapter 7 synthesizes the survival and productivity results into a single decision-relevant statement for NASA and JPL. Across the cost record, it distinguishes the consumable-limited regime, in which the maturation premium is structurally difficult to capture since the retirement hazard is largely exogenous to operational performance, from the wear-out-limited regime, in which extension is genuinely discretionary and the learning-curve estimate becomes directly actionable in senior review. The chapter draws out the investment implication that follows: the expected operational return to a passively cooled or coolant-free architecture is larger than a first-cost comparison suggests, since such facilities carry a far lower hazard of early termination and for that reason a far greater opportunity to reach the productive mature epochs documented in the facility literature</w:t>
      </w:r>
      <w:r>
        <w:t xml:space="preserve"> </w:t>
      </w:r>
      <w:hyperlink w:anchor="ref-1">
        <w:r>
          <w:rPr>
            <w:rStyle w:val="Hyperlink"/>
          </w:rPr>
          <w:t xml:space="preserve">[1]</w:t>
        </w:r>
      </w:hyperlink>
      <w:r>
        <w:t xml:space="preserve">[2][3]. The dissertation concludes by returning to the asymmetry that motivated it, having supplied the missing benefit term, an estimated and falsifiable rate at which observatories convert experience into science, that lifetime-extension decisions have until now been forced to supply by narrative alone.</w:t>
      </w:r>
    </w:p>
    <w:bookmarkEnd w:id="65"/>
    <w:bookmarkEnd w:id="66"/>
    <w:bookmarkStart w:id="73" w:name="chapter-2.-literature-review"/>
    <w:p>
      <w:pPr>
        <w:pStyle w:val="Heading1"/>
        <w:spacing w:line="480" w:lineRule="auto"/>
      </w:pPr>
      <w:r>
        <w:t xml:space="preserve">Chapter 2. Literature Review</w:t>
      </w:r>
    </w:p>
    <w:bookmarkStart w:id="67" w:name="Xed474cd8d1325411cd24c8cbe9c0aa65f0ff2b0"/>
    <w:p>
      <w:pPr>
        <w:pStyle w:val="Heading2"/>
        <w:spacing w:line="480" w:lineRule="auto"/>
      </w:pPr>
      <w:r>
        <w:t xml:space="preserve">2.1 Orientation: Two Literatures That Do Not Speak</w:t>
      </w:r>
    </w:p>
    <w:p>
      <w:pPr>
        <w:pStyle w:val="FirstParagraph"/>
        <w:spacing w:line="480" w:lineRule="auto"/>
      </w:pPr>
      <w:r>
        <w:t xml:space="preserve">The empirical analysis here sits at the seam between two mature but mutually unaware bodies of scholarship. The first is the domain-technical literature of astronomical observatory operations: the engineering, commissioning, instrument-development, and early-science reporting that describes how space and airborne facilities are built, brought into service, and operated until they convert observing time into refereed knowledge. In practical program terms, the second is the cliometric and econometric methodology of productivity measurement: the experience-curve, learning-rate, time-to-event, and panel-identification toolkit by which economists estimate how the output of a productive unit evolves with accumulated experience and how that unit’s lifetime is determined. Each literature is internally rich. Seen from the schedule line, neither has been brought to bear on the other. The domain literature establishes, narratively and at the level of individual facilities, that observatories mature into higher scientific productivity; it fails to estimate the rate of that maturation, nor does it model the selection process that governs which facilities survive to be observed in their mature epochs. For JPL and NASA, the methodology literature supplies precisely the estimators that would close those gaps; it has not been applied to the observatory case. In practical program terms, the immediate purpose of the chapter is to survey both literatures in the depth they deserve, to demonstrate that the conceptual bridge between them has not been built, and to specify the exact joint that the analysis here welds.</w:t>
      </w:r>
    </w:p>
    <w:p>
      <w:pPr>
        <w:pStyle w:val="BodyText"/>
        <w:spacing w:line="480" w:lineRule="auto"/>
        <w:ind w:firstLine="720"/>
      </w:pPr>
      <w:r>
        <w:t xml:space="preserve">The argument proceeds in five movements. Section 2.2 reviews the facility-specific technical literature, organized around the early-science-to-maturity transition that the prospectus takes as its empirical anchor.</w:t>
      </w:r>
    </w:p>
    <w:p>
      <w:pPr>
        <w:pStyle w:val="BodyText"/>
        <w:spacing w:line="480" w:lineRule="auto"/>
        <w:ind w:firstLine="720"/>
      </w:pPr>
      <w:r>
        <w:t xml:space="preserve">The record supports the test. In practical program terms, section 2.3 surveys the instrument, pipeline, and processing-subsystem literature that underwrites the claim that observatory output is a function of a maturing production apparatus instead of a fixed delivery of photons. In practical program terms, section 2.4 turns to the cliometric and econometric methodology: experience curves, productivity elasticities, survival analysis, and the panel-identification strategies that neutralize the confounds endemic to facility-level comparison. At the portfolio level, section 2.5 reviews the space-economy and technology-maturation literature that supplies the macro framing of the maturation analogy and bounds its evidentiary weight. Against that evidence, section 2.6 synthesizes the four reviews, states the gap formally, and shows how the two companion papers of the analysis here already operate on either side of it.</w:t>
      </w:r>
    </w:p>
    <w:bookmarkEnd w:id="67"/>
    <w:bookmarkStart w:id="68" w:name="Xb1e015ac50231f09a1aef42feec8444d8ddb8a4"/>
    <w:p>
      <w:pPr>
        <w:pStyle w:val="Heading2"/>
        <w:spacing w:line="480" w:lineRule="auto"/>
      </w:pPr>
      <w:r>
        <w:t xml:space="preserve">2.2 The Facility-Technical Literature: Maturation as Documented Narrative</w:t>
      </w:r>
    </w:p>
    <w:p>
      <w:pPr>
        <w:pStyle w:val="FirstParagraph"/>
        <w:spacing w:line="480" w:lineRule="auto"/>
      </w:pPr>
      <w:r>
        <w:t xml:space="preserve">In the public record, the empirical backbone of the maturation claim is a small set of facility reports that document, in the authors’ own operational terms, that scientific output is not stationary across a mission’s life. For the program office, the clearest articulation comes from the Stratospheric Observatory for Infrared Astronomy.</w:t>
      </w:r>
    </w:p>
    <w:p>
      <w:pPr>
        <w:pStyle w:val="BodyText"/>
        <w:spacing w:line="480" w:lineRule="auto"/>
        <w:ind w:firstLine="720"/>
      </w:pPr>
      <w:r>
        <w:t xml:space="preserve">The risk is dated. De Buizer’s early-science report describes a 2.7 m airborne reflecting telescope whose first scientific results emerged before the full instrument complement, the calibration chain, and the flight-operations cadence had reached their eventual maturity</w:t>
      </w:r>
      <w:r>
        <w:t xml:space="preserve"> </w:t>
      </w:r>
      <w:hyperlink w:anchor="ref-1">
        <w:r>
          <w:rPr>
            <w:rStyle w:val="Hyperlink"/>
          </w:rPr>
          <w:t xml:space="preserve">[1]</w:t>
        </w:r>
      </w:hyperlink>
      <w:r>
        <w:t xml:space="preserve">. For the program office, the framing of that report is itself evidence: it is titled and structured as an</w:t>
      </w:r>
      <w:r>
        <w:t xml:space="preserve"> </w:t>
      </w:r>
      <w:r>
        <w:rPr>
          <w:i/>
          <w:iCs/>
        </w:rPr>
        <w:t xml:space="preserve">early-science</w:t>
      </w:r>
      <w:r>
        <w:t xml:space="preserve"> </w:t>
      </w:r>
      <w:r>
        <w:t xml:space="preserve">account, which presupposes a later, distinct, more productive phase against which the early returns are implicitly measured. Across the cost record, the report fails to treat the early results as a representative sample of SOFIA’s lifetime output; it treats them as a leading indicator of a capability still under construction in the operational sense.</w:t>
      </w:r>
    </w:p>
    <w:p>
      <w:pPr>
        <w:pStyle w:val="BodyText"/>
        <w:spacing w:line="480" w:lineRule="auto"/>
        <w:ind w:firstLine="720"/>
      </w:pPr>
      <w:r>
        <w:t xml:space="preserve">From a survival-model perspective, the companion SOFIA documentation by Nelson and Ruzek deepens this picture by attending to the sensor-development and science-capability dimension of commissioning</w:t>
      </w:r>
      <w:r>
        <w:t xml:space="preserve"> </w:t>
      </w:r>
      <w:hyperlink w:anchor="ref-2">
        <w:r>
          <w:rPr>
            <w:rStyle w:val="Hyperlink"/>
          </w:rPr>
          <w:t xml:space="preserve">[2]</w:t>
        </w:r>
      </w:hyperlink>
      <w:r>
        <w:t xml:space="preserve">. For JPL and NASA, their account emphasizes the iterative coordination between operations and science teams during the period in which the facility’s infrared sensing chain was being characterized and brought to its performance specification.</w:t>
      </w:r>
    </w:p>
    <w:p>
      <w:pPr>
        <w:pStyle w:val="BodyText"/>
        <w:spacing w:line="480" w:lineRule="auto"/>
        <w:ind w:firstLine="720"/>
      </w:pPr>
      <w:r>
        <w:t xml:space="preserve">That timing is measurable. Against that evidence, this is a description, in engineering language, of organizational and procedural learning: the facility’s realized capability at any moment is the product not only of its fixed optics but of an accumulating stock of operational knowledge about how to fly, point, calibrate, and schedule the platform. Nelson and Ruzek’s treatment is the closest the domain literature comes to articulating a production function for science, yet it stops short of any quantitative relationship between accumulated operational experience and realized output. For the program office, it establishes the mechanism; it fails to measure its slope.</w:t>
      </w:r>
    </w:p>
    <w:p>
      <w:pPr>
        <w:pStyle w:val="BodyText"/>
        <w:spacing w:line="480" w:lineRule="auto"/>
        <w:ind w:firstLine="720"/>
      </w:pPr>
      <w:r>
        <w:t xml:space="preserve">Seen from the schedule line, the Pan-STARRS PS1 survey supplies the second canonical anchor. Chambers’ status and early-science report for the PS1 science mission explicitly distinguishes a defined start of operations from the subsequent observatory, telescope, and survey phases that produced the mission’s mature science yield</w:t>
      </w:r>
      <w:r>
        <w:t xml:space="preserve"> </w:t>
      </w:r>
      <w:hyperlink w:anchor="ref-3">
        <w:r>
          <w:rPr>
            <w:rStyle w:val="Hyperlink"/>
          </w:rPr>
          <w:t xml:space="preserve">[3]</w:t>
        </w:r>
      </w:hyperlink>
      <w:r>
        <w:t xml:space="preserve">.</w:t>
      </w:r>
    </w:p>
    <w:p>
      <w:pPr>
        <w:pStyle w:val="BodyText"/>
        <w:spacing w:line="480" w:lineRule="auto"/>
        <w:ind w:firstLine="720"/>
      </w:pPr>
      <w:r>
        <w:t xml:space="preserve">Timing matters. In the public record, the temporal partition is doctrinal in the domain literature: a facility is understood to pass through commissioning, into early science, into nominal survey or guest-observer operations, and the scientific return characteristic of each phase differs. Chambers’ report, like De Buizer’s, is structurally an early-phase document that points forward to a maturation it fails to yet quantify. At the portfolio level, the PS1 case is particularly instructive since the survey architecture makes the production apparatus unusually legible: the published-science-products subsystem and the image-processing pipeline are documented as engineered components with their own development trajectories</w:t>
      </w:r>
      <w:r>
        <w:t xml:space="preserve"> </w:t>
      </w:r>
      <w:hyperlink w:anchor="ref-8">
        <w:r>
          <w:rPr>
            <w:rStyle w:val="Hyperlink"/>
          </w:rPr>
          <w:t xml:space="preserve">[8]</w:t>
        </w:r>
      </w:hyperlink>
      <w:r>
        <w:t xml:space="preserve">[12], which means the maturation of PS1’s science output can be decomposed, in principle, into the maturation of identifiable subsystems instead of treated as an opaque facility-level improvement.</w:t>
      </w:r>
    </w:p>
    <w:p>
      <w:pPr>
        <w:pStyle w:val="BodyText"/>
        <w:spacing w:line="480" w:lineRule="auto"/>
        <w:ind w:firstLine="720"/>
      </w:pPr>
      <w:r>
        <w:t xml:space="preserve">Within the confirmation baseline, these three reports</w:t>
      </w:r>
      <w:r>
        <w:t xml:space="preserve"> </w:t>
      </w:r>
      <w:hyperlink w:anchor="ref-1">
        <w:r>
          <w:rPr>
            <w:rStyle w:val="Hyperlink"/>
          </w:rPr>
          <w:t xml:space="preserve">[1]</w:t>
        </w:r>
      </w:hyperlink>
      <w:r>
        <w:t xml:space="preserve">[2][3] are the load-bearing citations for the maturation premise throughout the analysis here and its two companion papers. It is for that reason worth being precise about what they do and fail to establish. From a survival-model perspective, they establish, with the authority of the operating teams themselves, that (i) observatory science output rises from an immature early-science phase toward a mature operational phase. (ii) the mechanism of that rise includes instrument commissioning, calibration refinement, pipeline development, and accumulated operational know-how; and (iii) the phase boundaries are recognized and dated by the facilities themselves. They fail to establish a rate, an elasticity, a confidence interval, or any cross-facility regularity. They are, in the strict sense, existence proofs of learning instead of measurements of it. In the public record, this is the first half of the gap.</w:t>
      </w:r>
    </w:p>
    <w:bookmarkEnd w:id="68"/>
    <w:bookmarkStart w:id="69" w:name="X209d88a2ea4e5beb971630ec431ba4c9d25e12f"/>
    <w:p>
      <w:pPr>
        <w:pStyle w:val="Heading2"/>
        <w:spacing w:line="480" w:lineRule="auto"/>
      </w:pPr>
      <w:r>
        <w:t xml:space="preserve">2.3 The Instrument, Pipeline, and Processing Literature: The Apparatus That Matures</w:t>
      </w:r>
    </w:p>
    <w:p>
      <w:pPr>
        <w:pStyle w:val="FirstParagraph"/>
        <w:spacing w:line="480" w:lineRule="auto"/>
      </w:pPr>
      <w:r>
        <w:t xml:space="preserve">A productivity econometric of observatories is only coherent if the thing whose output matures is a constructed apparatus instead of a static collecting area. In the mission archive, the domain literature on instrument development, signal-processing pipelines, and data-products subsystems supplies exactly that warrant, and it does so across a wide range of facility classes, which strengthens the claim that maturation is a general property of operating astronomical systems instead of an idiosyncrasy of SOFIA and PS1.</w:t>
      </w:r>
    </w:p>
    <w:p>
      <w:pPr>
        <w:pStyle w:val="BodyText"/>
        <w:spacing w:line="480" w:lineRule="auto"/>
        <w:ind w:firstLine="720"/>
      </w:pPr>
      <w:r>
        <w:t xml:space="preserve">Across the cost record, the Pan-STARRS subsystem documentation is the richest case. The risk is dated.</w:t>
      </w:r>
    </w:p>
    <w:p>
      <w:pPr>
        <w:pStyle w:val="BodyText"/>
        <w:spacing w:line="480" w:lineRule="auto"/>
        <w:ind w:firstLine="720"/>
      </w:pPr>
      <w:r>
        <w:t xml:space="preserve">Heasley and colleagues describe the PS1 Published Science Products Subsystem as an engineered data-delivery architecture with its own development path</w:t>
      </w:r>
      <w:r>
        <w:t xml:space="preserve"> </w:t>
      </w:r>
      <w:hyperlink w:anchor="ref-8">
        <w:r>
          <w:rPr>
            <w:rStyle w:val="Hyperlink"/>
          </w:rPr>
          <w:t xml:space="preserve">[8]</w:t>
        </w:r>
      </w:hyperlink>
      <w:r>
        <w:t xml:space="preserve">, while Magnier, Kaiser, and Chambers document the PS1 image-processing pipeline as a distinct constructed component whose performance had to be brought up over time</w:t>
      </w:r>
      <w:r>
        <w:t xml:space="preserve"> </w:t>
      </w:r>
      <w:hyperlink w:anchor="ref-12">
        <w:r>
          <w:rPr>
            <w:rStyle w:val="Hyperlink"/>
          </w:rPr>
          <w:t xml:space="preserve">[12]</w:t>
        </w:r>
      </w:hyperlink>
      <w:r>
        <w:t xml:space="preserve">. Against that evidence, the implication for the present work is direct: the conversion of raw PS1 observing time into refereed science passes through subsystems that were themselves maturing, so that the facility’s apparent learning curve is partly the integral of its subsystems’ learning curves. This decomposition is the kind of structure that a productivity econometric can exploit through instrument-generation and pipeline-generation controls, and it is exactly the structure the prospectus proposes to control for so that the estimated learning elasticity captures operational and procedural learning net of hardware and software change.</w:t>
      </w:r>
    </w:p>
    <w:p>
      <w:pPr>
        <w:pStyle w:val="BodyText"/>
        <w:spacing w:line="480" w:lineRule="auto"/>
        <w:ind w:firstLine="720"/>
      </w:pPr>
      <w:r>
        <w:t xml:space="preserve">From a survival-model perspective, adaptive-optics and ground-layer correction systems extend the same logic to the largest ground-based apertures. Hart and colleagues’ account of the Large Binocular Telescope’s ARGOS ground-layer adaptive-optics system documents a complex, multi-institution instrument whose realized on-sky performance is the product of an extended development and commissioning campaign</w:t>
      </w:r>
      <w:r>
        <w:t xml:space="preserve"> </w:t>
      </w:r>
      <w:hyperlink w:anchor="ref-10">
        <w:r>
          <w:rPr>
            <w:rStyle w:val="Hyperlink"/>
          </w:rPr>
          <w:t xml:space="preserve">[10]</w:t>
        </w:r>
      </w:hyperlink>
      <w:r>
        <w:t xml:space="preserve">.</w:t>
      </w:r>
    </w:p>
    <w:p>
      <w:pPr>
        <w:pStyle w:val="BodyText"/>
        <w:spacing w:line="480" w:lineRule="auto"/>
        <w:ind w:firstLine="720"/>
      </w:pPr>
      <w:r>
        <w:t xml:space="preserve">The risk is dated. In practical program terms, although ARGOS is a ground-based facility outside this dissertation’s space-and-airborne panel, the report is methodologically relevant since it exemplifies the general phenomenon that an instrument’s delivered capability is a function of accumulated commissioning experience, not a fixed specification realized at first light. Against that evidence, the same is true of next-generation radar and sensing instruments: Taylor and colleagues’ description of the next-generation planetary radar system on the Green Bank Telescope documents an instrument whose science capability is a developed and integrated capacity instead of a switch thrown at deployment</w:t>
      </w:r>
      <w:r>
        <w:t xml:space="preserve"> </w:t>
      </w:r>
      <w:hyperlink w:anchor="ref-11">
        <w:r>
          <w:rPr>
            <w:rStyle w:val="Hyperlink"/>
          </w:rPr>
          <w:t xml:space="preserve">[11]</w:t>
        </w:r>
      </w:hyperlink>
      <w:r>
        <w:t xml:space="preserve">. These cases</w:t>
      </w:r>
      <w:r>
        <w:t xml:space="preserve"> </w:t>
      </w:r>
      <w:hyperlink w:anchor="ref-10">
        <w:r>
          <w:rPr>
            <w:rStyle w:val="Hyperlink"/>
          </w:rPr>
          <w:t xml:space="preserve">[10]</w:t>
        </w:r>
      </w:hyperlink>
      <w:r>
        <w:t xml:space="preserve">[11] reinforce the production-apparatus reading of observatory output across radically different facility architectures.</w:t>
      </w:r>
    </w:p>
    <w:p>
      <w:pPr>
        <w:pStyle w:val="BodyText"/>
        <w:spacing w:line="480" w:lineRule="auto"/>
        <w:ind w:firstLine="720"/>
      </w:pPr>
      <w:r>
        <w:t xml:space="preserve">A related and rapidly expanding strand concerns the algorithmic and machine-learning processing that increasingly mediates the conversion of raw observations into scientific products. In practical program terms, the light-curve completion and forecasting work of Goumiri and colleagues using scalable Gaussian-process methods</w:t>
      </w:r>
      <w:r>
        <w:t xml:space="preserve"> </w:t>
      </w:r>
      <w:hyperlink w:anchor="ref-6">
        <w:r>
          <w:rPr>
            <w:rStyle w:val="Hyperlink"/>
          </w:rPr>
          <w:t xml:space="preserve">[6]</w:t>
        </w:r>
      </w:hyperlink>
      <w:r>
        <w:t xml:space="preserve">, the recurrent-neural-network autoencoders for spin-stability classification of irregularly sampled light curves of Badura and colleagues</w:t>
      </w:r>
      <w:r>
        <w:t xml:space="preserve"> </w:t>
      </w:r>
      <w:hyperlink w:anchor="ref-9">
        <w:r>
          <w:rPr>
            <w:rStyle w:val="Hyperlink"/>
          </w:rPr>
          <w:t xml:space="preserve">[9]</w:t>
        </w:r>
      </w:hyperlink>
      <w:r>
        <w:t xml:space="preserve">, the dual-band machine-learning characterization of low-Earth-orbit satellites of Macmanus and colleagues</w:t>
      </w:r>
      <w:r>
        <w:t xml:space="preserve"> </w:t>
      </w:r>
      <w:hyperlink w:anchor="ref-13">
        <w:r>
          <w:rPr>
            <w:rStyle w:val="Hyperlink"/>
          </w:rPr>
          <w:t xml:space="preserve">[13]</w:t>
        </w:r>
      </w:hyperlink>
      <w:r>
        <w:t xml:space="preserve">, the transfer-learning approach to space-debris classification from observational light-curve data of Allworth and colleagues</w:t>
      </w:r>
      <w:r>
        <w:t xml:space="preserve"> </w:t>
      </w:r>
      <w:hyperlink w:anchor="ref-17">
        <w:r>
          <w:rPr>
            <w:rStyle w:val="Hyperlink"/>
          </w:rPr>
          <w:t xml:space="preserve">[17]</w:t>
        </w:r>
      </w:hyperlink>
      <w:r>
        <w:t xml:space="preserve">, and the machine-learning classification of single-photon space-debris light curves of Trummer and colleagues</w:t>
      </w:r>
      <w:r>
        <w:t xml:space="preserve"> </w:t>
      </w:r>
      <w:hyperlink w:anchor="ref-20">
        <w:r>
          <w:rPr>
            <w:rStyle w:val="Hyperlink"/>
          </w:rPr>
          <w:t xml:space="preserve">[20]</w:t>
        </w:r>
      </w:hyperlink>
      <w:r>
        <w:t xml:space="preserve"> </w:t>
      </w:r>
      <w:r>
        <w:t xml:space="preserve">together document a processing layer whose own capability is improving over time. This literature is drawn from the space-situational-awareness and object-characterization domain instead of from observatory bibliometrics, and it must be cited with that provenance in mind. From a survival-model perspective, its relevance to the present work is conceptual and bounded: it demonstrates that the data-processing stage of the observation-to-science chain is itself a maturing technology, which is one more component of the facility-level learning the dissertation seeks to estimate. Against that evidence, it fails to provide a productivity measure, and it is not treated as evidence for the learning rate; it is treated as corroboration that the apparatus whose maturation the dissertation models is real, multi-layered, and improving.</w:t>
      </w:r>
    </w:p>
    <w:p>
      <w:pPr>
        <w:pStyle w:val="BodyText"/>
        <w:spacing w:line="480" w:lineRule="auto"/>
        <w:ind w:firstLine="720"/>
      </w:pPr>
      <w:r>
        <w:t xml:space="preserve">For the program office, a handful of facility-science and mission-design reports round out the domain picture and serve as reminders of the heterogeneity of the observatory population the dissertation must respect. Seen from the schedule line, stanton’s account of unexplained starlight pulses found in optical SETI searches illustrates that the science return of an instrument can include unanticipated discovery categories that bibliometric counts capture imperfectly</w:t>
      </w:r>
      <w:r>
        <w:t xml:space="preserve"> </w:t>
      </w:r>
      <w:hyperlink w:anchor="ref-16">
        <w:r>
          <w:rPr>
            <w:rStyle w:val="Hyperlink"/>
          </w:rPr>
          <w:t xml:space="preserve">[16]</w:t>
        </w:r>
      </w:hyperlink>
      <w:r>
        <w:t xml:space="preserve">, a point that bears directly on the measurement-error threat the prospectus acknowledges. Burns and colleagues’ study of lunar-surface science facilitated by low-latency telerobotics from a lunar orbital platform</w:t>
      </w:r>
      <w:r>
        <w:t xml:space="preserve"> </w:t>
      </w:r>
      <w:hyperlink w:anchor="ref-18">
        <w:r>
          <w:rPr>
            <w:rStyle w:val="Hyperlink"/>
          </w:rPr>
          <w:t xml:space="preserve">[18]</w:t>
        </w:r>
      </w:hyperlink>
      <w:r>
        <w:t xml:space="preserve"> </w:t>
      </w:r>
      <w:r>
        <w:t xml:space="preserve">and Pascarella and colleagues’ mission design for space-telescope servicing at the Sun-Earth L2 point [19, where the servicing-architecture analysis appears] document the operational and architectural frontier along which future observatory lifetimes will be set, and they connect to this dissertation’s survival strand: servicing and replenishment are precisely the interventions that convert a hard architectural ceiling into a soft, extendable one. Seen from the schedule line, pascarella’s L2-servicing design</w:t>
      </w:r>
      <w:r>
        <w:t xml:space="preserve"> </w:t>
      </w:r>
      <w:hyperlink w:anchor="ref-21">
        <w:r>
          <w:rPr>
            <w:rStyle w:val="Hyperlink"/>
          </w:rPr>
          <w:t xml:space="preserve">[21]</w:t>
        </w:r>
      </w:hyperlink>
      <w:r>
        <w:t xml:space="preserve"> </w:t>
      </w:r>
      <w:r>
        <w:t xml:space="preserve">is especially pertinent, since it describes the engineering pathway by which the consumable constraint identified in the companion survival papers might in future be relaxed.</w:t>
      </w:r>
    </w:p>
    <w:p>
      <w:pPr>
        <w:pStyle w:val="BodyText"/>
        <w:spacing w:line="480" w:lineRule="auto"/>
        <w:ind w:firstLine="720"/>
      </w:pPr>
      <w:r>
        <w:t xml:space="preserve">The cumulative force of Section 2.3 is that the domain literature, taken across instruments</w:t>
      </w:r>
      <w:r>
        <w:t xml:space="preserve"> </w:t>
      </w:r>
      <w:hyperlink w:anchor="ref-8">
        <w:r>
          <w:rPr>
            <w:rStyle w:val="Hyperlink"/>
          </w:rPr>
          <w:t xml:space="preserve">[8]</w:t>
        </w:r>
      </w:hyperlink>
      <w:r>
        <w:t xml:space="preserve">[10][11][12], processing layers</w:t>
      </w:r>
      <w:r>
        <w:t xml:space="preserve"> </w:t>
      </w:r>
      <w:hyperlink w:anchor="ref-6">
        <w:r>
          <w:rPr>
            <w:rStyle w:val="Hyperlink"/>
          </w:rPr>
          <w:t xml:space="preserve">[6]</w:t>
        </w:r>
      </w:hyperlink>
      <w:r>
        <w:t xml:space="preserve">[9][13][17][20], discovery modes</w:t>
      </w:r>
      <w:r>
        <w:t xml:space="preserve"> </w:t>
      </w:r>
      <w:hyperlink w:anchor="ref-16">
        <w:r>
          <w:rPr>
            <w:rStyle w:val="Hyperlink"/>
          </w:rPr>
          <w:t xml:space="preserve">[16]</w:t>
        </w:r>
      </w:hyperlink>
      <w:r>
        <w:t xml:space="preserve">, and servicing architectures</w:t>
      </w:r>
      <w:r>
        <w:t xml:space="preserve"> </w:t>
      </w:r>
      <w:hyperlink w:anchor="ref-18">
        <w:r>
          <w:rPr>
            <w:rStyle w:val="Hyperlink"/>
          </w:rPr>
          <w:t xml:space="preserve">[18]</w:t>
        </w:r>
      </w:hyperlink>
      <w:r>
        <w:t xml:space="preserve">[19][21], unambiguously supports the premise that observatory science output is the product of a constructed, multi-component, maturing apparatus. What this literature fails to contain, anywhere, is an estimator. It describes apparatuses that mature; it fails to measure the rate at which their maturation translates into science per observing hour. From a survival-model perspective, that measurement is the province of a different literature entirely.</w:t>
      </w:r>
    </w:p>
    <w:bookmarkEnd w:id="69"/>
    <w:bookmarkStart w:id="70" w:name="X505df9953a58c038b6a6aaa419f006b2e404fd7"/>
    <w:p>
      <w:pPr>
        <w:pStyle w:val="Heading2"/>
        <w:spacing w:line="480" w:lineRule="auto"/>
      </w:pPr>
      <w:r>
        <w:t xml:space="preserve">2.4 The Cliometric and Econometric Methodology Literature: Estimators Without an Observatory</w:t>
      </w:r>
    </w:p>
    <w:p>
      <w:pPr>
        <w:pStyle w:val="FirstParagraph"/>
        <w:spacing w:line="480" w:lineRule="auto"/>
      </w:pPr>
      <w:r>
        <w:t xml:space="preserve">In the public record, the second literature is methodological. It comprises the family of techniques by which the social sciences, and economic history in particular, estimate how the productivity of a producing unit evolves with accumulated experience and how the lifetime of such a unit is determined. None of the references in the shared pool is a primary statement of these methods, which is itself a diagnostic fact: the methodology literature is so disjoint from the observatory-domain literature that the two fail to share a citation base. From a survival-model perspective, the methods must for that reason be reviewed on their logic, and the pool sources are positioned as the substantive applications onto which those methods are to be mapped.</w:t>
      </w:r>
    </w:p>
    <w:p>
      <w:pPr>
        <w:pStyle w:val="BodyText"/>
        <w:spacing w:line="480" w:lineRule="auto"/>
        <w:ind w:firstLine="720"/>
      </w:pPr>
      <w:r>
        <w:t xml:space="preserve">Within the confirmation baseline, the foundational object is the experience curve, also called the learning curve. Against that evidence, its canonical form posits that the cost or productivity of a producing unit is a power-law function of cumulative output or cumulative experience, so that each doubling of accumulated experience yields a constant proportional improvement. Within the confirmation baseline, estimated in logarithms, the relationship becomes log-linear, and the slope of the log-productivity-on-log-experience regression is the learning elasticity. Read as a development signal, this is exactly the specification the prospectus adopts: log productivity for a facility-epoch is regressed on log cumulative experience, with the coefficient on log experience interpreted as the learning elasticity and tested against a null of zero. From a survival-model perspective, the methodological literature establishes that this elasticity is the correct summary statistic of a learning process and that it is comparable across producing units, which is what makes a cross-facility learning rate a meaningful quantity to estimate.</w:t>
      </w:r>
    </w:p>
    <w:p>
      <w:pPr>
        <w:pStyle w:val="BodyText"/>
        <w:spacing w:line="480" w:lineRule="auto"/>
        <w:ind w:firstLine="720"/>
      </w:pPr>
      <w:r>
        <w:t xml:space="preserve">Across the cost record, the second methodological pillar is panel identification with unit fixed effects. In practical program terms, the central confound in any cross-sectional learning estimate is that intrinsically more capable units both accumulate more experience and produce more output, so that a naive regression of output on experience attributes to learning what is actually unit heterogeneity. The standard remedy is the within-unit estimator: by including a fixed effect for each producing unit, the analyst absorbs all time-invariant unit characteristics and identifies the learning elasticity solely from the time path of each unit’s own productivity. Seen from the schedule line, the prospectus’s identification strategy is precisely this. Its facility fixed effects neutralize the confounder that intrinsically more capable observatories both run longer and publish more, so that the learning elasticity is estimated from each facility’s own maturation instead of from comparisons between facilities. For JPL and NASA, this is the methodological move that the domain literature, lacking the econometric apparatus, has never made.</w:t>
      </w:r>
    </w:p>
    <w:p>
      <w:pPr>
        <w:pStyle w:val="BodyText"/>
        <w:spacing w:line="480" w:lineRule="auto"/>
        <w:ind w:firstLine="720"/>
      </w:pPr>
      <w:r>
        <w:t xml:space="preserve">From a survival-model perspective, the third pillar is the treatment of selection into continued operation. Within the confirmation baseline, the methodology literature is acute on the point that the units observed at high cumulative experience are not a random sample, since units that perform poorly are terminated and never reach high experience. For JPL and NASA, left uncorrected, this survivorship enriches the high-experience cells with intrinsically superior units and biases the learning elasticity upward. In the mission archive, the methodological repertoire for this problem includes explicit modeling of the continuation or termination decision and the reporting of estimates with and without a selection-correction term, which is the structure the prospectus adopts when it proposes to model the operational-continuation decision and report learning estimates with and without a correction. In practical program terms, the two companion papers of the analysis here are an extended treatment of exactly this selection mechanism. From a survival-model perspective, they model the retirement event itself as a survival process so that the selection channel contaminating the productivity estimate is characterized instead of assumed away.</w:t>
      </w:r>
    </w:p>
    <w:p>
      <w:pPr>
        <w:pStyle w:val="BodyText"/>
        <w:spacing w:line="480" w:lineRule="auto"/>
        <w:ind w:firstLine="720"/>
      </w:pPr>
      <w:r>
        <w:t xml:space="preserve">Against that evidence, the fourth pillar, and the one the companion papers operationalize most fully, is survival analysis. For JPL and NASA, time-to-event methods, and the Cox proportional-hazards specification in particular, are the standard apparatus for modeling the time until a unit experiences a terminal event, accommodating right-censored units that have not yet failed and imposing no parametric form on the baseline hazard.</w:t>
      </w:r>
    </w:p>
    <w:p>
      <w:pPr>
        <w:pStyle w:val="BodyText"/>
        <w:spacing w:line="480" w:lineRule="auto"/>
        <w:ind w:firstLine="720"/>
      </w:pPr>
      <w:r>
        <w:t xml:space="preserve">The companion survival papers apply this estimator directly to observatory retirement, fitting a Cox model of operational lifetime across panels of twenty-four and twenty-seven space and airborne facilities, treating still-operating flagships as right-censored, and recovering hazard ratios for design covariates. Seen from the schedule line, the methodological pedigree of that approach is mature and well understood in the cliometric literature; what is novel is its application to the observatory population, which has never before been pooled into an estimable hazard distribution. For the program office, the domain literature, as Section 2.2 showed, treats each mission’s end as a particular story</w:t>
      </w:r>
      <w:r>
        <w:t xml:space="preserve"> </w:t>
      </w:r>
      <w:hyperlink w:anchor="ref-1">
        <w:r>
          <w:rPr>
            <w:rStyle w:val="Hyperlink"/>
          </w:rPr>
          <w:t xml:space="preserve">[1]</w:t>
        </w:r>
      </w:hyperlink>
      <w:r>
        <w:t xml:space="preserve">[2][3]; the survival method converts those stories into draws from a single distribution and recovers the systematic drivers of observatory mortality.</w:t>
      </w:r>
    </w:p>
    <w:p>
      <w:pPr>
        <w:pStyle w:val="BodyText"/>
        <w:spacing w:line="480" w:lineRule="auto"/>
        <w:ind w:firstLine="720"/>
      </w:pPr>
      <w:r>
        <w:t xml:space="preserve">For JPL and NASA, these four pillars, the experience-curve elasticity, the within-unit fixed-effects estimator, the selection correction, and the proportional-hazards survival model, constitute a complete and standard toolkit for the question the dissertation poses. From a survival-model perspective, the decisive observation is that this toolkit has never been pointed at the observatory case. For JPL and NASA, the methodology exists; the application does not. That is the second half of the gap.</w:t>
      </w:r>
    </w:p>
    <w:bookmarkEnd w:id="70"/>
    <w:bookmarkStart w:id="71" w:name="Xd1fbddd04df27e98e6479b4fdc138539c51c2d6"/>
    <w:p>
      <w:pPr>
        <w:pStyle w:val="Heading2"/>
        <w:spacing w:line="480" w:lineRule="auto"/>
      </w:pPr>
      <w:r>
        <w:t xml:space="preserve">2.5 The Space-Economy and Technology-Maturation Literature: Framing, Not Evidence</w:t>
      </w:r>
    </w:p>
    <w:p>
      <w:pPr>
        <w:pStyle w:val="FirstParagraph"/>
        <w:spacing w:line="480" w:lineRule="auto"/>
      </w:pPr>
      <w:r>
        <w:t xml:space="preserve">Between the facility-technical literature and the econometric methodology sits a third body of work that supplies the macro framing of the maturation analogy: the space-economy and technology-maturation literature. In the mission archive, the prospectus and both companion papers draw on the finding that space technologies follow recognizable development and maturation timelines and that the cost structure of operating a space system evolves as the system matures</w:t>
      </w:r>
      <w:r>
        <w:t xml:space="preserve"> </w:t>
      </w:r>
      <w:hyperlink w:anchor="ref-5">
        <w:r>
          <w:rPr>
            <w:rStyle w:val="Hyperlink"/>
          </w:rPr>
          <w:t xml:space="preserve">[5]</w:t>
        </w:r>
      </w:hyperlink>
      <w:r>
        <w:t xml:space="preserve">, embedded in a broader treatment of space infrastructure maturation as a general economic feature instead of a property of any single program</w:t>
      </w:r>
      <w:r>
        <w:t xml:space="preserve"> </w:t>
      </w:r>
      <w:hyperlink w:anchor="ref-4">
        <w:r>
          <w:rPr>
            <w:rStyle w:val="Hyperlink"/>
          </w:rPr>
          <w:t xml:space="preserve">[4]</w:t>
        </w:r>
      </w:hyperlink>
      <w:r>
        <w:t xml:space="preserve">. This literature is the conceptual bridge by which the experience-curve logic, developed in the methodology literature for terrestrial manufacturing and service production, is imported into the space domain.</w:t>
      </w:r>
    </w:p>
    <w:p>
      <w:pPr>
        <w:pStyle w:val="BodyText"/>
        <w:spacing w:line="480" w:lineRule="auto"/>
        <w:ind w:firstLine="720"/>
      </w:pPr>
      <w:r>
        <w:t xml:space="preserve">For JPL and NASA, the space-economy literature is also where the analogy must be disciplined. Read as a development signal, its strength is that it establishes, at the level of the sector, that maturation and cost evolution are real and recognizable features of space systems</w:t>
      </w:r>
      <w:r>
        <w:t xml:space="preserve"> </w:t>
      </w:r>
      <w:hyperlink w:anchor="ref-4">
        <w:r>
          <w:rPr>
            <w:rStyle w:val="Hyperlink"/>
          </w:rPr>
          <w:t xml:space="preserve">[4]</w:t>
        </w:r>
      </w:hyperlink>
      <w:r>
        <w:t xml:space="preserve">[5], which licenses the expectation that astronomical observatories, as a subclass of space infrastructure, should exhibit analogous maturation in their science-production function.</w:t>
      </w:r>
    </w:p>
    <w:p>
      <w:pPr>
        <w:pStyle w:val="BodyText"/>
        <w:spacing w:line="480" w:lineRule="auto"/>
        <w:ind w:firstLine="720"/>
      </w:pPr>
      <w:r>
        <w:t xml:space="preserve">The distinction is operational. Its limitation, which the prospectus is careful to honor, is that it characterizes development timelines and cost evolution in aggregate and fails to isolate the science-production function of an operating observatory or express that function in productivity terms. Against that evidence, the maturation analogy drawn from</w:t>
      </w:r>
      <w:r>
        <w:t xml:space="preserve"> </w:t>
      </w:r>
      <w:hyperlink w:anchor="ref-4">
        <w:r>
          <w:rPr>
            <w:rStyle w:val="Hyperlink"/>
          </w:rPr>
          <w:t xml:space="preserve">[4]</w:t>
        </w:r>
      </w:hyperlink>
      <w:r>
        <w:t xml:space="preserve"> </w:t>
      </w:r>
      <w:r>
        <w:t xml:space="preserve">and</w:t>
      </w:r>
      <w:r>
        <w:t xml:space="preserve"> </w:t>
      </w:r>
      <w:hyperlink w:anchor="ref-5">
        <w:r>
          <w:rPr>
            <w:rStyle w:val="Hyperlink"/>
          </w:rPr>
          <w:t xml:space="preserve">[5]</w:t>
        </w:r>
      </w:hyperlink>
      <w:r>
        <w:t xml:space="preserve"> </w:t>
      </w:r>
      <w:r>
        <w:t xml:space="preserve">is for that reason used to frame expectations and to motivate the hypothesis, not as evidence for the learning rate. At the portfolio level, the econometric estimate must stand or fall on the observatory panel itself, with the space-economy literature supplying the prior, not the posterior.</w:t>
      </w:r>
    </w:p>
    <w:p>
      <w:pPr>
        <w:pStyle w:val="BodyText"/>
        <w:spacing w:line="480" w:lineRule="auto"/>
        <w:ind w:firstLine="720"/>
      </w:pPr>
      <w:r>
        <w:t xml:space="preserve">A growing economic-modeling strand within this literature reinforces both the promise and the discipline. Parametric economic models of asteroid-mining architectures</w:t>
      </w:r>
      <w:r>
        <w:t xml:space="preserve"> </w:t>
      </w:r>
      <w:hyperlink w:anchor="ref-14">
        <w:r>
          <w:rPr>
            <w:rStyle w:val="Hyperlink"/>
          </w:rPr>
          <w:t xml:space="preserve">[14]</w:t>
        </w:r>
      </w:hyperlink>
      <w:r>
        <w:t xml:space="preserve">, frameworks for evaluating potential space-resource markets</w:t>
      </w:r>
      <w:r>
        <w:t xml:space="preserve"> </w:t>
      </w:r>
      <w:hyperlink w:anchor="ref-15">
        <w:r>
          <w:rPr>
            <w:rStyle w:val="Hyperlink"/>
          </w:rPr>
          <w:t xml:space="preserve">[15]</w:t>
        </w:r>
      </w:hyperlink>
      <w:r>
        <w:t xml:space="preserve">, and techno-economic analyses of asteroid mining</w:t>
      </w:r>
      <w:r>
        <w:t xml:space="preserve"> </w:t>
      </w:r>
      <w:hyperlink w:anchor="ref-19">
        <w:r>
          <w:rPr>
            <w:rStyle w:val="Hyperlink"/>
          </w:rPr>
          <w:t xml:space="preserve">[19]</w:t>
        </w:r>
      </w:hyperlink>
      <w:r>
        <w:t xml:space="preserve"> </w:t>
      </w:r>
      <w:r>
        <w:t xml:space="preserve">demonstrate that quantitative economic estimation is now routine for prospective space activities.</w:t>
      </w:r>
    </w:p>
    <w:p>
      <w:pPr>
        <w:pStyle w:val="BodyText"/>
        <w:spacing w:line="480" w:lineRule="auto"/>
        <w:ind w:firstLine="720"/>
      </w:pPr>
      <w:r>
        <w:t xml:space="preserve">That choice is deliberate. Across the cost record, these works show that the space domain is amenable to formal economic modeling and that productivity, cost, and return are treated as estimable quantities elsewhere in the sector. Their relevance here is by analogy and contrast: they establish that economic estimation of space activities is methodologically respectable, while underscoring that no equivalent estimation has been performed for the science-production function of operating observatories. Against that evidence, the asteroid-mining and space-resource economics literature</w:t>
      </w:r>
      <w:r>
        <w:t xml:space="preserve"> </w:t>
      </w:r>
      <w:hyperlink w:anchor="ref-14">
        <w:r>
          <w:rPr>
            <w:rStyle w:val="Hyperlink"/>
          </w:rPr>
          <w:t xml:space="preserve">[14]</w:t>
        </w:r>
      </w:hyperlink>
      <w:r>
        <w:t xml:space="preserve">[15][19] has built quantitative production and return models for activities that fail to yet exist; the observatory literature has not built one for facilities that have been operating for four decades. That asymmetry is a precise statement of the opportunity the analysis here addresses.</w:t>
      </w:r>
    </w:p>
    <w:bookmarkEnd w:id="71"/>
    <w:bookmarkStart w:id="72" w:name="synthesis-and-the-joint-to-be-welded"/>
    <w:p>
      <w:pPr>
        <w:pStyle w:val="Heading2"/>
        <w:spacing w:line="480" w:lineRule="auto"/>
      </w:pPr>
      <w:r>
        <w:t xml:space="preserve">2.6 Synthesis and the Joint to Be Welded</w:t>
      </w:r>
    </w:p>
    <w:p>
      <w:pPr>
        <w:pStyle w:val="FirstParagraph"/>
        <w:spacing w:line="480" w:lineRule="auto"/>
      </w:pPr>
      <w:r>
        <w:t xml:space="preserve">At the portfolio level, the four reviews converge on a single structural fact. At the portfolio level, the domain-technical literature</w:t>
      </w:r>
      <w:r>
        <w:t xml:space="preserve"> </w:t>
      </w:r>
      <w:hyperlink w:anchor="ref-1">
        <w:r>
          <w:rPr>
            <w:rStyle w:val="Hyperlink"/>
          </w:rPr>
          <w:t xml:space="preserve">[1]</w:t>
        </w:r>
      </w:hyperlink>
      <w:r>
        <w:t xml:space="preserve">[2][3][8][10][11][12], its processing and instrumentation extensions</w:t>
      </w:r>
      <w:r>
        <w:t xml:space="preserve"> </w:t>
      </w:r>
      <w:hyperlink w:anchor="ref-6">
        <w:r>
          <w:rPr>
            <w:rStyle w:val="Hyperlink"/>
          </w:rPr>
          <w:t xml:space="preserve">[6]</w:t>
        </w:r>
      </w:hyperlink>
      <w:r>
        <w:t xml:space="preserve">[9][13][16][17][18][20][21], and its space-economy framing</w:t>
      </w:r>
      <w:r>
        <w:t xml:space="preserve"> </w:t>
      </w:r>
      <w:hyperlink w:anchor="ref-4">
        <w:r>
          <w:rPr>
            <w:rStyle w:val="Hyperlink"/>
          </w:rPr>
          <w:t xml:space="preserve">[4]</w:t>
        </w:r>
      </w:hyperlink>
      <w:r>
        <w:t xml:space="preserve">[5][14][15][19] together establish, beyond reasonable dispute, that astronomical observatories convert observing time into refereed science through a constructed, multi-component apparatus that matures with operational experience, and that the science return of late operational epochs tends to exceed that of early ones.</w:t>
      </w:r>
    </w:p>
    <w:p>
      <w:pPr>
        <w:pStyle w:val="BodyText"/>
        <w:spacing w:line="480" w:lineRule="auto"/>
        <w:ind w:firstLine="720"/>
      </w:pPr>
      <w:r>
        <w:t xml:space="preserve">The clock changes the question. At the portfolio level, this is the qualitative claim, and it is well supported. Against that evidence, the cliometric and econometric methodology literature, reviewed on its logic in Section 2.4, supplies a complete and standard toolkit, the experience-curve elasticity, the within-unit fixed-effects estimator, the selection correction, and the proportional-hazards survival model, for converting that qualitative claim into an identified quantitative estimate. In the mission archive, the two literatures are individually mature and mutually unaware. No work in the shared pool, and to the candidate’s knowledge no work in the wider field, joins them by expressing observatory science return as a productivity function of cumulative operational experience and estimating its learning elasticity against an explicit null.</w:t>
      </w:r>
    </w:p>
    <w:p>
      <w:pPr>
        <w:pStyle w:val="BodyText"/>
        <w:spacing w:line="480" w:lineRule="auto"/>
        <w:ind w:firstLine="720"/>
      </w:pPr>
      <w:r>
        <w:t xml:space="preserve">The gap is for that reason neither descriptive nor methodological in isolation; it is the absence of a join. Against that evidence, three bodies of work bracket the problem without closing it. First, the facility reports document early-science and mature-phase results but treat the transition narratively instead of as an estimable production relationship</w:t>
      </w:r>
      <w:r>
        <w:t xml:space="preserve"> </w:t>
      </w:r>
      <w:hyperlink w:anchor="ref-1">
        <w:r>
          <w:rPr>
            <w:rStyle w:val="Hyperlink"/>
          </w:rPr>
          <w:t xml:space="preserve">[1]</w:t>
        </w:r>
      </w:hyperlink>
      <w:r>
        <w:t xml:space="preserve">[2][3]; they establish that learning occurs and they fail to measure its rate. Within the confirmation baseline, second, the space-economy and technology-maturation literature characterizes development timelines and cost evolution for space systems in aggregate</w:t>
      </w:r>
      <w:r>
        <w:t xml:space="preserve"> </w:t>
      </w:r>
      <w:hyperlink w:anchor="ref-4">
        <w:r>
          <w:rPr>
            <w:rStyle w:val="Hyperlink"/>
          </w:rPr>
          <w:t xml:space="preserve">[4]</w:t>
        </w:r>
      </w:hyperlink>
      <w:r>
        <w:t xml:space="preserve">[5], and the adjacent economic-modeling strand demonstrates that quantitative estimation of space activities is feasible</w:t>
      </w:r>
      <w:r>
        <w:t xml:space="preserve"> </w:t>
      </w:r>
      <w:hyperlink w:anchor="ref-14">
        <w:r>
          <w:rPr>
            <w:rStyle w:val="Hyperlink"/>
          </w:rPr>
          <w:t xml:space="preserve">[14]</w:t>
        </w:r>
      </w:hyperlink>
      <w:r>
        <w:t xml:space="preserve">[15][19], but neither isolates the science-production function of an operating observatory. Against that evidence, third, the econometric methodology that would close the gap exists in full but has never been applied to the observatory case. What is missing is a falsifiable, cross-facility econometric specification in which cumulative operational experience is the explanatory variable and refereed scientific output per observing hour is the dependent variable, fitted with the fixed-effects and selection-correction machinery that the heterogeneity and survivorship of the observatory population demand.</w:t>
      </w:r>
    </w:p>
    <w:p>
      <w:pPr>
        <w:pStyle w:val="BodyText"/>
        <w:spacing w:line="480" w:lineRule="auto"/>
        <w:ind w:firstLine="720"/>
      </w:pPr>
      <w:r>
        <w:t xml:space="preserve">At the portfolio level, the empirical analysis here occupies exactly that join, and its two companion papers already operate on either side of it. Across the cost record, the productivity strand applies the experience-curve and fixed-effects apparatus directly to a panel of space and airborne observatories, estimating the learning elasticity of science return with respect to cumulative operational experience and testing it against a null of zero, with the facility fixed effects neutralizing the heterogeneity confound that the methodology literature identifies as fatal to naive learning estimates.</w:t>
      </w:r>
    </w:p>
    <w:p>
      <w:pPr>
        <w:pStyle w:val="BodyText"/>
        <w:spacing w:line="480" w:lineRule="auto"/>
        <w:ind w:firstLine="720"/>
      </w:pPr>
      <w:r>
        <w:t xml:space="preserve">The claim stays falsifiable. Across the cost record, the survival strand applies the proportional-hazards apparatus to the same population, modeling the retirement event as a time-to-event process and recovering the design covariates that govern observatory mortality; its decisive finding, that consumable dependence raises the retirement hazard by a factor of roughly three and a half to four and dominates aperture and orbit class, characterizes the selection mechanism that determines which facilities survive to be observed in their mature, high-productivity epochs. Seen from the schedule line, the survival result is not an aside to the productivity estimate; it is the explicit quantification of the survivorship channel that the productivity estimate must condition on. Against that evidence, together the two strands enact the join that Sections 2.2 through 2.5 show to be missing: the domain literature’s maturing apparatus is fitted to the methodology literature’s estimators, with the selection correction supplied by an independent survival model instead of assumed.</w:t>
      </w:r>
    </w:p>
    <w:p>
      <w:pPr>
        <w:pStyle w:val="BodyText"/>
        <w:spacing w:line="480" w:lineRule="auto"/>
        <w:ind w:firstLine="720"/>
      </w:pPr>
      <w:r>
        <w:t xml:space="preserve">Read as a development signal, the remainder of the dissertation builds out this join in full. Read as a development signal, the maturation premise rests on the facility evidence reviewed in Section 2.2</w:t>
      </w:r>
      <w:r>
        <w:t xml:space="preserve"> </w:t>
      </w:r>
      <w:hyperlink w:anchor="ref-1">
        <w:r>
          <w:rPr>
            <w:rStyle w:val="Hyperlink"/>
          </w:rPr>
          <w:t xml:space="preserve">[1]</w:t>
        </w:r>
      </w:hyperlink>
      <w:r>
        <w:t xml:space="preserve">[2][3] and the apparatus evidence reviewed in Section 2.3</w:t>
      </w:r>
      <w:r>
        <w:t xml:space="preserve"> </w:t>
      </w:r>
      <w:hyperlink w:anchor="ref-6">
        <w:r>
          <w:rPr>
            <w:rStyle w:val="Hyperlink"/>
          </w:rPr>
          <w:t xml:space="preserve">[6]</w:t>
        </w:r>
      </w:hyperlink>
      <w:r>
        <w:t xml:space="preserve">[8][9][10][11][12][13][16][17][20][21]; the productivity specification imports the experience-curve and fixed-effects logic reviewed in Section 2.4; the selection correction is identified by the survival analysis whose methodological pedigree is reviewed in the same section; and the macro analogy is framed, but not evidenced, by the space-economy literature reviewed in Section 2.5</w:t>
      </w:r>
      <w:r>
        <w:t xml:space="preserve"> </w:t>
      </w:r>
      <w:hyperlink w:anchor="ref-4">
        <w:r>
          <w:rPr>
            <w:rStyle w:val="Hyperlink"/>
          </w:rPr>
          <w:t xml:space="preserve">[4]</w:t>
        </w:r>
      </w:hyperlink>
      <w:r>
        <w:t xml:space="preserve">[5][14][15][19]. Against that evidence, the central contribution is a quantitative, replicable estimate of the science-return learning rate of astronomical observatories, recovered by joining two literatures that have, until now, had no occasion to meet.</w:t>
      </w:r>
    </w:p>
    <w:bookmarkEnd w:id="72"/>
    <w:bookmarkEnd w:id="73"/>
    <w:bookmarkStart w:id="81" w:name="Xcfcc00a3ded59aed0c781c16bfc121f2a509603"/>
    <w:p>
      <w:pPr>
        <w:pStyle w:val="Heading1"/>
        <w:spacing w:line="480" w:lineRule="auto"/>
      </w:pPr>
      <w:r>
        <w:t xml:space="preserve">Chapter 3. Theoretical Framework and Hypotheses</w:t>
      </w:r>
    </w:p>
    <w:bookmarkStart w:id="74" w:name="purpose-and-position-of-the-chapter"/>
    <w:p>
      <w:pPr>
        <w:pStyle w:val="Heading2"/>
        <w:spacing w:line="480" w:lineRule="auto"/>
      </w:pPr>
      <w:r>
        <w:t xml:space="preserve">3.1 Purpose and Position of the Chapter</w:t>
      </w:r>
    </w:p>
    <w:p>
      <w:pPr>
        <w:pStyle w:val="FirstParagraph"/>
        <w:spacing w:line="480" w:lineRule="auto"/>
      </w:pPr>
      <w:r>
        <w:t xml:space="preserve">Seen from the schedule line, the two preceding chapters established the empirical puzzle and the descriptive record. They documented that space and airborne astronomical observatories fail to convert observing time into refereed science at a constant rate across their operational lives, and that the transition from immature early-science operation to mature high-yield operation is described qualitatively, but not estimated quantitatively, in the facility literature</w:t>
      </w:r>
      <w:r>
        <w:t xml:space="preserve"> </w:t>
      </w:r>
      <w:hyperlink w:anchor="ref-1">
        <w:r>
          <w:rPr>
            <w:rStyle w:val="Hyperlink"/>
          </w:rPr>
          <w:t xml:space="preserve">[1]</w:t>
        </w:r>
      </w:hyperlink>
      <w:r>
        <w:t xml:space="preserve">[2][3]. Seen from the schedule line, the chapter performs the work that converts that puzzle into a testable scientific claim. Within the confirmation baseline, it specifies the theoretical mechanism that is hypothesized to generate the science-return learning curve, traces the causal logic from that mechanism to an observable production relationship, and states the two formal hypotheses, H0 and H1, that the remainder of the dissertation is constructed to adjudicate.</w:t>
      </w:r>
    </w:p>
    <w:p>
      <w:pPr>
        <w:pStyle w:val="BodyText"/>
        <w:spacing w:line="480" w:lineRule="auto"/>
        <w:ind w:firstLine="720"/>
      </w:pPr>
      <w:r>
        <w:t xml:space="preserve">In practical program terms, the chapter proceeds in five movements. Section 3.2 imports the experience-curve logic from the broader literature on the maturation of space technologies and adapts it to the specific economics of an operating observatory</w:t>
      </w:r>
      <w:r>
        <w:t xml:space="preserve"> </w:t>
      </w:r>
      <w:hyperlink w:anchor="ref-4">
        <w:r>
          <w:rPr>
            <w:rStyle w:val="Hyperlink"/>
          </w:rPr>
          <w:t xml:space="preserve">[4]</w:t>
        </w:r>
      </w:hyperlink>
      <w:r>
        <w:t xml:space="preserve">[5].</w:t>
      </w:r>
    </w:p>
    <w:p>
      <w:pPr>
        <w:pStyle w:val="BodyText"/>
        <w:spacing w:line="480" w:lineRule="auto"/>
        <w:ind w:firstLine="720"/>
      </w:pPr>
      <w:r>
        <w:t xml:space="preserve">That choice is deliberate. Section 3.3 develops the causal mechanism at the level of the facility, decomposing the productivity of an observatory into the components that learning is hypothesized to act upon and identifying the channel through which accumulated experience raises science return. Across the cost record, section 3.4 formalizes the science-production function and derives the estimable log-linear specification in which the learning elasticity is the single parameter of interest. Section 3.5 states H0 and H1 with precision and articulates the decision rule that separates them. Section 3.6 situates the hypotheses against the selection mechanism characterized by the companion survival analyses, which establish that the population of long-lived, mature facilities is not a random draw and that the dominant architectural determinant of which observatories reach their productive epochs is consumable dependence instead of aperture or orbit class.</w:t>
      </w:r>
    </w:p>
    <w:p>
      <w:pPr>
        <w:pStyle w:val="BodyText"/>
        <w:spacing w:line="480" w:lineRule="auto"/>
        <w:ind w:firstLine="720"/>
      </w:pPr>
      <w:r>
        <w:t xml:space="preserve">In practical program terms, the theoretical commitment of the chapter is deliberately narrow. The dissertation fails to advance a general theory of scientific productivity, nor does it attempt to explain the cross-sectional dispersion of output across the world’s observatories. Against that evidence, it advances a single mechanism, operational learning, and a single falsifiable claim about its measurable effect on a defined productivity ratio. In practical program terms, the discipline of confining the theory to one mechanism and one parameter is what makes the contribution testable, and the chapter is written to preserve that discipline at every step.</w:t>
      </w:r>
    </w:p>
    <w:bookmarkEnd w:id="74"/>
    <w:bookmarkStart w:id="75" w:name="the-experience-curve-premise"/>
    <w:p>
      <w:pPr>
        <w:pStyle w:val="Heading2"/>
        <w:spacing w:line="480" w:lineRule="auto"/>
      </w:pPr>
      <w:r>
        <w:t xml:space="preserve">3.2 The Experience-Curve Premise</w:t>
      </w:r>
    </w:p>
    <w:p>
      <w:pPr>
        <w:pStyle w:val="FirstParagraph"/>
        <w:spacing w:line="480" w:lineRule="auto"/>
      </w:pPr>
      <w:r>
        <w:t xml:space="preserve">In the mission archive, the intellectual lineage of the argument is the experience curve, the empirical regularity in which the unit cost of a productive activity falls, or equivalently the unit output of that activity rises, as cumulative experience with the activity accumulates. The regularity is not a law of nature but an observed feature of organized production, and its application to space systems is established in the broader space-economy literature, which documents that space technologies follow recognizable development and maturation timelines and that the cost structure of operating a space system evolves predictably as the system matures</w:t>
      </w:r>
      <w:r>
        <w:t xml:space="preserve"> </w:t>
      </w:r>
      <w:hyperlink w:anchor="ref-5">
        <w:r>
          <w:rPr>
            <w:rStyle w:val="Hyperlink"/>
          </w:rPr>
          <w:t xml:space="preserve">[5]</w:t>
        </w:r>
      </w:hyperlink>
      <w:r>
        <w:t xml:space="preserve">. At the portfolio level, that literature treats maturation as a general property of space infrastructure instead of as an idiosyncrasy of any single program</w:t>
      </w:r>
      <w:r>
        <w:t xml:space="preserve"> </w:t>
      </w:r>
      <w:hyperlink w:anchor="ref-4">
        <w:r>
          <w:rPr>
            <w:rStyle w:val="Hyperlink"/>
          </w:rPr>
          <w:t xml:space="preserve">[4]</w:t>
        </w:r>
      </w:hyperlink>
      <w:r>
        <w:t xml:space="preserve">, which is precisely the generality the present dissertation requires if a learning rate estimated on one panel of facilities is to carry interpretive weight.</w:t>
      </w:r>
    </w:p>
    <w:p>
      <w:pPr>
        <w:pStyle w:val="BodyText"/>
        <w:spacing w:line="480" w:lineRule="auto"/>
        <w:ind w:firstLine="720"/>
      </w:pPr>
      <w:r>
        <w:t xml:space="preserve">Within the confirmation baseline, the premise the dissertation adopts from this literature is conditional and explicit. It is that if the production of scientific knowledge by an operating observatory is an organized productive activity subject to the same organizational learning that characterizes other space-system operations, then the science output of an observatory per unit of input should rise with cumulative operational experience at a rate that can be measured.</w:t>
      </w:r>
    </w:p>
    <w:p>
      <w:pPr>
        <w:pStyle w:val="BodyText"/>
        <w:spacing w:line="480" w:lineRule="auto"/>
        <w:ind w:firstLine="720"/>
      </w:pPr>
      <w:r>
        <w:t xml:space="preserve">The claim stays falsifiable. For JPL and NASA, the conditional is essential. In the mission archive, the maturation analogy drawn from the space-technology literature is used here to frame an expectation and to motivate a specification, not to supply evidence. The assembled evidence must come from the observatory panel itself, and the dissertation is designed so that the econometric estimate stands or falls on that panel instead of on the strength of the analogy. The experience-curve literature tells the analyst where to look and what functional form to expect; it does not, and must not, do the work of confirming that observatories in fact exhibit the regularity.</w:t>
      </w:r>
    </w:p>
    <w:p>
      <w:pPr>
        <w:pStyle w:val="BodyText"/>
        <w:spacing w:line="480" w:lineRule="auto"/>
        <w:ind w:firstLine="720"/>
      </w:pPr>
      <w:r>
        <w:t xml:space="preserve">Seen from the schedule line, this conditional posture has a methodological payoff that recurs throughout the chapter. Because the premise is imported as a hypothesis to be tested instead of as a settled fact, a failure to detect learning in the observatory panel is not a failure of the dissertation. It is a substantive finding that would falsify the prevailing narrative assumption, ubiquitous in facility reports and lifetime-extension advocacy, that observatories reliably mature into higher scientific productivity. The theory is for that reason symmetric: it is built to be rejected as readily as confirmed, and the design of the test treats both outcomes as publishable results of equal scientific standing.</w:t>
      </w:r>
    </w:p>
    <w:bookmarkEnd w:id="75"/>
    <w:bookmarkStart w:id="76" w:name="X2b9f2cb2025082952cb96604a731a1559f41052"/>
    <w:p>
      <w:pPr>
        <w:pStyle w:val="Heading2"/>
        <w:spacing w:line="480" w:lineRule="auto"/>
      </w:pPr>
      <w:r>
        <w:t xml:space="preserve">3.3 The Causal Mechanism at the Facility Level</w:t>
      </w:r>
    </w:p>
    <w:p>
      <w:pPr>
        <w:pStyle w:val="FirstParagraph"/>
        <w:spacing w:line="480" w:lineRule="auto"/>
      </w:pPr>
      <w:r>
        <w:t xml:space="preserve">In practical program terms, the experience curve is an empirical regularity, but a dissertation in the productivity-econometric tradition must specify the mechanism that is hypothesized to generate it, since the mechanism is what licenses a causal instead of merely associational reading of the estimated parameter. The mechanism advanced here operates at the level of the individual facility and acts on the conversion of allocated observing time into refereed scientific output.</w:t>
      </w:r>
    </w:p>
    <w:p>
      <w:pPr>
        <w:pStyle w:val="BodyText"/>
        <w:spacing w:line="480" w:lineRule="auto"/>
        <w:ind w:firstLine="720"/>
      </w:pPr>
      <w:r>
        <w:t xml:space="preserve">Across the cost record, consider the chain of operations that separates an allocated observing hour from a refereed result. Observing time is scheduled against a science program; the instrument acquires data; the data pass through a calibration model and a processing pipeline; the reduced products are analyzed; and the analysis is written up, refereed, and published.</w:t>
      </w:r>
    </w:p>
    <w:p>
      <w:pPr>
        <w:pStyle w:val="BodyText"/>
        <w:spacing w:line="480" w:lineRule="auto"/>
        <w:ind w:firstLine="720"/>
      </w:pPr>
      <w:r>
        <w:t xml:space="preserve">The model keeps that date visible. Every link in this chain is subject to improvement through accumulated operational experience, and the facility literature documents exactly where the improvements occur. SOFIA’s early-science results emerged before the full instrument suite and operational cadence had matured, so that the earliest observing hours were converted into science at a depressed rate by an incompletely commissioned facility</w:t>
      </w:r>
      <w:r>
        <w:t xml:space="preserve"> </w:t>
      </w:r>
      <w:hyperlink w:anchor="ref-1">
        <w:r>
          <w:rPr>
            <w:rStyle w:val="Hyperlink"/>
          </w:rPr>
          <w:t xml:space="preserve">[1]</w:t>
        </w:r>
      </w:hyperlink>
      <w:r>
        <w:t xml:space="preserve">, and the sensor-development and science-capability record emphasizes the iterative coordination between operations and science teams that characterizes the commissioning period</w:t>
      </w:r>
      <w:r>
        <w:t xml:space="preserve"> </w:t>
      </w:r>
      <w:hyperlink w:anchor="ref-2">
        <w:r>
          <w:rPr>
            <w:rStyle w:val="Hyperlink"/>
          </w:rPr>
          <w:t xml:space="preserve">[2]</w:t>
        </w:r>
      </w:hyperlink>
      <w:r>
        <w:t xml:space="preserve">. In practical program terms, the PS1 survey similarly distinguishes a defined start of operations from the subsequent observatory, telescope, and survey phases that produced its mature yield, locating the productive epochs after, not at, the onset of operations</w:t>
      </w:r>
      <w:r>
        <w:t xml:space="preserve"> </w:t>
      </w:r>
      <w:hyperlink w:anchor="ref-3">
        <w:r>
          <w:rPr>
            <w:rStyle w:val="Hyperlink"/>
          </w:rPr>
          <w:t xml:space="preserve">[3]</w:t>
        </w:r>
      </w:hyperlink>
      <w:r>
        <w:t xml:space="preserve">. For the program office, the image-processing pipeline that converts PS1 detector output into science-ready products is itself a developed system whose maturation is part of the facility’s experience accumulation</w:t>
      </w:r>
      <w:r>
        <w:t xml:space="preserve"> </w:t>
      </w:r>
      <w:hyperlink w:anchor="ref-12">
        <w:r>
          <w:rPr>
            <w:rStyle w:val="Hyperlink"/>
          </w:rPr>
          <w:t xml:space="preserve">[12]</w:t>
        </w:r>
      </w:hyperlink>
      <w:r>
        <w:t xml:space="preserve">, and the published-science-products subsystem that delivers catalogs to the community is a further developed layer between raw observation and refereed result</w:t>
      </w:r>
      <w:r>
        <w:t xml:space="preserve"> </w:t>
      </w:r>
      <w:hyperlink w:anchor="ref-8">
        <w:r>
          <w:rPr>
            <w:rStyle w:val="Hyperlink"/>
          </w:rPr>
          <w:t xml:space="preserve">[8]</w:t>
        </w:r>
      </w:hyperlink>
      <w:r>
        <w:t xml:space="preserve">. Read as a development signal, these accounts establish, at the level of specific facilities, that the productivity of an observing hour is not fixed by the hardware at launch but is co-determined by the maturity of the calibration, pipeline, scheduling, and analysis apparatus that surrounds the hardware.</w:t>
      </w:r>
    </w:p>
    <w:p>
      <w:pPr>
        <w:pStyle w:val="BodyText"/>
        <w:spacing w:line="480" w:lineRule="auto"/>
        <w:ind w:firstLine="720"/>
      </w:pPr>
      <w:r>
        <w:t xml:space="preserve">Across the cost record, the mechanism the dissertation hypothesizes is that accumulated operational experience raises science return per observing hour through three concrete channels. From a survival-model perspective, the first is calibration maturation: as a facility accumulates operating time, its calibration model is refined against a growing record of observations, so that a given observing hour yields data of higher scientific usability.</w:t>
      </w:r>
    </w:p>
    <w:p>
      <w:pPr>
        <w:pStyle w:val="BodyText"/>
        <w:spacing w:line="480" w:lineRule="auto"/>
        <w:ind w:firstLine="720"/>
      </w:pPr>
      <w:r>
        <w:t xml:space="preserve">Timing matters. In practical program terms, the second is pipeline and processing maturation: the data-reduction and product-generation systems are debugged, extended, and optimized over operational time, so that more of the scientific content latent in the raw data is actually recovered and delivered to investigators</w:t>
      </w:r>
      <w:r>
        <w:t xml:space="preserve"> </w:t>
      </w:r>
      <w:hyperlink w:anchor="ref-8">
        <w:r>
          <w:rPr>
            <w:rStyle w:val="Hyperlink"/>
          </w:rPr>
          <w:t xml:space="preserve">[8]</w:t>
        </w:r>
      </w:hyperlink>
      <w:r>
        <w:t xml:space="preserve">[12]. In practical program terms, the third is procedural and scheduling maturation: operations teams accumulate experience in target selection, instrument configuration, and the coordination between operations and science planning that the facility literature describes</w:t>
      </w:r>
      <w:r>
        <w:t xml:space="preserve"> </w:t>
      </w:r>
      <w:hyperlink w:anchor="ref-2">
        <w:r>
          <w:rPr>
            <w:rStyle w:val="Hyperlink"/>
          </w:rPr>
          <w:t xml:space="preserve">[2]</w:t>
        </w:r>
      </w:hyperlink>
      <w:r>
        <w:t xml:space="preserve">, so that the allocation of observing time is itself made more productively over operational time. Each channel converts accumulated experience into a higher ratio of refereed output to observing input, and the three channels together constitute the causal pathway that the learning elasticity is intended to measure.</w:t>
      </w:r>
    </w:p>
    <w:p>
      <w:pPr>
        <w:pStyle w:val="BodyText"/>
        <w:spacing w:line="480" w:lineRule="auto"/>
        <w:ind w:firstLine="720"/>
      </w:pPr>
      <w:r>
        <w:t xml:space="preserve">Two features of this mechanism are critical for identification, and both are addressed structurally in the empirical design instead of assumed away. At the portfolio level, first, the mechanism is procedural and organizational, not hardware-driven.</w:t>
      </w:r>
    </w:p>
    <w:p>
      <w:pPr>
        <w:pStyle w:val="BodyText"/>
        <w:spacing w:line="480" w:lineRule="auto"/>
        <w:ind w:firstLine="720"/>
      </w:pPr>
      <w:r>
        <w:t xml:space="preserve">The implication is managerial. A rival explanation for any observed rise in productivity over operational time is that the facility’s hardware was upgraded, so that the productivity gain reflects new instrument capability instead of operational learning. In practical program terms, the dissertation separates these by introducing instrument-generation indicators, so that the learning parameter captures procedural and organizational learning net of hardware change. The mechanism the theory specifies is learning, and the design ensures that the parameter attributed to learning is not contaminated by refit. Second, the mechanism acts within a facility over its own operational time, which is what makes within-facility variation the correct identifying variation. In the public record, the maturation of SOFIA’s pipeline is a feature of SOFIA’s operational history, not a feature that can be inferred by comparing SOFIA to a different facility with a different aperture and a different science remit. From a survival-model perspective, the causal claim is for that reason intrinsically a within-facility claim, and the theory dictates the identification strategy instead of the identification strategy being chosen for convenience.</w:t>
      </w:r>
    </w:p>
    <w:bookmarkEnd w:id="76"/>
    <w:bookmarkStart w:id="77" w:name="Xf5ae55a6acdf0b622d9bc987ece2b40deb52906"/>
    <w:p>
      <w:pPr>
        <w:pStyle w:val="Heading2"/>
        <w:spacing w:line="480" w:lineRule="auto"/>
      </w:pPr>
      <w:r>
        <w:t xml:space="preserve">3.4 Formalizing the Science-Production Function</w:t>
      </w:r>
    </w:p>
    <w:p>
      <w:pPr>
        <w:pStyle w:val="FirstParagraph"/>
        <w:spacing w:line="480" w:lineRule="auto"/>
      </w:pPr>
      <w:r>
        <w:t xml:space="preserve">Within the confirmation baseline, the mechanism translates into an estimable production relationship through a small number of definitions. Define the science productivity of facility</w:t>
      </w:r>
      <w:r>
        <w:t xml:space="preserve"> </w:t>
      </w:r>
      <w:r>
        <w:rPr>
          <w:i/>
          <w:iCs/>
        </w:rPr>
        <w:t xml:space="preserve">i</w:t>
      </w:r>
      <w:r>
        <w:t xml:space="preserve"> </w:t>
      </w:r>
      <w:r>
        <w:t xml:space="preserve">in operational epoch</w:t>
      </w:r>
      <w:r>
        <w:t xml:space="preserve"> </w:t>
      </w:r>
      <w:r>
        <w:rPr>
          <w:i/>
          <w:iCs/>
        </w:rPr>
        <w:t xml:space="preserve">t</w:t>
      </w:r>
      <w:r>
        <w:t xml:space="preserve"> </w:t>
      </w:r>
      <w:r>
        <w:t xml:space="preserve">as the refereed scientific output of the facility in that epoch divided by the observing time allocated to the facility in that epoch. This ratio is the dependent object of the theory: it is the quantity that the three maturation channels are hypothesized to raise. Against that evidence, define the cumulative experience of facility</w:t>
      </w:r>
      <w:r>
        <w:t xml:space="preserve"> </w:t>
      </w:r>
      <w:r>
        <w:rPr>
          <w:i/>
          <w:iCs/>
        </w:rPr>
        <w:t xml:space="preserve">i</w:t>
      </w:r>
      <w:r>
        <w:t xml:space="preserve"> </w:t>
      </w:r>
      <w:r>
        <w:t xml:space="preserve">in epoch</w:t>
      </w:r>
      <w:r>
        <w:t xml:space="preserve"> </w:t>
      </w:r>
      <w:r>
        <w:rPr>
          <w:i/>
          <w:iCs/>
        </w:rPr>
        <w:t xml:space="preserve">t</w:t>
      </w:r>
      <w:r>
        <w:t xml:space="preserve"> </w:t>
      </w:r>
      <w:r>
        <w:t xml:space="preserve">as the facility’s accumulated operating time up to and including that epoch. For the program office, cumulative experience is the explanatory object: it is the stock of operational history against which the maturation channels are hypothesized to operate.</w:t>
      </w:r>
    </w:p>
    <w:p>
      <w:pPr>
        <w:pStyle w:val="BodyText"/>
        <w:spacing w:line="480" w:lineRule="auto"/>
        <w:ind w:firstLine="720"/>
      </w:pPr>
      <w:r>
        <w:t xml:space="preserve">Seen from the schedule line, the experience-curve premise predicts that productivity is a power function of cumulative experience, which in logarithms is linear. Read as a development signal, the dissertation for that reason adopts the log-linear specification</w:t>
      </w:r>
    </w:p>
    <w:p>
      <w:pPr>
        <w:pStyle w:val="BodyText"/>
        <w:spacing w:line="480" w:lineRule="auto"/>
        <w:ind w:firstLine="720"/>
      </w:pPr>
      <w:r>
        <w:t xml:space="preserve">log(productivity of facility</w:t>
      </w:r>
      <w:r>
        <w:t xml:space="preserve"> </w:t>
      </w:r>
      <w:r>
        <w:rPr>
          <w:i/>
          <w:iCs/>
        </w:rPr>
        <w:t xml:space="preserve">i</w:t>
      </w:r>
      <w:r>
        <w:t xml:space="preserve"> </w:t>
      </w:r>
      <w:r>
        <w:t xml:space="preserve">in epoch</w:t>
      </w:r>
      <w:r>
        <w:t xml:space="preserve"> </w:t>
      </w:r>
      <w:r>
        <w:rPr>
          <w:i/>
          <w:iCs/>
        </w:rPr>
        <w:t xml:space="preserve">t</w:t>
      </w:r>
      <w:r>
        <w:t xml:space="preserve">) = alpha_i + beta * log(cumulative experience of facility</w:t>
      </w:r>
      <w:r>
        <w:t xml:space="preserve"> </w:t>
      </w:r>
      <w:r>
        <w:rPr>
          <w:i/>
          <w:iCs/>
        </w:rPr>
        <w:t xml:space="preserve">i</w:t>
      </w:r>
      <w:r>
        <w:t xml:space="preserve"> </w:t>
      </w:r>
      <w:r>
        <w:t xml:space="preserve">in epoch</w:t>
      </w:r>
      <w:r>
        <w:t xml:space="preserve"> </w:t>
      </w:r>
      <w:r>
        <w:rPr>
          <w:i/>
          <w:iCs/>
        </w:rPr>
        <w:t xml:space="preserve">t</w:t>
      </w:r>
      <w:r>
        <w:t xml:space="preserve">) + gamma * X_it + error_it,</w:t>
      </w:r>
    </w:p>
    <w:p>
      <w:pPr>
        <w:pStyle w:val="BodyText"/>
        <w:spacing w:line="480" w:lineRule="auto"/>
        <w:ind w:firstLine="720"/>
      </w:pPr>
      <w:r>
        <w:t xml:space="preserve">For the program office, in which alpha_i is a facility fixed effect, beta is the learning elasticity, X_it is a vector of controls, and error_it is the disturbance. Across the cost record, three features of this specification carry the theoretical argument into the estimation.</w:t>
      </w:r>
    </w:p>
    <w:p>
      <w:pPr>
        <w:pStyle w:val="BodyText"/>
        <w:spacing w:line="480" w:lineRule="auto"/>
        <w:ind w:firstLine="720"/>
      </w:pPr>
      <w:r>
        <w:t xml:space="preserve">For JPL and NASA, the first is the facility fixed effect alpha_i, which is the formal embodiment of the within-facility identification dictated by the mechanism in Section 3.3. Seen from the schedule line, the fixed effect absorbs every time-invariant characteristic of the facility, including its aperture, its site, its observing band, and its institutional context. Seen from the schedule line, with alpha_i in the model, beta is identified exclusively from the time path of each facility’s own productivity as its own cumulative experience grows, and not from any comparison between intrinsically more and less capable facilities. Across the cost record, the fixed effect neutralizes the most obvious confounder, namely that intrinsically more capable facilities both accumulate more experience and produce more science; that confounder operates across facilities and is for that reason swept into alpha_i, leaving beta to measure the slope of the within-facility experience curve. This is the single most important property of the specification, since it converts a claim that the theory might otherwise share with a naive cross-sectional comparison into a claim that only learning can explain.</w:t>
      </w:r>
    </w:p>
    <w:p>
      <w:pPr>
        <w:pStyle w:val="BodyText"/>
        <w:spacing w:line="480" w:lineRule="auto"/>
        <w:ind w:firstLine="720"/>
      </w:pPr>
      <w:r>
        <w:t xml:space="preserve">For JPL and NASA, the second feature is the control vector X_it, which carries the instrument-generation indicators and observing-band controls that separate operational learning from hardware change. Against that evidence, the instrument-generation indicators are the formal device by which the mechanism’s procedural-learning interpretation is protected. Within the confirmation baseline, they allow the estimate of beta to be reported net of the productivity jumps associated with refits, so that the learning elasticity reflects the calibration, pipeline, and procedural channels of Section 3.3 instead of the arrival of new detectors. Seen from the schedule line, the dissertation commits to reporting beta both with and without facilities that underwent major refits, so that the sensitivity of the learning estimate to hardware change is made transparent instead of buried.</w:t>
      </w:r>
    </w:p>
    <w:p>
      <w:pPr>
        <w:pStyle w:val="BodyText"/>
        <w:spacing w:line="480" w:lineRule="auto"/>
        <w:ind w:firstLine="720"/>
      </w:pPr>
      <w:r>
        <w:t xml:space="preserve">Seen from the schedule line, the third feature is the interpretation of beta itself. As the coefficient on log experience in a log-linear specification, beta is an elasticity: it is the percentage change in science productivity associated with a one-percent increase in cumulative operational experience.</w:t>
      </w:r>
    </w:p>
    <w:p>
      <w:pPr>
        <w:pStyle w:val="BodyText"/>
        <w:spacing w:line="480" w:lineRule="auto"/>
        <w:ind w:firstLine="720"/>
      </w:pPr>
      <w:r>
        <w:t xml:space="preserve">The claim stays falsifiable. This is the parameter the entire dissertation is built to estimate, and the hypotheses in Section 3.5 are statements about its sign. An elasticity is the natural form for the learning claim since it is scale-free, comparable across facilities of different size and output level, and directly translatable into the experience-curve language of the source literature</w:t>
      </w:r>
      <w:r>
        <w:t xml:space="preserve"> </w:t>
      </w:r>
      <w:hyperlink w:anchor="ref-4">
        <w:r>
          <w:rPr>
            <w:rStyle w:val="Hyperlink"/>
          </w:rPr>
          <w:t xml:space="preserve">[4]</w:t>
        </w:r>
      </w:hyperlink>
      <w:r>
        <w:t xml:space="preserve">[5]. In practical program terms, the dissertation fails to require beta to be constant across facilities. The design permits facility-level estimates alongside the pooled estimate, and the theory is consistent with heterogeneity in the learning rate across facilities so long as the central tendency is positive under H1.</w:t>
      </w:r>
    </w:p>
    <w:bookmarkEnd w:id="77"/>
    <w:bookmarkStart w:id="78" w:name="the-formal-hypotheses"/>
    <w:p>
      <w:pPr>
        <w:pStyle w:val="Heading2"/>
        <w:spacing w:line="480" w:lineRule="auto"/>
      </w:pPr>
      <w:r>
        <w:t xml:space="preserve">3.5 The Formal Hypotheses</w:t>
      </w:r>
    </w:p>
    <w:p>
      <w:pPr>
        <w:pStyle w:val="FirstParagraph"/>
        <w:spacing w:line="480" w:lineRule="auto"/>
      </w:pPr>
      <w:r>
        <w:t xml:space="preserve">From a survival-model perspective, the theoretical framework reduces to a single parameter, the learning elasticity beta, and the falsifiable content of the dissertation is a pair of mutually exclusive statements about that parameter.</w:t>
      </w:r>
    </w:p>
    <w:p>
      <w:pPr>
        <w:pStyle w:val="BodyText"/>
        <w:spacing w:line="480" w:lineRule="auto"/>
        <w:ind w:firstLine="720"/>
      </w:pPr>
      <w:r>
        <w:rPr>
          <w:b/>
          <w:bCs/>
        </w:rPr>
        <w:t xml:space="preserve">H0 (the null of no learning).</w:t>
      </w:r>
      <w:r>
        <w:t xml:space="preserve"> </w:t>
      </w:r>
      <w:r>
        <w:t xml:space="preserve">The elasticity of science productivity with respect to cumulative operational experience is zero: beta = 0. Within the confirmation baseline, science return per observing hour fails to change with accumulated operational experience. Any observed differences in productivity across operational epochs are noise, not the signature of a maturation mechanism. In practical program terms, under H0, the calibration, pipeline, and procedural channels of Section 3.3 either fail to operate or fail to aggregate into a measurable change in the ratio of refereed output to observing time, and the narrative claim that observatories mature into higher productivity is empirically unsupported in the panel.</w:t>
      </w:r>
    </w:p>
    <w:p>
      <w:pPr>
        <w:pStyle w:val="BodyText"/>
        <w:spacing w:line="480" w:lineRule="auto"/>
        <w:ind w:firstLine="720"/>
      </w:pPr>
      <w:r>
        <w:rPr>
          <w:b/>
          <w:bCs/>
        </w:rPr>
        <w:t xml:space="preserve">H1 (the alternative of positive learning).</w:t>
      </w:r>
      <w:r>
        <w:t xml:space="preserve"> </w:t>
      </w:r>
      <w:r>
        <w:t xml:space="preserve">The elasticity of science productivity with respect to cumulative operational experience is strictly positive: beta &gt; 0. For the program office, science return per observing hour rises with accumulated operational experience at a measurable, statistically significant rate. In the public record, under H1, the three maturation channels aggregate into a positive within-facility relationship between cumulative experience and productivity, consistent with the experience-curve behavior documented for space technologies</w:t>
      </w:r>
      <w:r>
        <w:t xml:space="preserve"> </w:t>
      </w:r>
      <w:hyperlink w:anchor="ref-4">
        <w:r>
          <w:rPr>
            <w:rStyle w:val="Hyperlink"/>
          </w:rPr>
          <w:t xml:space="preserve">[4]</w:t>
        </w:r>
      </w:hyperlink>
      <w:r>
        <w:t xml:space="preserve">[5] and with the early-science-to-maturity transitions documented for the specific facilities in the framing literature</w:t>
      </w:r>
      <w:r>
        <w:t xml:space="preserve"> </w:t>
      </w:r>
      <w:hyperlink w:anchor="ref-1">
        <w:r>
          <w:rPr>
            <w:rStyle w:val="Hyperlink"/>
          </w:rPr>
          <w:t xml:space="preserve">[1]</w:t>
        </w:r>
      </w:hyperlink>
      <w:r>
        <w:t xml:space="preserve">[2][3].</w:t>
      </w:r>
    </w:p>
    <w:p>
      <w:pPr>
        <w:pStyle w:val="BodyText"/>
        <w:spacing w:line="480" w:lineRule="auto"/>
        <w:ind w:firstLine="720"/>
      </w:pPr>
      <w:r>
        <w:t xml:space="preserve">Within the confirmation baseline, the decision rule that separates the hypotheses is explicit. At the portfolio level, the dissertation rejects H0 in favor of H1 when the estimated beta is positive and statistically distinguishable from zero at the conventional level, reported with a confidence interval that excludes zero. Rejection of H0 in favor of H1, accompanied by an estimated learning rate and its confidence interval, constitutes the single falsifiable contribution of the dissertation: a quantitative, replicable estimate of the science-return learning rate of astronomical observatories. A failure to reject H0 is an equally admissible and equally publishable outcome, since it would falsify the prevailing assumption that observatories reliably mature into higher scientific productivity and would thereby discipline lifetime-extension arguments that rest on an unmeasured maturation premium. The hypotheses are framed so that the dissertation cannot fail to produce a finding: either the learning curve is estimated, or the assumption of its existence is rejected.</w:t>
      </w:r>
    </w:p>
    <w:p>
      <w:pPr>
        <w:pStyle w:val="BodyText"/>
        <w:spacing w:line="480" w:lineRule="auto"/>
        <w:ind w:firstLine="720"/>
      </w:pPr>
      <w:r>
        <w:t xml:space="preserve">For the program office, the directional, one-sided character of H1 is a deliberate theoretical commitment instead of an agnostic two-sided alternative. That choice is deliberate. Across the cost record, the mechanism in Section 3.3 predicts a sign, not merely a non-zero magnitude, since every channel through which accumulated experience is hypothesized to act, calibration refinement, pipeline maturation, and procedural learning, raises instead of lowers the productivity of an observing hour.</w:t>
      </w:r>
    </w:p>
    <w:p>
      <w:pPr>
        <w:pStyle w:val="BodyText"/>
        <w:spacing w:line="480" w:lineRule="auto"/>
        <w:ind w:firstLine="720"/>
      </w:pPr>
      <w:r>
        <w:t xml:space="preserve">A negative beta, productivity falling with cumulative experience, would be inconsistent with the specified mechanism and would indicate either aging-induced degradation outrunning learning or measurement artifacts in the productivity denominator, both of which the threats-to-validity analysis addresses separately. For the program office, the directional hypothesis is what gives the test its scientific content: it stakes the theory on a predicted sign, and an estimate of the wrong sign would be evidence against the mechanism, not merely against its magnitude.</w:t>
      </w:r>
    </w:p>
    <w:bookmarkEnd w:id="78"/>
    <w:bookmarkStart w:id="79" w:name="the-hypotheses-conditioned-on-selection"/>
    <w:p>
      <w:pPr>
        <w:pStyle w:val="Heading2"/>
        <w:spacing w:line="480" w:lineRule="auto"/>
      </w:pPr>
      <w:r>
        <w:t xml:space="preserve">3.6 The Hypotheses Conditioned on Selection</w:t>
      </w:r>
    </w:p>
    <w:p>
      <w:pPr>
        <w:pStyle w:val="FirstParagraph"/>
        <w:spacing w:line="480" w:lineRule="auto"/>
      </w:pPr>
      <w:r>
        <w:t xml:space="preserve">Seen from the schedule line, a learning elasticity estimated on a panel of observatories is interpretable only if the panel is understood not to be a random sample of facility-epochs, and the theoretical framework would be incomplete without an account of the selection process that determines which facilities are observed in their mature, high-productivity epochs at all. Against that evidence, the companion survival analyses of the analysis here supply that account, and their findings are the conditioning structure within which H0 and H1 must be read.</w:t>
      </w:r>
    </w:p>
    <w:p>
      <w:pPr>
        <w:pStyle w:val="BodyText"/>
        <w:spacing w:line="480" w:lineRule="auto"/>
        <w:ind w:firstLine="720"/>
      </w:pPr>
      <w:r>
        <w:t xml:space="preserve">The selection logic is direct. If productivity rises with cumulative experience under H1, then the facilities that survive longest are precisely those observed in their most productive epochs, and any comparison of mature missions to young ones that ignores survival will overstate the learning effect. In the mission archive, the survivorship problem is for that reason not a footnote to the learning-curve estimate but a substantive determinant of what that estimate means. From a survival-model perspective, the companion proportional-hazards work models the retirement event itself as a survival process and asks which observable design features govern how long an observatory operates before it is retired. In the mission archive, its central finding is that the dominant driver of retirement hazard is not aperture and not nominal design lifetime but whether a mission is gated by an exhaustible consumable such as a cryogen: consumable-limited observatories face a retirement hazard roughly three and a half to nearly four times that of comparable wear-out-limited observatories, and consumable dependence is the only architectural covariate that attains conventional significance, while aperture and orbit class are statistically indistinguishable from null.</w:t>
      </w:r>
    </w:p>
    <w:p>
      <w:pPr>
        <w:pStyle w:val="BodyText"/>
        <w:spacing w:line="480" w:lineRule="auto"/>
        <w:ind w:firstLine="720"/>
      </w:pPr>
      <w:r>
        <w:t xml:space="preserve">This finding sharpens the interpretation of the learning hypotheses in two ways that the theory must absorb. First, it identifies the precise selection channel that contaminates a naive productivity comparison.</w:t>
      </w:r>
    </w:p>
    <w:p>
      <w:pPr>
        <w:pStyle w:val="BodyText"/>
        <w:spacing w:line="480" w:lineRule="auto"/>
        <w:ind w:firstLine="720"/>
      </w:pPr>
      <w:r>
        <w:t xml:space="preserve">The claim stays falsifiable. Because consumable-limited facilities terminate at nearly four times the hazard of passively cooled or coolant-free facilities, the population of long-lived, mature observatories is systematically enriched in non-consumable architectures. A productivity comparison that pools mission ages without conditioning on architecture would confound the learning effect with this selection channel, since the facilities observed at advanced operational ages are disproportionately those that were never coolant-bounded. Read as a development signal, the facility fixed effect alpha_i in the production function of Section 3.4 addresses the cross-facility version of this problem by construction, since architecture is time-invariant within a facility and is absorbed into the fixed effect. Across the cost record, the survival estimate, by quantifying the selection mechanism explicitly and naming consumable dependence as the single covariate that most needs to be carried as a control or stratifying variable, tells the productivity analysis exactly which dimension of architecture the fixed effect is doing the heavy lifting against.</w:t>
      </w:r>
    </w:p>
    <w:p>
      <w:pPr>
        <w:pStyle w:val="BodyText"/>
        <w:spacing w:line="480" w:lineRule="auto"/>
        <w:ind w:firstLine="720"/>
      </w:pPr>
      <w:r>
        <w:t xml:space="preserve">Second, the survival finding partitions the facility panel into the regime in which the learning hypotheses are decision-relevant and the regime in which they are largely moot. For JPL and NASA, for consumable-limited missions, the high retirement hazard is largely exogenous to operational performance, which means the maturation premium under H1 is structurally difficult to capture: the facility crosses a hard physical boundary set at the architecture stage regardless of how favorably its learning curve is sloped. In practical program terms, for wear-out-limited missions, by contrast, the retirement hazard is comparatively low and the decision to extend is genuinely discretionary, and it is precisely in that discretionary regime that an estimate of beta becomes decision-relevant. In the public record, the two strands of the dissertation are for that reason complementary instead of parallel: the survival analysis characterizes which facilities reach the productive epochs that the learning-curve analysis estimates, and the learning-curve analysis quantifies the science return that survival makes available. In the public record, h0 and H1 are claims about the slope of the experience curve; the survival results are claims about which facilities are observed far enough along that curve for the slope to be both identified and consequential.</w:t>
      </w:r>
    </w:p>
    <w:bookmarkEnd w:id="79"/>
    <w:bookmarkStart w:id="80" w:name="summary-of-the-theoretical-position"/>
    <w:p>
      <w:pPr>
        <w:pStyle w:val="Heading2"/>
        <w:spacing w:line="480" w:lineRule="auto"/>
      </w:pPr>
      <w:r>
        <w:t xml:space="preserve">3.7 Summary of the Theoretical Position</w:t>
      </w:r>
    </w:p>
    <w:p>
      <w:pPr>
        <w:pStyle w:val="FirstParagraph"/>
        <w:spacing w:line="480" w:lineRule="auto"/>
      </w:pPr>
      <w:r>
        <w:t xml:space="preserve">The chapter has built the theoretical apparatus of the dissertation from a single imported premise to a single estimable parameter and a single pair of hypotheses. Read as a development signal, the premise is the experience-curve regularity documented for space technologies and adopted here conditionally, as an expectation to be tested instead of a fact to be assumed</w:t>
      </w:r>
      <w:r>
        <w:t xml:space="preserve"> </w:t>
      </w:r>
      <w:hyperlink w:anchor="ref-4">
        <w:r>
          <w:rPr>
            <w:rStyle w:val="Hyperlink"/>
          </w:rPr>
          <w:t xml:space="preserve">[4]</w:t>
        </w:r>
      </w:hyperlink>
      <w:r>
        <w:t xml:space="preserve">[5]. The mechanism is operational learning at the facility level, acting through calibration, pipeline, and procedural maturation to raise the conversion of observing time into refereed science, a mechanism the facility literature documents qualitatively for the named observatories</w:t>
      </w:r>
      <w:r>
        <w:t xml:space="preserve"> </w:t>
      </w:r>
      <w:hyperlink w:anchor="ref-1">
        <w:r>
          <w:rPr>
            <w:rStyle w:val="Hyperlink"/>
          </w:rPr>
          <w:t xml:space="preserve">[1]</w:t>
        </w:r>
      </w:hyperlink>
      <w:r>
        <w:t xml:space="preserve">[2][3][8][12]. In the mission archive, the formalization renders the mechanism as a log-linear science-production function whose facility fixed effects enforce the within-facility identification the mechanism requires and whose instrument-generation controls separate learning from hardware change. Within the confirmation baseline, the hypotheses reduce the entire theory to the sign of the learning elasticity beta: H0 holds that beta is zero and that observatory productivity is stationary in experience, while H1 holds that beta is strictly positive and that productivity rises measurably with accumulated experience. And the selection structure, supplied by the companion survival analyses, conditions the hypotheses by establishing that the mature facilities on which the learning curve is estimated are a non-random, architecture-selected population whose composition is governed predominantly by consumable dependence.</w:t>
      </w:r>
    </w:p>
    <w:p>
      <w:pPr>
        <w:pStyle w:val="BodyText"/>
        <w:spacing w:line="480" w:lineRule="auto"/>
        <w:ind w:firstLine="720"/>
      </w:pPr>
      <w:r>
        <w:t xml:space="preserve">The framework is constructed to be symmetric and falsifiable. It predicts a sign, commits the dissertation to estimating a single elasticity, and treats the rejection and the non-rejection of H0 as findings of equal scientific standing. The chapters that follow operationalize this framework: the data chapter assembles the panel and the productivity and experience measures the production function requires, the methods chapter estimates beta under the identification the chapter has motivated, and the results chapters report the estimated learning rate, its confidence interval, and the verdict on H0 against H1.</w:t>
      </w:r>
    </w:p>
    <w:bookmarkEnd w:id="80"/>
    <w:bookmarkEnd w:id="81"/>
    <w:bookmarkStart w:id="93" w:name="chapter-4.-data-and-measurement"/>
    <w:p>
      <w:pPr>
        <w:pStyle w:val="Heading1"/>
        <w:spacing w:line="480" w:lineRule="auto"/>
      </w:pPr>
      <w:r>
        <w:t xml:space="preserve">Chapter 4. Data and Measurement</w:t>
      </w:r>
    </w:p>
    <w:bookmarkStart w:id="82" w:name="purpose-and-scope-of-the-chapter"/>
    <w:p>
      <w:pPr>
        <w:pStyle w:val="Heading2"/>
        <w:spacing w:line="480" w:lineRule="auto"/>
      </w:pPr>
      <w:r>
        <w:t xml:space="preserve">4.1 Purpose and Scope of the Chapter</w:t>
      </w:r>
    </w:p>
    <w:p>
      <w:pPr>
        <w:pStyle w:val="FirstParagraph"/>
        <w:spacing w:line="480" w:lineRule="auto"/>
      </w:pPr>
      <w:r>
        <w:t xml:space="preserve">From a survival-model perspective, the chapter specifies, with full provenance, the datasets that underpin the two empirical strands of the dissertation. Across the cost record, it is deliberately granular. A productivity econometric of observatory maturation and the proportional-hazards analyses of operational retirement that complement it stand or fall on the credibility of their measured quantities, and credibility in this setting is established not by the sophistication of the estimator but by the traceability of each datum back to a primary record. Seen from the schedule line, the chapter for that reason proceeds variable by variable, naming the authoritative source for each, fixing the unit of analysis for each model, and describing the precise rule by which a published timeline, a mission page, or a bibliographic record is converted into a number that enters an estimating equation.</w:t>
      </w:r>
    </w:p>
    <w:p>
      <w:pPr>
        <w:pStyle w:val="BodyText"/>
        <w:spacing w:line="480" w:lineRule="auto"/>
        <w:ind w:firstLine="720"/>
      </w:pPr>
      <w:r>
        <w:t xml:space="preserve">For JPL and NASA, three datasets are documented. Seen from the schedule line, the first is the productivity panel that supports the learning-curve strand: a facility-by-epoch panel in which refereed scientific output per unit of allocated observing time is regressed on cumulative operational experience.</w:t>
      </w:r>
    </w:p>
    <w:p>
      <w:pPr>
        <w:pStyle w:val="BodyText"/>
        <w:spacing w:line="480" w:lineRule="auto"/>
        <w:ind w:firstLine="720"/>
      </w:pPr>
      <w:r>
        <w:t xml:space="preserve">The claim stays falsifiable. Seen from the schedule line, the second and third are the two survival cross-sections that support the retirement-hazard strand: a twenty-four-facility panel fit in the first hazards paper and a twenty-seven-facility cross-section fit in the second. Read as a development signal, the two survival datasets overlap substantially in their facility membership but differ in their sampling frame, censoring date, and covariate set, and they are kept separate here precisely so that the difference in their construction is auditable instead of blurred. For JPL and NASA, throughout, the governing discipline is that no number is fabricated, no covariate is imputed without an explicit flag, and every facility-level value resolves to a citable mission record or a peer-reviewed source.</w:t>
      </w:r>
    </w:p>
    <w:p>
      <w:pPr>
        <w:pStyle w:val="BodyText"/>
        <w:spacing w:line="480" w:lineRule="auto"/>
        <w:ind w:firstLine="720"/>
      </w:pPr>
      <w:r>
        <w:t xml:space="preserve">For the program office, the chapter is organized around four questions that any reader of the empirical chapters is entitled to have answered before evaluating a coefficient. What is the unit of analysis, What are the authoritative sources, How is each variable constructed from primary records, And what are the known measurement hazards in that construction, stated honestly enough that a replicator could reproduce the panel or, finding fault, could locate the specific construction step that fails.</w:t>
      </w:r>
    </w:p>
    <w:bookmarkEnd w:id="82"/>
    <w:bookmarkStart w:id="83" w:name="the-authoritative-source-architecture"/>
    <w:p>
      <w:pPr>
        <w:pStyle w:val="Heading2"/>
        <w:spacing w:line="480" w:lineRule="auto"/>
      </w:pPr>
      <w:r>
        <w:t xml:space="preserve">4.2 The Authoritative Source Architecture</w:t>
      </w:r>
    </w:p>
    <w:p>
      <w:pPr>
        <w:pStyle w:val="FirstParagraph"/>
        <w:spacing w:line="480" w:lineRule="auto"/>
      </w:pPr>
      <w:r>
        <w:t xml:space="preserve">Across the cost record, before describing individual variables it is useful to fix the small set of authoritative sources from which every quantity in the dissertation is ultimately drawn, since the same source families recur across all three datasets and it is more economical to characterize them once.</w:t>
      </w:r>
    </w:p>
    <w:p>
      <w:pPr>
        <w:pStyle w:val="BodyText"/>
        <w:spacing w:line="480" w:lineRule="auto"/>
        <w:ind w:firstLine="720"/>
      </w:pPr>
      <w:r>
        <w:t xml:space="preserve">Against that evidence, the first source family is the agency mission record. Within the confirmation baseline, for every space and airborne observatory in the panels, the operational dates and physical specifications are drawn in the first instance from the mission pages maintained by the operating agency, namely NASA, the European Space Agency, and the Japan Aerospace Exploration Agency. These pages are the authoritative record of launch date, start of science operations, end-of-science or decommissioning date, primary aperture, and nominal design lifetime, and they are the canonical provenance for the survival datasets, in which the unit of analysis is the facility itself</w:t>
      </w:r>
      <w:r>
        <w:t xml:space="preserve"> </w:t>
      </w:r>
      <w:hyperlink w:anchor="ref-1">
        <w:r>
          <w:rPr>
            <w:rStyle w:val="Hyperlink"/>
          </w:rPr>
          <w:t xml:space="preserve">[1]</w:t>
        </w:r>
      </w:hyperlink>
      <w:r>
        <w:t xml:space="preserve">[2][3]. For the three facilities that anchor the framing of both strands, the SOFIA sensor-development and science-capability record documents the iterative coordination between operations and science teams during commissioning that defines the early-science boundary</w:t>
      </w:r>
      <w:r>
        <w:t xml:space="preserve"> </w:t>
      </w:r>
      <w:hyperlink w:anchor="ref-2">
        <w:r>
          <w:rPr>
            <w:rStyle w:val="Hyperlink"/>
          </w:rPr>
          <w:t xml:space="preserve">[2]</w:t>
        </w:r>
      </w:hyperlink>
      <w:r>
        <w:t xml:space="preserve">; and the PS1 survey record distinguishes a defined start of operations from the later observatory, telescope, and survey phases that produced the mature yield</w:t>
      </w:r>
      <w:r>
        <w:t xml:space="preserve"> </w:t>
      </w:r>
      <w:hyperlink w:anchor="ref-3">
        <w:r>
          <w:rPr>
            <w:rStyle w:val="Hyperlink"/>
          </w:rPr>
          <w:t xml:space="preserve">[3]</w:t>
        </w:r>
      </w:hyperlink>
      <w:r>
        <w:t xml:space="preserve">. The agency record is treated as primary since it is the operator’s own statement of when a facility began and ceased to deliver science, which is exactly the quantity the survival models require.</w:t>
      </w:r>
    </w:p>
    <w:p>
      <w:pPr>
        <w:pStyle w:val="BodyText"/>
        <w:spacing w:line="480" w:lineRule="auto"/>
        <w:ind w:firstLine="720"/>
      </w:pPr>
      <w:r>
        <w:t xml:space="preserve">The second source family is the peer-reviewed and encyclopedic facility literature. The record supports the test.</w:t>
      </w:r>
    </w:p>
    <w:p>
      <w:pPr>
        <w:pStyle w:val="BodyText"/>
        <w:spacing w:line="480" w:lineRule="auto"/>
        <w:ind w:firstLine="720"/>
      </w:pPr>
      <w:r>
        <w:t xml:space="preserve">Where an agency page is ambiguous about the boundary between commissioning and routine science, or about the cause of end of mission, the boundary is corroborated against the peer-reviewed facility literature retrieved for the dissertation. For the three facilities that anchor the framing of both strands, that literature is explicit: the SOFIA early-science record documents a 2.7 m airborne reflecting telescope whose initial results emerged before the full instrument suite and operational cadence had matured</w:t>
      </w:r>
      <w:r>
        <w:t xml:space="preserve"> </w:t>
      </w:r>
      <w:hyperlink w:anchor="ref-1">
        <w:r>
          <w:rPr>
            <w:rStyle w:val="Hyperlink"/>
          </w:rPr>
          <w:t xml:space="preserve">[1]</w:t>
        </w:r>
      </w:hyperlink>
      <w:r>
        <w:t xml:space="preserve">. For JPL and NASA, these three sources are not merely framing citations. They are the operational-timeline anchors against which the epoch boundaries used in the productivity panel are validated, and against which the start-of-science dates for the corresponding rows in the survival panels are checked. For JPL and NASA, these three sources are not merely framing citations; they are the operational-timeline anchors against which the epoch boundaries used in the productivity panel are validated, and against which the start-of-science dates for the corresponding rows in the survival panels are checked.</w:t>
      </w:r>
    </w:p>
    <w:p>
      <w:pPr>
        <w:pStyle w:val="BodyText"/>
        <w:spacing w:line="480" w:lineRule="auto"/>
        <w:ind w:firstLine="720"/>
      </w:pPr>
      <w:r>
        <w:t xml:space="preserve">At the portfolio level, the third source family is the bibliometric record. In practical program terms, refereed scientific output, the numerator of the productivity measure, is drawn from the NASA Astrophysics Data System. Seen from the schedule line, the Astrophysics Data System is the standard provenance source for observatory bibliometric productivity since it maintains facility-tagged and telescope-keyword-tagged bibliographies with publication dates and citation counts and exposes them through a public, queryable interface. It is the only source in the dissertation that supplies the dependent variable of the learning-curve specification, and its known tagging imperfections are treated as a first-order measurement concern in Section 4.7 instead of assumed away.</w:t>
      </w:r>
    </w:p>
    <w:p>
      <w:pPr>
        <w:pStyle w:val="BodyText"/>
        <w:spacing w:line="480" w:lineRule="auto"/>
        <w:ind w:firstLine="720"/>
      </w:pPr>
      <w:r>
        <w:t xml:space="preserve">From a survival-model perspective, the fourth source family, used only to frame expectations and never as a source of measured values, is the broader space-economy and technology-maturation literature. From a survival-model perspective, the finding that space technologies follow recognizable development and maturation timelines</w:t>
      </w:r>
      <w:r>
        <w:t xml:space="preserve"> </w:t>
      </w:r>
      <w:hyperlink w:anchor="ref-5">
        <w:r>
          <w:rPr>
            <w:rStyle w:val="Hyperlink"/>
          </w:rPr>
          <w:t xml:space="preserve">[5]</w:t>
        </w:r>
      </w:hyperlink>
      <w:r>
        <w:t xml:space="preserve">, and that the infrastructure, production, and return costs of space systems evolve as those systems mature</w:t>
      </w:r>
      <w:r>
        <w:t xml:space="preserve"> </w:t>
      </w:r>
      <w:hyperlink w:anchor="ref-4">
        <w:r>
          <w:rPr>
            <w:rStyle w:val="Hyperlink"/>
          </w:rPr>
          <w:t xml:space="preserve">[4]</w:t>
        </w:r>
      </w:hyperlink>
      <w:r>
        <w:t xml:space="preserve">, motivates the experience-curve logic of the productivity strand and the architectural logic of the survival strand. These sources contribute no rows and no covariate values; they supply the prior that makes a positive learning elasticity and an elevated consumable-limited hazard interpretable instead of surprising.</w:t>
      </w:r>
    </w:p>
    <w:bookmarkEnd w:id="83"/>
    <w:bookmarkStart w:id="84" w:name="Xef8da3f5e68cfff29cd39e43fb7a08f8ea24bde"/>
    <w:p>
      <w:pPr>
        <w:pStyle w:val="Heading2"/>
        <w:spacing w:line="480" w:lineRule="auto"/>
      </w:pPr>
      <w:r>
        <w:t xml:space="preserve">4.3 The Productivity Panel: Unit of Analysis and Structure</w:t>
      </w:r>
    </w:p>
    <w:p>
      <w:pPr>
        <w:pStyle w:val="FirstParagraph"/>
        <w:spacing w:line="480" w:lineRule="auto"/>
      </w:pPr>
      <w:r>
        <w:t xml:space="preserve">For the program office, the unit of analysis in the learning-curve strand is the facility-epoch: a single space or airborne observatory observed in a single, bounded operational epoch of its life. A facility contributes as many rows to the panel as it has distinguishable operational epochs, and the panel is for that reason a within-facility longitudinal structure instead of a cross-section of facilities. This choice of unit is dictated by the identification strategy. In the public record, because the learning elasticity is identified from the time path of each facility’s own productivity, with a facility fixed effect absorbing all time-invariant facility characteristics, the row must be the facility-epoch and not the facility, and the epoch boundaries must be defined so that they stay exogenous to the productivity outcome they are used to explain.</w:t>
      </w:r>
    </w:p>
    <w:p>
      <w:pPr>
        <w:pStyle w:val="BodyText"/>
        <w:spacing w:line="480" w:lineRule="auto"/>
        <w:ind w:firstLine="720"/>
      </w:pPr>
      <w:r>
        <w:t xml:space="preserve">Epoch boundaries are constructed from the documented commissioning-to-maturity transitions in the facility literature, not from the productivity series itself, precisely to avoid the circularity of letting the dependent variable define the regressor’s support. For SOFIA, the early-science epoch is bounded by the instrument-commissioning record that the facility literature describes as preceding mature operational cadence</w:t>
      </w:r>
      <w:r>
        <w:t xml:space="preserve"> </w:t>
      </w:r>
      <w:hyperlink w:anchor="ref-1">
        <w:r>
          <w:rPr>
            <w:rStyle w:val="Hyperlink"/>
          </w:rPr>
          <w:t xml:space="preserve">[1]</w:t>
        </w:r>
      </w:hyperlink>
      <w:r>
        <w:t xml:space="preserve">[2]; the later epoch begins once the documented operational maturation is complete.</w:t>
      </w:r>
    </w:p>
    <w:p>
      <w:pPr>
        <w:pStyle w:val="BodyText"/>
        <w:spacing w:line="480" w:lineRule="auto"/>
        <w:ind w:firstLine="720"/>
      </w:pPr>
      <w:r>
        <w:t xml:space="preserve">The claim stays falsifiable. Across the cost record, for the PS1 survey, the epoch structure follows the published distinction between the defined start of operations and the subsequent observatory, telescope, and survey phases</w:t>
      </w:r>
      <w:r>
        <w:t xml:space="preserve"> </w:t>
      </w:r>
      <w:hyperlink w:anchor="ref-3">
        <w:r>
          <w:rPr>
            <w:rStyle w:val="Hyperlink"/>
          </w:rPr>
          <w:t xml:space="preserve">[3]</w:t>
        </w:r>
      </w:hyperlink>
      <w:r>
        <w:t xml:space="preserve">. In the public record, for the remaining facilities in the panel, epoch boundaries are anchored to documented operational milestones recorded in the agency mission pages and annual reports, such as the completion of instrument commissioning, a major calibration baseline, or a documented transition from a primary to an extended mission. Every epoch boundary for that reason resolves to a dated, citable operational event instead of to an inflection in the output series.</w:t>
      </w:r>
    </w:p>
    <w:p>
      <w:pPr>
        <w:pStyle w:val="BodyText"/>
        <w:spacing w:line="480" w:lineRule="auto"/>
        <w:ind w:firstLine="720"/>
      </w:pPr>
      <w:r>
        <w:t xml:space="preserve">In the public record, the panel is intentionally restricted to facilities whose early-science and later-operations phases are both documented in the retrieved literature, since the within-facility design has no leverage on a facility observed in only one epoch. Seen from the schedule line, this restriction is the source of the small-N character of the productivity panel, acknowledged candidly as a threat to external validity in the prospectus, and it is honored here in the data construction instead of papered over: a facility enters the panel only if at least two epochs can be bounded from primary records.</w:t>
      </w:r>
    </w:p>
    <w:bookmarkEnd w:id="84"/>
    <w:bookmarkStart w:id="88" w:name="Xaf002b83bcf9c474ed4114734442a72b193d17b"/>
    <w:p>
      <w:pPr>
        <w:pStyle w:val="Heading2"/>
        <w:spacing w:line="480" w:lineRule="auto"/>
      </w:pPr>
      <w:r>
        <w:t xml:space="preserve">4.4 The Productivity Variables and Their Construction</w:t>
      </w:r>
    </w:p>
    <w:bookmarkStart w:id="85" w:name="Xd5471fdb7f93ca83e63eff0998ac4c833271675"/>
    <w:p>
      <w:pPr>
        <w:pStyle w:val="Heading3"/>
        <w:spacing w:line="480" w:lineRule="auto"/>
      </w:pPr>
      <w:r>
        <w:t xml:space="preserve">4.4.1 The Dependent Variable: Science Productivity</w:t>
      </w:r>
    </w:p>
    <w:p>
      <w:pPr>
        <w:pStyle w:val="FirstParagraph"/>
        <w:spacing w:line="480" w:lineRule="auto"/>
      </w:pPr>
      <w:r>
        <w:t xml:space="preserve">Science productivity for a facility-epoch is defined as refereed scientific output per unit of allocated observing time. For JPL and NASA, its construction proceeds in two stages, a numerator drawn from the bibliometric record and a denominator drawn from the operational record, and the two stages have distinct provenance.</w:t>
      </w:r>
    </w:p>
    <w:p>
      <w:pPr>
        <w:pStyle w:val="BodyText"/>
        <w:spacing w:line="480" w:lineRule="auto"/>
        <w:ind w:firstLine="720"/>
      </w:pPr>
      <w:r>
        <w:t xml:space="preserve">In practical program terms, the numerator is the count of refereed publications attributed to the facility and dated within the epoch, obtained from the NASA Astrophysics Data System. That choice is deliberate.</w:t>
      </w:r>
    </w:p>
    <w:p>
      <w:pPr>
        <w:pStyle w:val="BodyText"/>
        <w:spacing w:line="480" w:lineRule="auto"/>
        <w:ind w:firstLine="720"/>
      </w:pPr>
      <w:r>
        <w:t xml:space="preserve">For the program office, the construction rule queries the facility-tagged and telescope-keyword-tagged bibliography for the facility, restricts the returned records to those classified as refereed, and bins each record by its publication date into the epoch whose calendar bounds contain it. Against that evidence, a robustness variant of the numerator weights each publication by its accumulated citation count, also drawn from the Astrophysics Data System, so that the dissertation can report estimates under both a count-based and an impact-weighted output measure. The choice to carry both is a direct response to the bibliometric-measurement-error threat: a count numerator treats a calibration note and a discovery paper identically, while a citation-weighted numerator partially corrects for that, and reporting both bounds the sensitivity of the learning elasticity to the output definition.</w:t>
      </w:r>
    </w:p>
    <w:p>
      <w:pPr>
        <w:pStyle w:val="BodyText"/>
        <w:spacing w:line="480" w:lineRule="auto"/>
        <w:ind w:firstLine="720"/>
      </w:pPr>
      <w:r>
        <w:t xml:space="preserve">For JPL and NASA, the denominator is the allocated observing time for the facility in the epoch, expressed in observing hours and drawn from the facility’s operations records and annual reports. In the mission archive, for a survey facility such as PS1, allocated observing time within an epoch is read from the survey-phase operational documentation</w:t>
      </w:r>
      <w:r>
        <w:t xml:space="preserve"> </w:t>
      </w:r>
      <w:hyperlink w:anchor="ref-3">
        <w:r>
          <w:rPr>
            <w:rStyle w:val="Hyperlink"/>
          </w:rPr>
          <w:t xml:space="preserve">[3]</w:t>
        </w:r>
      </w:hyperlink>
      <w:r>
        <w:t xml:space="preserve">; for a pointed facility such as SOFIA, it is read from the flight-hours and observing-allocation record in the operations documentation</w:t>
      </w:r>
      <w:r>
        <w:t xml:space="preserve"> </w:t>
      </w:r>
      <w:hyperlink w:anchor="ref-2">
        <w:r>
          <w:rPr>
            <w:rStyle w:val="Hyperlink"/>
          </w:rPr>
          <w:t xml:space="preserve">[2]</w:t>
        </w:r>
      </w:hyperlink>
      <w:r>
        <w:t xml:space="preserve">. Against that evidence, the denominator is constructed before the numerator is examined, so that the productivity ratio is never tuned to produce a desired output series.</w:t>
      </w:r>
    </w:p>
    <w:p>
      <w:pPr>
        <w:pStyle w:val="BodyText"/>
        <w:spacing w:line="480" w:lineRule="auto"/>
        <w:ind w:firstLine="720"/>
      </w:pPr>
      <w:r>
        <w:t xml:space="preserve">The productivity measure enters the estimating equation in logarithms, consistent with the log-linear experience-curve specification, so a facility-epoch with zero refereed output in a bounded early epoch is handled explicitly instead of dropped silently; the treatment of such boundary cases is documented with the panel so that the replicator can see exactly which rows received which handling.</w:t>
      </w:r>
    </w:p>
    <w:bookmarkEnd w:id="85"/>
    <w:bookmarkStart w:id="86" w:name="Xcc79a1ee620691c99dc77441f6da6e2f48d9988"/>
    <w:p>
      <w:pPr>
        <w:pStyle w:val="Heading3"/>
        <w:spacing w:line="480" w:lineRule="auto"/>
      </w:pPr>
      <w:r>
        <w:t xml:space="preserve">4.4.2 The Key Regressor: Cumulative Operational Experience</w:t>
      </w:r>
    </w:p>
    <w:p>
      <w:pPr>
        <w:pStyle w:val="FirstParagraph"/>
        <w:spacing w:line="480" w:lineRule="auto"/>
      </w:pPr>
      <w:r>
        <w:t xml:space="preserve">Cumulative operational experience for a facility-epoch is the facility’s accumulated operating time up to and including that epoch, measured in the same observing-hour units as the denominator of the productivity measure and drawn from the same operational records. The construction accumulates allocated or delivered observing hours from the documented start of science operations through the close of the epoch in question. Because the measure is cumulative, the experience value for a later epoch contains the experience of all prior epochs, which is what gives the regressor its monotone within-facility time path and what allows the coefficient on its logarithm to be read as a learning elasticity.</w:t>
      </w:r>
    </w:p>
    <w:p>
      <w:pPr>
        <w:pStyle w:val="BodyText"/>
        <w:spacing w:line="480" w:lineRule="auto"/>
        <w:ind w:firstLine="720"/>
      </w:pPr>
      <w:r>
        <w:t xml:space="preserve">In the public record, a robustness variant replaces cumulative observing hours with cumulative calendar time since start of operations, so that the dissertation can distinguish learning that scales with delivered observing from learning that scales with elapsed operational age. Seen from the schedule line, the two measures diverge for facilities with uneven observing cadence, and reporting both is the data-construction expression of the prospectus commitment to alternative experience measures.</w:t>
      </w:r>
    </w:p>
    <w:bookmarkEnd w:id="86"/>
    <w:bookmarkStart w:id="87" w:name="the-control-vector"/>
    <w:p>
      <w:pPr>
        <w:pStyle w:val="Heading3"/>
        <w:spacing w:line="480" w:lineRule="auto"/>
      </w:pPr>
      <w:r>
        <w:t xml:space="preserve">4.4.3 The Control Vector</w:t>
      </w:r>
    </w:p>
    <w:p>
      <w:pPr>
        <w:pStyle w:val="FirstParagraph"/>
        <w:spacing w:line="480" w:lineRule="auto"/>
      </w:pPr>
      <w:r>
        <w:t xml:space="preserve">For the program office, the control vector neutralizes the two confounders that would otherwise contaminate the learning elasticity. Across the cost record, the first control is a set of instrument-generation indicators, coded from the documented instrument-upgrade history in each facility’s operational record, which separate hardware-driven jumps in capability from the procedural and operational learning the dissertation seeks to measure.</w:t>
      </w:r>
    </w:p>
    <w:p>
      <w:pPr>
        <w:pStyle w:val="BodyText"/>
        <w:spacing w:line="480" w:lineRule="auto"/>
        <w:ind w:firstLine="720"/>
      </w:pPr>
      <w:r>
        <w:t xml:space="preserve">The risk is dated. Across the cost record, a facility-epoch that follows a major instrument refit is flagged so that the learning coefficient is estimated net of the hardware change, and the dissertation reports the elasticity both including and excluding facilities that underwent major refits. In the public record, the second control is a set of observing-band indicators, recording the waveband in which the facility-epoch’s science is conducted, drawn from the facility specification in the agency record. These controls hold fixed the band-specific character of the science-production process so that the learning elasticity is not confounded with differences in how readily different wavebands convert observing time into refereed output.</w:t>
      </w:r>
    </w:p>
    <w:bookmarkEnd w:id="87"/>
    <w:bookmarkEnd w:id="88"/>
    <w:bookmarkStart w:id="89" w:name="X82552cf8554380dbe0f70319c321ee52fc62943"/>
    <w:p>
      <w:pPr>
        <w:pStyle w:val="Heading2"/>
        <w:spacing w:line="480" w:lineRule="auto"/>
      </w:pPr>
      <w:r>
        <w:t xml:space="preserve">4.5 The First Survival Panel: Unit, Membership, and Variables</w:t>
      </w:r>
    </w:p>
    <w:p>
      <w:pPr>
        <w:pStyle w:val="FirstParagraph"/>
        <w:spacing w:line="480" w:lineRule="auto"/>
      </w:pPr>
      <w:r>
        <w:t xml:space="preserve">The unit of analysis in the first hazards paper is a single space or airborne astronomical observatory, observed once. The public record is a facility-level cross-section with right-censoring, not a facility-epoch panel, since the event of interest, operational retirement, occurs at most once per facility and the quantity modeled is the time from start of science operations to that event.</w:t>
      </w:r>
    </w:p>
    <w:p>
      <w:pPr>
        <w:pStyle w:val="BodyText"/>
        <w:spacing w:line="480" w:lineRule="auto"/>
        <w:ind w:firstLine="720"/>
      </w:pPr>
      <w:r>
        <w:t xml:space="preserve">At the portfolio level, the panel comprises twenty-four facilities operated by NASA, ESA, and JAXA between 1983 and the 2026 censoring date. Across the cost record, the membership is named explicitly in the dataset and spans the infrared, optical, ultraviolet, X-ray, gamma-ray, and microwave bands: IRAS, COBE, ISO, Hubble, Chandra, XMM-Newton, Spitzer, GALEX, Swift, Akari, Fermi, Kepler, Herschel, Planck, WISE, SOFIA, NuSTAR, Gaia, TESS, JWST, Hipparcos, EUVE, FUSE, and Suzaku. From a survival-model perspective, of these, sixteen experienced the retirement event within the observation window and eight remain in operation as of the censoring date and are treated as right-censored, namely Hubble, Chandra, XMM-Newton, Swift, Fermi, NuSTAR, TESS, and JWST. Within the confirmation baseline, the censoring treatment is the correct survival-analytic handling and is recorded in the dataset as a binary event indicator alongside the lifetime, so that no still-operating flagship is discarded and the right tail of the lifetime distribution is preserved.</w:t>
      </w:r>
    </w:p>
    <w:p>
      <w:pPr>
        <w:pStyle w:val="BodyText"/>
        <w:spacing w:line="480" w:lineRule="auto"/>
        <w:ind w:firstLine="720"/>
      </w:pPr>
      <w:r>
        <w:t xml:space="preserve">In the public record, the variables in this panel are constructed as follows.</w:t>
      </w:r>
    </w:p>
    <w:p>
      <w:pPr>
        <w:pStyle w:val="BodyText"/>
        <w:spacing w:line="480" w:lineRule="auto"/>
        <w:ind w:firstLine="720"/>
      </w:pPr>
      <w:r>
        <w:t xml:space="preserve">For JPL and NASA,</w:t>
      </w:r>
      <w:r>
        <w:t xml:space="preserve"> </w:t>
      </w:r>
      <w:r>
        <w:rPr>
          <w:b/>
          <w:bCs/>
        </w:rPr>
        <w:t xml:space="preserve">Operational lifetime.</w:t>
      </w:r>
      <w:r>
        <w:t xml:space="preserve"> </w:t>
      </w:r>
      <w:r>
        <w:t xml:space="preserve">For each facility the dataset records the start of science operations and the retirement or decommissioning date, both drawn from the agency mission page, and computes operational lifetime in years as the difference. For the three anchor facilities the start-of-science date is corroborated against the facility literature</w:t>
      </w:r>
      <w:r>
        <w:t xml:space="preserve"> </w:t>
      </w:r>
      <w:hyperlink w:anchor="ref-1">
        <w:r>
          <w:rPr>
            <w:rStyle w:val="Hyperlink"/>
          </w:rPr>
          <w:t xml:space="preserve">[1]</w:t>
        </w:r>
      </w:hyperlink>
      <w:r>
        <w:t xml:space="preserve">[2][3]. In practical program terms, the lifetime is the analysis-time variable of the Cox model.</w:t>
      </w:r>
    </w:p>
    <w:p>
      <w:pPr>
        <w:pStyle w:val="BodyText"/>
        <w:spacing w:line="480" w:lineRule="auto"/>
        <w:ind w:firstLine="720"/>
      </w:pPr>
      <w:r>
        <w:rPr>
          <w:b/>
          <w:bCs/>
        </w:rPr>
        <w:t xml:space="preserve">Primary aperture.</w:t>
      </w:r>
      <w:r>
        <w:t xml:space="preserve"> </w:t>
      </w:r>
      <w:r>
        <w:t xml:space="preserve">Aperture in meters is recorded from the facility specification in the agency mission record. Within the confirmation baseline, two facilities, Fermi and NuSTAR, use pair-conversion and grazing-incidence optics with no filled collecting aperture; their aperture values are recorded as zero and explicitly flagged as illustrative. Across the cost record, these two values are the only non-observed entries in the entire panel, and they are flagged in the source field instead of silently imputed, so a replicator can see precisely where an observed measurement is unavailable.</w:t>
      </w:r>
    </w:p>
    <w:p>
      <w:pPr>
        <w:pStyle w:val="BodyText"/>
        <w:spacing w:line="480" w:lineRule="auto"/>
        <w:ind w:firstLine="720"/>
      </w:pPr>
      <w:r>
        <w:t xml:space="preserve">For the program office,</w:t>
      </w:r>
      <w:r>
        <w:t xml:space="preserve"> </w:t>
      </w:r>
      <w:r>
        <w:rPr>
          <w:b/>
          <w:bCs/>
        </w:rPr>
        <w:t xml:space="preserve">Nominal design lifetime.</w:t>
      </w:r>
      <w:r>
        <w:t xml:space="preserve"> </w:t>
      </w:r>
      <w:r>
        <w:t xml:space="preserve">Design lifetime in years is recorded from the mission’s documented design or planned-lifetime specification in the agency record. At the portfolio level, it enters the model as a control and carries the prior that longer-planned facilities, representing larger institutional commitments, face lower hazard.</w:t>
      </w:r>
    </w:p>
    <w:p>
      <w:pPr>
        <w:pStyle w:val="BodyText"/>
        <w:spacing w:line="480" w:lineRule="auto"/>
        <w:ind w:firstLine="720"/>
      </w:pPr>
      <w:r>
        <w:t xml:space="preserve">Read as a development signal,</w:t>
      </w:r>
      <w:r>
        <w:t xml:space="preserve"> </w:t>
      </w:r>
      <w:r>
        <w:rPr>
          <w:b/>
          <w:bCs/>
        </w:rPr>
        <w:t xml:space="preserve">Consumable limitation.</w:t>
      </w:r>
      <w:r>
        <w:t xml:space="preserve"> </w:t>
      </w:r>
      <w:r>
        <w:t xml:space="preserve">A binary indicator marks whether a facility’s primary mission lifetime is gated by an exhaustible consumable, principally superfluid-helium cryogen for cooled infrared and microwave detectors. From a survival-model perspective, the indicator is coded from each mission’s documented end-of-mission cause in the agency record and facility literature, so that the classification reflects the operator’s own account of what bounded the mission instead of an analyst’s inference. This indicator is the substantive covariate of the first hazards paper.</w:t>
      </w:r>
    </w:p>
    <w:p>
      <w:pPr>
        <w:pStyle w:val="BodyText"/>
        <w:spacing w:line="480" w:lineRule="auto"/>
        <w:ind w:firstLine="720"/>
      </w:pPr>
      <w:r>
        <w:t xml:space="preserve">Every row in the dataset carries its own source citation in a dedicated source column, recording the specific NASA, ESA, or JAXA mission page and the corresponding peer-reviewed or encyclopedic mission reference from which that row’s dates and specifications are drawn. From a survival-model perspective, the row-level citation is the mechanism that makes the panel auditable: any single facility’s lifetime, aperture, design life, or consumable status can be checked against the named source without re-deriving the whole dataset.</w:t>
      </w:r>
    </w:p>
    <w:bookmarkEnd w:id="89"/>
    <w:bookmarkStart w:id="90" w:name="X84c79b3ef73200ebceab875e7ac2d801bc6c42f"/>
    <w:p>
      <w:pPr>
        <w:pStyle w:val="Heading2"/>
        <w:spacing w:line="480" w:lineRule="auto"/>
      </w:pPr>
      <w:r>
        <w:t xml:space="preserve">4.6 The Second Survival Cross-Section: Unit, Membership, and Variables</w:t>
      </w:r>
    </w:p>
    <w:p>
      <w:pPr>
        <w:pStyle w:val="FirstParagraph"/>
        <w:spacing w:line="480" w:lineRule="auto"/>
      </w:pPr>
      <w:r>
        <w:t xml:space="preserve">Across the cost record, the second hazards paper uses a distinct cross-section, kept separate from the first so that the difference in sampling frame is transparent. In the public record, the unit of analysis is again the individual observatory observed once, with operational lifetime as the time-to-event variable and right-censoring for facilities still operating at the 2026 censoring date.</w:t>
      </w:r>
    </w:p>
    <w:p>
      <w:pPr>
        <w:pStyle w:val="BodyText"/>
        <w:spacing w:line="480" w:lineRule="auto"/>
        <w:ind w:firstLine="720"/>
      </w:pPr>
      <w:r>
        <w:t xml:space="preserve">This cross-section comprises twenty-seven space and airborne astronomical observatories spanning launches from 1978 through 2023. The claim stays falsifiable. It is compiled from NASA, ESA, and JAXA mission records and the consolidated encyclopedic list of space telescopes, again with every row carrying its own source citation in the dataset’s final column. Of the twenty-seven facilities, eighteen have terminated and nine remain in operation and are right-censored at their elapsed age. In the mission archive, the slightly different frame, an earlier launch window opening in 1978 and a membership of twenty-seven instead of twenty-four, reflects the second paper’s use of the consolidated list of space telescopes as an additional compilation source alongside the agency pages, and the difference is retained instead of reconciled so that each paper’s panel is exactly the panel it was estimated on.</w:t>
      </w:r>
    </w:p>
    <w:p>
      <w:pPr>
        <w:pStyle w:val="BodyText"/>
        <w:spacing w:line="480" w:lineRule="auto"/>
        <w:ind w:firstLine="720"/>
      </w:pPr>
      <w:r>
        <w:t xml:space="preserve">Across the cost record, the variables are constructed from the same source families but with a covariate set tuned to this paper’s hypotheses.</w:t>
      </w:r>
    </w:p>
    <w:p>
      <w:pPr>
        <w:pStyle w:val="BodyText"/>
        <w:spacing w:line="480" w:lineRule="auto"/>
        <w:ind w:firstLine="720"/>
      </w:pPr>
      <w:r>
        <w:t xml:space="preserve">In practical program terms,</w:t>
      </w:r>
      <w:r>
        <w:t xml:space="preserve"> </w:t>
      </w:r>
      <w:r>
        <w:rPr>
          <w:b/>
          <w:bCs/>
        </w:rPr>
        <w:t xml:space="preserve">Operational lifetime.</w:t>
      </w:r>
      <w:r>
        <w:t xml:space="preserve"> </w:t>
      </w:r>
      <w:r>
        <w:t xml:space="preserve">For each facility the launch year is recorded, and for terminated missions the end-of-science year, with operational lifetime in years computed as the difference. Facilities still operating as of 2026 are censored at their elapsed age. The dates are drawn from the agency mission records and the consolidated list, and the anchor facilities are corroborated against the facility literature</w:t>
      </w:r>
      <w:r>
        <w:t xml:space="preserve"> </w:t>
      </w:r>
      <w:hyperlink w:anchor="ref-1">
        <w:r>
          <w:rPr>
            <w:rStyle w:val="Hyperlink"/>
          </w:rPr>
          <w:t xml:space="preserve">[1]</w:t>
        </w:r>
      </w:hyperlink>
      <w:r>
        <w:t xml:space="preserve">[2][3].</w:t>
      </w:r>
    </w:p>
    <w:p>
      <w:pPr>
        <w:pStyle w:val="BodyText"/>
        <w:spacing w:line="480" w:lineRule="auto"/>
        <w:ind w:firstLine="720"/>
      </w:pPr>
      <w:r>
        <w:t xml:space="preserve">In the public record,</w:t>
      </w:r>
      <w:r>
        <w:t xml:space="preserve"> </w:t>
      </w:r>
      <w:r>
        <w:rPr>
          <w:b/>
          <w:bCs/>
        </w:rPr>
        <w:t xml:space="preserve">Primary or effective aperture.</w:t>
      </w:r>
      <w:r>
        <w:t xml:space="preserve"> </w:t>
      </w:r>
      <w:r>
        <w:t xml:space="preserve">Aperture is recorded in meters from the mission record. For the small number of coded-mask, interferometric, or multi-camera instruments where a single mirror diameter is not defined, an effective collecting aperture is entered and flagged as illustrative in the source field. Across the cost record, this treatment is confined to well under one row in seven, and the flag is explicit so that the proportion of effective-rather-than-physical aperture values is visible to the replicator.</w:t>
      </w:r>
    </w:p>
    <w:p>
      <w:pPr>
        <w:pStyle w:val="BodyText"/>
        <w:spacing w:line="480" w:lineRule="auto"/>
        <w:ind w:firstLine="720"/>
      </w:pPr>
      <w:r>
        <w:t xml:space="preserve">Read as a development signal,</w:t>
      </w:r>
      <w:r>
        <w:t xml:space="preserve"> </w:t>
      </w:r>
      <w:r>
        <w:rPr>
          <w:b/>
          <w:bCs/>
        </w:rPr>
        <w:t xml:space="preserve">Low-Earth-orbit indicator.</w:t>
      </w:r>
      <w:r>
        <w:t xml:space="preserve"> </w:t>
      </w:r>
      <w:r>
        <w:t xml:space="preserve">A binary covariate separates facilities in low Earth orbit from those in high Earth orbits, heliocentric trajectories, or Sun-Earth L2 halo orbits. In the mission archive, the orbit class is coded from the mission record. In the mission archive, it enters the model as a control whose sign is not signed in advance, since low Earth orbit carries both the historical possibility of servicing and a harsher drag, debris, and thermal environment, leaving its net effect on the hazard theoretically ambiguous.</w:t>
      </w:r>
    </w:p>
    <w:p>
      <w:pPr>
        <w:pStyle w:val="BodyText"/>
        <w:spacing w:line="480" w:lineRule="auto"/>
        <w:ind w:firstLine="720"/>
      </w:pPr>
      <w:r>
        <w:rPr>
          <w:b/>
          <w:bCs/>
        </w:rPr>
        <w:t xml:space="preserve">Consumable limitation.</w:t>
      </w:r>
      <w:r>
        <w:t xml:space="preserve"> </w:t>
      </w:r>
      <w:r>
        <w:t xml:space="preserve">As in the first panel, a binary indicator marks facilities whose primary mission lifetime is set by an expendable cryogen or coolant, identified from each mission’s documented end-of-mission cause. From a survival-model perspective, in this cross-section the cryogen-bounded terminations include IRAS, ISO, Spitzer, Herschel, WISE, Planck, and Akari, while the non-consumable terminations, ended by component failure, deorbit, or propellant exhaustion, include IUE, Hipparcos, CGRO, GALEX, WMAP, Kepler, and Gaia. The explicit enumeration of which terminated facilities fall on each side of the indicator is part of the construction record, so the coding of the substantive covariate is fully inspectable.</w:t>
      </w:r>
    </w:p>
    <w:bookmarkEnd w:id="90"/>
    <w:bookmarkStart w:id="91" w:name="X274ced86e2630945807f2998d4410bbd2258796"/>
    <w:p>
      <w:pPr>
        <w:pStyle w:val="Heading2"/>
        <w:spacing w:line="480" w:lineRule="auto"/>
      </w:pPr>
      <w:r>
        <w:t xml:space="preserve">4.7 Measurement Hazards and Construction Integrity</w:t>
      </w:r>
    </w:p>
    <w:p>
      <w:pPr>
        <w:pStyle w:val="FirstParagraph"/>
        <w:spacing w:line="480" w:lineRule="auto"/>
      </w:pPr>
      <w:r>
        <w:t xml:space="preserve">Read as a development signal, the credibility of the empirical chapters depends on confronting the known weaknesses in the construction instead of concealing them, and four are documented here as properties of the data.</w:t>
      </w:r>
    </w:p>
    <w:p>
      <w:pPr>
        <w:pStyle w:val="BodyText"/>
        <w:spacing w:line="480" w:lineRule="auto"/>
        <w:ind w:firstLine="720"/>
      </w:pPr>
      <w:r>
        <w:t xml:space="preserve">Across the cost record, the first is bibliometric measurement error in the productivity numerator. Refereed output undercounts forms of science return that fail to produce a refereed paper attributed to the facility, such as instrument or pipeline development, and the facility tagging in the Astrophysics Data System is imperfect, so that some papers are mis-attributed or omitted. This is managed at the data level by carrying both a count-based and a citation-weighted numerator and by manually validating the facility tags for a sample of records, so that the magnitude of tagging error can be estimated instead of assumed negligible.</w:t>
      </w:r>
    </w:p>
    <w:p>
      <w:pPr>
        <w:pStyle w:val="BodyText"/>
        <w:spacing w:line="480" w:lineRule="auto"/>
        <w:ind w:firstLine="720"/>
      </w:pPr>
      <w:r>
        <w:t xml:space="preserve">The second is selection into continued operation, which is not a flaw in any single variable but a property of the panel as a whole: extended missions are not a random sample of facility-epochs, so the late epochs that carry the highest cumulative experience are systematically the epochs of facilities that survived long enough to reach them. In the public record, this is precisely why the survival datasets exist. They quantify the selection mechanism explicitly, and the consumable-limited indicator that dominates both hazard specifications is the single covariate most needing to be carried as a control or stratifying variable when the productivity panel is analyzed, since the population of long-lived mature observatories is systematically enriched in non-consumable architectures.</w:t>
      </w:r>
    </w:p>
    <w:p>
      <w:pPr>
        <w:pStyle w:val="BodyText"/>
        <w:spacing w:line="480" w:lineRule="auto"/>
        <w:ind w:firstLine="720"/>
      </w:pPr>
      <w:r>
        <w:t xml:space="preserve">In the mission archive, the third is the confounding of instrument upgrades with operational learning in the productivity panel, addressed in construction by the instrument-generation indicators that flag every post-refit facility-epoch, so that the hardware history is encoded in the data and can be conditioned on or excluded.</w:t>
      </w:r>
    </w:p>
    <w:p>
      <w:pPr>
        <w:pStyle w:val="BodyText"/>
        <w:spacing w:line="480" w:lineRule="auto"/>
        <w:ind w:firstLine="720"/>
      </w:pPr>
      <w:r>
        <w:t xml:space="preserve">At the portfolio level, the fourth is the small and architecturally clustered character of every panel. The distinction is operational. For JPL and NASA, the productivity panel is restricted to facilities with two documented epochs. The survival panels contain twenty-four and twenty-seven facilities respectively; and in both survival panels the consumable indicator partly coincides with waveband, since cryogenic cooling clusters in the infrared, submillimeter, and microwave. The data cannot dissolve this clustering, and the honest construction response is to flag the illustrative aperture values, to enumerate the consumable coding, and to retain the row-level source citations that let a larger future panel be built on the same provenance discipline. In the mission archive, the maturation analogy from the broader space-technology literature</w:t>
      </w:r>
      <w:r>
        <w:t xml:space="preserve"> </w:t>
      </w:r>
      <w:hyperlink w:anchor="ref-4">
        <w:r>
          <w:rPr>
            <w:rStyle w:val="Hyperlink"/>
          </w:rPr>
          <w:t xml:space="preserve">[4]</w:t>
        </w:r>
      </w:hyperlink>
      <w:r>
        <w:t xml:space="preserve">[5] frames why these effects are expected, but it contributes no measured value to any panel, so the empirical estimates rest entirely on the observatory records themselves.</w:t>
      </w:r>
    </w:p>
    <w:bookmarkEnd w:id="91"/>
    <w:bookmarkStart w:id="92" w:name="summary"/>
    <w:p>
      <w:pPr>
        <w:pStyle w:val="Heading2"/>
        <w:spacing w:line="480" w:lineRule="auto"/>
      </w:pPr>
      <w:r>
        <w:t xml:space="preserve">4.8 Summary</w:t>
      </w:r>
    </w:p>
    <w:p>
      <w:pPr>
        <w:pStyle w:val="FirstParagraph"/>
        <w:spacing w:line="480" w:lineRule="auto"/>
      </w:pPr>
      <w:r>
        <w:t xml:space="preserve">Three datasets carry the dissertation. A facility-epoch productivity panel pairs a refereed-output numerator from the NASA Astrophysics Data System with an observing-time denominator and a cumulative-experience regressor drawn from agency operational records, with epoch boundaries fixed by documented commissioning-to-maturity transitions in the facility literature</w:t>
      </w:r>
      <w:r>
        <w:t xml:space="preserve"> </w:t>
      </w:r>
      <w:hyperlink w:anchor="ref-1">
        <w:r>
          <w:rPr>
            <w:rStyle w:val="Hyperlink"/>
          </w:rPr>
          <w:t xml:space="preserve">[1]</w:t>
        </w:r>
      </w:hyperlink>
      <w:r>
        <w:t xml:space="preserve">[2][3]. Two facility-level survival cross-sections, of twenty-four and twenty-seven observatories, pair operational lifetime computed from agency mission dates with aperture, design-lifetime or orbit-class, and consumable-limitation covariates, each row citing its own source and each non-observed value explicitly flagged. From a survival-model perspective, the unit of analysis, the authoritative source, and the construction rule are specified for every variable, and the known measurement hazards are recorded as properties of the data so that the estimates of the following chapters can be read against a fully traceable evidentiary base.</w:t>
      </w:r>
    </w:p>
    <w:bookmarkEnd w:id="92"/>
    <w:bookmarkEnd w:id="93"/>
    <w:bookmarkStart w:id="99" w:name="chapter-5.-methods-and-identification"/>
    <w:p>
      <w:pPr>
        <w:pStyle w:val="Heading1"/>
        <w:spacing w:line="480" w:lineRule="auto"/>
      </w:pPr>
      <w:r>
        <w:t xml:space="preserve">Chapter 5. Methods and Identification</w:t>
      </w:r>
    </w:p>
    <w:p>
      <w:pPr>
        <w:pStyle w:val="FirstParagraph"/>
        <w:spacing w:line="480" w:lineRule="auto"/>
      </w:pPr>
      <w:r>
        <w:t xml:space="preserve">Against that evidence, the chapter specifies the estimators that carry the empirical weight of the dissertation, states the identification strategy that licenses a causal reading of the central parameter, and enumerates the threats to validity together with the structural device that bounds each one. For JPL and NASA, the dissertation runs two coupled estimation problems.</w:t>
      </w:r>
    </w:p>
    <w:p>
      <w:pPr>
        <w:pStyle w:val="BodyText"/>
        <w:spacing w:line="480" w:lineRule="auto"/>
        <w:ind w:firstLine="720"/>
      </w:pPr>
      <w:r>
        <w:t xml:space="preserve">The claim stays falsifiable. In the public record, the first is a productivity problem: it measures how the science return of an observatory per unit of observing time moves with the facility’s accumulated operational experience, and it expresses that movement as a single learning elasticity. In the public record, the second is a survival problem: it characterizes the retirement process that determines which facility epochs are ever observed, and it recovers the architectural feature that most strongly governs how long an observatory operates. The two problems are not parallel curiosities. Within the confirmation baseline, the survival estimator exists to discipline the productivity estimator, since the principal threat to any learning-curve estimate is that the late, high-experience epochs are a selected instead of a random sample of facility life. Within the confirmation baseline, i treat the methods as a single identification system in which the hazard model is the structural complement to the productivity model, not an afterthought appended to it.</w:t>
      </w:r>
    </w:p>
    <w:bookmarkStart w:id="94" w:name="the-productivity-estimator"/>
    <w:p>
      <w:pPr>
        <w:pStyle w:val="Heading2"/>
        <w:spacing w:line="480" w:lineRule="auto"/>
      </w:pPr>
      <w:r>
        <w:t xml:space="preserve">5.1 The Productivity Estimator</w:t>
      </w:r>
    </w:p>
    <w:p>
      <w:pPr>
        <w:pStyle w:val="FirstParagraph"/>
        <w:spacing w:line="480" w:lineRule="auto"/>
      </w:pPr>
      <w:r>
        <w:t xml:space="preserve">For the program office, the object of estimation in the productivity strand is the learning elasticity of science return with respect to cumulative operational experience. At the portfolio level, following the experience-curve and technology-maturation logic that the broader space-economy literature documents for space systems in aggregate</w:t>
      </w:r>
      <w:r>
        <w:t xml:space="preserve"> </w:t>
      </w:r>
      <w:hyperlink w:anchor="ref-4">
        <w:r>
          <w:rPr>
            <w:rStyle w:val="Hyperlink"/>
          </w:rPr>
          <w:t xml:space="preserve">[4]</w:t>
        </w:r>
      </w:hyperlink>
      <w:r>
        <w:t xml:space="preserve">[5], and the early-science-to-maturity transitions documented at the facility level for SOFIA</w:t>
      </w:r>
      <w:r>
        <w:t xml:space="preserve"> </w:t>
      </w:r>
      <w:hyperlink w:anchor="ref-1">
        <w:r>
          <w:rPr>
            <w:rStyle w:val="Hyperlink"/>
          </w:rPr>
          <w:t xml:space="preserve">[1]</w:t>
        </w:r>
      </w:hyperlink>
      <w:r>
        <w:t xml:space="preserve">[2] and for the PS1 survey</w:t>
      </w:r>
      <w:r>
        <w:t xml:space="preserve"> </w:t>
      </w:r>
      <w:hyperlink w:anchor="ref-3">
        <w:r>
          <w:rPr>
            <w:rStyle w:val="Hyperlink"/>
          </w:rPr>
          <w:t xml:space="preserve">[3]</w:t>
        </w:r>
      </w:hyperlink>
      <w:r>
        <w:t xml:space="preserve">, I write science productivity as a power function of accumulated experience and estimate it in logarithms. Let productivity for facility i in operational epoch t be refereed scientific output per unit of allocated observing time, and let cumulative experience be the facility’s accumulated operating time up to that epoch. Across the cost record, the estimating equation is the log-linear experience-curve specification</w:t>
      </w:r>
    </w:p>
    <w:p>
      <w:pPr>
        <w:pStyle w:val="BodyText"/>
        <w:spacing w:line="480" w:lineRule="auto"/>
        <w:ind w:firstLine="720"/>
      </w:pPr>
      <w:r>
        <w:t xml:space="preserve">log(productivity_it) = alpha_i + beta * log(experience_it) + gamma * X_it + error_it,</w:t>
      </w:r>
    </w:p>
    <w:p>
      <w:pPr>
        <w:pStyle w:val="BodyText"/>
        <w:spacing w:line="480" w:lineRule="auto"/>
        <w:ind w:firstLine="720"/>
      </w:pPr>
      <w:r>
        <w:t xml:space="preserve">In practical program terms, where alpha_i is a facility fixed effect, beta is the learning elasticity of interest, X_it is a vector of controls that includes instrument-generation indicators and observing-band controls, and error_it is the idiosyncratic disturbance. In the public record, the coefficient beta is the single quantity the dissertation defends. Across the cost record, under the alternative hypothesis it is strictly positive, meaning that a one-percent increase in cumulative experience raises science return per observing hour by beta percent. Under the null it is zero, and the apparent maturation of observatories is statistical noise across epochs instead of a real production relationship.</w:t>
      </w:r>
    </w:p>
    <w:p>
      <w:pPr>
        <w:pStyle w:val="BodyText"/>
        <w:spacing w:line="480" w:lineRule="auto"/>
        <w:ind w:firstLine="720"/>
      </w:pPr>
      <w:r>
        <w:t xml:space="preserve">In the public record, the estimator is the within, or fixed-effects, panel estimator. Estimation proceeds by the within transformation, which subtracts facility-specific means from every variable and thereby sweeps out alpha_i before ordinary least squares is applied to the demeaned data.</w:t>
      </w:r>
    </w:p>
    <w:p>
      <w:pPr>
        <w:pStyle w:val="BodyText"/>
        <w:spacing w:line="480" w:lineRule="auto"/>
        <w:ind w:firstLine="720"/>
      </w:pPr>
      <w:r>
        <w:t xml:space="preserve">The risk is dated. Read as a development signal, this is the operational content of the claim that beta is identified from the time path of each facility’s own productivity instead of from comparisons across facilities. Against that evidence, i report cluster-robust standard errors with clustering at the facility level, since the within-facility epoch observations are serially dependent and the disturbance variance is heteroskedastic across facilities of different aperture and band. For the program office, with a small number of facility clusters the asymptotic justification for the cluster-robust variance is itself a limitation, and I for that reason supplement the analytic standard errors with a wild cluster bootstrap, which has better finite-sample behavior when the cluster count is modest. At the portfolio level, the pooled elasticity is reported alongside facility-level slopes, so that the reader can see whether the pooled beta is a genuine common parameter or an average over heterogeneous facility experiences.</w:t>
      </w:r>
    </w:p>
    <w:p>
      <w:pPr>
        <w:pStyle w:val="BodyText"/>
        <w:spacing w:line="480" w:lineRule="auto"/>
        <w:ind w:firstLine="720"/>
      </w:pPr>
      <w:r>
        <w:t xml:space="preserve">In practical program terms, the dependent variable requires explicit construction since the literature offers no canonical productivity series for observatories. In the mission archive, the numerator is refereed scientific output drawn from the NASA Astrophysics Data System (ADS) facility-tagged and telescope-keyword-tagged bibliographies, which supply publication counts, publication dates, and citation counts through the public ADS application programming interface.</w:t>
      </w:r>
    </w:p>
    <w:p>
      <w:pPr>
        <w:pStyle w:val="BodyText"/>
        <w:spacing w:line="480" w:lineRule="auto"/>
        <w:ind w:firstLine="720"/>
      </w:pPr>
      <w:r>
        <w:t xml:space="preserve">Timing matters. Read as a development signal, the denominator is allocated observing time obtained from facility operations records and annual reports. In practical program terms, because the productivity denominator is not unique, I estimate the specification under alternative denominators, including allocated time and a delivered-time variant where the latter is recoverable, and under alternative numerators, including a raw refereed count and a citation-weighted count. In practical program terms, reporting beta across this grid is part of the estimator instead of a separate robustness exercise, since the learning elasticity is only interpretable as a property of the facility if it is stable across reasonable definitions of the productivity ratio.</w:t>
      </w:r>
    </w:p>
    <w:bookmarkEnd w:id="94"/>
    <w:bookmarkStart w:id="95" w:name="the-survival-estimator"/>
    <w:p>
      <w:pPr>
        <w:pStyle w:val="Heading2"/>
        <w:spacing w:line="480" w:lineRule="auto"/>
      </w:pPr>
      <w:r>
        <w:t xml:space="preserve">5.2 The Survival Estimator</w:t>
      </w:r>
    </w:p>
    <w:p>
      <w:pPr>
        <w:pStyle w:val="FirstParagraph"/>
        <w:spacing w:line="480" w:lineRule="auto"/>
      </w:pPr>
      <w:r>
        <w:t xml:space="preserve">At the portfolio level, the survival strand models the retirement of an observatory as a time-to-event process. The estimator is the Cox proportional-hazards model, in which the hazard of retirement at operational age t is the product of an unspecified baseline hazard and an exponential function of a small set of design covariates. The Cox specification is the correct choice for three reasons that are specific to this application. Within the confirmation baseline, first, the baseline shape of the retirement hazard over operational age is unknown and almost certainly non-monotonic, mixing an early infant-mortality region, a long discretionary plateau, and a terminal consumable-exhaustion spike. The Cox model imposes no parametric form on that baseline and for that reason fails to force a Weibull or exponential shape that the data would reject. Second, a substantial fraction of the most informative facilities are still operating at the censoring date, and the partial-likelihood machinery of the Cox model accommodates right-censoring without discarding those long-lived flagships, which carry the most information about the right tail of the lifetime distribution. Third, the coefficients exponentiate directly into hazard ratios, the multiplicative effect of a covariate on the instantaneous retirement risk, which is the quantity a lifetime-extension decision actually needs.</w:t>
      </w:r>
    </w:p>
    <w:p>
      <w:pPr>
        <w:pStyle w:val="BodyText"/>
        <w:spacing w:line="480" w:lineRule="auto"/>
        <w:ind w:firstLine="720"/>
      </w:pPr>
      <w:r>
        <w:t xml:space="preserve">Read as a development signal, the dissertation reports two implementations of this estimator on two overlapping facility panels, and the convergence between them is itself evidence. Within the confirmation baseline, the first panel comprises twenty-four NASA, ESA, and JAXA space and airborne observatories operating between 1983 and the 2026 censoring date, with sixteen observed retirements and eight right-censored facilities, and enters aperture, nominal design lifetime, and a binary consumable-limited indicator as covariates.</w:t>
      </w:r>
    </w:p>
    <w:p>
      <w:pPr>
        <w:pStyle w:val="BodyText"/>
        <w:spacing w:line="480" w:lineRule="auto"/>
        <w:ind w:firstLine="720"/>
      </w:pPr>
      <w:r>
        <w:t xml:space="preserve">Timing matters. In practical program terms, the second panel comprises twenty-seven facilities launched between 1978 and 2023, with eighteen observed terminations and nine censored, and replaces design lifetime with a low-Earth-orbit indicator while retaining aperture and the consumable indicator. In the public record, across both panels the consumable-limited indicator is the only covariate that attains conventional significance: a hazard ratio of 3.73 with a Wald p-value of 0.014 in the twenty-four-facility panel, and a hazard ratio of 3.78 with a Wald p-value of 0.0072 in the twenty-seven-facility panel. In practical program terms, aperture and the orbit and design-lifetime controls are individually indistinguishable from a hazard ratio of one in both panels. At the portfolio level, i report model-based asymptotic standard errors and assess significance with the Wald z-statistic on each coefficient, while reading the control covariates as inconclusive instead of as evidence of no effect, given the modest event counts.</w:t>
      </w:r>
    </w:p>
    <w:bookmarkEnd w:id="95"/>
    <w:bookmarkStart w:id="96" w:name="identification-strategy"/>
    <w:p>
      <w:pPr>
        <w:pStyle w:val="Heading2"/>
        <w:spacing w:line="480" w:lineRule="auto"/>
      </w:pPr>
      <w:r>
        <w:t xml:space="preserve">5.3 Identification Strategy</w:t>
      </w:r>
    </w:p>
    <w:p>
      <w:pPr>
        <w:pStyle w:val="FirstParagraph"/>
        <w:spacing w:line="480" w:lineRule="auto"/>
      </w:pPr>
      <w:r>
        <w:t xml:space="preserve">Across the cost record, the identifying assumption of the productivity model is that, conditional on the facility fixed effect alpha_i and the control vector X_it, cumulative experience is uncorrelated with the idiosyncratic disturbance error_it. From a survival-model perspective, the facility fixed effect does the central work. The distinction is operational.</w:t>
      </w:r>
    </w:p>
    <w:p>
      <w:pPr>
        <w:pStyle w:val="BodyText"/>
        <w:spacing w:line="480" w:lineRule="auto"/>
        <w:ind w:firstLine="720"/>
      </w:pPr>
      <w:r>
        <w:t xml:space="preserve">Read as a development signal, it absorbs every time-invariant facility characteristic, including aperture, site, detector class, institutional home, and the intrinsic capability of the design, and it thereby neutralizes the most obvious confounder of any cross-facility learning estimate: that intrinsically more capable observatories both accumulate more experience and produce more science. With alpha_i in the model, two facilities of unequal intrinsic capability no longer contaminate the estimate, since beta is recovered exclusively from how each facility’s own productivity evolves along its own experience path. For the program office, the learning elasticity is identified by within-facility variation across operational epochs, holding the facility’s aperture, site, and institutional context fixed by construction.</w:t>
      </w:r>
    </w:p>
    <w:p>
      <w:pPr>
        <w:pStyle w:val="BodyText"/>
        <w:spacing w:line="480" w:lineRule="auto"/>
        <w:ind w:firstLine="720"/>
      </w:pPr>
      <w:r>
        <w:t xml:space="preserve">Two further sources of confounding survive the fixed effect, and the identification strategy addresses each structurally. Against that evidence, the first is the confounding of operational learning with hardware change. An observatory that accumulates experience often also receives instrument upgrades, calibration improvements, and pipeline replacements, and a naive within estimate would credit those discrete capability jumps to smooth operational learning, inflating beta. Read as a development signal, the instrument-generation indicators in X_it absorb the level shifts associated with hardware generations, so that beta captures operational and procedural learning net of hardware change. The dissertation additionally reports beta estimated with and without the facilities that underwent major refits, so that the reader can see whether the learning elasticity is being carried by genuinely procedural maturation or by hardware events that happen to coincide with experience accumulation.</w:t>
      </w:r>
    </w:p>
    <w:p>
      <w:pPr>
        <w:pStyle w:val="BodyText"/>
        <w:spacing w:line="480" w:lineRule="auto"/>
        <w:ind w:firstLine="720"/>
      </w:pPr>
      <w:r>
        <w:t xml:space="preserve">Across the cost record, the second surviving confounder is selection into continued operation, and it is the threat that links the two estimators. Facilities that are productive get extended, so the late, high-experience epochs that anchor the right end of the experience axis are not a random sample of facility epochs but a survivor-enriched one.</w:t>
      </w:r>
    </w:p>
    <w:p>
      <w:pPr>
        <w:pStyle w:val="BodyText"/>
        <w:spacing w:line="480" w:lineRule="auto"/>
        <w:ind w:firstLine="720"/>
      </w:pPr>
      <w:r>
        <w:t xml:space="preserve">The model keeps that date visible. From a survival-model perspective, within the productivity model this is handled by modeling the operational-continuation decision and reporting the learning elasticity with and without a selection-correction term, so that the reader can observe how much of beta is attributable to survivorship. Against that evidence, the deeper response, however, is the survival estimator itself. For the program office, the hazard model identifies the selection mechanism explicitly: it indicates that the dominant observable driver of retirement is consumable limitation, not productivity, which means the survivor-enrichment that contaminates the experience axis runs primarily through architecture instead of through realized science output. The population of long-lived, mature observatories is systematically enriched in non-consumable architectures, and that enrichment is the channel the productivity model must control for. In the public record, the consumable indicator for that reason becomes the natural stratifying or conditioning variable in the productivity work, transferring the survival model’s central finding directly into the identification of beta.</w:t>
      </w:r>
    </w:p>
    <w:p>
      <w:pPr>
        <w:pStyle w:val="BodyText"/>
        <w:spacing w:line="480" w:lineRule="auto"/>
        <w:ind w:firstLine="720"/>
      </w:pPr>
      <w:r>
        <w:t xml:space="preserve">The identification of the survival parameter rests on the proportional-hazards assumption: that the ratio of hazards between any two facilities is constant over operational age, so that the consumable-limited hazard ratio fails to itself drift as facilities age. This is an assumption about the relationship between covariates and the baseline, not about the baseline shape, which remains unspecified. In practical program terms, it is testable, and the dissertation treats it as a maintained assumption to be checked instead of asserted, through scaled-residual diagnostics against operational time and through interaction terms between the consumable indicator and a function of age, with a stratified Cox specification held in reserve should proportionality fail for any covariate.</w:t>
      </w:r>
    </w:p>
    <w:bookmarkEnd w:id="96"/>
    <w:bookmarkStart w:id="97" w:name="X1d189e0776bd0a9225211f020d00b109bd29bed"/>
    <w:p>
      <w:pPr>
        <w:pStyle w:val="Heading2"/>
        <w:spacing w:line="480" w:lineRule="auto"/>
      </w:pPr>
      <w:r>
        <w:t xml:space="preserve">5.4 Threats to Validity and How Each Is Bounded</w:t>
      </w:r>
    </w:p>
    <w:p>
      <w:pPr>
        <w:pStyle w:val="FirstParagraph"/>
        <w:spacing w:line="480" w:lineRule="auto"/>
      </w:pPr>
      <w:r>
        <w:t xml:space="preserve">Four threats to validity bear on the productivity estimate, and each is bounded by a specific device instead of acknowledged and left open.</w:t>
      </w:r>
    </w:p>
    <w:p>
      <w:pPr>
        <w:pStyle w:val="BodyText"/>
        <w:spacing w:line="480" w:lineRule="auto"/>
        <w:ind w:firstLine="720"/>
      </w:pPr>
      <w:r>
        <w:t xml:space="preserve">For the program office, the first threat is bibliometric measurement error. At the portfolio level, refereed publication counts undercount real forms of science return, including instrument development, pipeline construction, and archival enablement, and ADS facility tagging is imperfect, attributing some papers to the wrong facility and missing others.</w:t>
      </w:r>
    </w:p>
    <w:p>
      <w:pPr>
        <w:pStyle w:val="BodyText"/>
        <w:spacing w:line="480" w:lineRule="auto"/>
        <w:ind w:firstLine="720"/>
      </w:pPr>
      <w:r>
        <w:t xml:space="preserve">The implication is managerial. For JPL and NASA, this threat is bounded on two sides. On the construction side, I validate facility tags manually for a sample of records and report the tag error rate, so that the magnitude of the mismeasurement is known instead of assumed. On the estimation side, I report beta across the alternative output measures already built into the estimator, including raw and citation-weighted counts, on the logic that classical measurement error in the dependent variable inflates the standard error of beta but fails to bias it, while the sensitivity grid reveals any non-classical component. From a survival-model perspective, the bound on this threat is for that reason an explicitly reported tag error rate paired with an elasticity that is shown to be stable across output definitions.</w:t>
      </w:r>
    </w:p>
    <w:p>
      <w:pPr>
        <w:pStyle w:val="BodyText"/>
        <w:spacing w:line="480" w:lineRule="auto"/>
        <w:ind w:firstLine="720"/>
      </w:pPr>
      <w:r>
        <w:t xml:space="preserve">Across the cost record, the second threat is survivorship and selection, which is the central identification threat and not merely a robustness concern. In the public record, extended missions are not a random sample of facility epochs, so naive late-epoch productivity is biased upward. The unit of analysis is time. Seen from the schedule line, this threat is bounded by the continuation model inside the productivity specification, which corrects for non-random selection into late epochs, and by the survival estimator, which quantifies the selection mechanism instead of assuming it away. Because the hazard analysis indicates that retirement is driven overwhelmingly by consumable architecture and not by productivity, the dissertation can carry the consumable indicator as a conditioning variable and demonstrate that the learning elasticity survives the correction. At the portfolio level, the bound is the gap between the corrected and uncorrected beta, reported transparently, with the survival finding establishing that the selection runs through a measurable architectural channel that can be controlled.</w:t>
      </w:r>
    </w:p>
    <w:p>
      <w:pPr>
        <w:pStyle w:val="BodyText"/>
        <w:spacing w:line="480" w:lineRule="auto"/>
        <w:ind w:firstLine="720"/>
      </w:pPr>
      <w:r>
        <w:t xml:space="preserve">In the mission archive, the third threat is confounding instrument upgrades. Seen from the schedule line, hardware improvements that coincide with experience accumulation can masquerade as operational learning and overstate beta. This is bounded by the instrument-generation indicators that isolate procedural learning from hardware-generation level shifts, and by the reported contrast between estimates that include and exclude facilities that underwent major refits. If the learning elasticity collapses once refit facilities are removed, the dissertation concedes that the estimate reflects hardware instead of procedure; if it survives, the procedural interpretation is licensed. The bound is the explicit refit-inclusion contrast instead of a claim that hardware change is absent.</w:t>
      </w:r>
    </w:p>
    <w:p>
      <w:pPr>
        <w:pStyle w:val="BodyText"/>
        <w:spacing w:line="480" w:lineRule="auto"/>
        <w:ind w:firstLine="720"/>
      </w:pPr>
      <w:r>
        <w:t xml:space="preserve">Read as a development signal, the fourth threat is external validity and small-N panels. Seen from the schedule line, the population of long-lived, well-documented space and airborne observatories is intrinsically limited</w:t>
      </w:r>
      <w:r>
        <w:t xml:space="preserve"> </w:t>
      </w:r>
      <w:hyperlink w:anchor="ref-1">
        <w:r>
          <w:rPr>
            <w:rStyle w:val="Hyperlink"/>
          </w:rPr>
          <w:t xml:space="preserve">[1]</w:t>
        </w:r>
      </w:hyperlink>
      <w:r>
        <w:t xml:space="preserve">[2][3], the survival panels carry only sixteen and eighteen events respectively, and the estimated learning rate may not generalize beyond the facilities observed. Read as a development signal, this threat is bounded by honest scope instead of by an estimator. I report facility-level slopes alongside the pooled elasticity, so that the heterogeneity underlying the pooled estimate is visible, and I decline to extrapolate the learning rate to facility classes not represented in the panel. The maturation analogy drawn from the broader space-technology literature</w:t>
      </w:r>
      <w:r>
        <w:t xml:space="preserve"> </w:t>
      </w:r>
      <w:hyperlink w:anchor="ref-4">
        <w:r>
          <w:rPr>
            <w:rStyle w:val="Hyperlink"/>
          </w:rPr>
          <w:t xml:space="preserve">[4]</w:t>
        </w:r>
      </w:hyperlink>
      <w:r>
        <w:t xml:space="preserve">[5] is used to frame expectations and never as evidence, so that the econometric estimate stands or falls on the observatory panel itself. For the survival models, the small event counts mean the control covariates are read as inconclusive instead of as zero, and the one large effect the data can support, the consumable hazard ratio, is reported as narrow and sharp precisely since the panel cannot support a fuller mortality profile.</w:t>
      </w:r>
    </w:p>
    <w:p>
      <w:pPr>
        <w:pStyle w:val="BodyText"/>
        <w:spacing w:line="480" w:lineRule="auto"/>
        <w:ind w:firstLine="720"/>
      </w:pPr>
      <w:r>
        <w:t xml:space="preserve">At the portfolio level, two further threats are specific to the survival estimator and are bounded in the same spirit. Against that evidence, the consumable-limited indicator partly coincides with observing band, since cryogenic cooling concentrates in the infrared and microwave, so the estimated hazard ratio captures the lifetime consequence of that architectural family instead of cleanly isolating coolant physics from detector class; a larger panel that permits band and consumable limitation to be entered jointly is the stated remedy, and until then the coefficient is interpreted as the effect of the architectural family instead of of coolant physics alone. Seen from the schedule line, the retirement event also mixes physical exhaustion and budgetary termination, which the single-risk Cox model cannot separate; a competing-risks extension distinguishing consumable exhaustion from funding-driven termination is identified as the refinement that would sharpen the mechanism, and the present estimate is read as the all-causes hazard instead of as a pure physical-exhaustion hazard.</w:t>
      </w:r>
    </w:p>
    <w:bookmarkEnd w:id="97"/>
    <w:bookmarkStart w:id="98" w:name="summary-of-the-identification-system"/>
    <w:p>
      <w:pPr>
        <w:pStyle w:val="Heading2"/>
        <w:spacing w:line="480" w:lineRule="auto"/>
      </w:pPr>
      <w:r>
        <w:t xml:space="preserve">5.5 Summary of the Identification System</w:t>
      </w:r>
    </w:p>
    <w:p>
      <w:pPr>
        <w:pStyle w:val="FirstParagraph"/>
        <w:spacing w:line="480" w:lineRule="auto"/>
      </w:pPr>
      <w:r>
        <w:t xml:space="preserve">Against that evidence, the two estimators form a single identification system. The fixed-effects panel estimator recovers the learning elasticity beta from within-facility variation across operational epochs, neutralizing intrinsic-capability confounding by construction and netting out hardware change through instrument-generation controls.</w:t>
      </w:r>
    </w:p>
    <w:p>
      <w:pPr>
        <w:pStyle w:val="BodyText"/>
        <w:spacing w:line="480" w:lineRule="auto"/>
        <w:ind w:firstLine="720"/>
      </w:pPr>
      <w:r>
        <w:t xml:space="preserve">That timing is measurable. For JPL and NASA, the Cox proportional-hazards estimator recovers the architectural driver of retirement and, in doing so, identifies the selection mechanism that the productivity estimator must control for. Read as a development signal, the threats to validity are not left as caveats; each is paired with a bounding device, whether a reported error rate, a selection correction, a refit-inclusion contrast, a sensitivity grid over productivity definitions, or an explicit refusal to extrapolate beyond the panel. Seen from the schedule line, the resulting pattern is a productivity estimate whose causal interpretation rests on a stated and testable identifying assumption, and a survival estimate that does double duty as both a substantive finding about observatory mortality and the structural guarantee that the learning-curve estimate is reading maturation instead of survivorship.</w:t>
      </w:r>
    </w:p>
    <w:bookmarkEnd w:id="98"/>
    <w:bookmarkEnd w:id="99"/>
    <w:bookmarkStart w:id="107" w:name="chapter-6.-results"/>
    <w:p>
      <w:pPr>
        <w:pStyle w:val="Heading1"/>
        <w:spacing w:line="480" w:lineRule="auto"/>
      </w:pPr>
      <w:r>
        <w:t xml:space="preserve">Chapter 6. Results</w:t>
      </w:r>
    </w:p>
    <w:bookmarkStart w:id="100" w:name="organization-of-the-chapter"/>
    <w:p>
      <w:pPr>
        <w:pStyle w:val="Heading2"/>
        <w:spacing w:line="480" w:lineRule="auto"/>
      </w:pPr>
      <w:r>
        <w:t xml:space="preserve">6.1 Organization of the Chapter</w:t>
      </w:r>
    </w:p>
    <w:p>
      <w:pPr>
        <w:pStyle w:val="FirstParagraph"/>
        <w:spacing w:line="480" w:lineRule="auto"/>
      </w:pPr>
      <w:r>
        <w:t xml:space="preserve">Against that evidence, the chapter presents and interprets the empirical findings of the two estimation studies that constitute the analytic core of the dissertation. The implication is managerial. Across the cost record, both studies attack the same underlying object, the operational lifetime of space and airborne astronomical observatories, from a survival-analytic standpoint, and both are estimated with the Cox proportional-hazards specification developed in Chapter 4.</w:t>
      </w:r>
    </w:p>
    <w:p>
      <w:pPr>
        <w:pStyle w:val="BodyText"/>
        <w:spacing w:line="480" w:lineRule="auto"/>
        <w:ind w:firstLine="720"/>
      </w:pPr>
      <w:r>
        <w:t xml:space="preserve">The two studies differ in their panels and in their covariate sets, and that difference is deliberate: it allows the central finding to be tested for robustness across two independently assembled facility samples and two slightly different control structures instead of resting on a single fit. Across the cost record, the estimator output, the data matrices, the fitted survival curves, and the supporting figures are collected in Appendix A; the chapter reports the numbers in prose and explains what each one means, but fails to reproduce the tables themselves.</w:t>
      </w:r>
    </w:p>
    <w:p>
      <w:pPr>
        <w:pStyle w:val="BodyText"/>
        <w:spacing w:line="480" w:lineRule="auto"/>
        <w:ind w:firstLine="720"/>
      </w:pPr>
      <w:r>
        <w:t xml:space="preserve">The chapter proceeds as follows. Section 6.2 restates the estimand and the hypotheses so that the coefficients can be read against a clearly stated null. Section 6.3 reports the first study, a twenty-four-facility panel with aperture, nominal design lifetime, and consumable limitation as covariates.</w:t>
      </w:r>
    </w:p>
    <w:p>
      <w:pPr>
        <w:pStyle w:val="BodyText"/>
        <w:spacing w:line="480" w:lineRule="auto"/>
        <w:ind w:firstLine="720"/>
      </w:pPr>
      <w:r>
        <w:t xml:space="preserve">From a survival-model perspective, section 6.4 reports the second study, a twenty-seven-facility panel with aperture, a low-Earth-orbit indicator, and consumable limitation. Section 6.5 reads the two studies against each other, treating the close agreement of the consumable coefficient across panels as the chapter’s principal robustness result. Section 6.6 connects the survival findings to the productivity argument that motivates the dissertation as a whole, and Section 6.7 states the limits of what has been shown.</w:t>
      </w:r>
    </w:p>
    <w:bookmarkEnd w:id="100"/>
    <w:bookmarkStart w:id="101" w:name="the-estimand-and-the-hypotheses-restated"/>
    <w:p>
      <w:pPr>
        <w:pStyle w:val="Heading2"/>
        <w:spacing w:line="480" w:lineRule="auto"/>
      </w:pPr>
      <w:r>
        <w:t xml:space="preserve">6.2 The Estimand and the Hypotheses Restated</w:t>
      </w:r>
    </w:p>
    <w:p>
      <w:pPr>
        <w:pStyle w:val="FirstParagraph"/>
        <w:spacing w:line="480" w:lineRule="auto"/>
      </w:pPr>
      <w:r>
        <w:t xml:space="preserve">Both studies model the hazard of operational retirement at age t as the product of an unspecified baseline hazard and an exponential function of a small set of architectural covariates. Within the confirmation baseline, the Cox form is chosen for two reasons established in the method chapter. Within the confirmation baseline, first, the baseline retirement hazard of an observatory is almost certainly non-monotonic and is not known in functional form, and the Cox estimator imposes no parametric shape on it. In the public record, second, a substantial fraction of the most informative facilities, the long-lived flagships that populate the right tail of the lifetime distribution, are still operating at the censoring date and must be retained as right-censored observations instead of discarded. The partial-likelihood machinery of the Cox model accommodates them directly. In the public record, each estimated coefficient exponentiates to a hazard ratio, the multiplicative effect of a one-unit change in the covariate on the instantaneous risk of retirement, with a ratio above one indicating elevated hazard and shorter expected survival and a ratio below one indicating the reverse.</w:t>
      </w:r>
    </w:p>
    <w:p>
      <w:pPr>
        <w:pStyle w:val="BodyText"/>
        <w:spacing w:line="480" w:lineRule="auto"/>
        <w:ind w:firstLine="720"/>
      </w:pPr>
      <w:r>
        <w:t xml:space="preserve">The substantive hypothesis common to both studies concerns consumable limitation. A facility whose primary scientific capability depends on an exhaustible coolant, principally a superfluid-helium or solid-cryogen reservoir feeding cooled infrared and microwave detectors, confronts a scheduled death: when the coolant is spent the cold mission ends, regardless of how well the spacecraft bus is otherwise performing.</w:t>
      </w:r>
    </w:p>
    <w:p>
      <w:pPr>
        <w:pStyle w:val="BodyText"/>
        <w:spacing w:line="480" w:lineRule="auto"/>
        <w:ind w:firstLine="720"/>
      </w:pPr>
      <w:r>
        <w:t xml:space="preserve">The record supports the test. For the program office, the maturation literature establishes that an observatory’s most scientifically productive years tend to be its later ones, since instruments, calibration, and processing pipelines improve with accumulated operational experience</w:t>
      </w:r>
      <w:r>
        <w:t xml:space="preserve"> </w:t>
      </w:r>
      <w:hyperlink w:anchor="ref-1">
        <w:r>
          <w:rPr>
            <w:rStyle w:val="Hyperlink"/>
          </w:rPr>
          <w:t xml:space="preserve">[1]</w:t>
        </w:r>
      </w:hyperlink>
      <w:r>
        <w:t xml:space="preserve">[2][3], and the broader space-technology literature treats this maturation as a general feature of space systems instead of an idiosyncrasy of any single program</w:t>
      </w:r>
      <w:r>
        <w:t xml:space="preserve"> </w:t>
      </w:r>
      <w:hyperlink w:anchor="ref-4">
        <w:r>
          <w:rPr>
            <w:rStyle w:val="Hyperlink"/>
          </w:rPr>
          <w:t xml:space="preserve">[4]</w:t>
        </w:r>
      </w:hyperlink>
      <w:r>
        <w:t xml:space="preserve">[5]. If that premise holds, then a hard consumable ceiling fails to merely shorten a mission; it specifically forecloses the high-productivity mature epoch that wear-out-limited facilities can reach. Seen from the schedule line, the alternative hypothesis is for that reason that consumable-limited observatories carry a strictly higher retirement hazard than otherwise comparable facilities. In the public record, the remaining covariates, aperture in both studies, nominal design lifetime in the first and a low-Earth-orbit indicator in the second, are entered as controls. Within the confirmation baseline, the null against which all of this is tested is that the hazard ratios on every covariate equal one, so that observatory lifetime is unrelated to architectural type, scale, or orbit.</w:t>
      </w:r>
    </w:p>
    <w:bookmarkEnd w:id="101"/>
    <w:bookmarkStart w:id="102" w:name="study-one-the-twenty-four-facility-panel"/>
    <w:p>
      <w:pPr>
        <w:pStyle w:val="Heading2"/>
        <w:spacing w:line="480" w:lineRule="auto"/>
      </w:pPr>
      <w:r>
        <w:t xml:space="preserve">6.3 Study One: The Twenty-Four-Facility Panel</w:t>
      </w:r>
    </w:p>
    <w:p>
      <w:pPr>
        <w:pStyle w:val="FirstParagraph"/>
        <w:spacing w:line="480" w:lineRule="auto"/>
      </w:pPr>
      <w:r>
        <w:t xml:space="preserve">In the mission archive, the first model is fit on a panel of twenty-four space and airborne observatories operated by NASA, ESA, and JAXA between 1983 and the 2026 censoring date. Read as a development signal, of those twenty-four facilities, sixteen experienced the retirement event and eight are right-censored as still operating. In the mission archive, the covariate vector contains three terms: primary aperture in metres, nominal design lifetime in years, and a binary indicator for consumable limitation. The dimensions of the estimating sample, twenty-four facilities and sixteen events, set the statistical power available to the model and govern how its coefficients should be read; with sixteen events distributed across three covariates the model has the resolving power to identify one or perhaps two strong effects but cannot be expected to pin down weak ones precisely. That expectation is borne out in the estimates.</w:t>
      </w:r>
    </w:p>
    <w:p>
      <w:pPr>
        <w:pStyle w:val="BodyText"/>
        <w:spacing w:line="480" w:lineRule="auto"/>
        <w:ind w:firstLine="720"/>
      </w:pPr>
      <w:r>
        <w:t xml:space="preserve">From a survival-model perspective, the consumable-limited indicator is the only covariate in the model that attains conventional statistical significance, and it does so with a large and well-determined effect. Its coefficient is +1.3172 with a standard error of 0.5374. The ratio of the coefficient to its standard error gives a Wald z-statistic of 2.45, and the associated two-sided p-value is 0.0142, so the coefficient is significant at the five-percent level and falls short of the one-percent threshold. Within the confirmation baseline, exponentiating the coefficient converts it to a hazard ratio of 3.73. At the portfolio level, the interpretation is direct and consequential: holding aperture and design lifetime fixed, an observatory whose lifetime is gated by an exhaustible consumable faces an instantaneous retirement hazard roughly three and a half times that of an otherwise comparable wear-out-limited observatory. Forming the approximate ninety-five-percent confidence interval by exponentiating the coefficient plus and minus 1.96 standard errors places the hazard ratio between about 1.30 and 10.70. In the public record, the lower bound exceeds unity, which is the decisive feature of the interval: the null of no consumable effect is rejected for this covariate, and even at the optimistic edge of the interval the consumable penalty fails to vanish. From a survival-model perspective, the width of the interval, spanning roughly an order of magnitude, is the visible signature of the small event count and is exactly the imprecision one expects from sixteen events. It warns against treating 3.73 as a sharp point estimate while leaving the qualitative conclusion, that the effect is large and bounded away from zero, intact.</w:t>
      </w:r>
    </w:p>
    <w:p>
      <w:pPr>
        <w:pStyle w:val="BodyText"/>
        <w:spacing w:line="480" w:lineRule="auto"/>
        <w:ind w:firstLine="720"/>
      </w:pPr>
      <w:r>
        <w:t xml:space="preserve">From a survival-model perspective, the two control covariates are individually insignificant, and their patterns are instructive in different ways. For the program office, aperture carries a coefficient of +0.1993 with a standard error of 0.2441, a z-statistic of 0.82, and a p-value of 0.4141, corresponding to a hazard ratio of 1.22. The claim stays falsifiable. Against that evidence, the point estimate is positive, which would nominally suggest that larger facilities face marginally higher instead of lower hazard, but the standard error swamps the coefficient and the implied confidence interval for the hazard ratio runs from roughly 0.76 to 1.97, straddling unity comfortably. Aperture, in this panel, simply fails to predict retirement once consumable limitation is in the model. The wrong-signed point estimate should not be over-read; with a p-value above 0.4 the coefficient is statistically indistinguishable from zero and the sign is not identified.</w:t>
      </w:r>
    </w:p>
    <w:p>
      <w:pPr>
        <w:pStyle w:val="BodyText"/>
        <w:spacing w:line="480" w:lineRule="auto"/>
        <w:ind w:firstLine="720"/>
      </w:pPr>
      <w:r>
        <w:t xml:space="preserve">Against that evidence, nominal design lifetime carries a coefficient of -0.1409 with a standard error of 0.1095, a z-statistic of -1.29, and a p-value of 0.1983, for a hazard ratio of 0.87. Here the point estimate is in the theoretically expected direction: a negative coefficient means that missions with longer nominal plans face a lower instantaneous retirement hazard, consistent with the intuition that a longer planned lifetime reflects a larger institutional commitment and a deeper operating budget.</w:t>
      </w:r>
    </w:p>
    <w:p>
      <w:pPr>
        <w:pStyle w:val="BodyText"/>
        <w:spacing w:line="480" w:lineRule="auto"/>
        <w:ind w:firstLine="720"/>
      </w:pPr>
      <w:r>
        <w:t xml:space="preserve">The record supports the test. Within the confirmation baseline, the hazard ratio of 0.87 implies that each additional year of nominal design lifetime is associated with roughly a thirteen-percent reduction in retirement hazard. But the effect, while correctly signed and the largest of the three z-statistics among the controls, fails to reach significance; its confidence interval for the hazard ratio runs from about 0.70 to 1.08 and includes unity. Within the confirmation baseline, the honest reading is that the design-lifetime effect is suggestive instead of established. At the portfolio level, the estimate is consistent with a modest protective role for longer planning horizons, but the panel lacks the power to distinguish that modest effect from zero, and the result must be reported as inconclusive instead of as evidence that design lifetime fails to matter.</w:t>
      </w:r>
    </w:p>
    <w:p>
      <w:pPr>
        <w:pStyle w:val="BodyText"/>
        <w:spacing w:line="480" w:lineRule="auto"/>
        <w:ind w:firstLine="720"/>
      </w:pPr>
      <w:r>
        <w:t xml:space="preserve">From a survival-model perspective, taken together, the three coefficients of the first study tell a specific story. The model keeps that date visible. In the public record, the Cox model has no difficulty locating one dominant effect, consumable limitation, and reports it with a hazard ratio near 3.73 and a p-value of 0.0142. In the public record, the two physical-scale controls, aperture and design lifetime, are individually undetectable in a sample of this size. The descriptive figure accompanying the study, which plots realized operational lifetime against nominal design lifetime, reinforces the inferential reading: wear-out-limited facilities populate the region well above the forty-five-degree line, having survived substantially past their planned end and into the extension regime where maturation can be captured, while consumable-limited facilities cluster near their planned end, terminating on or close to schedule, exactly as the estimated hazard structure predicts.</w:t>
      </w:r>
    </w:p>
    <w:bookmarkEnd w:id="102"/>
    <w:bookmarkStart w:id="103" w:name="X697b1fd72edee9ab2cf2aee38c3e9ab5da40217"/>
    <w:p>
      <w:pPr>
        <w:pStyle w:val="Heading2"/>
        <w:spacing w:line="480" w:lineRule="auto"/>
      </w:pPr>
      <w:r>
        <w:t xml:space="preserve">6.4 Study Two: The Twenty-Seven-Facility Panel</w:t>
      </w:r>
    </w:p>
    <w:p>
      <w:pPr>
        <w:pStyle w:val="FirstParagraph"/>
        <w:spacing w:line="480" w:lineRule="auto"/>
      </w:pPr>
      <w:r>
        <w:t xml:space="preserve">Within the confirmation baseline, the second model is fit on a separately assembled cross-section of twenty-seven space and airborne observatories spanning launches from 1978 through 2023, compiled from NASA, ESA, and JAXA mission records and a consolidated list of space telescopes. Of the twenty-seven facilities, eighteen have terminated and nine remain in operation as of the 2026 censoring date and enter as right-censored observations.</w:t>
      </w:r>
    </w:p>
    <w:p>
      <w:pPr>
        <w:pStyle w:val="BodyText"/>
        <w:spacing w:line="480" w:lineRule="auto"/>
        <w:ind w:firstLine="720"/>
      </w:pPr>
      <w:r>
        <w:t xml:space="preserve">That timing is measurable. In the public record, the covariate vector again contains three terms, two of which match the first study, aperture in metres and the consumable-limited indicator, while the third differs: in place of design lifetime, the second study enters a binary low-Earth-orbit indicator that separates facilities in LEO from those in high Earth orbits, on heliocentric trajectories, or in Sun-Earth L2 halo orbits. For JPL and NASA, the substitution is purposeful. Seen from the schedule line, orbit class carries a theoretically ambiguous sign, since low Earth orbit imposes atmospheric drag and a harsher debris and thermal environment but also historically permitted servicing, and the second study treats it as an estimated control instead of a signed hypothesis. From a survival-model perspective, the estimating sample of twenty-seven facilities and eighteen events is slightly larger than the first study’s, and the consumable coefficient is correspondingly somewhat better determined.</w:t>
      </w:r>
    </w:p>
    <w:p>
      <w:pPr>
        <w:pStyle w:val="BodyText"/>
        <w:spacing w:line="480" w:lineRule="auto"/>
        <w:ind w:firstLine="720"/>
      </w:pPr>
      <w:r>
        <w:t xml:space="preserve">The consumable-limited indicator again dominates the specification, and in this panel it is even more sharply estimated. Across the cost record, its coefficient is +1.3309 with a standard error of 0.4956.</w:t>
      </w:r>
    </w:p>
    <w:p>
      <w:pPr>
        <w:pStyle w:val="BodyText"/>
        <w:spacing w:line="480" w:lineRule="auto"/>
        <w:ind w:firstLine="720"/>
      </w:pPr>
      <w:r>
        <w:t xml:space="preserve">The Wald z-statistic is 2.69 and the two-sided p-value is 0.0072, so the coefficient clears the one-percent significance threshold, a stronger result than in the first study where the same covariate was significant only at five percent. Exponentiating gives a hazard ratio of 3.78. In practical program terms, the interpretation parallels the first study and strengthens it: holding aperture and orbit class fixed, an observatory whose lifetime is gated by an expendable coolant faces nearly four times the instantaneous retirement hazard of an otherwise comparable facility. Within the confirmation baseline, because the standard error here is smaller than in the first study, the implied confidence interval is correspondingly tighter while still sitting well above unity; the null of no consumable effect is rejected, now at the one-percent level instead of the five. The substantive content is unchanged from the first study but the evidentiary weight is greater, since a larger panel and a smaller standard error have moved the same effect from the five-percent to the one-percent tier of significance.</w:t>
      </w:r>
    </w:p>
    <w:p>
      <w:pPr>
        <w:pStyle w:val="BodyText"/>
        <w:spacing w:line="480" w:lineRule="auto"/>
        <w:ind w:firstLine="720"/>
      </w:pPr>
      <w:r>
        <w:t xml:space="preserve">In the mission archive, the two secondary covariates are again statistically null, and in this panel both are correctly signed relative to expectation even though neither is distinguishable from zero. Aperture carries a coefficient of -0.0652 with a standard error of 0.3348, a z-statistic of -0.19, and a p-value of 0.8455, for a hazard ratio of 0.94. For JPL and NASA, the point estimate is now negative, the direction predicted by the aperture hypothesis that larger facilities represent larger institutional investments and are less readily abandoned, so the sign reverses relative to the first study’s positive aperture coefficient. That reversal between panels is itself informative: a covariate whose point estimate flips sign across two samples while remaining far from significance in both is, in practical terms, a covariate the data cannot speak to. With a p-value of 0.8455 the aperture effect in the second study is essentially indeterminate, and the hazard ratio of 0.94 lies near unity with a confidence interval that comfortably contains it. Aperture, across both studies, fails to predict observatory survival once consumable limitation is controlled.</w:t>
      </w:r>
    </w:p>
    <w:p>
      <w:pPr>
        <w:pStyle w:val="BodyText"/>
        <w:spacing w:line="480" w:lineRule="auto"/>
        <w:ind w:firstLine="720"/>
      </w:pPr>
      <w:r>
        <w:t xml:space="preserve">Read as a development signal, the low-Earth-orbit indicator carries a coefficient of -0.1828 with a standard error of 0.5037, a z-statistic of -0.36, and a p-value of 0.7167, for a hazard ratio of 0.83. The negative point estimate would imply that facilities in low Earth orbit face a modestly lower retirement hazard, but with a p-value above 0.7 the estimate is statistically null and consistent with the theoretical ambiguity anticipated for orbit class. For JPL and NASA, the large standard error relative to the coefficient reflects both the small sample and the genuine offsetting forces that orbit class bundles together, the servicing access of low orbit against its drag and environmental penalties, which the data are not powered to disentangle. Within the confirmation baseline, the resulting pattern is properly read as confirming that orbit class is not a first-order driver of observatory lifetime in this panel, neither supporting nor refuting a directional claim.</w:t>
      </w:r>
    </w:p>
    <w:p>
      <w:pPr>
        <w:pStyle w:val="BodyText"/>
        <w:spacing w:line="480" w:lineRule="auto"/>
        <w:ind w:firstLine="720"/>
      </w:pPr>
      <w:r>
        <w:t xml:space="preserve">In the mission archive, the headline of the second study is for that reason narrow and sharp, and it matches the first study almost exactly in substance. At the portfolio level, among the architectural features tested, consumable dependence is the feature that governs how long an observatory survives, and it does so at a rate, a hazard ratio near 3.78, that swamps both aperture and orbit class. Within the confirmation baseline, the two secondary covariates contribute essentially nothing to the explanation of retirement timing once consumable limitation is in the model.</w:t>
      </w:r>
    </w:p>
    <w:bookmarkEnd w:id="103"/>
    <w:bookmarkStart w:id="104" w:name="Xb685725be57315cb5e3633bc3f64b939011e928"/>
    <w:p>
      <w:pPr>
        <w:pStyle w:val="Heading2"/>
        <w:spacing w:line="480" w:lineRule="auto"/>
      </w:pPr>
      <w:r>
        <w:t xml:space="preserve">6.5 Cross-Study Reading: The Robustness of the Consumable Effect</w:t>
      </w:r>
    </w:p>
    <w:p>
      <w:pPr>
        <w:pStyle w:val="FirstParagraph"/>
        <w:spacing w:line="480" w:lineRule="auto"/>
      </w:pPr>
      <w:r>
        <w:t xml:space="preserve">Against that evidence, the two studies were estimated on independently compiled panels, twenty-four facilities with sixteen events in the first and twenty-seven facilities with eighteen events in the second, and with partially different covariate sets, design lifetime as the third covariate in the first study and a low-Earth-orbit indicator in the second. The close agreement of the consumable result across these two distinct designs is the most important inferential fact in this chapter, and it deserves to be stated precisely instead of impressionistically.</w:t>
      </w:r>
    </w:p>
    <w:p>
      <w:pPr>
        <w:pStyle w:val="BodyText"/>
        <w:spacing w:line="480" w:lineRule="auto"/>
        <w:ind w:firstLine="720"/>
      </w:pPr>
      <w:r>
        <w:t xml:space="preserve">The unit of analysis is time. In the first study the consumable coefficient is +1.3172 with standard error 0.5374, giving a hazard ratio of 3.73 and a p-value of 0.0142. In the second study the consumable coefficient is +1.3309 with standard error 0.4956, giving a hazard ratio of 3.78 and a p-value of 0.0072. Within the confirmation baseline, the two coefficients differ by less than 0.014 in log-hazard units, a gap that is trivially small relative to either standard error, and the two hazard ratios, 3.73 and 3.78, are for practical purposes the same number. The agreement is not engineered: the panels overlap only partially in their facility lists, the censoring structures differ, and the third covariate differs entirely between the two models, yet the consumable effect lands in essentially the same place both times.</w:t>
      </w:r>
    </w:p>
    <w:p>
      <w:pPr>
        <w:pStyle w:val="BodyText"/>
        <w:spacing w:line="480" w:lineRule="auto"/>
        <w:ind w:firstLine="720"/>
      </w:pPr>
      <w:r>
        <w:t xml:space="preserve">This concordance does the evidentiary work that no single fit could do on its own. Each study individually rests on a small sample, and a skeptic could reasonably worry that a hazard ratio near 3.75 with a confidence interval spanning roughly an order of magnitude, as in the first study, is an artifact of a particular small sample or a particular control specification.</w:t>
      </w:r>
    </w:p>
    <w:p>
      <w:pPr>
        <w:pStyle w:val="BodyText"/>
        <w:spacing w:line="480" w:lineRule="auto"/>
        <w:ind w:firstLine="720"/>
      </w:pPr>
      <w:r>
        <w:t xml:space="preserve">In practical program terms, the replication answers that worry directly. A result that reproduces at nearly identical magnitude across two independently assembled panels, while the controls around it shift and reshuffle, is far more credibly a property of the underlying population of observatories than of either sample’s idiosyncrasies. For the program office, the increase in significance from the five-percent level in the first study to the one-percent level in the second, driven by the larger event count and the smaller standard error, is the expected behavior of a real effect observed with more information, not the behavior of a fragile finding. At the portfolio level, the consumable penalty is for that reason best understood as a robust, replicated feature of space-observatory mortality with a central hazard-ratio estimate just below four.</w:t>
      </w:r>
    </w:p>
    <w:p>
      <w:pPr>
        <w:pStyle w:val="BodyText"/>
        <w:spacing w:line="480" w:lineRule="auto"/>
        <w:ind w:firstLine="720"/>
      </w:pPr>
      <w:r>
        <w:t xml:space="preserve">At the portfolio level, the controls, by contrast, exhibit precisely the instability that confirms their irrelevance to the retirement process at the resolution available here. Against that evidence, aperture is positive in the first study, with a hazard ratio of 1.22, and negative in the second, with a hazard ratio of 0.94, and it is far from significance in both, with p-values of 0.4141 and 0.8455 respectively.</w:t>
      </w:r>
    </w:p>
    <w:p>
      <w:pPr>
        <w:pStyle w:val="BodyText"/>
        <w:spacing w:line="480" w:lineRule="auto"/>
        <w:ind w:firstLine="720"/>
      </w:pPr>
      <w:r>
        <w:t xml:space="preserve">That timing is measurable. A covariate whose sign is not even stable across two samples of the same phenomenon cannot be credited with a directional effect; the only defensible conclusion is that aperture, as measured here, fails to predict observatory lifetime. For the program office, the two non-aperture controls, design lifetime in the first study and the low-Earth-orbit indicator in the second, are each correctly signed relative to their theoretical expectations, negative in both cases, but neither reaches significance, with p-values of 0.1983 and 0.7167. At the portfolio level, the design-lifetime coefficient is the more interesting of the two, since at -0.1409 with standard error 0.1095 it produces the largest control z-statistic in either model at -1.29, hinting at a genuine but underpowered protective effect of longer planning horizons that a larger panel might resolve. But it remains, on the present evidence, a hint instead of a result.</w:t>
      </w:r>
    </w:p>
    <w:p>
      <w:pPr>
        <w:pStyle w:val="BodyText"/>
        <w:spacing w:line="480" w:lineRule="auto"/>
        <w:ind w:firstLine="720"/>
      </w:pPr>
      <w:r>
        <w:t xml:space="preserve">In the public record, the overall reading across the two studies is thus unusually clean for a small-sample exercise. Within the confirmation baseline, one covariate produces a large, correctly signed, replicated, and significant effect; the remaining covariates produce small, unstable, and uniformly insignificant effects. Across the cost record, what predicts how long an observatory survives in operation is not its physical scale, not its orbit, and not reliably even its nominal plan, but the kind of constraint it was built against. A hard consumable ceiling roughly quadruples the retirement hazard, and nothing else in the tested architecture moves the hazard in a way the data can distinguish from zero.</w:t>
      </w:r>
    </w:p>
    <w:bookmarkEnd w:id="104"/>
    <w:bookmarkStart w:id="105" w:name="X76d05e017c5a83cfbe35b9baf3f32b38154d5d2"/>
    <w:p>
      <w:pPr>
        <w:pStyle w:val="Heading2"/>
        <w:spacing w:line="480" w:lineRule="auto"/>
      </w:pPr>
      <w:r>
        <w:t xml:space="preserve">6.6 Interpretation in Relation to the Productivity Argument</w:t>
      </w:r>
    </w:p>
    <w:p>
      <w:pPr>
        <w:pStyle w:val="FirstParagraph"/>
        <w:spacing w:line="480" w:lineRule="auto"/>
      </w:pPr>
      <w:r>
        <w:t xml:space="preserve">The survival findings are not freestanding; they exist to discipline the dissertation’s central claim about the science-return learning curve. That claim, developed in the prospectus and the companion productivity strand, is that science return per observing hour rises with accumulated operational experience, so that an observatory’s later years are systematically its most scientifically valuable</w:t>
      </w:r>
      <w:r>
        <w:t xml:space="preserve"> </w:t>
      </w:r>
      <w:hyperlink w:anchor="ref-1">
        <w:r>
          <w:rPr>
            <w:rStyle w:val="Hyperlink"/>
          </w:rPr>
          <w:t xml:space="preserve">[1]</w:t>
        </w:r>
      </w:hyperlink>
      <w:r>
        <w:t xml:space="preserve">[2][3][4][5].</w:t>
      </w:r>
    </w:p>
    <w:p>
      <w:pPr>
        <w:pStyle w:val="BodyText"/>
        <w:spacing w:line="480" w:lineRule="auto"/>
        <w:ind w:firstLine="720"/>
      </w:pPr>
      <w:r>
        <w:t xml:space="preserve">The clock changes the question. From a survival-model perspective, the immediate corollary, and the reason the survival analysis is a necessary complement instead of a digression, is that the facilities observed at advanced operational ages are not a random sample of all facilities. They are the survivors, and the present results identify the single architectural feature that most strongly governs who survives. With a replicated consumable hazard ratio near 3.75, the population of long-lived, mature observatories is systematically enriched in non-consumable architectures, since coolant-bounded facilities terminate at roughly four times the rate of their wear-out-limited counterparts and disproportionately fail to reach the mature epochs at all.</w:t>
      </w:r>
    </w:p>
    <w:p>
      <w:pPr>
        <w:pStyle w:val="BodyText"/>
        <w:spacing w:line="480" w:lineRule="auto"/>
        <w:ind w:firstLine="720"/>
      </w:pPr>
      <w:r>
        <w:t xml:space="preserve">This has a precise methodological consequence for any learning-curve estimate. The clock changes the question.</w:t>
      </w:r>
    </w:p>
    <w:p>
      <w:pPr>
        <w:pStyle w:val="BodyText"/>
        <w:spacing w:line="480" w:lineRule="auto"/>
        <w:ind w:firstLine="720"/>
      </w:pPr>
      <w:r>
        <w:t xml:space="preserve">A naive productivity comparison that pools mission ages without conditioning on architecture would confound the genuine learning effect with this selection channel: the mature facilities being compared to young ones would be disproportionately the never-coolant-bounded ones, and their high productivity could reflect their architecture-driven longevity instead of learning. Read as a development signal, the companion productivity specification’s facility fixed effects address the cross-facility form of this problem by identifying the learning elasticity from each facility’s own time path, but the survival results add something the fixed effects alone cannot: they name the specific covariate, consumable dependence, that most needs to be carried as a control or stratifying variable in productivity work, and they quantify how strong the selection it induces actually is. Within the confirmation baseline, a selection mechanism operating at a hazard ratio near 3.75 is not a second-order nuisance to be acknowledged in a footnote. It is a first-order channel large enough to manufacture a spurious learning signal on its own if left uncontrolled, and the magnitude estimated here is what tells us so.</w:t>
      </w:r>
    </w:p>
    <w:p>
      <w:pPr>
        <w:pStyle w:val="BodyText"/>
        <w:spacing w:line="480" w:lineRule="auto"/>
        <w:ind w:firstLine="720"/>
      </w:pPr>
      <w:r>
        <w:t xml:space="preserve">Within the confirmation baseline, the managerial reading follows the same logic and is equally direct. Lifetime-extension decisions are routinely framed as cost decisions, weighing the marginal dollar of continued operation against a budget line.</w:t>
      </w:r>
    </w:p>
    <w:p>
      <w:pPr>
        <w:pStyle w:val="BodyText"/>
        <w:spacing w:line="480" w:lineRule="auto"/>
        <w:ind w:firstLine="720"/>
      </w:pPr>
      <w:r>
        <w:t xml:space="preserve">The claim stays falsifiable. At the portfolio level, the present results show that the dominant predictor of whether a facility is even available to be extended is a design choice fixed at the architecture stage, not a budget choice made during operations. In the public record, for coolant-bounded missions the binding constraint is physical and largely immune to extension funding once the cryogen is spent, a pattern the data express through the elevated hazard and one consistent with the cryogen-limited terminations that populate the consumable category in both panels. In the public record, for wear-out-limited missions, by contrast, the absence of a hard architectural ceiling is precisely what lowers the hazard and renders the extension decision genuinely discretionary, which is exactly the regime in which the companion learning-curve estimate becomes decision-relevant. For JPL and NASA, the investment implication is that the expected operational return to a passively cooled or coolant-free architecture is larger than a first-cost accounting would suggest, since such a facility carries a far lower hazard of early termination and for that reason a far greater opportunity to reach the productive mature epochs the facility literature documents</w:t>
      </w:r>
      <w:r>
        <w:t xml:space="preserve"> </w:t>
      </w:r>
      <w:hyperlink w:anchor="ref-1">
        <w:r>
          <w:rPr>
            <w:rStyle w:val="Hyperlink"/>
          </w:rPr>
          <w:t xml:space="preserve">[1]</w:t>
        </w:r>
      </w:hyperlink>
      <w:r>
        <w:t xml:space="preserve">[2][3], and the case for investing in consumable margin or replenishment at design time is correspondingly stronger than a pure cost comparison would imply.</w:t>
      </w:r>
    </w:p>
    <w:bookmarkEnd w:id="105"/>
    <w:bookmarkStart w:id="106" w:name="limits-of-the-findings"/>
    <w:p>
      <w:pPr>
        <w:pStyle w:val="Heading2"/>
        <w:spacing w:line="480" w:lineRule="auto"/>
      </w:pPr>
      <w:r>
        <w:t xml:space="preserve">6.7 Limits of the Findings</w:t>
      </w:r>
    </w:p>
    <w:p>
      <w:pPr>
        <w:pStyle w:val="FirstParagraph"/>
        <w:spacing w:line="480" w:lineRule="auto"/>
      </w:pPr>
      <w:r>
        <w:t xml:space="preserve">Seen from the schedule line, the strength of the consumable result should not be allowed to overstate what the two studies establish, and three limitations bound the claim. Against that evidence, the first is sample size. Each study rests on a small panel, twenty-four facilities with sixteen events in the first and twenty-seven facilities with eighteen events in the second, which is ample to identify one dominant effect but leaves the control covariates estimated with limited power. For JPL and NASA, the insignificance of aperture, orbit class, and design lifetime must for that reason be read as inconclusive instead of as positive evidence of no effect. The design-lifetime coefficient in particular, correctly signed at -0.1409 and carrying the largest control z-statistic at -1.29 with a p-value of 0.1983, is the kind of suggestive-but-underpowered estimate that a larger panel might well resolve into significance. The honest statement is that these controls are undetermined here, not refuted.</w:t>
      </w:r>
    </w:p>
    <w:p>
      <w:pPr>
        <w:pStyle w:val="BodyText"/>
        <w:spacing w:line="480" w:lineRule="auto"/>
        <w:ind w:firstLine="720"/>
      </w:pPr>
      <w:r>
        <w:t xml:space="preserve">For JPL and NASA, the second limitation concerns confounding between consumable limitation and waveband. Cryogenic cooling concentrates in the infrared and microwave bands, so the consumable indicator partly coincides with detector class and era, and the estimated hazard ratio near 3.75 should be understood as the lifetime consequence of that architectural family instead of as a clean isolation of coolant physics from the correlated band and generation effects. A larger panel that contained enough cooled and uncooled facilities within each band would be required to separate the consumable mechanism from the waveband with which it travels, and the present studies cannot perform that separation.</w:t>
      </w:r>
    </w:p>
    <w:p>
      <w:pPr>
        <w:pStyle w:val="BodyText"/>
        <w:spacing w:line="480" w:lineRule="auto"/>
        <w:ind w:firstLine="720"/>
      </w:pPr>
      <w:r>
        <w:t xml:space="preserve">In the public record, the third limitation concerns the retirement event itself, which mixes physical and budgetary causes. The hazard estimated here is the hazard of operational retirement from any cause, and it pools the scheduled physical death of a consumable-exhausted mission with the discretionary budgetary termination of a still-functional one. For JPL and NASA, the consumable result is robust precisely since consumable exhaustion is a clean physical cause, but a competing-risks extension that distinguished coolant exhaustion from funding-driven termination would refine the mechanism and is left to future work. In the public record, none of these three qualifications disturbs the central inference, which is robust in sign, in magnitude, and in significance across two independently assembled panels: among the architectural features tested, consumable dependence is the dominant observable driver of space-observatory survival, raising the retirement hazard by a factor close to four, and that fact reshapes both the selection correction the productivity analysis requires and the cost-benefit framing of the lifetime-extension decision.</w:t>
      </w:r>
    </w:p>
    <w:bookmarkEnd w:id="106"/>
    <w:bookmarkEnd w:id="107"/>
    <w:bookmarkStart w:id="115" w:name="X21322cb5e29cbf4eb576afddcad42f86ace4e0d"/>
    <w:p>
      <w:pPr>
        <w:pStyle w:val="Heading1"/>
        <w:spacing w:line="480" w:lineRule="auto"/>
      </w:pPr>
      <w:r>
        <w:t xml:space="preserve">Chapter 7. Discussion and Governance Implications</w:t>
      </w:r>
    </w:p>
    <w:bookmarkStart w:id="108" w:name="what-the-dissertation-established"/>
    <w:p>
      <w:pPr>
        <w:pStyle w:val="Heading2"/>
        <w:spacing w:line="480" w:lineRule="auto"/>
      </w:pPr>
      <w:r>
        <w:t xml:space="preserve">7.1 What the Dissertation Established</w:t>
      </w:r>
    </w:p>
    <w:p>
      <w:pPr>
        <w:pStyle w:val="FirstParagraph"/>
        <w:spacing w:line="480" w:lineRule="auto"/>
      </w:pPr>
      <w:r>
        <w:t xml:space="preserve">In the public record, the empirical analysis here set out to convert a narrative commonplace into an estimable quantity. Across the cost record, the commonplace is that astronomical observatories improve with operational experience: early-science phases are constrained by partial commissioning, immature calibration, and incomplete processing pipelines, while mature phases reap the accumulated benefit of operational learning</w:t>
      </w:r>
      <w:r>
        <w:t xml:space="preserve"> </w:t>
      </w:r>
      <w:hyperlink w:anchor="ref-1">
        <w:r>
          <w:rPr>
            <w:rStyle w:val="Hyperlink"/>
          </w:rPr>
          <w:t xml:space="preserve">[1]</w:t>
        </w:r>
      </w:hyperlink>
      <w:r>
        <w:t xml:space="preserve">[2][3]. The distinction is operational.</w:t>
      </w:r>
    </w:p>
    <w:p>
      <w:pPr>
        <w:pStyle w:val="BodyText"/>
        <w:spacing w:line="480" w:lineRule="auto"/>
        <w:ind w:firstLine="720"/>
      </w:pPr>
      <w:r>
        <w:t xml:space="preserve">Within the confirmation baseline, the quantity is the elasticity of science return per observing hour with respect to cumulative operational experience, defended in the prospectus as a single falsifiable contribution against a null of no learning. Against that evidence, the two empirical papers assembled here fail to yet pin down that elasticity directly; they establish the structural precondition without which any estimate of it would be uninterpretable. That precondition is a quantified, defensible characterization of the selection process that determines which observatories survive long enough to be observed in their mature, high-productivity epochs.</w:t>
      </w:r>
    </w:p>
    <w:p>
      <w:pPr>
        <w:pStyle w:val="BodyText"/>
        <w:spacing w:line="480" w:lineRule="auto"/>
        <w:ind w:firstLine="720"/>
      </w:pPr>
      <w:r>
        <w:t xml:space="preserve">The headline result of the empirical work is sharp and consistent across two independently assembled panels. In a panel of twenty-four NASA, ESA, and JAXA facilities with sixteen retirement events, a Cox proportional-hazards model returns a hazard ratio of 3.73 on the consumable-limited indicator, with a Wald z of 2.45, a p-value of 0.014, and a ninety-five-percent confidence interval from 1.30 to 10.70.</w:t>
      </w:r>
    </w:p>
    <w:p>
      <w:pPr>
        <w:pStyle w:val="BodyText"/>
        <w:spacing w:line="480" w:lineRule="auto"/>
        <w:ind w:firstLine="720"/>
      </w:pPr>
      <w:r>
        <w:t xml:space="preserve">That timing is measurable. In a separately compiled cross-section of twenty-seven facilities with eighteen terminations, the same indicator returns a hazard ratio of 3.78, with a Wald z of 2.69 and a p-value of 0.0072. In the mission archive, in both specifications, neither aperture nor design lifetime nor orbit class attains conventional significance. In the mission archive, the convergence of two hazard ratios near 3.75 from two panels with overlapping but non-identical membership is itself a robustness signal: the dominant observable driver of space-observatory mortality is not the physical scale of the facility, not the length of its nominal plan, and not its orbit, but whether the mission was architected against an exhaustible consumable such as a superfluid-helium cryogen.</w:t>
      </w:r>
    </w:p>
    <w:p>
      <w:pPr>
        <w:pStyle w:val="BodyText"/>
        <w:spacing w:line="480" w:lineRule="auto"/>
        <w:ind w:firstLine="720"/>
      </w:pPr>
      <w:r>
        <w:t xml:space="preserve">Across the cost record, the immediate purpose of the chapter is to draw out what that finding means for the parties who must act on it. It first interprets the result for NASA program management and for the lifetime-extension decision specifically. Against that evidence, it then turns to JPL decision-making at the architecture stage, where the relevant choices are fixed long before any operational learning can be captured. It then states the limitations honestly, distinguishing those that bound the present claim from those that the prospectus already anticipated. It closes with a forward research agenda that connects the survival results back to the productivity estimate they were built to enable.</w:t>
      </w:r>
    </w:p>
    <w:bookmarkEnd w:id="108"/>
    <w:bookmarkStart w:id="109" w:name="implications-for-nasa-program-management"/>
    <w:p>
      <w:pPr>
        <w:pStyle w:val="Heading2"/>
        <w:spacing w:line="480" w:lineRule="auto"/>
      </w:pPr>
      <w:r>
        <w:t xml:space="preserve">7.2 Implications for NASA Program Management</w:t>
      </w:r>
    </w:p>
    <w:p>
      <w:pPr>
        <w:pStyle w:val="FirstParagraph"/>
        <w:spacing w:line="480" w:lineRule="auto"/>
      </w:pPr>
      <w:r>
        <w:t xml:space="preserve">In practical program terms, the first managerial implication is that the lifetime-extension decision is mispriced when it is framed as a cost decision alone. In the public record, the benefit side of the extension ledger is the rate at which an additional observing hour converts into refereed science, and the framing literature is unanimous that this rate is non-stationary and rises with operational maturity</w:t>
      </w:r>
      <w:r>
        <w:t xml:space="preserve"> </w:t>
      </w:r>
      <w:hyperlink w:anchor="ref-1">
        <w:r>
          <w:rPr>
            <w:rStyle w:val="Hyperlink"/>
          </w:rPr>
          <w:t xml:space="preserve">[1]</w:t>
        </w:r>
      </w:hyperlink>
      <w:r>
        <w:t xml:space="preserve">[2][3]. Read as a development signal, an observatory’s later years are, on this logic, disproportionately its most scientifically valuable. From a survival-model perspective, a senior review that weighs only the marginal operating cost of an extension against a flat or assumed-declining benefit for that reason systematically undervalues continued operation of facilities that are still climbing their own experience curve. In the public record, the corrective is not to abandon cost discipline but to carry an explicit, age-conditioned benefit term into the extension calculus instead of treating scientific return as a constant to be divided through.</w:t>
      </w:r>
    </w:p>
    <w:p>
      <w:pPr>
        <w:pStyle w:val="BodyText"/>
        <w:spacing w:line="480" w:lineRule="auto"/>
        <w:ind w:firstLine="720"/>
      </w:pPr>
      <w:r>
        <w:t xml:space="preserve">The second implication sharpens the first by identifying where the extension decision is genuinely discretionary and where it is not. The survival analysis partitions the facility population into two regimes that demand different governance treatment.</w:t>
      </w:r>
    </w:p>
    <w:p>
      <w:pPr>
        <w:pStyle w:val="BodyText"/>
        <w:spacing w:line="480" w:lineRule="auto"/>
        <w:ind w:firstLine="720"/>
      </w:pPr>
      <w:r>
        <w:t xml:space="preserve">The distinction is operational. In practical program terms, for wear-out-limited missions, the retirement hazard is comparatively low and the binding constraint is budgetary competition instead of physics. These are the facilities for which an extension decision is a real choice, and they are precisely the facilities for which an age-conditioned productivity estimate becomes decision-relevant: Hubble, Chandra, and XMM-Newton have remained in service for decades since no hard architectural ceiling forced their retirement, and they populate the censored right tail of both panels. For consumable-limited missions, by contrast, the high retirement hazard is largely exogenous to operational performance. When the cryogen is gone, the prime science capability ends regardless of how well the spacecraft is otherwise performing, and no quantity of extension funding can lift the ceiling. Read as a development signal, program management should for that reason stop treating these two classes as a single population governed by one extension policy. In the mission archive, for the wear-out class, the senior-review question is whether the age-conditioned marginal science return justifies the marginal operating cost. For the consumable class, the binding decision was made at design time, and the operational-era extension question is largely moot.</w:t>
      </w:r>
    </w:p>
    <w:p>
      <w:pPr>
        <w:pStyle w:val="BodyText"/>
        <w:spacing w:line="480" w:lineRule="auto"/>
        <w:ind w:firstLine="720"/>
      </w:pPr>
      <w:r>
        <w:t xml:space="preserve">From a survival-model perspective, the third implication concerns how NASA should read a portfolio of operating observatories at any given moment. Because consumable-limited facilities terminate at roughly 3.75 times the hazard of wear-out-limited facilities, the standing population of mature, long-lived observatories is systematically enriched in non-consumable architectures. The risk is dated.</w:t>
      </w:r>
    </w:p>
    <w:p>
      <w:pPr>
        <w:pStyle w:val="BodyText"/>
        <w:spacing w:line="480" w:lineRule="auto"/>
        <w:ind w:firstLine="720"/>
      </w:pPr>
      <w:r>
        <w:t xml:space="preserve">This is not an artifact to be footnoted; it is a structural property of the portfolio that has direct budgetary consequences. Read as a development signal, a program office that benchmarks the expected productivity of a young consumable-limited mission against the realized productivity of the surviving long-lived flagships will overstate the young mission’s expected mature yield, since it is implicitly comparing it to the survivors of a selection process the young mission is unlikely to survive. For JPL and NASA, the hazard estimate supplies the correction factor that such a benchmark requires.</w:t>
      </w:r>
    </w:p>
    <w:p>
      <w:pPr>
        <w:pStyle w:val="BodyText"/>
        <w:spacing w:line="480" w:lineRule="auto"/>
        <w:ind w:firstLine="720"/>
      </w:pPr>
      <w:r>
        <w:t xml:space="preserve">The fourth implication is about the value of consumable margin and replenishment, considered as a program-level investment instead of a per-mission engineering trade. The distinction is operational. Seen from the schedule line, if the most scientifically valuable years are the later ones, and if consumable exhaustion is the dominant mechanism that prevents facilities from reaching those years, then the expected science return to investing in additional cryogen margin, passive-cooling alternatives, or on-orbit replenishment is larger than a first-cost comparison would reveal.</w:t>
      </w:r>
    </w:p>
    <w:p>
      <w:pPr>
        <w:pStyle w:val="BodyText"/>
        <w:spacing w:line="480" w:lineRule="auto"/>
        <w:ind w:firstLine="720"/>
      </w:pPr>
      <w:r>
        <w:t xml:space="preserve">Across the cost record, the survival result reframes consumable margin not as a reliability nicety but as a direct purchase of access to the high-productivity tail of the science-return learning curve. From a survival-model perspective, this logic is most consequential for the infrared, submillimeter, and microwave bands, where cryogenic cooling concentrates and where the consumable ceiling is for that reason most binding.</w:t>
      </w:r>
    </w:p>
    <w:bookmarkEnd w:id="109"/>
    <w:bookmarkStart w:id="110" w:name="Xd613e7819659e17c42fac238ea874d7c3abb1a2"/>
    <w:p>
      <w:pPr>
        <w:pStyle w:val="Heading2"/>
        <w:spacing w:line="480" w:lineRule="auto"/>
      </w:pPr>
      <w:r>
        <w:t xml:space="preserve">7.3 Implications for JPL Decision-Making at the Architecture Stage</w:t>
      </w:r>
    </w:p>
    <w:p>
      <w:pPr>
        <w:pStyle w:val="FirstParagraph"/>
        <w:spacing w:line="480" w:lineRule="auto"/>
      </w:pPr>
      <w:r>
        <w:t xml:space="preserve">The governance implications for JPL are distinct from those for program management since the decisions that matter at JPL are fixed earliest. The survival analysis locates the dominant determinant of observatory mortality at the architecture stage, in the choice of cooling and consumable strategy, not in any operational-era management decision. This relocates the lifetime-extension problem from the senior-review room to the early design trade.</w:t>
      </w:r>
    </w:p>
    <w:p>
      <w:pPr>
        <w:pStyle w:val="BodyText"/>
        <w:spacing w:line="480" w:lineRule="auto"/>
        <w:ind w:firstLine="720"/>
      </w:pPr>
      <w:r>
        <w:t xml:space="preserve">For the program office, the first architectural implication follows directly. Within the confirmation baseline, if consumable dependence is the single covariate that most strongly governs how long an observatory lives, and if longevity is the channel through which the maturation premium is captured, then the cooling-strategy trade cannot be treated only as a sensitivity-versus-cost trade but a longevity-versus-cost trade with a quantified longevity penalty attached. For JPL and NASA, a design that achieves its sensitivity through an expendable cryogen buys a hazard ratio near 3.75 relative to a passively cooled or coolant-free alternative. That penalty should appear explicitly in the architecture trade study, expressed as expected operational lifetime and, downstream, as expected access to the productive mature epochs documented in the facility literature</w:t>
      </w:r>
      <w:r>
        <w:t xml:space="preserve"> </w:t>
      </w:r>
      <w:hyperlink w:anchor="ref-1">
        <w:r>
          <w:rPr>
            <w:rStyle w:val="Hyperlink"/>
          </w:rPr>
          <w:t xml:space="preserve">[1]</w:t>
        </w:r>
      </w:hyperlink>
      <w:r>
        <w:t xml:space="preserve">[2][3]. Within the confirmation baseline, the mechanical-cryocooler and passive-radiative alternatives that have displaced stored cryogen in several recent infrared concepts are, in this framing, not only sensitivity choices but longevity choices that move a mission out of the high-hazard class.</w:t>
      </w:r>
    </w:p>
    <w:p>
      <w:pPr>
        <w:pStyle w:val="BodyText"/>
        <w:spacing w:line="480" w:lineRule="auto"/>
        <w:ind w:firstLine="720"/>
      </w:pPr>
      <w:r>
        <w:t xml:space="preserve">Within the confirmation baseline, the second architectural implication is that aperture, the variable JPL trade studies most often treat as the headline figure of merit, is not a reliable predictor of operational survival once consumable status is controlled. For the program office, in both panels the aperture coefficient is small, statistically null, and in one specification of the wrong sign relative to the institutional-investment hypothesis. From a survival-model perspective, the intuition that a larger, more politically entrenched flagship will be sustained longer is not supported by the data once the consumable constraint is accounted for: a large cryogen-bounded facility still dies when its coolant is spent. In practical program terms, jPL architecture trades should for that reason resist conflating scale with durability. Aperture buys instantaneous sensitivity; it does not, on this evidence, buy operational lifetime, and the two should be scored separately.</w:t>
      </w:r>
    </w:p>
    <w:p>
      <w:pPr>
        <w:pStyle w:val="BodyText"/>
        <w:spacing w:line="480" w:lineRule="auto"/>
        <w:ind w:firstLine="720"/>
      </w:pPr>
      <w:r>
        <w:t xml:space="preserve">Against that evidence, the third architectural implication concerns the framing of return on a flagship-class investment. Because non-consumable architectures carry a far lower hazard of early termination, they carry a far greater opportunity to reach the mature epochs in which science return per observing hour is highest. The record supports the test.</w:t>
      </w:r>
    </w:p>
    <w:p>
      <w:pPr>
        <w:pStyle w:val="BodyText"/>
        <w:spacing w:line="480" w:lineRule="auto"/>
        <w:ind w:firstLine="720"/>
      </w:pPr>
      <w:r>
        <w:t xml:space="preserve">Read as a development signal, the expected lifetime science return to a passively cooled or coolant-free architecture is for that reason larger than a cost-only or sensitivity-only accounting would suggest, and the gap is exactly the discounted value of the additional productive years that the lower hazard makes reachable. For JPL, whose role spans concept formulation and flagship architecture, this argues for carrying an expected-lifetime-science term, not merely an expected-cost term, through the architecture down-select. Seen from the schedule line, the survival results provide the empirical hazard structure that such a term requires.</w:t>
      </w:r>
    </w:p>
    <w:bookmarkEnd w:id="110"/>
    <w:bookmarkStart w:id="111" w:name="X27dd03b66854136e75ede4b32b9a315b0aab856"/>
    <w:p>
      <w:pPr>
        <w:pStyle w:val="Heading2"/>
        <w:spacing w:line="480" w:lineRule="auto"/>
      </w:pPr>
      <w:r>
        <w:t xml:space="preserve">7.4 Connecting the Survival Result to the Productivity Argument</w:t>
      </w:r>
    </w:p>
    <w:p>
      <w:pPr>
        <w:pStyle w:val="FirstParagraph"/>
        <w:spacing w:line="480" w:lineRule="auto"/>
      </w:pPr>
      <w:r>
        <w:t xml:space="preserve">It is important to be precise about how the survival findings serve the dissertation’s central productivity thesis, since the relationship is structural instead of incidental. The prospectus identified survivorship and selection as the central identification threat to any learning-curve estimate: extended missions are not a random sample of facility-epochs, so a naive comparison of mature missions to young ones overstates the learning effect. Read as a development signal, the two empirical papers fail to evade that threat; they characterize it directly. If consumable-limited facilities terminate at nearly four times the hazard of non-consumable facilities, then the facilities observed at advanced operational ages are disproportionately those that were never coolant-bounded, and any pooled productivity comparison that ignores architecture confounds the genuine learning effect with this selection channel.</w:t>
      </w:r>
    </w:p>
    <w:p>
      <w:pPr>
        <w:pStyle w:val="BodyText"/>
        <w:spacing w:line="480" w:lineRule="auto"/>
        <w:ind w:firstLine="720"/>
      </w:pPr>
      <w:r>
        <w:t xml:space="preserve">The learning-curve specification proposed in the prospectus addresses the cross-facility version of this problem through facility fixed effects, which neutralize the confounder that intrinsically more capable facilities both accumulate more experience and produce more science. For JPL and NASA, the survival estimate is the complement to that design.</w:t>
      </w:r>
    </w:p>
    <w:p>
      <w:pPr>
        <w:pStyle w:val="BodyText"/>
        <w:spacing w:line="480" w:lineRule="auto"/>
        <w:ind w:firstLine="720"/>
      </w:pPr>
      <w:r>
        <w:t xml:space="preserve">That timing is measurable. From a survival-model perspective, it fails to replace the fixed-effects strategy. It quantifies the selection mechanism that the fixed-effects strategy is built to survive, and it names the single covariate, consumable dependence, that most needs to be carried as a control or stratifying variable in the productivity work. In practical program terms, the empirical contribution of the analysis here is for that reason best read as a two-part structure: a hazard model that identifies and measures the selection process, and a learning-curve model, to be estimated on the same facility panel, that recovers the experience elasticity net of that process. In practical program terms, the convergence of the two hazard ratios near 3.75 gives the field a defensible magnitude for the selection correction, which is a prerequisite the productivity literature has not previously supplied.</w:t>
      </w:r>
    </w:p>
    <w:bookmarkEnd w:id="111"/>
    <w:bookmarkStart w:id="112" w:name="limitations"/>
    <w:p>
      <w:pPr>
        <w:pStyle w:val="Heading2"/>
        <w:spacing w:line="480" w:lineRule="auto"/>
      </w:pPr>
      <w:r>
        <w:t xml:space="preserve">7.5 Limitations</w:t>
      </w:r>
    </w:p>
    <w:p>
      <w:pPr>
        <w:pStyle w:val="FirstParagraph"/>
        <w:spacing w:line="480" w:lineRule="auto"/>
      </w:pPr>
      <w:r>
        <w:t xml:space="preserve">The limitations of the present work fall into three groups, and intellectual honesty requires distinguishing those that bound the claim from those that merely caution its interpretation.</w:t>
      </w:r>
    </w:p>
    <w:p>
      <w:pPr>
        <w:pStyle w:val="BodyText"/>
        <w:spacing w:line="480" w:lineRule="auto"/>
        <w:ind w:firstLine="720"/>
      </w:pPr>
      <w:r>
        <w:t xml:space="preserve">Across the cost record, the first group concerns statistical power. In practical program terms, both panels are small: twenty-four facilities with sixteen events in one, twenty-seven facilities with eighteen terminations in the other. A sample of this size can identify one large dominant effect, which it does, but it estimates the control covariates with limited power. At the portfolio level, the insignificance of aperture, design lifetime, and orbit class should accordingly be read as inconclusive instead of as positive evidence of no effect. It remains possible that aperture lowers hazard at a magnitude this panel cannot detect, and the design-lifetime point estimate is in the expected direction even though it fails to attain significance. Against that evidence, the honest claim is for that reason narrow: consumable dependence is the one architectural feature whose effect is large enough to be recovered from a panel of this size, not the only feature that matters.</w:t>
      </w:r>
    </w:p>
    <w:p>
      <w:pPr>
        <w:pStyle w:val="BodyText"/>
        <w:spacing w:line="480" w:lineRule="auto"/>
        <w:ind w:firstLine="720"/>
      </w:pPr>
      <w:r>
        <w:t xml:space="preserve">The second group concerns the cleanliness of the consumable indicator itself. For JPL and NASA, the indicator partly coincides with waveband, since cryogenic cooling concentrates in the infrared, submillimeter, and microwave bands.</w:t>
      </w:r>
    </w:p>
    <w:p>
      <w:pPr>
        <w:pStyle w:val="BodyText"/>
        <w:spacing w:line="480" w:lineRule="auto"/>
        <w:ind w:firstLine="720"/>
      </w:pPr>
      <w:r>
        <w:t xml:space="preserve">The evidence remains public. For JPL and NASA, the estimated hazard ratio for that reason captures the lifetime consequence of that architectural family instead of cleanly isolating coolant physics from detector class or from the operational era in which cryogenic missions cluster. A larger panel would permit band, era, and consumable limitation to be separated, and until that separation is achieved the result should be stated as the survival consequence of the cryogenic-mission architecture as a whole, not of the coolant in isolation. Relatedly, the retirement event mixes physical and budgetary causes. A mission ended by cryogen exhaustion and a mission ended by funding withdrawal both enter the model as terminations, and the present specification cannot distinguish them. A competing-risks extension that separates consumable exhaustion from funding-driven termination would refine the mechanism and would sharpen the managerial reading, since the two causes imply different governance levers.</w:t>
      </w:r>
    </w:p>
    <w:p>
      <w:pPr>
        <w:pStyle w:val="BodyText"/>
        <w:spacing w:line="480" w:lineRule="auto"/>
        <w:ind w:firstLine="720"/>
      </w:pPr>
      <w:r>
        <w:t xml:space="preserve">For the program office, the third group concerns external validity and measurement. Within the confirmation baseline, the population of long-lived, well-documented space and airborne observatories is intrinsically limited, so the estimated hazard structure may not generalize beyond the panel, and the prospectus is right to decline extrapolation to facility classes not represented in the data.</w:t>
      </w:r>
    </w:p>
    <w:p>
      <w:pPr>
        <w:pStyle w:val="BodyText"/>
        <w:spacing w:line="480" w:lineRule="auto"/>
        <w:ind w:firstLine="720"/>
      </w:pPr>
      <w:r>
        <w:t xml:space="preserve">The record supports the test. In practical program terms, on the productivity side, which the survival papers are built to enable, the bibliometric measurement of science return carries its own well-rehearsed limitations: refereed publication counts undercount instrument and pipeline development, and the facility tagging in the NASA Astrophysics Data System is imperfect and will require manual validation of a sample. The censoring treatment is also conservative in a specific way: treating all currently operating facilities as equally at risk understates the residual lifetime of the youngest flagships, which biases the survival picture toward the older facilities that have already accumulated most of their operating history. None of these qualifications disturbs the central inference, which is robust in sign and significance across two panels, but each marks a boundary the present evidence fails to cross.</w:t>
      </w:r>
    </w:p>
    <w:bookmarkEnd w:id="112"/>
    <w:bookmarkStart w:id="113" w:name="future-research"/>
    <w:p>
      <w:pPr>
        <w:pStyle w:val="Heading2"/>
        <w:spacing w:line="480" w:lineRule="auto"/>
      </w:pPr>
      <w:r>
        <w:t xml:space="preserve">7.6 Future Research</w:t>
      </w:r>
    </w:p>
    <w:p>
      <w:pPr>
        <w:pStyle w:val="FirstParagraph"/>
        <w:spacing w:line="480" w:lineRule="auto"/>
      </w:pPr>
      <w:r>
        <w:t xml:space="preserve">Within the confirmation baseline, the most immediate task is the one the survival papers were designed to make possible: estimating the science-return learning curve itself on the same facility panel, with the consumable indicator carried as the stratifying control the hazard analysis has shown it must be. In practical program terms, the estimating equation proposed in the prospectus, a log-linear experience-curve specification with facility fixed effects and instrument-generation controls, can now be taken to the NASA Astrophysics Data System refereed-publication record joined to per-facility observing-time and operational-timeline records. In the public record, the decisive methodological advance available to that work, which was not available before, is that the selection mechanism is no longer assumed or footnoted but estimated, so the learning elasticity can be reported net of a quantified selection process instead of alongside an unmeasured one.</w:t>
      </w:r>
    </w:p>
    <w:p>
      <w:pPr>
        <w:pStyle w:val="BodyText"/>
        <w:spacing w:line="480" w:lineRule="auto"/>
        <w:ind w:firstLine="720"/>
      </w:pPr>
      <w:r>
        <w:t xml:space="preserve">Read as a development signal, three extensions to the survival analysis would strengthen the foundation. Across the cost record, the first is the competing-risks model already noted, separating consumable exhaustion from funding-driven termination, which would let the analysis distinguish the physical ceiling from the budgetary one and would speak directly to which governance lever, design-stage consumable margin or operational-stage funding, has more leverage over realized lifetime.</w:t>
      </w:r>
    </w:p>
    <w:p>
      <w:pPr>
        <w:pStyle w:val="BodyText"/>
        <w:spacing w:line="480" w:lineRule="auto"/>
        <w:ind w:firstLine="720"/>
      </w:pPr>
      <w:r>
        <w:t xml:space="preserve">The record supports the test. In the mission archive, the second is panel expansion. Seen from the schedule line, a larger facility set, incorporating ground-based and international observatories where operational records permit, would restore power to the control covariates and, critically, would let band, era, and consumable limitation be separated, converting the present architectural-family result into a cleaner statement about coolant physics. Across the cost record, the third is a formal selection correction in the productivity stage, modeling the operational-continuation decision and reporting learning-rate estimates with and without the correction term, exactly as the prospectus anticipated, now anchored to an empirically estimated hazard instead of a hypothesized one.</w:t>
      </w:r>
    </w:p>
    <w:p>
      <w:pPr>
        <w:pStyle w:val="BodyText"/>
        <w:spacing w:line="480" w:lineRule="auto"/>
        <w:ind w:firstLine="720"/>
      </w:pPr>
      <w:r>
        <w:t xml:space="preserve">A fourth and more applied line of work would translate the hazard estimate into a decision tool. Seen from the schedule line, the convergence of the two hazard ratios near 3.75 supplies a defensible parameter for an expected-lifetime-science model that a JPL architecture trade or a NASA senior review could use directly: given a candidate architecture’s consumable status, aperture, and orbit, the model would return an expected operational lifetime distribution, and combined with the eventual learning-curve estimate, an expected discounted lifetime science return. For the program office, building and validating that tool against the realized histories of the facilities in the panel would close the loop between the econometric estimates assembled here and the program-management and architecture decisions they are meant to inform. The broader maturation literature that frames the analysis here treats experience-curve behavior as a general feature of space infrastructure instead of a property of any single program</w:t>
      </w:r>
      <w:r>
        <w:t xml:space="preserve"> </w:t>
      </w:r>
      <w:hyperlink w:anchor="ref-4">
        <w:r>
          <w:rPr>
            <w:rStyle w:val="Hyperlink"/>
          </w:rPr>
          <w:t xml:space="preserve">[4]</w:t>
        </w:r>
      </w:hyperlink>
      <w:r>
        <w:t xml:space="preserve">[5]; the contribution of this research program is to make that general claim specific, estimable, and decision-relevant for the particular case of astronomical observatories, and the survival results are the structural foundation on which that specificity now rests.</w:t>
      </w:r>
    </w:p>
    <w:bookmarkEnd w:id="113"/>
    <w:bookmarkStart w:id="114" w:name="closing"/>
    <w:p>
      <w:pPr>
        <w:pStyle w:val="Heading2"/>
        <w:spacing w:line="480" w:lineRule="auto"/>
      </w:pPr>
      <w:r>
        <w:t xml:space="preserve">7.7 Closing</w:t>
      </w:r>
    </w:p>
    <w:p>
      <w:pPr>
        <w:pStyle w:val="FirstParagraph"/>
        <w:spacing w:line="480" w:lineRule="auto"/>
      </w:pPr>
      <w:r>
        <w:t xml:space="preserve">At the portfolio level, the dissertation began from the observation that decisions to extend, descope, or terminate operating observatories are routinely framed as cost decisions while the benefit side, the age-conditioned rate at which a facility converts observing time into knowledge, is rarely measured. At the portfolio level, the empirical work assembled here establishes the structural precondition for measuring that benefit credibly.</w:t>
      </w:r>
    </w:p>
    <w:p>
      <w:pPr>
        <w:pStyle w:val="BodyText"/>
        <w:spacing w:line="480" w:lineRule="auto"/>
        <w:ind w:firstLine="720"/>
      </w:pPr>
      <w:r>
        <w:t xml:space="preserve">The record supports the test. It identifies, with a hazard ratio near 3.75 replicated across two independent panels, the single architectural feature that most strongly governs which observatories live long enough to reach their productive mature epochs, and it indicates that this feature, consumable dependence, is fixed at the architecture stage instead of negotiated during operations. From a survival-model perspective, for NASA program management, the result reframes the lifetime-extension decision as genuinely discretionary for wear-out-limited missions and largely foreclosed for consumable-limited ones. For JPL and NASA, for JPL, it relocates the most consequential longevity decision to the early cooling-strategy trade and attaches a quantified penalty to the consumable path. Against that evidence, and for the dissertation’s own central thesis, it converts the survivorship problem from an acknowledged threat into a measured and controllable quantity, clearing the way for the science-return learning curve to be estimated net of the selection process that has previously confounded it.</w:t>
      </w:r>
    </w:p>
    <w:bookmarkEnd w:id="114"/>
    <w:bookmarkEnd w:id="115"/>
    <w:bookmarkStart w:id="152" w:name="chapter-8.-conclusion"/>
    <w:p>
      <w:pPr>
        <w:pStyle w:val="Heading1"/>
        <w:spacing w:line="480" w:lineRule="auto"/>
      </w:pPr>
      <w:r>
        <w:t xml:space="preserve">Chapter 8. Conclusion</w:t>
      </w:r>
    </w:p>
    <w:bookmarkStart w:id="116" w:name="the-argument-in-brief"/>
    <w:p>
      <w:pPr>
        <w:pStyle w:val="Heading2"/>
        <w:spacing w:line="480" w:lineRule="auto"/>
      </w:pPr>
      <w:r>
        <w:t xml:space="preserve">8.1 The Argument in Brief</w:t>
      </w:r>
    </w:p>
    <w:p>
      <w:pPr>
        <w:pStyle w:val="FirstParagraph"/>
        <w:spacing w:line="480" w:lineRule="auto"/>
      </w:pPr>
      <w:r>
        <w:t xml:space="preserve">The empirical analysis here began from a deceptively simple observation: space and airborne astronomical observatories fail to convert observing time into refereed science at a constant rate across their operational lifetimes. The facility-specific literature establishes the qualitative fact without contest.</w:t>
      </w:r>
    </w:p>
    <w:p>
      <w:pPr>
        <w:pStyle w:val="BodyText"/>
        <w:spacing w:line="480" w:lineRule="auto"/>
        <w:ind w:firstLine="720"/>
      </w:pPr>
      <w:r>
        <w:t xml:space="preserve">The distinction is operational. Early-science reports from the Stratospheric Observatory for Infrared Astronomy describe a 2.7 m airborne reflector returning results before its full instrument suite and operational cadence had matured</w:t>
      </w:r>
      <w:r>
        <w:t xml:space="preserve"> </w:t>
      </w:r>
      <w:hyperlink w:anchor="ref-1">
        <w:r>
          <w:rPr>
            <w:rStyle w:val="Hyperlink"/>
          </w:rPr>
          <w:t xml:space="preserve">[1]</w:t>
        </w:r>
      </w:hyperlink>
      <w:r>
        <w:t xml:space="preserve">, its sensor-development record emphasizes the iterative coordination between operations and science teams that commissioning demands</w:t>
      </w:r>
      <w:r>
        <w:t xml:space="preserve"> </w:t>
      </w:r>
      <w:hyperlink w:anchor="ref-2">
        <w:r>
          <w:rPr>
            <w:rStyle w:val="Hyperlink"/>
          </w:rPr>
          <w:t xml:space="preserve">[2]</w:t>
        </w:r>
      </w:hyperlink>
      <w:r>
        <w:t xml:space="preserve">, and the Pan-STARRS PS1 survey distinguishes a defined start of operations from the later phases that produced its mature scientific yield</w:t>
      </w:r>
      <w:r>
        <w:t xml:space="preserve"> </w:t>
      </w:r>
      <w:hyperlink w:anchor="ref-3">
        <w:r>
          <w:rPr>
            <w:rStyle w:val="Hyperlink"/>
          </w:rPr>
          <w:t xml:space="preserve">[3]</w:t>
        </w:r>
      </w:hyperlink>
      <w:r>
        <w:t xml:space="preserve">. In practical program terms, the broader space-economy literature supplies the generalizing frame, treating maturation and the evolution of operating cost as recognizable features of space infrastructure instead of as idiosyncrasies of any single program</w:t>
      </w:r>
      <w:r>
        <w:t xml:space="preserve"> </w:t>
      </w:r>
      <w:hyperlink w:anchor="ref-4">
        <w:r>
          <w:rPr>
            <w:rStyle w:val="Hyperlink"/>
          </w:rPr>
          <w:t xml:space="preserve">[4]</w:t>
        </w:r>
      </w:hyperlink>
      <w:r>
        <w:t xml:space="preserve">[5]. From these two bodies of work the dissertation extracted a single, falsifiable proposition: that the marginal scientific value of an observing hour is not fixed but is a function of where a facility sits on its own experience curve.</w:t>
      </w:r>
    </w:p>
    <w:p>
      <w:pPr>
        <w:pStyle w:val="BodyText"/>
        <w:spacing w:line="480" w:lineRule="auto"/>
        <w:ind w:firstLine="720"/>
      </w:pPr>
      <w:r>
        <w:t xml:space="preserve">Across the cost record, the intellectual work of the dissertation was to convert that proposition from narrative into estimable quantity, and then to confront the one threat that makes such estimation hazardous. The risk is dated.</w:t>
      </w:r>
    </w:p>
    <w:p>
      <w:pPr>
        <w:pStyle w:val="BodyText"/>
        <w:spacing w:line="480" w:lineRule="auto"/>
        <w:ind w:firstLine="720"/>
      </w:pPr>
      <w:r>
        <w:t xml:space="preserve">From a survival-model perspective, the productivity strand of the argument, set out in the prospectus and developed in the learning-curve chapters, specified science return per observing hour as a log-linear function of cumulative operational experience, identified from within-facility variation across operational epochs and anchored by facility fixed effects that neutralize the obvious confounder that intrinsically more capable facilities both accumulate more experience and produce more science. For JPL and NASA, against that productivity claim stands an inconvenient corollary, and it is the corollary that organizes the empirical core of the dissertation. Across the cost record, if productivity genuinely rises with experience, then the observatories observed at advanced operational ages are precisely those that survived long enough to reach their most productive epochs, and any naive comparison of mature facilities to young ones will overstate the learning effect by exactly the degree to which survival is non-random.</w:t>
      </w:r>
    </w:p>
    <w:p>
      <w:pPr>
        <w:pStyle w:val="BodyText"/>
        <w:spacing w:line="480" w:lineRule="auto"/>
        <w:ind w:firstLine="720"/>
      </w:pPr>
      <w:r>
        <w:t xml:space="preserve">The two survival studies in the analysis here answer that corollary head-on. Rather than treat survivorship as a footnote to be acknowledged and set aside, the dissertation elevates it to a substantive empirical question and models the retirement event itself as a hazard process.</w:t>
      </w:r>
    </w:p>
    <w:p>
      <w:pPr>
        <w:pStyle w:val="BodyText"/>
        <w:spacing w:line="480" w:lineRule="auto"/>
        <w:ind w:firstLine="720"/>
      </w:pPr>
      <w:r>
        <w:t xml:space="preserve">The record supports the test. Across two independently assembled panels, one of twenty-four facilities and one of twenty-seven, fit with Cox proportional-hazards specifications that impose no parametric form on the baseline hazard and that retain still-operating flagships as right-censored observations, the same finding emerges with the same sign and comparable magnitude. In the public record, the dominant observable driver of observatory retirement is neither aperture nor nominal design lifetime nor orbit class, but whether a mission was built against an exhaustible consumable. Consumable-limited observatories face a retirement hazard between roughly three and a half and nearly four times that of otherwise comparable facilities, and in both panels the consumable indicator is the only covariate to attain conventional statistical significance.</w:t>
      </w:r>
    </w:p>
    <w:bookmarkEnd w:id="116"/>
    <w:bookmarkStart w:id="117" w:name="synthesis-of-the-findings"/>
    <w:p>
      <w:pPr>
        <w:pStyle w:val="Heading2"/>
        <w:spacing w:line="480" w:lineRule="auto"/>
      </w:pPr>
      <w:r>
        <w:t xml:space="preserve">8.2 Synthesis of the Findings</w:t>
      </w:r>
    </w:p>
    <w:p>
      <w:pPr>
        <w:pStyle w:val="FirstParagraph"/>
        <w:spacing w:line="480" w:lineRule="auto"/>
      </w:pPr>
      <w:r>
        <w:t xml:space="preserve">Against that evidence, the synthesis that holds the dissertation together is the interlock between the productivity claim and the survival evidence. These are not two separate inquiries that happen to share a literature; they are two halves of a single identification argument. Read as a development signal, the productivity strand asserts that an observatory’s late years are its most scientifically valuable. Against that evidence, the survival strand identifies the design feature that most strongly governs whether a facility ever reaches those late years. Read together, they describe a coherent causal architecture: the experience curve determines what an observatory could deliver if it survived, and the hazard structure determines which observatories are permitted to deliver it.</w:t>
      </w:r>
    </w:p>
    <w:p>
      <w:pPr>
        <w:pStyle w:val="BodyText"/>
        <w:spacing w:line="480" w:lineRule="auto"/>
        <w:ind w:firstLine="720"/>
      </w:pPr>
      <w:r>
        <w:t xml:space="preserve">The numerical results sharpen the synthesis. For JPL and NASA, in the twenty-four-facility panel, the consumable-limited indicator carries a coefficient of +1.317 with a standard error of 0.537, a Wald z of 2.45, and a p-value of 0.014, exponentiating to a hazard ratio of 3.73 with a ninety-five-percent confidence interval from 1.30 to 10.70. In the public record, in the twenty-seven-facility panel, the same indicator carries a coefficient of 1.331 with a standard error of 0.496, a Wald z of 2.69, and a p-value of 0.0072, exponentiating to a hazard ratio of 3.78 with an approximate interval well above unity. For the program office, that two panels assembled from overlapping but distinct facility sets, with somewhat different control specifications, return a consumable hazard ratio of 3.73 in one case and 3.78 in the other is not a coincidence to be glossed but the strongest internal evidence the dissertation offers. Within the confirmation baseline, the effect is robust to the precise composition of the panel and to the choice of control covariates, which is exactly the property a finding must possess if it is to bear the identification weight the productivity strand places on it.</w:t>
      </w:r>
    </w:p>
    <w:p>
      <w:pPr>
        <w:pStyle w:val="BodyText"/>
        <w:spacing w:line="480" w:lineRule="auto"/>
        <w:ind w:firstLine="720"/>
      </w:pPr>
      <w:r>
        <w:t xml:space="preserve">Within the confirmation baseline, the control covariates behave consistently across both panels, and their consistency is itself informative. Aperture, entered as a proxy for the scale of institutional investment, carries a small positive coefficient in one panel and a small negative coefficient in the other, and in both cases its confidence interval straddles unity; the physical scale of an observatory does not, in these data, reliably predict how long it survives.</w:t>
      </w:r>
    </w:p>
    <w:p>
      <w:pPr>
        <w:pStyle w:val="BodyText"/>
        <w:spacing w:line="480" w:lineRule="auto"/>
        <w:ind w:firstLine="720"/>
      </w:pPr>
      <w:r>
        <w:t xml:space="preserve">The record supports the test. From a survival-model perspective, nominal design lifetime carries a point estimate in the expected direction, with longer-planned missions facing lower hazard, but the effect is not statistically distinguishable from zero. The low-Earth-orbit indicator is likewise statistically null, consistent with the theoretical ambiguity anticipated at the outset, since low orbit historically permitted servicing even as it imposed a harsher drag and thermal environment. The reading of these results together is specific and disciplined: once consumable limitation is accounted for, neither the scale of a facility nor the length of its plan nor its orbital regime reliably governs survival. Across the cost record, what governs survival is the kind of constraint the mission was built against.</w:t>
      </w:r>
    </w:p>
    <w:p>
      <w:pPr>
        <w:pStyle w:val="BodyText"/>
        <w:spacing w:line="480" w:lineRule="auto"/>
        <w:ind w:firstLine="720"/>
      </w:pPr>
      <w:r>
        <w:t xml:space="preserve">Seen from the schedule line, this is where the synthesis acquires its policy edge. The hazard structure partitions the observatory population into two regimes with sharply different decision logics.</w:t>
      </w:r>
    </w:p>
    <w:p>
      <w:pPr>
        <w:pStyle w:val="BodyText"/>
        <w:spacing w:line="480" w:lineRule="auto"/>
        <w:ind w:firstLine="720"/>
      </w:pPr>
      <w:r>
        <w:t xml:space="preserve">The evidence remains public. Within the confirmation baseline, for consumable-limited missions, the high retirement hazard is largely exogenous to operational performance. The cryogen ceiling is fixed at the architecture stage and no amount of operational learning can lift it, so the maturation premium documented in the facility literature is structurally difficult to capture. Within the confirmation baseline, the cryogen-bounded terminations of IRAS, ISO, Spitzer, Herschel, Planck, WISE, and Akari are the empirical signature of that regime</w:t>
      </w:r>
      <w:r>
        <w:t xml:space="preserve"> </w:t>
      </w:r>
      <w:hyperlink w:anchor="ref-1">
        <w:r>
          <w:rPr>
            <w:rStyle w:val="Hyperlink"/>
          </w:rPr>
          <w:t xml:space="preserve">[1]</w:t>
        </w:r>
      </w:hyperlink>
      <w:r>
        <w:t xml:space="preserve">. In the mission archive, for wear-out-limited missions, by contrast, the retirement hazard is comparatively low and the decision to extend is genuinely discretionary; this is the regime in which facilities such as Hubble, Chandra, and XMM-Newton have remained in service for decades and entered the censored right tail of the sample, and it is precisely the regime in which the companion learning-curve estimate becomes decision-relevant. For the program office, the two strands thus converge on a single managerial proposition: the learning curve tells an agency what a mature observatory is worth, and the hazard structure tells the agency which architectures can be expected to reach maturity to deliver that worth.</w:t>
      </w:r>
    </w:p>
    <w:bookmarkEnd w:id="117"/>
    <w:bookmarkStart w:id="118" w:name="contribution-to-knowledge"/>
    <w:p>
      <w:pPr>
        <w:pStyle w:val="Heading2"/>
        <w:spacing w:line="480" w:lineRule="auto"/>
      </w:pPr>
      <w:r>
        <w:t xml:space="preserve">8.3 Contribution to Knowledge</w:t>
      </w:r>
    </w:p>
    <w:p>
      <w:pPr>
        <w:pStyle w:val="FirstParagraph"/>
        <w:spacing w:line="480" w:lineRule="auto"/>
      </w:pPr>
      <w:r>
        <w:t xml:space="preserve">From a survival-model perspective, the central contribution of the analysis here is best stated as three distinct advances on the state of the literature it entered.</w:t>
      </w:r>
    </w:p>
    <w:p>
      <w:pPr>
        <w:pStyle w:val="BodyText"/>
        <w:spacing w:line="480" w:lineRule="auto"/>
        <w:ind w:firstLine="720"/>
      </w:pPr>
      <w:r>
        <w:t xml:space="preserve">In the mission archive, the first contribution is conceptual. Read as a development signal, the dissertation reframes the lifetime-extension decision, conventionally posed as a cost decision, as a problem whose benefit side is an estimable production relationship instead of a narrative assumption. The claim stays falsifiable.</w:t>
      </w:r>
    </w:p>
    <w:p>
      <w:pPr>
        <w:pStyle w:val="BodyText"/>
        <w:spacing w:line="480" w:lineRule="auto"/>
        <w:ind w:firstLine="720"/>
      </w:pPr>
      <w:r>
        <w:t xml:space="preserve">Within the confirmation baseline, the prevailing framing measures the cost of continued operation with some care while treating the scientific benefit of that operation as either constant or unquantified. By specifying science return per observing hour as a function of cumulative operational experience, the dissertation supplies the missing term in that ledger and makes the benefit side a measurable quantity with a sign, a magnitude, and a confidence interval. This is a reframing of the decision problem, not merely a new estimate within an old one, and it converts a claim that observatories mature into higher productivity from an article of faith into a falsifiable hypothesis with a stated null.</w:t>
      </w:r>
    </w:p>
    <w:p>
      <w:pPr>
        <w:pStyle w:val="BodyText"/>
        <w:spacing w:line="480" w:lineRule="auto"/>
        <w:ind w:firstLine="720"/>
      </w:pPr>
      <w:r>
        <w:t xml:space="preserve">The second contribution is methodological, and it concerns the treatment of survivorship. At the portfolio level, the facility literature documents that observatories end for identifiable reasons, cryogen depletion, gyroscope failure, propellant exhaustion, but it treats each ending as a particular story instead of as a draw from an estimable hazard distribution</w:t>
      </w:r>
      <w:r>
        <w:t xml:space="preserve"> </w:t>
      </w:r>
      <w:hyperlink w:anchor="ref-1">
        <w:r>
          <w:rPr>
            <w:rStyle w:val="Hyperlink"/>
          </w:rPr>
          <w:t xml:space="preserve">[1]</w:t>
        </w:r>
      </w:hyperlink>
      <w:r>
        <w:t xml:space="preserve">[2][3]. At the portfolio level, the dissertation’s advance is to pool those individual stories into a single proportional-hazards specification and to recover the systematic driver of observatory mortality. In practical program terms, this matters for two reasons. In the public record, as a managerial result, it furnishes the field with its first population-level estimate of what predicts how long an observatory operates, where previously decisions were made one mission at a time without any population benchmark. As a methodological result, it fails to merely acknowledge the selection bias that contaminates productivity comparisons across mission ages; it quantifies the selection mechanism explicitly and identifies the single covariate, consumable dependence, that most needs to be carried as a control or stratifying variable in any subsequent productivity work. Across the cost record, the survival analysis is for that reason not an adjunct to the learning-curve argument but a constitutive part of its identification strategy. From a survival-model perspective, the facility fixed effects in the productivity specification address the cross-facility version of the selection problem; the hazard estimate names and measures the channel those fixed effects must absorb.</w:t>
      </w:r>
    </w:p>
    <w:p>
      <w:pPr>
        <w:pStyle w:val="BodyText"/>
        <w:spacing w:line="480" w:lineRule="auto"/>
        <w:ind w:firstLine="720"/>
      </w:pPr>
      <w:r>
        <w:t xml:space="preserve">For JPL and NASA, the third contribution is the substantive empirical finding itself, replicated across two panels: consumable dependence is the architectural feature that most strongly governs space-observatory survival, and it does so at a rate that swamps both physical scale and orbital regime. For JPL and NASA, this finding has standing independent of the productivity argument it serves.</w:t>
      </w:r>
    </w:p>
    <w:p>
      <w:pPr>
        <w:pStyle w:val="BodyText"/>
        <w:spacing w:line="480" w:lineRule="auto"/>
        <w:ind w:firstLine="720"/>
      </w:pPr>
      <w:r>
        <w:t xml:space="preserve">The record supports the test. For the program office, it says that the dominant predictor of observatory mortality is a design choice fixed at the architecture stage, not a budget choice made during operations. In the mission archive, the investment implication follows directly and is non-trivial: the expected operational return to a passively cooled or coolant-free architecture is larger than a first-cost accounting would suggest, since such facilities carry a far lower hazard of early termination and for that reason a far greater opportunity to reach the productive mature epochs documented in the facility literature</w:t>
      </w:r>
      <w:r>
        <w:t xml:space="preserve"> </w:t>
      </w:r>
      <w:hyperlink w:anchor="ref-1">
        <w:r>
          <w:rPr>
            <w:rStyle w:val="Hyperlink"/>
          </w:rPr>
          <w:t xml:space="preserve">[1]</w:t>
        </w:r>
      </w:hyperlink>
      <w:r>
        <w:t xml:space="preserve">[2][3]. Seen from the schedule line, the case for investing in consumable margin, or in replenishment capability, at design time is correspondingly stronger than a pure first-cost comparison would imply, since the consumable ceiling forecloses the very maturation premium that justifies continued operation.</w:t>
      </w:r>
    </w:p>
    <w:p>
      <w:pPr>
        <w:pStyle w:val="BodyText"/>
        <w:spacing w:line="480" w:lineRule="auto"/>
        <w:ind w:firstLine="720"/>
      </w:pPr>
      <w:r>
        <w:t xml:space="preserve">Taken together, these three contributions occupy a gap that three bodies of prior work bracketed without closing. In practical program terms, the facility-specific reports established that learning occurs but did not measure its rate. The space-economy and technology-maturation literature characterized development timelines and cost evolution in aggregate but did not isolate the science-production function of an operating observatory</w:t>
      </w:r>
      <w:r>
        <w:t xml:space="preserve"> </w:t>
      </w:r>
      <w:hyperlink w:anchor="ref-4">
        <w:r>
          <w:rPr>
            <w:rStyle w:val="Hyperlink"/>
          </w:rPr>
          <w:t xml:space="preserve">[4]</w:t>
        </w:r>
      </w:hyperlink>
      <w:r>
        <w:t xml:space="preserve">[5]. Across the cost record, neither supplied a falsifiable, cross-facility specification in which cumulative experience is the explanatory variable and the survival of the facility to its mature epoch is treated as the endogenous selection process it manifestly is. The dissertation supplies that specification and the evidence to populate it.</w:t>
      </w:r>
    </w:p>
    <w:bookmarkEnd w:id="118"/>
    <w:bookmarkStart w:id="119" w:name="limitations-and-the-path-forward"/>
    <w:p>
      <w:pPr>
        <w:pStyle w:val="Heading2"/>
        <w:spacing w:line="480" w:lineRule="auto"/>
      </w:pPr>
      <w:r>
        <w:t xml:space="preserve">8.4 Limitations and the Path Forward</w:t>
      </w:r>
    </w:p>
    <w:p>
      <w:pPr>
        <w:pStyle w:val="FirstParagraph"/>
        <w:spacing w:line="480" w:lineRule="auto"/>
      </w:pPr>
      <w:r>
        <w:t xml:space="preserve">Read as a development signal, intellectual honesty requires that the contribution be bounded by its limitations instead of overstated past them. Three constraints recur across the empirical chapters and define the frontier of what this work can claim.</w:t>
      </w:r>
    </w:p>
    <w:p>
      <w:pPr>
        <w:pStyle w:val="BodyText"/>
        <w:spacing w:line="480" w:lineRule="auto"/>
        <w:ind w:firstLine="720"/>
      </w:pPr>
      <w:r>
        <w:t xml:space="preserve">Within the confirmation baseline, the first is the modest size of the facility panels. Read as a development signal, the population of long-lived, well-documented space and airborne observatories is intrinsically limited, and the survival models are estimated on twenty-four and twenty-seven facilities with sixteen and eighteen observed events respectively. This sample is adequate to identify the one large effect that dominates each specification, but it is not adequate to estimate the control covariates with power, and their statistical insignificance should be read as inconclusive instead of as evidence of no effect. A future panel that incorporates ground-based facilities, or that extends the censoring window as the current flagships eventually retire, would sharpen the secondary estimates and test whether aperture and design lifetime carry the effects theory predicts.</w:t>
      </w:r>
    </w:p>
    <w:p>
      <w:pPr>
        <w:pStyle w:val="BodyText"/>
        <w:spacing w:line="480" w:lineRule="auto"/>
        <w:ind w:firstLine="720"/>
      </w:pPr>
      <w:r>
        <w:t xml:space="preserve">At the portfolio level, the second limitation is the partial confounding of the consumable indicator with waveband and operational era. Cryogenic cooling clusters in the infrared, submillimeter, and microwave bands, so the consumable estimate captures the lifetime consequence of that architectural family instead of cleanly isolating coolant physics from detector class and from the era in which such missions were concentrated. A larger panel would permit band, era, and consumable limitation to be separated, and a competing-risks extension that distinguishes consumable exhaustion from budget-driven termination would refine the mechanism by separating the physical failure boundary from the economic one.</w:t>
      </w:r>
    </w:p>
    <w:p>
      <w:pPr>
        <w:pStyle w:val="BodyText"/>
        <w:spacing w:line="480" w:lineRule="auto"/>
        <w:ind w:firstLine="720"/>
      </w:pPr>
      <w:r>
        <w:t xml:space="preserve">For the program office, the third limitation concerns the productivity measure itself. In the mission archive, refereed output undercounts certain forms of science return, including instrument and pipeline development, and bibliometric facility tagging is imperfect. Across the cost record, the dissertation manages this through sensitivity analysis across alternative output denominators and manual validation of facility tags, but the residual measurement error is a permanent feature of bibliometric productivity work and bounds the precision of any learning-rate estimate. Across the cost record, the maturation analogy drawn from the broader space-technology literature</w:t>
      </w:r>
      <w:r>
        <w:t xml:space="preserve"> </w:t>
      </w:r>
      <w:hyperlink w:anchor="ref-4">
        <w:r>
          <w:rPr>
            <w:rStyle w:val="Hyperlink"/>
          </w:rPr>
          <w:t xml:space="preserve">[4]</w:t>
        </w:r>
      </w:hyperlink>
      <w:r>
        <w:t xml:space="preserve">[5] is used throughout to frame expectations, never as evidence, so that the econometric estimates stand or fall on the observatory panels themselves.</w:t>
      </w:r>
    </w:p>
    <w:p>
      <w:pPr>
        <w:pStyle w:val="BodyText"/>
        <w:spacing w:line="480" w:lineRule="auto"/>
        <w:ind w:firstLine="720"/>
      </w:pPr>
      <w:r>
        <w:t xml:space="preserve">Seen from the schedule line, these limitations fail to disturb the central inferences, which are robust in sign and significance across independently assembled panels. For JPL and NASA, they instead chart the research program that the analysis here opens instead of closes: a larger and band-balanced facility panel, a competing-risks decomposition of the retirement event, and an extension of the productivity estimate to ground-based observatories whose richer epoch structure would test the generality of the learning curve.</w:t>
      </w:r>
    </w:p>
    <w:bookmarkEnd w:id="119"/>
    <w:bookmarkStart w:id="120" w:name="closing-statement"/>
    <w:p>
      <w:pPr>
        <w:pStyle w:val="Heading2"/>
        <w:spacing w:line="480" w:lineRule="auto"/>
      </w:pPr>
      <w:r>
        <w:t xml:space="preserve">8.5 Closing Statement</w:t>
      </w:r>
    </w:p>
    <w:p>
      <w:pPr>
        <w:pStyle w:val="FirstParagraph"/>
        <w:spacing w:line="480" w:lineRule="auto"/>
      </w:pPr>
      <w:r>
        <w:t xml:space="preserve">Seen from the schedule line, the governing question of the analysis here was whether the maturation of an astronomical observatory, long described in narrative terms, could be made a quantity that decisions can rest upon. Within the confirmation baseline, the answer it returns is a qualified yes. The risk is dated.</w:t>
      </w:r>
    </w:p>
    <w:p>
      <w:pPr>
        <w:pStyle w:val="BodyText"/>
        <w:spacing w:line="480" w:lineRule="auto"/>
        <w:ind w:firstLine="720"/>
      </w:pPr>
      <w:r>
        <w:t xml:space="preserve">In practical program terms, the science-return learning curve is a measurable object, identified from within-facility variation and protected against its principal confounder by facility fixed effects. The survivorship that threatens that measurement is not an unmodeled nuisance but an estimable hazard process whose dominant driver, consumable dependence, is now quantified and replicated. Within the confirmation baseline, the two findings interlock into a single proposition that an agency can act upon: an observatory’s most valuable years are its later ones, and whether a facility reaches those years is governed less by its budget than by an architectural choice fixed before launch.</w:t>
      </w:r>
    </w:p>
    <w:p>
      <w:pPr>
        <w:pStyle w:val="BodyText"/>
        <w:spacing w:line="480" w:lineRule="auto"/>
        <w:ind w:firstLine="720"/>
      </w:pPr>
      <w:r>
        <w:t xml:space="preserve">Against that evidence, the lifetime-extension decision, in the end, is not a contest between cost and an unmeasurable benefit. It is a decision in which both sides of the ledger can be estimated, and in which the architecture of the mission, set at the design stage, conditions how much of the benefit can ever be realized. To frame that decision on cost alone is to misprice the scientific value of continued operation in a direction the analysis here has measured. The work offered here is the quantitative term that framing has lacked, and its closing claim is correspondingly modest and concrete: the productivity of a space observatory and the survival of a space observatory are not separate problems, and they are best understood, and best decided, together.</w:t>
      </w:r>
    </w:p>
    <w:bookmarkEnd w:id="120"/>
    <w:bookmarkStart w:id="151" w:name="references"/>
    <w:p>
      <w:pPr>
        <w:pStyle w:val="Heading2"/>
        <w:spacing w:line="480" w:lineRule="auto"/>
      </w:pPr>
      <w:r>
        <w:t xml:space="preserve">References</w:t>
      </w:r>
    </w:p>
    <w:p>
      <w:pPr>
        <w:pStyle w:val="FirstParagraph"/>
        <w:spacing w:line="480" w:lineRule="auto"/>
      </w:pPr>
      <w:bookmarkStart w:id="121" w:name="ref-1"/>
      <w:bookmarkEnd w:id="121"/>
      <w:r>
        <w:t xml:space="preserve">1. J. M. De Buizer,</w:t>
      </w:r>
      <w:r>
        <w:t xml:space="preserve"> </w:t>
      </w:r>
      <w:r>
        <w:t xml:space="preserve">“Early Science Results from SOFIA, the World’s Largest Airborne Observatory,”</w:t>
      </w:r>
      <w:r>
        <w:t xml:space="preserve"> </w:t>
      </w:r>
      <w:r>
        <w:t xml:space="preserve">Proc. Advanced Maui Optical and Space Surveillance Technologies (AMOS) Conference, 2012.</w:t>
      </w:r>
    </w:p>
    <w:p>
      <w:pPr>
        <w:pStyle w:val="BodyText"/>
        <w:spacing w:line="480" w:lineRule="auto"/>
        <w:ind w:firstLine="720"/>
      </w:pPr>
      <w:bookmarkStart w:id="122" w:name="ref-2"/>
      <w:bookmarkEnd w:id="122"/>
      <w:r>
        <w:t xml:space="preserve">2. J. E. Nelson and M. J. Ruzek,</w:t>
      </w:r>
      <w:r>
        <w:t xml:space="preserve"> </w:t>
      </w:r>
      <w:r>
        <w:t xml:space="preserve">“The Stratospheric Observatory for Infrared Astronomy (SOFIA): Infrared Sensor Development and Science Capabilities,”</w:t>
      </w:r>
      <w:r>
        <w:t xml:space="preserve"> </w:t>
      </w:r>
      <w:r>
        <w:t xml:space="preserve">Proc. Advanced Maui Optical and Space Surveillance Technologies (AMOS) Conference, 2009.</w:t>
      </w:r>
    </w:p>
    <w:p>
      <w:pPr>
        <w:pStyle w:val="BodyText"/>
        <w:spacing w:line="480" w:lineRule="auto"/>
        <w:ind w:firstLine="720"/>
      </w:pPr>
      <w:bookmarkStart w:id="123" w:name="ref-3"/>
      <w:bookmarkEnd w:id="123"/>
      <w:r>
        <w:t xml:space="preserve">3. K. Chambers,</w:t>
      </w:r>
      <w:r>
        <w:t xml:space="preserve"> </w:t>
      </w:r>
      <w:r>
        <w:t xml:space="preserve">“Status and Early Science Results of the PS1 Science Mission,”</w:t>
      </w:r>
      <w:r>
        <w:t xml:space="preserve"> </w:t>
      </w:r>
      <w:r>
        <w:t xml:space="preserve">Proc. Advanced Maui Optical and Space Surveillance Technologies (AMOS) Conference, 2012.</w:t>
      </w:r>
    </w:p>
    <w:p>
      <w:pPr>
        <w:pStyle w:val="BodyText"/>
        <w:spacing w:line="480" w:lineRule="auto"/>
        <w:ind w:firstLine="720"/>
      </w:pPr>
      <w:bookmarkStart w:id="124" w:name="ref-4"/>
      <w:bookmarkEnd w:id="124"/>
      <w:r>
        <w:t xml:space="preserve">4.</w:t>
      </w:r>
      <w:r>
        <w:t xml:space="preserve"> </w:t>
      </w:r>
      <w:r>
        <w:t xml:space="preserve">“The Role of Space in Driving Sustainability, Security, and Development,”</w:t>
      </w:r>
      <w:r>
        <w:t xml:space="preserve"> </w:t>
      </w:r>
      <w:r>
        <w:t xml:space="preserve">Space Economy Papers corpus, source SD13.</w:t>
      </w:r>
    </w:p>
    <w:p>
      <w:pPr>
        <w:pStyle w:val="BodyText"/>
        <w:spacing w:line="480" w:lineRule="auto"/>
        <w:ind w:firstLine="720"/>
      </w:pPr>
      <w:bookmarkStart w:id="125" w:name="ref-5"/>
      <w:bookmarkEnd w:id="125"/>
      <w:r>
        <w:t xml:space="preserve">5.</w:t>
      </w:r>
      <w:r>
        <w:t xml:space="preserve"> </w:t>
      </w:r>
      <w:r>
        <w:t xml:space="preserve">“OCEA: Forecasting the Space Economy,”</w:t>
      </w:r>
      <w:r>
        <w:t xml:space="preserve"> </w:t>
      </w:r>
      <w:r>
        <w:t xml:space="preserve">Space Economy Papers corpus, source SD08.</w:t>
      </w:r>
    </w:p>
    <w:p>
      <w:pPr>
        <w:pStyle w:val="BodyText"/>
        <w:spacing w:line="480" w:lineRule="auto"/>
        <w:ind w:firstLine="720"/>
      </w:pPr>
      <w:bookmarkStart w:id="126" w:name="ref-6"/>
      <w:bookmarkEnd w:id="126"/>
      <w:r>
        <w:t xml:space="preserve">6. Imene R. Goumiri, Lawrence Livermore National Laboratory; Alec M. Dunton, Lawrence Livermore National Laboratory; Amanda L. Muyskens, Lawrence Livermore National Laboratory; Benjamin W. Priest, Lawrence Livermore National Laboratory; Robert E. Armstrong, Lawrence Livermore National Laboratory. Light Curve Completion and Forecasting Using Fast and Scalable Gaussian Processes (MuyGPs) (2022).</w:t>
      </w:r>
    </w:p>
    <w:p>
      <w:pPr>
        <w:pStyle w:val="BodyText"/>
        <w:spacing w:line="480" w:lineRule="auto"/>
        <w:ind w:firstLine="720"/>
      </w:pPr>
      <w:bookmarkStart w:id="127" w:name="ref-7"/>
      <w:bookmarkEnd w:id="127"/>
      <w:r>
        <w:t xml:space="preserve">7. Michael Felten, U.S. Air Force; John Colombi, AFIT; Richard Cobb, AFIT; David Meyer, AFIT. Optimization of Geosynchronous Space Situational Awareness Architectures using Parallel Computation (2018).</w:t>
      </w:r>
    </w:p>
    <w:p>
      <w:pPr>
        <w:pStyle w:val="BodyText"/>
        <w:spacing w:line="480" w:lineRule="auto"/>
        <w:ind w:firstLine="720"/>
      </w:pPr>
      <w:bookmarkStart w:id="128" w:name="ref-8"/>
      <w:bookmarkEnd w:id="128"/>
      <w:r>
        <w:t xml:space="preserve">8. James Heasley (Institute for Astronomy, University of Hawaii), Robert E. Eek (Science Applications International Corporation), Wayne L. Smith (Science Applications International Corporation), Julie A. Rosen (Science Applications International Corporation), The Pan-STARRS team Pan-STARRS Project (Institute for Astronomy, University of Hawaii). Pan-STARRS PS1 Published Science Products Subsystem (2006).</w:t>
      </w:r>
    </w:p>
    <w:p>
      <w:pPr>
        <w:pStyle w:val="BodyText"/>
        <w:spacing w:line="480" w:lineRule="auto"/>
        <w:ind w:firstLine="720"/>
      </w:pPr>
      <w:bookmarkStart w:id="129" w:name="ref-9"/>
      <w:bookmarkEnd w:id="129"/>
      <w:r>
        <w:t xml:space="preserve">9. Gregory Badura, Georgia Tech Research Institute; Christopher R. Valenta, Georgia Tech Research Institute; Layne Churchill, Georgia Tech Research Institute; Douglas A. Hope, Georgia Tech Research Institute. Recurrent Neural Network Autoencoders for Spin Stability Classification of Irregularly Sampled Light Curves (2022).</w:t>
      </w:r>
    </w:p>
    <w:p>
      <w:pPr>
        <w:pStyle w:val="BodyText"/>
        <w:spacing w:line="480" w:lineRule="auto"/>
        <w:ind w:firstLine="720"/>
      </w:pPr>
      <w:bookmarkStart w:id="130" w:name="ref-10"/>
      <w:bookmarkEnd w:id="130"/>
      <w:r>
        <w:t xml:space="preserve">10. M. Hart (Steward Observatory, University of Arizona), S. Rabien (Max-Planck-Institut für extraterrestrische Physik), L. Busoni (Osservatorio Astrofisico di Arcetri), L. Barl (Max-Planck-Institut für extraterrestrische Physik), U. Beckmann (Max-Planck-Institut für Radioastronomie), M. Bonaglia (Osservatorio Astrofisico di Arcetri), Y. Boose (Max-Planck-Institut für extraterrestrische Physik), J. L.Borelli (Max-Planck-Institut für Astronomie), T. Bluemchen (Max-Planck-Institut für Astronomie), L. Carbonaro (Osservatorio Astrofisico di Arcetri), C. Connot (Max-Planck-Institut für Radioastronomie), M. Deysenroth (Max-Planck-Institut für extraterrestrische Physik), R. Davies (Max-Planck-Institut für extraterrestrische Physik), O. Durney (Steward Observatory, University of Arizona), M. Elberich (Max-Planck-Institut für Radioastronomie), T. Ertl (Max-Planck-Institut für extraterrestrische Physik), S. Esposito (Osservatorio Astrofisico di Arcetri), W. Gaessler (Max-Planck-Institut für Astronomie), V. Gasho (Steward Observatory, University of Arizona), H. Gemperlein (Max-Planck-Institut für extraterrestrische Physik), P. Hubbard (Steward Observatory, University of Arizona), S. Kanneganti (Max-Planck-Institut für extraterrestrische Physik), M. Kulas (Max-Planck-Institut für Astronomie), K. Newman (Steward Observatory, University of Arizona), J. Noenickx (Steward Observatory, University of Arizona), G. Orban de Xivry (Max-Planck-Institut für extraterrestrische Physik), D. Peter (Max-Planck-Institut für Astronomie), A.Quirrenbach (Landessternwarte), M. Rademacher (Steward Observatory, University of Arizona), C. Schwab (Landessternwarte), J. Storm (Astrophysikalisches Institut), V. Vaitheeswaran (Steward Observatory, University of Arizona), G. Weigelt (Max-Planck-Institut für Radioastronomie), J. Ziegleder (Max-Planck-Institut für extraterrestrische Physik). The Large Binocular Telescope’s ARGOS ground-layer AO system (2011).</w:t>
      </w:r>
    </w:p>
    <w:p>
      <w:pPr>
        <w:pStyle w:val="BodyText"/>
        <w:spacing w:line="480" w:lineRule="auto"/>
        <w:ind w:firstLine="720"/>
      </w:pPr>
      <w:bookmarkStart w:id="131" w:name="ref-11"/>
      <w:bookmarkEnd w:id="131"/>
      <w:r>
        <w:t xml:space="preserve">11. Patrick A. Taylor, National Radio Astronomy Observatory, Green Bank Observatory; Steven R. Wilkinson, Raytheon Intelligence and Space; Flora Paganelli, National Radio Astronomy Observatory; Ray Samaniego, Raytheon Intelligence &amp; Space; Bishara Shamee, Raytheon Intelligence &amp; Space; Aaron Wallace, Raytheon Intelligence &amp; Space; Anthony J. Beasley, National Radio Astronomy Observatory. The Next Generation Planetary Radar System on the Green Bank Telescope (2022).</w:t>
      </w:r>
    </w:p>
    <w:p>
      <w:pPr>
        <w:pStyle w:val="BodyText"/>
        <w:spacing w:line="480" w:lineRule="auto"/>
        <w:ind w:firstLine="720"/>
      </w:pPr>
      <w:bookmarkStart w:id="132" w:name="ref-12"/>
      <w:bookmarkEnd w:id="132"/>
      <w:r>
        <w:t xml:space="preserve">12. Eugene Magnier (Institute for Astronomy, University of Hawaii), Nick Kaiser (Institute for Astronomy, University of Hawaii), Ken Chambers (Institute for Astronomy, University of Hawaii). The Pan-STARRS PS1 Image Processing Pipeline (2006).</w:t>
      </w:r>
    </w:p>
    <w:p>
      <w:pPr>
        <w:pStyle w:val="BodyText"/>
        <w:spacing w:line="480" w:lineRule="auto"/>
        <w:ind w:firstLine="720"/>
      </w:pPr>
      <w:bookmarkStart w:id="133" w:name="ref-13"/>
      <w:bookmarkEnd w:id="133"/>
      <w:r>
        <w:t xml:space="preserve">13. Alexander Macmanus, University of Warwick &amp; Defence Science Technology Laboratory (Dstl); Don Pollacco, University of Warwick; Paul Chote, University of Warwick; Calum Meredith, Defence Science Technology Laboratory (Dstl). Dual-band Characterisation of Low-Earth Orbit Satellites Using Machine Learning Techniques (2025). doi:</w:t>
      </w:r>
      <w:r>
        <w:t xml:space="preserve"> </w:t>
      </w:r>
      <w:hyperlink r:id="rId134">
        <w:r>
          <w:rPr>
            <w:rStyle w:val="Hyperlink"/>
          </w:rPr>
          <w:t xml:space="preserve">10.64861/QSBT6539</w:t>
        </w:r>
      </w:hyperlink>
    </w:p>
    <w:p>
      <w:pPr>
        <w:pStyle w:val="BodyText"/>
        <w:spacing w:line="480" w:lineRule="auto"/>
        <w:ind w:firstLine="720"/>
      </w:pPr>
      <w:bookmarkStart w:id="135" w:name="ref-14"/>
      <w:bookmarkEnd w:id="135"/>
      <w:r>
        <w:t xml:space="preserve">14. Scott Dorrington; John Olsen. Parametric economic modelling of asteroid mining architectures (2025). doi:</w:t>
      </w:r>
      <w:r>
        <w:t xml:space="preserve"> </w:t>
      </w:r>
      <w:hyperlink r:id="rId136">
        <w:r>
          <w:rPr>
            <w:rStyle w:val="Hyperlink"/>
          </w:rPr>
          <w:t xml:space="preserve">10.1016/j.actaastro.2025.11.006</w:t>
        </w:r>
      </w:hyperlink>
    </w:p>
    <w:p>
      <w:pPr>
        <w:pStyle w:val="BodyText"/>
        <w:spacing w:line="480" w:lineRule="auto"/>
        <w:ind w:firstLine="720"/>
      </w:pPr>
      <w:bookmarkStart w:id="137" w:name="ref-15"/>
      <w:bookmarkEnd w:id="137"/>
      <w:r>
        <w:t xml:space="preserve">15. Ben McKeown; Andrew G. Dempster; Serkan Saydam; Jeff Coulton. How should potential space resources markets be evaluated? (2026). doi:</w:t>
      </w:r>
      <w:r>
        <w:t xml:space="preserve"> </w:t>
      </w:r>
      <w:hyperlink r:id="rId138">
        <w:r>
          <w:rPr>
            <w:rStyle w:val="Hyperlink"/>
          </w:rPr>
          <w:t xml:space="preserve">10.1016/j.actaastro.2026.03.026</w:t>
        </w:r>
      </w:hyperlink>
    </w:p>
    <w:p>
      <w:pPr>
        <w:pStyle w:val="BodyText"/>
        <w:spacing w:line="480" w:lineRule="auto"/>
        <w:ind w:firstLine="720"/>
      </w:pPr>
      <w:bookmarkStart w:id="139" w:name="ref-16"/>
      <w:bookmarkEnd w:id="139"/>
      <w:r>
        <w:t xml:space="preserve">16. Richard H. Stanton. Unexplained starlight pulses found in optical SETI searches (2025). doi:</w:t>
      </w:r>
      <w:r>
        <w:t xml:space="preserve"> </w:t>
      </w:r>
      <w:hyperlink r:id="rId140">
        <w:r>
          <w:rPr>
            <w:rStyle w:val="Hyperlink"/>
          </w:rPr>
          <w:t xml:space="preserve">10.1016/j.actaastro.2025.04.044</w:t>
        </w:r>
      </w:hyperlink>
    </w:p>
    <w:p>
      <w:pPr>
        <w:pStyle w:val="BodyText"/>
        <w:spacing w:line="480" w:lineRule="auto"/>
        <w:ind w:firstLine="720"/>
      </w:pPr>
      <w:bookmarkStart w:id="141" w:name="ref-17"/>
      <w:bookmarkEnd w:id="141"/>
      <w:r>
        <w:t xml:space="preserve">17. James Allworth; Lloyd Windrim; James Bennett; Mitch Bryson. A transfer learning approach to space debris classification using observational light curve data (2021). doi:</w:t>
      </w:r>
      <w:r>
        <w:t xml:space="preserve"> </w:t>
      </w:r>
      <w:hyperlink r:id="rId142">
        <w:r>
          <w:rPr>
            <w:rStyle w:val="Hyperlink"/>
          </w:rPr>
          <w:t xml:space="preserve">10.1016/j.actaastro.2021.01.048</w:t>
        </w:r>
      </w:hyperlink>
    </w:p>
    <w:p>
      <w:pPr>
        <w:pStyle w:val="BodyText"/>
        <w:spacing w:line="480" w:lineRule="auto"/>
        <w:ind w:firstLine="720"/>
      </w:pPr>
      <w:bookmarkStart w:id="143" w:name="ref-18"/>
      <w:bookmarkEnd w:id="143"/>
      <w:r>
        <w:t xml:space="preserve">18. Jack O. Burns; Benjamin Mellinkoff; Matthew M. Spydell; Terrence Fong; D. A. Kring; William D. Pratt; Timothy Cichan; Christine M. Edwards. Science on the lunar surface facilitated by low latency telerobotics from a Lunar Orbital Platform - Gateway (2018). doi:</w:t>
      </w:r>
      <w:r>
        <w:t xml:space="preserve"> </w:t>
      </w:r>
      <w:hyperlink r:id="rId144">
        <w:r>
          <w:rPr>
            <w:rStyle w:val="Hyperlink"/>
          </w:rPr>
          <w:t xml:space="preserve">10.1016/j.actaastro.2018.04.031</w:t>
        </w:r>
      </w:hyperlink>
    </w:p>
    <w:p>
      <w:pPr>
        <w:pStyle w:val="BodyText"/>
        <w:spacing w:line="480" w:lineRule="auto"/>
        <w:ind w:firstLine="720"/>
      </w:pPr>
      <w:bookmarkStart w:id="145" w:name="ref-19"/>
      <w:bookmarkEnd w:id="145"/>
      <w:r>
        <w:t xml:space="preserve">19. Andreas M. Hein; Robert Matheson; Dan Fries. A techno-economic analysis of asteroid mining (2019). doi:</w:t>
      </w:r>
      <w:r>
        <w:t xml:space="preserve"> </w:t>
      </w:r>
      <w:hyperlink r:id="rId146">
        <w:r>
          <w:rPr>
            <w:rStyle w:val="Hyperlink"/>
          </w:rPr>
          <w:t xml:space="preserve">10.1016/j.actaastro.2019.05.009</w:t>
        </w:r>
      </w:hyperlink>
    </w:p>
    <w:p>
      <w:pPr>
        <w:pStyle w:val="BodyText"/>
        <w:spacing w:line="480" w:lineRule="auto"/>
        <w:ind w:firstLine="720"/>
      </w:pPr>
      <w:bookmarkStart w:id="147" w:name="ref-20"/>
      <w:bookmarkEnd w:id="147"/>
      <w:r>
        <w:t xml:space="preserve">20. Nadine M. Trummer; Amit Reza; Michael Steindorfer; Ch. Helling. Machine learning-based classification for Single Photon Space Debris Light Curves (2024). doi:</w:t>
      </w:r>
      <w:r>
        <w:t xml:space="preserve"> </w:t>
      </w:r>
      <w:hyperlink r:id="rId148">
        <w:r>
          <w:rPr>
            <w:rStyle w:val="Hyperlink"/>
          </w:rPr>
          <w:t xml:space="preserve">10.1016/j.actaastro.2024.10.066</w:t>
        </w:r>
      </w:hyperlink>
    </w:p>
    <w:p>
      <w:pPr>
        <w:pStyle w:val="BodyText"/>
        <w:spacing w:line="480" w:lineRule="auto"/>
        <w:ind w:firstLine="720"/>
      </w:pPr>
      <w:bookmarkStart w:id="149" w:name="ref-21"/>
      <w:bookmarkEnd w:id="149"/>
      <w:r>
        <w:t xml:space="preserve">21. Alex Pascarella; Ruthvik Bommena; Siegfried Eggl; Robyn Woollands. Mission design for space telescope servicing at Sun–Earth L2 (2024). doi:</w:t>
      </w:r>
      <w:r>
        <w:t xml:space="preserve"> </w:t>
      </w:r>
      <w:hyperlink r:id="rId150">
        <w:r>
          <w:rPr>
            <w:rStyle w:val="Hyperlink"/>
          </w:rPr>
          <w:t xml:space="preserve">10.1016/j.actaastro.2024.08.031</w:t>
        </w:r>
      </w:hyperlink>
    </w:p>
    <w:bookmarkEnd w:id="151"/>
    <w:bookmarkEnd w:id="152"/>
    <w:bookmarkStart w:id="16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60" w:name="Xa740f969e1d191bf257516819647aeb96ce2ee5"/>
    <w:p>
      <w:pPr>
        <w:pStyle w:val="Heading2"/>
        <w:spacing w:line="480" w:lineRule="auto"/>
      </w:pPr>
      <w:r>
        <w:t xml:space="preserve">A.1 Consumables, Aperture, and the Survival of Space Observatories: A Proportional-Hazards Analysis of Operational Retirement</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aperture</m:t>
                  </m:r>
                </m:e>
                <m:sub>
                  <m:r>
                    <m:t>i</m:t>
                  </m:r>
                </m:sub>
              </m:sSub>
              <m:r>
                <m:rPr>
                  <m:sty m:val="p"/>
                </m:rPr>
                <m:t>+</m:t>
              </m:r>
              <m:sSub>
                <m:e>
                  <m:r>
                    <m:t>β</m:t>
                  </m:r>
                </m:e>
                <m:sub>
                  <m:r>
                    <m:t>2</m:t>
                  </m:r>
                </m:sub>
              </m:sSub>
              <m:r>
                <m:t> </m:t>
              </m:r>
              <m:sSub>
                <m:e>
                  <m:r>
                    <m:rPr>
                      <m:nor/>
                      <m:sty m:val="p"/>
                    </m:rPr>
                    <m:t>designlife</m:t>
                  </m:r>
                </m:e>
                <m:sub>
                  <m:r>
                    <m:t>i</m:t>
                  </m:r>
                </m:sub>
              </m:sSub>
              <m:r>
                <m:rPr>
                  <m:sty m:val="p"/>
                </m:rPr>
                <m:t>+</m:t>
              </m:r>
              <m:sSub>
                <m:e>
                  <m:r>
                    <m:t>β</m:t>
                  </m:r>
                </m:e>
                <m:sub>
                  <m:r>
                    <m:t>3</m:t>
                  </m:r>
                </m:sub>
              </m:sSub>
              <m:r>
                <m:t> </m:t>
              </m:r>
              <m:sSub>
                <m:e>
                  <m:r>
                    <m:rPr>
                      <m:nor/>
                      <m:sty m:val="p"/>
                    </m:rPr>
                    <m:t>consumable</m:t>
                  </m:r>
                </m:e>
                <m:sub>
                  <m:r>
                    <m:t>i</m:t>
                  </m:r>
                </m:sub>
              </m:sSub>
            </m:e>
          </m:d>
        </m:oMath>
      </m:oMathPara>
    </w:p>
    <w:bookmarkStart w:id="15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0.1993</w:t>
            </w:r>
          </w:p>
        </w:tc>
        <w:tc>
          <w:tcPr>
            <w:tcW w:w="0" w:type="auto"/>
          </w:tcPr>
          <w:p>
            <w:pPr>
              <w:spacing w:line="240" w:lineRule="auto" w:before="0" w:after="0"/>
              <w:pStyle w:val="Compact"/>
            </w:pPr>
            <w:r>
              <w:rPr>
                <w:sz w:val="20"/>
                <w:szCs w:val="20"/>
              </w:rPr>
              <w:t xml:space="preserve">0.2441</w:t>
            </w:r>
          </w:p>
        </w:tc>
        <w:tc>
          <w:tcPr>
            <w:tcW w:w="0" w:type="auto"/>
          </w:tcPr>
          <w:p>
            <w:pPr>
              <w:spacing w:line="240" w:lineRule="auto" w:before="0" w:after="0"/>
              <w:pStyle w:val="Compact"/>
            </w:pPr>
            <w:r>
              <w:rPr>
                <w:sz w:val="20"/>
                <w:szCs w:val="20"/>
              </w:rPr>
              <w:t xml:space="preserve">0.8166</w:t>
            </w:r>
          </w:p>
        </w:tc>
        <w:tc>
          <w:tcPr>
            <w:tcW w:w="0" w:type="auto"/>
          </w:tcPr>
          <w:p>
            <w:pPr>
              <w:spacing w:line="240" w:lineRule="auto" w:before="0" w:after="0"/>
              <w:pStyle w:val="Compact"/>
            </w:pPr>
            <w:r>
              <w:rPr>
                <w:sz w:val="20"/>
                <w:szCs w:val="20"/>
              </w:rPr>
              <w:t xml:space="preserve">0.4141</w:t>
            </w:r>
          </w:p>
        </w:tc>
        <w:tc>
          <w:tcPr>
            <w:tcW w:w="0" w:type="auto"/>
          </w:tcPr>
          <w:p>
            <w:pPr>
              <w:spacing w:line="240" w:lineRule="auto" w:before="0" w:after="0"/>
              <w:pStyle w:val="Compact"/>
            </w:pPr>
            <w:r>
              <w:rPr>
                <w:sz w:val="20"/>
                <w:szCs w:val="20"/>
              </w:rPr>
              <w:t xml:space="preserve">[-0.2791, 0.6777]</w:t>
            </w:r>
          </w:p>
        </w:tc>
        <w:tc>
          <w:tcPr>
            <w:tcW w:w="0" w:type="auto"/>
          </w:tcPr>
          <w:p>
            <w:pPr>
              <w:spacing w:line="240" w:lineRule="auto" w:before="0" w:after="0"/>
              <w:pStyle w:val="Compact"/>
            </w:pPr>
            <w:r>
              <w:rPr>
                <w:sz w:val="20"/>
                <w:szCs w:val="20"/>
              </w:rPr>
              <w:t xml:space="preserve">1.2206</w:t>
            </w:r>
          </w:p>
        </w:tc>
      </w:tr>
      <w:tr>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-0.1409</w:t>
            </w:r>
          </w:p>
        </w:tc>
        <w:tc>
          <w:tcPr>
            <w:tcW w:w="0" w:type="auto"/>
          </w:tcPr>
          <w:p>
            <w:pPr>
              <w:spacing w:line="240" w:lineRule="auto" w:before="0" w:after="0"/>
              <w:pStyle w:val="Compact"/>
            </w:pPr>
            <w:r>
              <w:rPr>
                <w:sz w:val="20"/>
                <w:szCs w:val="20"/>
              </w:rPr>
              <w:t xml:space="preserve">0.1095</w:t>
            </w:r>
          </w:p>
        </w:tc>
        <w:tc>
          <w:tcPr>
            <w:tcW w:w="0" w:type="auto"/>
          </w:tcPr>
          <w:p>
            <w:pPr>
              <w:spacing w:line="240" w:lineRule="auto" w:before="0" w:after="0"/>
              <w:pStyle w:val="Compact"/>
            </w:pPr>
            <w:r>
              <w:rPr>
                <w:sz w:val="20"/>
                <w:szCs w:val="20"/>
              </w:rPr>
              <w:t xml:space="preserve">-1.2864</w:t>
            </w:r>
          </w:p>
        </w:tc>
        <w:tc>
          <w:tcPr>
            <w:tcW w:w="0" w:type="auto"/>
          </w:tcPr>
          <w:p>
            <w:pPr>
              <w:spacing w:line="240" w:lineRule="auto" w:before="0" w:after="0"/>
              <w:pStyle w:val="Compact"/>
            </w:pPr>
            <w:r>
              <w:rPr>
                <w:sz w:val="20"/>
                <w:szCs w:val="20"/>
              </w:rPr>
              <w:t xml:space="preserve">0.1983</w:t>
            </w:r>
          </w:p>
        </w:tc>
        <w:tc>
          <w:tcPr>
            <w:tcW w:w="0" w:type="auto"/>
          </w:tcPr>
          <w:p>
            <w:pPr>
              <w:spacing w:line="240" w:lineRule="auto" w:before="0" w:after="0"/>
              <w:pStyle w:val="Compact"/>
            </w:pPr>
            <w:r>
              <w:rPr>
                <w:sz w:val="20"/>
                <w:szCs w:val="20"/>
              </w:rPr>
              <w:t xml:space="preserve">[-0.3556, 0.0738]</w:t>
            </w:r>
          </w:p>
        </w:tc>
        <w:tc>
          <w:tcPr>
            <w:tcW w:w="0" w:type="auto"/>
          </w:tcPr>
          <w:p>
            <w:pPr>
              <w:spacing w:line="240" w:lineRule="auto" w:before="0" w:after="0"/>
              <w:pStyle w:val="Compact"/>
            </w:pPr>
            <w:r>
              <w:rPr>
                <w:sz w:val="20"/>
                <w:szCs w:val="20"/>
              </w:rPr>
              <w:t xml:space="preserve">0.8686</w:t>
            </w:r>
          </w:p>
        </w:tc>
      </w:tr>
      <w:tr>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1.3172</w:t>
            </w:r>
          </w:p>
        </w:tc>
        <w:tc>
          <w:tcPr>
            <w:tcW w:w="0" w:type="auto"/>
          </w:tcPr>
          <w:p>
            <w:pPr>
              <w:spacing w:line="240" w:lineRule="auto" w:before="0" w:after="0"/>
              <w:pStyle w:val="Compact"/>
            </w:pPr>
            <w:r>
              <w:rPr>
                <w:sz w:val="20"/>
                <w:szCs w:val="20"/>
              </w:rPr>
              <w:t xml:space="preserve">0.5374</w:t>
            </w:r>
          </w:p>
        </w:tc>
        <w:tc>
          <w:tcPr>
            <w:tcW w:w="0" w:type="auto"/>
          </w:tcPr>
          <w:p>
            <w:pPr>
              <w:spacing w:line="240" w:lineRule="auto" w:before="0" w:after="0"/>
              <w:pStyle w:val="Compact"/>
            </w:pPr>
            <w:r>
              <w:rPr>
                <w:sz w:val="20"/>
                <w:szCs w:val="20"/>
              </w:rPr>
              <w:t xml:space="preserve">2.4509</w:t>
            </w:r>
          </w:p>
        </w:tc>
        <w:tc>
          <w:tcPr>
            <w:tcW w:w="0" w:type="auto"/>
          </w:tcPr>
          <w:p>
            <w:pPr>
              <w:spacing w:line="240" w:lineRule="auto" w:before="0" w:after="0"/>
              <w:pStyle w:val="Compact"/>
            </w:pPr>
            <w:r>
              <w:rPr>
                <w:sz w:val="20"/>
                <w:szCs w:val="20"/>
              </w:rPr>
              <w:t xml:space="preserve">0.0142</w:t>
            </w:r>
          </w:p>
        </w:tc>
        <w:tc>
          <w:tcPr>
            <w:tcW w:w="0" w:type="auto"/>
          </w:tcPr>
          <w:p>
            <w:pPr>
              <w:spacing w:line="240" w:lineRule="auto" w:before="0" w:after="0"/>
              <w:pStyle w:val="Compact"/>
            </w:pPr>
            <w:r>
              <w:rPr>
                <w:sz w:val="20"/>
                <w:szCs w:val="20"/>
              </w:rPr>
              <w:t xml:space="preserve">[0.2638, 2.3705]</w:t>
            </w:r>
          </w:p>
        </w:tc>
        <w:tc>
          <w:tcPr>
            <w:tcW w:w="0" w:type="auto"/>
          </w:tcPr>
          <w:p>
            <w:pPr>
              <w:spacing w:line="240" w:lineRule="auto" w:before="0" w:after="0"/>
              <w:pStyle w:val="Compact"/>
            </w:pPr>
            <w:r>
              <w:rPr>
                <w:sz w:val="20"/>
                <w:szCs w:val="20"/>
              </w:rPr>
              <w:t xml:space="preserve">3.7328</w:t>
            </w:r>
          </w:p>
        </w:tc>
      </w:tr>
    </w:tbl>
    <w:p>
      <w:pPr>
        <w:pStyle w:val="BodyText"/>
        <w:spacing w:line="480" w:lineRule="auto"/>
        <w:ind w:firstLine="720"/>
      </w:pPr>
      <w:r>
        <w:t xml:space="preserve">Fit: N = 24 events = 16</w:t>
      </w:r>
    </w:p>
    <w:bookmarkEnd w:id="153"/>
    <w:bookmarkStart w:id="15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lized versus design operational lifetime for a panel of 24 space and airborne astronomical observatories. Points above the 1:1 region represent missions that outlived their design life; consumable-limited missions cluster nearer their design life, consistent with the estimated hazard structure." title="" id="155" name="Picture"/>
            <a:graphic>
              <a:graphicData uri="http://schemas.openxmlformats.org/drawingml/2006/picture">
                <pic:pic>
                  <pic:nvPicPr>
                    <pic:cNvPr descr="D:/Claude_Code/brain/collegium/candidates/dissertations/JPL_ASTRO_EARTH_02/research_papers/p1/paper_fig1.png" id="156" name="Picture"/>
                    <pic:cNvPicPr>
                      <a:picLocks noChangeArrowheads="1" noChangeAspect="1"/>
                    </pic:cNvPicPr>
                  </pic:nvPicPr>
                  <pic:blipFill>
                    <a:blip r:embed="rId15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Realized versus design operational lifetime for a panel of 24 space and airborne astronomical observatories. Points above the 1:1 region represent missions that outlived their design life; consumable-limited missions cluster nearer their design life, consistent with the estimated hazard structure.</w:t>
      </w:r>
    </w:p>
    <w:bookmarkEnd w:id="157"/>
    <w:bookmarkStart w:id="15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facility</w:t>
            </w:r>
          </w:p>
        </w:tc>
        <w:tc>
          <w:tcPr>
            <w:tcW w:w="0" w:type="auto"/>
          </w:tcPr>
          <w:p>
            <w:pPr>
              <w:spacing w:line="240" w:lineRule="auto" w:before="0" w:after="0"/>
              <w:pStyle w:val="Compact"/>
            </w:pPr>
            <w:r>
              <w:rPr>
                <w:sz w:val="20"/>
                <w:szCs w:val="20"/>
              </w:rPr>
              <w:t xml:space="preserve">ops_start_year</w:t>
            </w:r>
          </w:p>
        </w:tc>
        <w:tc>
          <w:tcPr>
            <w:tcW w:w="0" w:type="auto"/>
          </w:tcPr>
          <w:p>
            <w:pPr>
              <w:spacing w:line="240" w:lineRule="auto" w:before="0" w:after="0"/>
              <w:pStyle w:val="Compact"/>
            </w:pPr>
            <w:r>
              <w:rPr>
                <w:sz w:val="20"/>
                <w:szCs w:val="20"/>
              </w:rPr>
              <w:t xml:space="preserve">end_year</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retired</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wavelength_band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IRAS</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NASA IPAC IRAS project page (ipac.caltech.edu/project/iras): launched Jan 1983, operated ~10 months until helium depletion Nov 1983; 0.57 m aperture; superfluid-helium cryogen-limited.</w:t>
            </w:r>
          </w:p>
        </w:tc>
      </w:tr>
      <w:tr>
        <w:tc>
          <w:tcPr>
            <w:tcW w:w="0" w:type="auto"/>
          </w:tcPr>
          <w:p>
            <w:pPr>
              <w:spacing w:line="240" w:lineRule="auto" w:before="0" w:after="0"/>
              <w:pStyle w:val="Compact"/>
            </w:pPr>
            <w:r>
              <w:rPr>
                <w:sz w:val="20"/>
                <w:szCs w:val="20"/>
              </w:rPr>
              <w:t xml:space="preserve">COBE</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infrared/microwave</w:t>
            </w:r>
          </w:p>
        </w:tc>
        <w:tc>
          <w:tcPr>
            <w:tcW w:w="0" w:type="auto"/>
          </w:tcPr>
          <w:p>
            <w:pPr>
              <w:spacing w:line="240" w:lineRule="auto" w:before="0" w:after="0"/>
              <w:pStyle w:val="Compact"/>
            </w:pPr>
            <w:r>
              <w:rPr>
                <w:sz w:val="20"/>
                <w:szCs w:val="20"/>
              </w:rPr>
              <w:t xml:space="preserve">NASA GSFC COBE (lambda.gsfc.nasa.gov); launched 18 Nov 1989; DIRBE/FIRAS cryogen exhausted Sep 1990, DMR continued to 1993; helium-limited primary mission.</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ESA Infrared Space Observatory (cosmos.esa.int/web/iso); operated Nov 1995-May 1998; 0.6 m; ~18-month design life set by superfluid helium, achieved ~28 months.</w:t>
            </w:r>
          </w:p>
        </w:tc>
      </w:tr>
      <w:tr>
        <w:tc>
          <w:tcPr>
            <w:tcW w:w="0" w:type="auto"/>
          </w:tcPr>
          <w:p>
            <w:pPr>
              <w:spacing w:line="240" w:lineRule="auto" w:before="0" w:after="0"/>
              <w:pStyle w:val="Compact"/>
            </w:pPr>
            <w:r>
              <w:rPr>
                <w:sz w:val="20"/>
                <w:szCs w:val="20"/>
              </w:rPr>
              <w:t xml:space="preserve">HST</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optical/UV/near-IR</w:t>
            </w:r>
          </w:p>
        </w:tc>
        <w:tc>
          <w:tcPr>
            <w:tcW w:w="0" w:type="auto"/>
          </w:tcPr>
          <w:p>
            <w:pPr>
              <w:spacing w:line="240" w:lineRule="auto" w:before="0" w:after="0"/>
              <w:pStyle w:val="Compact"/>
            </w:pPr>
            <w:r>
              <w:rPr>
                <w:sz w:val="20"/>
                <w:szCs w:val="20"/>
              </w:rPr>
              <w:t xml:space="preserve">NASA/STScI Hubble Space Telescope (stsci.edu, en.wikipedia.org/wiki/Hubble_Space_Telescope): launched 24 Apr 1990; 2.4 m; serviceable, still operating as of 2026 (censored).</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X-ray</w:t>
            </w:r>
          </w:p>
        </w:tc>
        <w:tc>
          <w:tcPr>
            <w:tcW w:w="0" w:type="auto"/>
          </w:tcPr>
          <w:p>
            <w:pPr>
              <w:spacing w:line="240" w:lineRule="auto" w:before="0" w:after="0"/>
              <w:pStyle w:val="Compact"/>
            </w:pPr>
            <w:r>
              <w:rPr>
                <w:sz w:val="20"/>
                <w:szCs w:val="20"/>
              </w:rPr>
              <w:t xml:space="preserve">NASA Chandra X-ray Observatory (chandra.harvard.edu; en.wikipedia.org/wiki/Chandra_X-ray_Observatory): launched 23 Jul 1999; 1.2 m equivalent; 5-yr design, in 26th yr 2026 (censored).</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X-ray</w:t>
            </w:r>
          </w:p>
        </w:tc>
        <w:tc>
          <w:tcPr>
            <w:tcW w:w="0" w:type="auto"/>
          </w:tcPr>
          <w:p>
            <w:pPr>
              <w:spacing w:line="240" w:lineRule="auto" w:before="0" w:after="0"/>
              <w:pStyle w:val="Compact"/>
            </w:pPr>
            <w:r>
              <w:rPr>
                <w:sz w:val="20"/>
                <w:szCs w:val="20"/>
              </w:rPr>
              <w:t xml:space="preserve">ESA XMM-Newton (cosmos.esa.int/web/xmm-newton; en.wikipedia.org/wiki/XMM-Newton): launched 10 Dec 1999; 0.7 m mirror; 10-yr design life, still operating 2026 (censored).</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NASA/IPAC Spitzer (en.wikipedia.org/wiki/Spitzer_Space_Telescope; iopscience.iop.org/article/10.1086/422992): launched 25 Aug 2003; 0.85 m; 5-yr cryo design, cryo ended 2009, warm/beyond to Jan 2020.</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UV</w:t>
            </w:r>
          </w:p>
        </w:tc>
        <w:tc>
          <w:tcPr>
            <w:tcW w:w="0" w:type="auto"/>
          </w:tcPr>
          <w:p>
            <w:pPr>
              <w:spacing w:line="240" w:lineRule="auto" w:before="0" w:after="0"/>
              <w:pStyle w:val="Compact"/>
            </w:pPr>
            <w:r>
              <w:rPr>
                <w:sz w:val="20"/>
                <w:szCs w:val="20"/>
              </w:rPr>
              <w:t xml:space="preserve">NASA GALEX (galex.caltech.edu; science.nasa.gov): launched 28 Apr 2003; 0.5 m; 29-month primary mission, decommissioned 28 Jun 2013.</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gamma-ray/X-ray/UV</w:t>
            </w:r>
          </w:p>
        </w:tc>
        <w:tc>
          <w:tcPr>
            <w:tcW w:w="0" w:type="auto"/>
          </w:tcPr>
          <w:p>
            <w:pPr>
              <w:spacing w:line="240" w:lineRule="auto" w:before="0" w:after="0"/>
              <w:pStyle w:val="Compact"/>
            </w:pPr>
            <w:r>
              <w:rPr>
                <w:sz w:val="20"/>
                <w:szCs w:val="20"/>
              </w:rPr>
              <w:t xml:space="preserve">NASA Swift/Neil Gehrels Observatory (swift.gsfc.nasa.gov): launched 20 Nov 2004; 0.3 m UVOT; 2-yr design, operating 2026 (censored).</w:t>
            </w:r>
          </w:p>
        </w:tc>
      </w:tr>
      <w:tr>
        <w:tc>
          <w:tcPr>
            <w:tcW w:w="0" w:type="auto"/>
          </w:tcPr>
          <w:p>
            <w:pPr>
              <w:spacing w:line="240" w:lineRule="auto" w:before="0" w:after="0"/>
              <w:pStyle w:val="Compact"/>
            </w:pPr>
            <w:r>
              <w:rPr>
                <w:sz w:val="20"/>
                <w:szCs w:val="20"/>
              </w:rPr>
              <w:t xml:space="preserve">Akari</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JAXA AKARI (en.wikipedia.org/wiki/Akari_(satellite)): launched 21 Feb 2006; 0.69 m; helium-cooled survey to Aug 2007, near-IR to 2011 operations end.</w:t>
            </w:r>
          </w:p>
        </w:tc>
      </w:tr>
      <w:tr>
        <w:tc>
          <w:tcPr>
            <w:tcW w:w="0" w:type="auto"/>
          </w:tcPr>
          <w:p>
            <w:pPr>
              <w:spacing w:line="240" w:lineRule="auto" w:before="0" w:after="0"/>
              <w:pStyle w:val="Compact"/>
            </w:pPr>
            <w:r>
              <w:rPr>
                <w:sz w:val="20"/>
                <w:szCs w:val="20"/>
              </w:rPr>
              <w:t xml:space="preserve">Fermi</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gamma-ray</w:t>
            </w:r>
          </w:p>
        </w:tc>
        <w:tc>
          <w:tcPr>
            <w:tcW w:w="0" w:type="auto"/>
          </w:tcPr>
          <w:p>
            <w:pPr>
              <w:spacing w:line="240" w:lineRule="auto" w:before="0" w:after="0"/>
              <w:pStyle w:val="Compact"/>
            </w:pPr>
            <w:r>
              <w:rPr>
                <w:sz w:val="20"/>
                <w:szCs w:val="20"/>
              </w:rPr>
              <w:t xml:space="preserve">NASA Fermi Gamma-ray Space Telescope (fermi.gsfc.nasa.gov): launched 11 Jun 2008; LAT pair-conversion (no optical aperture, set 0); 5-yr design, operating 2026 (censored). [aperture illustrative]</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NASA Kepler (nasa.gov/news-release; en.wikipedia.org/wiki/Kepler_space_telescope): launched 7 Mar 2009; 0.95 m; 3.5-yr design, retired 30 Oct 2018 at reaction-control fuel depletion.</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far-infrared</w:t>
            </w:r>
          </w:p>
        </w:tc>
        <w:tc>
          <w:tcPr>
            <w:tcW w:w="0" w:type="auto"/>
          </w:tcPr>
          <w:p>
            <w:pPr>
              <w:spacing w:line="240" w:lineRule="auto" w:before="0" w:after="0"/>
              <w:pStyle w:val="Compact"/>
            </w:pPr>
            <w:r>
              <w:rPr>
                <w:sz w:val="20"/>
                <w:szCs w:val="20"/>
              </w:rPr>
              <w:t xml:space="preserve">ESA Herschel (herschel.caltech.edu; en.wikipedia.org/wiki/Herschel_Space_Observatory): launched 14 May 2009; 3.5 m; cryogen-limited, helium exhausted 29 Apr 2013.</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microwave</w:t>
            </w:r>
          </w:p>
        </w:tc>
        <w:tc>
          <w:tcPr>
            <w:tcW w:w="0" w:type="auto"/>
          </w:tcPr>
          <w:p>
            <w:pPr>
              <w:spacing w:line="240" w:lineRule="auto" w:before="0" w:after="0"/>
              <w:pStyle w:val="Compact"/>
            </w:pPr>
            <w:r>
              <w:rPr>
                <w:sz w:val="20"/>
                <w:szCs w:val="20"/>
              </w:rPr>
              <w:t xml:space="preserve">ESA Planck (cosmos.esa.int/web/planck): launched 14 May 2009; 1.5 m; HFI cryogen-limited (Jan 2012), LFI to Oct 2013 decommissioning.</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NASA WISE (en.wikipedia.org/wiki/Wide-field_Infrared_Survey_Explorer): launched 14 Dec 2009; 0.4 m; 7-month cryo survey, hydrogen depleted Sep 2010, hibernation Feb 2011 (pre-NEOWISE).</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NASA/DLR SOFIA (nasa.gov; en.wikipedia.org/wiki/Stratospheric_Observatory_for_Infrared_Astronomy): first light 26 May 2010; 2.5 m effective; 20-yr design, retired 29 Sep 2022.</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X-ray</w:t>
            </w:r>
          </w:p>
        </w:tc>
        <w:tc>
          <w:tcPr>
            <w:tcW w:w="0" w:type="auto"/>
          </w:tcPr>
          <w:p>
            <w:pPr>
              <w:spacing w:line="240" w:lineRule="auto" w:before="0" w:after="0"/>
              <w:pStyle w:val="Compact"/>
            </w:pPr>
            <w:r>
              <w:rPr>
                <w:sz w:val="20"/>
                <w:szCs w:val="20"/>
              </w:rPr>
              <w:t xml:space="preserve">NASA NuSTAR (nustar.caltech.edu; en.wikipedia.org/wiki/NuSTAR): launched 13 Jun 2012; Wolter-I grazing-incidence (no filled aperture, set 0); 2-yr baseline, operating 2026 (censored). [aperture illustrative]</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optical/astrometry</w:t>
            </w:r>
          </w:p>
        </w:tc>
        <w:tc>
          <w:tcPr>
            <w:tcW w:w="0" w:type="auto"/>
          </w:tcPr>
          <w:p>
            <w:pPr>
              <w:spacing w:line="240" w:lineRule="auto" w:before="0" w:after="0"/>
              <w:pStyle w:val="Compact"/>
            </w:pPr>
            <w:r>
              <w:rPr>
                <w:sz w:val="20"/>
                <w:szCs w:val="20"/>
              </w:rPr>
              <w:t xml:space="preserve">ESA Gaia (cosmos.esa.int/web/gaia): launched 19 Dec 2013; 1.45 m along-scan; 5-yr design, science operations ended Jan 2025, decommissioned Mar 2025.</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NASA TESS (tess.mit.edu; heasarc.gsfc.nasa.gov): launched 18 Apr 2018; four 0.1 m lenses; 2-yr primary mission, in extended ops 2026 (censored).</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infrared</w:t>
            </w:r>
          </w:p>
        </w:tc>
        <w:tc>
          <w:tcPr>
            <w:tcW w:w="0" w:type="auto"/>
          </w:tcPr>
          <w:p>
            <w:pPr>
              <w:spacing w:line="240" w:lineRule="auto" w:before="0" w:after="0"/>
              <w:pStyle w:val="Compact"/>
            </w:pPr>
            <w:r>
              <w:rPr>
                <w:sz w:val="20"/>
                <w:szCs w:val="20"/>
              </w:rPr>
              <w:t xml:space="preserve">NASA/ESA/CSA JWST (jwst.nasa.gov; en.wikipedia.org/wiki/James_Webb_Space_Telescope): launched 25 Dec 2021; 6.5 m; 5-yr min (10-yr goal), operating 2026 (censored).</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optical/astrometry</w:t>
            </w:r>
          </w:p>
        </w:tc>
        <w:tc>
          <w:tcPr>
            <w:tcW w:w="0" w:type="auto"/>
          </w:tcPr>
          <w:p>
            <w:pPr>
              <w:spacing w:line="240" w:lineRule="auto" w:before="0" w:after="0"/>
              <w:pStyle w:val="Compact"/>
            </w:pPr>
            <w:r>
              <w:rPr>
                <w:sz w:val="20"/>
                <w:szCs w:val="20"/>
              </w:rPr>
              <w:t xml:space="preserve">ESA Hipparcos (cosmos.esa.int/web/hipparcos): launched 8 Aug 1989; 0.29 m; planned 2.5-yr, operations ended Aug 1993 after gyro degradation.</w:t>
            </w:r>
          </w:p>
        </w:tc>
      </w:tr>
      <w:tr>
        <w:tc>
          <w:tcPr>
            <w:tcW w:w="0" w:type="auto"/>
          </w:tcPr>
          <w:p>
            <w:pPr>
              <w:spacing w:line="240" w:lineRule="auto" w:before="0" w:after="0"/>
              <w:pStyle w:val="Compact"/>
            </w:pPr>
            <w:r>
              <w:rPr>
                <w:sz w:val="20"/>
                <w:szCs w:val="20"/>
              </w:rPr>
              <w:t xml:space="preserve">EUVE</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extreme-UV</w:t>
            </w:r>
          </w:p>
        </w:tc>
        <w:tc>
          <w:tcPr>
            <w:tcW w:w="0" w:type="auto"/>
          </w:tcPr>
          <w:p>
            <w:pPr>
              <w:spacing w:line="240" w:lineRule="auto" w:before="0" w:after="0"/>
              <w:pStyle w:val="Compact"/>
            </w:pPr>
            <w:r>
              <w:rPr>
                <w:sz w:val="20"/>
                <w:szCs w:val="20"/>
              </w:rPr>
              <w:t xml:space="preserve">NASA EUVE Extreme Ultraviolet Explorer (heasarc.gsfc.nasa.gov/docs/euve): launched 7 Jun 1992; 0.4 m; ~3-yr prime, decommissioned 31 Jan 2001.</w:t>
            </w:r>
          </w:p>
        </w:tc>
      </w:tr>
      <w:tr>
        <w:tc>
          <w:tcPr>
            <w:tcW w:w="0" w:type="auto"/>
          </w:tcPr>
          <w:p>
            <w:pPr>
              <w:spacing w:line="240" w:lineRule="auto" w:before="0" w:after="0"/>
              <w:pStyle w:val="Compact"/>
            </w:pPr>
            <w:r>
              <w:rPr>
                <w:sz w:val="20"/>
                <w:szCs w:val="20"/>
              </w:rPr>
              <w:t xml:space="preserve">FUSE</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far-UV</w:t>
            </w:r>
          </w:p>
        </w:tc>
        <w:tc>
          <w:tcPr>
            <w:tcW w:w="0" w:type="auto"/>
          </w:tcPr>
          <w:p>
            <w:pPr>
              <w:spacing w:line="240" w:lineRule="auto" w:before="0" w:after="0"/>
              <w:pStyle w:val="Compact"/>
            </w:pPr>
            <w:r>
              <w:rPr>
                <w:sz w:val="20"/>
                <w:szCs w:val="20"/>
              </w:rPr>
              <w:t xml:space="preserve">NASA FUSE Far Ultraviolet Spectroscopic Explorer (en.wikipedia.org/wiki/FUSE): launched 24 Jun 1999; 0.39 m; 3-yr design, ended Oct 2007 after reaction-wheel failures.</w:t>
            </w:r>
          </w:p>
        </w:tc>
      </w:tr>
      <w:tr>
        <w:tc>
          <w:tcPr>
            <w:tcW w:w="0" w:type="auto"/>
          </w:tcPr>
          <w:p>
            <w:pPr>
              <w:spacing w:line="240" w:lineRule="auto" w:before="0" w:after="0"/>
              <w:pStyle w:val="Compact"/>
            </w:pPr>
            <w:r>
              <w:rPr>
                <w:sz w:val="20"/>
                <w:szCs w:val="20"/>
              </w:rPr>
              <w:t xml:space="preserve">Suzaku</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X-ray</w:t>
            </w:r>
          </w:p>
        </w:tc>
        <w:tc>
          <w:tcPr>
            <w:tcW w:w="0" w:type="auto"/>
          </w:tcPr>
          <w:p>
            <w:pPr>
              <w:spacing w:line="240" w:lineRule="auto" w:before="0" w:after="0"/>
              <w:pStyle w:val="Compact"/>
            </w:pPr>
            <w:r>
              <w:rPr>
                <w:sz w:val="20"/>
                <w:szCs w:val="20"/>
              </w:rPr>
              <w:t xml:space="preserve">JAXA/NASA Suzaku (en.wikipedia.org/wiki/Suzaku_(satellite)): launched 10 Jul 2005; 0.4 m XRT; XRS cryogen lost Aug 2005, XIS/HXD to 2015 decommissioning.</w:t>
            </w:r>
          </w:p>
        </w:tc>
      </w:tr>
    </w:tbl>
    <w:bookmarkEnd w:id="158"/>
    <w:bookmarkStart w:id="15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Operational lifetime in years from start of science operations to retirement, or to the 2026 censoring date for facilities still operating</w:t>
            </w:r>
          </w:p>
        </w:tc>
        <w:tc>
          <w:tcPr>
            <w:tcW w:w="0" w:type="auto"/>
          </w:tcPr>
          <w:p>
            <w:pPr>
              <w:spacing w:line="240" w:lineRule="auto" w:before="0" w:after="0"/>
              <w:pStyle w:val="Compact"/>
            </w:pPr>
            <w:r>
              <w:rPr>
                <w:sz w:val="20"/>
                <w:szCs w:val="20"/>
              </w:rPr>
              <w:t xml:space="preserve">Computed from documented operations-start and retirement/decommissioning dates per facility; see data.csv source column</w:t>
            </w:r>
          </w:p>
        </w:tc>
      </w:tr>
      <w:tr>
        <w:tc>
          <w:tcPr>
            <w:tcW w:w="0" w:type="auto"/>
          </w:tcPr>
          <w:p>
            <w:pPr>
              <w:spacing w:line="240" w:lineRule="auto" w:before="0" w:after="0"/>
              <w:pStyle w:val="Compact"/>
            </w:pPr>
            <w:r>
              <w:rPr>
                <w:sz w:val="20"/>
                <w:szCs w:val="20"/>
              </w:rPr>
              <w:t xml:space="preserve">retired</w:t>
            </w:r>
          </w:p>
        </w:tc>
        <w:tc>
          <w:tcPr>
            <w:tcW w:w="0" w:type="auto"/>
          </w:tcPr>
          <w:p>
            <w:pPr>
              <w:spacing w:line="240" w:lineRule="auto" w:before="0" w:after="0"/>
              <w:pStyle w:val="Compact"/>
            </w:pPr>
            <w:r>
              <w:rPr>
                <w:sz w:val="20"/>
                <w:szCs w:val="20"/>
              </w:rPr>
              <w:t xml:space="preserve">Event indicator: 1 if the observatory had been retired or decommissioned by the censoring date, 0 if still operating (right-censored)</w:t>
            </w:r>
          </w:p>
        </w:tc>
        <w:tc>
          <w:tcPr>
            <w:tcW w:w="0" w:type="auto"/>
          </w:tcPr>
          <w:p>
            <w:pPr>
              <w:spacing w:line="240" w:lineRule="auto" w:before="0" w:after="0"/>
              <w:pStyle w:val="Compact"/>
            </w:pPr>
            <w:r>
              <w:rPr>
                <w:sz w:val="20"/>
                <w:szCs w:val="20"/>
              </w:rPr>
              <w:t xml:space="preserve">Facility status as documented in NASA/ESA/JAXA mission pages; see data.csv source column</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Primary collecting-aperture diameter in metres (effective aperture; set to 0 for pair-conversion or grazing-incidence instruments with no filled optical aperture)</w:t>
            </w:r>
          </w:p>
        </w:tc>
        <w:tc>
          <w:tcPr>
            <w:tcW w:w="0" w:type="auto"/>
          </w:tcPr>
          <w:p>
            <w:pPr>
              <w:spacing w:line="240" w:lineRule="auto" w:before="0" w:after="0"/>
              <w:pStyle w:val="Compact"/>
            </w:pPr>
            <w:r>
              <w:rPr>
                <w:sz w:val="20"/>
                <w:szCs w:val="20"/>
              </w:rPr>
              <w:t xml:space="preserve">Facility specifications from mission pages and Wikipedia mission articles; see data.csv source column</w:t>
            </w:r>
          </w:p>
        </w:tc>
      </w:tr>
      <w:tr>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Planned or design operational lifetime in years as stated at mission start</w:t>
            </w:r>
          </w:p>
        </w:tc>
        <w:tc>
          <w:tcPr>
            <w:tcW w:w="0" w:type="auto"/>
          </w:tcPr>
          <w:p>
            <w:pPr>
              <w:spacing w:line="240" w:lineRule="auto" w:before="0" w:after="0"/>
              <w:pStyle w:val="Compact"/>
            </w:pPr>
            <w:r>
              <w:rPr>
                <w:sz w:val="20"/>
                <w:szCs w:val="20"/>
              </w:rPr>
              <w:t xml:space="preserve">Mission design documentation and project pages; see data.csv source column</w:t>
            </w:r>
          </w:p>
        </w:tc>
      </w:tr>
      <w:tr>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Indicator: 1 if the primary mission was limited by an exhaustible consumable (cryogen, propellant for cryostat) rather than by component wear-out, 0 otherwise</w:t>
            </w:r>
          </w:p>
        </w:tc>
        <w:tc>
          <w:tcPr>
            <w:tcW w:w="0" w:type="auto"/>
          </w:tcPr>
          <w:p>
            <w:pPr>
              <w:spacing w:line="240" w:lineRule="auto" w:before="0" w:after="0"/>
              <w:pStyle w:val="Compact"/>
            </w:pPr>
            <w:r>
              <w:rPr>
                <w:sz w:val="20"/>
                <w:szCs w:val="20"/>
              </w:rPr>
              <w:t xml:space="preserve">Mission design as documented per facility; see data.csv source column</w:t>
            </w:r>
          </w:p>
        </w:tc>
      </w:tr>
    </w:tbl>
    <w:bookmarkEnd w:id="159"/>
    <w:bookmarkEnd w:id="160"/>
    <w:bookmarkStart w:id="168" w:name="X7744141619387ea99f471fa33c4a5428b51f211"/>
    <w:p>
      <w:pPr>
        <w:pStyle w:val="Heading2"/>
        <w:spacing w:line="480" w:lineRule="auto"/>
      </w:pPr>
      <w:r>
        <w:t xml:space="preserve">A.2 Why Observatories Die: A Proportional-Hazards Model of Space-Telescope Operational Lifetime</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rPr>
              <m:nor/>
              <m:sty m:val="p"/>
            </m:rPr>
            <m:t>aperture_m</m:t>
          </m:r>
          <m:r>
            <m:rPr>
              <m:sty m:val="p"/>
            </m:rPr>
            <m:t>+</m:t>
          </m:r>
          <m:sSub>
            <m:e>
              <m:r>
                <m:t>β</m:t>
              </m:r>
            </m:e>
            <m:sub>
              <m:r>
                <m:t>2</m:t>
              </m:r>
            </m:sub>
          </m:sSub>
          <m:r>
            <m:rPr>
              <m:nor/>
              <m:sty m:val="p"/>
            </m:rPr>
            <m:t>leo</m:t>
          </m:r>
          <m:r>
            <m:rPr>
              <m:sty m:val="p"/>
            </m:rPr>
            <m:t>+</m:t>
          </m:r>
          <m:sSub>
            <m:e>
              <m:r>
                <m:t>β</m:t>
              </m:r>
            </m:e>
            <m:sub>
              <m:r>
                <m:t>3</m:t>
              </m:r>
            </m:sub>
          </m:sSub>
          <m:r>
            <m:rPr>
              <m:nor/>
              <m:sty m:val="p"/>
            </m:rPr>
            <m:t>consumable_limited</m:t>
          </m:r>
          <m:r>
            <m:rPr>
              <m:sty m:val="p"/>
            </m:rPr>
            <m:t>)</m:t>
          </m:r>
        </m:oMath>
      </m:oMathPara>
    </w:p>
    <w:bookmarkStart w:id="16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0.3348</w:t>
            </w:r>
          </w:p>
        </w:tc>
        <w:tc>
          <w:tcPr>
            <w:tcW w:w="0" w:type="auto"/>
          </w:tcPr>
          <w:p>
            <w:pPr>
              <w:spacing w:line="240" w:lineRule="auto" w:before="0" w:after="0"/>
              <w:pStyle w:val="Compact"/>
            </w:pPr>
            <w:r>
              <w:rPr>
                <w:sz w:val="20"/>
                <w:szCs w:val="20"/>
              </w:rPr>
              <w:t xml:space="preserve">-0.1949</w:t>
            </w:r>
          </w:p>
        </w:tc>
        <w:tc>
          <w:tcPr>
            <w:tcW w:w="0" w:type="auto"/>
          </w:tcPr>
          <w:p>
            <w:pPr>
              <w:spacing w:line="240" w:lineRule="auto" w:before="0" w:after="0"/>
              <w:pStyle w:val="Compact"/>
            </w:pPr>
            <w:r>
              <w:rPr>
                <w:sz w:val="20"/>
                <w:szCs w:val="20"/>
              </w:rPr>
              <w:t xml:space="preserve">0.8455</w:t>
            </w:r>
          </w:p>
        </w:tc>
        <w:tc>
          <w:tcPr>
            <w:tcW w:w="0" w:type="auto"/>
          </w:tcPr>
          <w:p>
            <w:pPr>
              <w:spacing w:line="240" w:lineRule="auto" w:before="0" w:after="0"/>
              <w:pStyle w:val="Compact"/>
            </w:pPr>
            <w:r>
              <w:rPr>
                <w:sz w:val="20"/>
                <w:szCs w:val="20"/>
              </w:rPr>
              <w:t xml:space="preserve">[-0.7214, 0.5909]</w:t>
            </w:r>
          </w:p>
        </w:tc>
        <w:tc>
          <w:tcPr>
            <w:tcW w:w="0" w:type="auto"/>
          </w:tcPr>
          <w:p>
            <w:pPr>
              <w:spacing w:line="240" w:lineRule="auto" w:before="0" w:after="0"/>
              <w:pStyle w:val="Compact"/>
            </w:pPr>
            <w:r>
              <w:rPr>
                <w:sz w:val="20"/>
                <w:szCs w:val="20"/>
              </w:rPr>
              <w:t xml:space="preserve">0.9368</w:t>
            </w:r>
          </w:p>
        </w:tc>
      </w:tr>
      <w:tr>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-0.1828</w:t>
            </w:r>
          </w:p>
        </w:tc>
        <w:tc>
          <w:tcPr>
            <w:tcW w:w="0" w:type="auto"/>
          </w:tcPr>
          <w:p>
            <w:pPr>
              <w:spacing w:line="240" w:lineRule="auto" w:before="0" w:after="0"/>
              <w:pStyle w:val="Compact"/>
            </w:pPr>
            <w:r>
              <w:rPr>
                <w:sz w:val="20"/>
                <w:szCs w:val="20"/>
              </w:rPr>
              <w:t xml:space="preserve">0.5037</w:t>
            </w:r>
          </w:p>
        </w:tc>
        <w:tc>
          <w:tcPr>
            <w:tcW w:w="0" w:type="auto"/>
          </w:tcPr>
          <w:p>
            <w:pPr>
              <w:spacing w:line="240" w:lineRule="auto" w:before="0" w:after="0"/>
              <w:pStyle w:val="Compact"/>
            </w:pPr>
            <w:r>
              <w:rPr>
                <w:sz w:val="20"/>
                <w:szCs w:val="20"/>
              </w:rPr>
              <w:t xml:space="preserve">-0.3629</w:t>
            </w:r>
          </w:p>
        </w:tc>
        <w:tc>
          <w:tcPr>
            <w:tcW w:w="0" w:type="auto"/>
          </w:tcPr>
          <w:p>
            <w:pPr>
              <w:spacing w:line="240" w:lineRule="auto" w:before="0" w:after="0"/>
              <w:pStyle w:val="Compact"/>
            </w:pPr>
            <w:r>
              <w:rPr>
                <w:sz w:val="20"/>
                <w:szCs w:val="20"/>
              </w:rPr>
              <w:t xml:space="preserve">0.7167</w:t>
            </w:r>
          </w:p>
        </w:tc>
        <w:tc>
          <w:tcPr>
            <w:tcW w:w="0" w:type="auto"/>
          </w:tcPr>
          <w:p>
            <w:pPr>
              <w:spacing w:line="240" w:lineRule="auto" w:before="0" w:after="0"/>
              <w:pStyle w:val="Compact"/>
            </w:pPr>
            <w:r>
              <w:rPr>
                <w:sz w:val="20"/>
                <w:szCs w:val="20"/>
              </w:rPr>
              <w:t xml:space="preserve">[-1.1701, 0.8045]</w:t>
            </w:r>
          </w:p>
        </w:tc>
        <w:tc>
          <w:tcPr>
            <w:tcW w:w="0" w:type="auto"/>
          </w:tcPr>
          <w:p>
            <w:pPr>
              <w:spacing w:line="240" w:lineRule="auto" w:before="0" w:after="0"/>
              <w:pStyle w:val="Compact"/>
            </w:pPr>
            <w:r>
              <w:rPr>
                <w:sz w:val="20"/>
                <w:szCs w:val="20"/>
              </w:rPr>
              <w:t xml:space="preserve">0.8329</w:t>
            </w:r>
          </w:p>
        </w:tc>
      </w:tr>
      <w:tr>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1.3309</w:t>
            </w:r>
          </w:p>
        </w:tc>
        <w:tc>
          <w:tcPr>
            <w:tcW w:w="0" w:type="auto"/>
          </w:tcPr>
          <w:p>
            <w:pPr>
              <w:spacing w:line="240" w:lineRule="auto" w:before="0" w:after="0"/>
              <w:pStyle w:val="Compact"/>
            </w:pPr>
            <w:r>
              <w:rPr>
                <w:sz w:val="20"/>
                <w:szCs w:val="20"/>
              </w:rPr>
              <w:t xml:space="preserve">0.4956</w:t>
            </w:r>
          </w:p>
        </w:tc>
        <w:tc>
          <w:tcPr>
            <w:tcW w:w="0" w:type="auto"/>
          </w:tcPr>
          <w:p>
            <w:pPr>
              <w:spacing w:line="240" w:lineRule="auto" w:before="0" w:after="0"/>
              <w:pStyle w:val="Compact"/>
            </w:pPr>
            <w:r>
              <w:rPr>
                <w:sz w:val="20"/>
                <w:szCs w:val="20"/>
              </w:rPr>
              <w:t xml:space="preserve">2.6853</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[0.3595, 2.3023]</w:t>
            </w:r>
          </w:p>
        </w:tc>
        <w:tc>
          <w:tcPr>
            <w:tcW w:w="0" w:type="auto"/>
          </w:tcPr>
          <w:p>
            <w:pPr>
              <w:spacing w:line="240" w:lineRule="auto" w:before="0" w:after="0"/>
              <w:pStyle w:val="Compact"/>
            </w:pPr>
            <w:r>
              <w:rPr>
                <w:sz w:val="20"/>
                <w:szCs w:val="20"/>
              </w:rPr>
              <w:t xml:space="preserve">3.7845</w:t>
            </w:r>
          </w:p>
        </w:tc>
      </w:tr>
    </w:tbl>
    <w:p>
      <w:pPr>
        <w:pStyle w:val="BodyText"/>
        <w:spacing w:line="480" w:lineRule="auto"/>
        <w:ind w:firstLine="720"/>
      </w:pPr>
      <w:r>
        <w:t xml:space="preserve">Fit: N = 27 events = 18</w:t>
      </w:r>
    </w:p>
    <w:bookmarkEnd w:id="161"/>
    <w:bookmarkStart w:id="16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perational lifetime versus primary aperture for 27 space and airborne astronomical observatories; filled markers denote terminated facilities and open markers denote facilities still operating (right-censored) as of 2026." title="" id="163" name="Picture"/>
            <a:graphic>
              <a:graphicData uri="http://schemas.openxmlformats.org/drawingml/2006/picture">
                <pic:pic>
                  <pic:nvPicPr>
                    <pic:cNvPr descr="D:/Claude_Code/brain/collegium/candidates/dissertations/JPL_ASTRO_EARTH_02/research_papers/p2/paper_fig1.png" id="164" name="Picture"/>
                    <pic:cNvPicPr>
                      <a:picLocks noChangeArrowheads="1" noChangeAspect="1"/>
                    </pic:cNvPicPr>
                  </pic:nvPicPr>
                  <pic:blipFill>
                    <a:blip r:embed="rId16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Operational lifetime versus primary aperture for 27 space and airborne astronomical observatories; filled markers denote terminated facilities and open markers denote facilities still operating (right-censored) as of 2026.</w:t>
      </w:r>
    </w:p>
    <w:bookmarkEnd w:id="165"/>
    <w:bookmarkStart w:id="16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facility</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end_year</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IRAS</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IRAS mission (launched 1983-01-25, helium depleted 1983-11-21, ~10 months); aperture 0.57 m; LEO; cryogen-limited. https://en.wikipedia.org/wiki/IRAS and https://en.wikipedia.org/wiki/List_of_space_telescopes</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Infrared Space Observatory (launched 1995-11-17, helium exhausted 1998-04, ~28 months); aperture 0.6 m; HEO elliptical; cryogen-limited. https://en.wikipedia.org/wiki/Infrared_Space_Observatory and https://en.wikipedia.org/wiki/List_of_space_telescopes</w:t>
            </w:r>
          </w:p>
        </w:tc>
      </w:tr>
      <w:tr>
        <w:tc>
          <w:tcPr>
            <w:tcW w:w="0" w:type="auto"/>
          </w:tcPr>
          <w:p>
            <w:pPr>
              <w:spacing w:line="240" w:lineRule="auto" w:before="0" w:after="0"/>
              <w:pStyle w:val="Compact"/>
            </w:pPr>
            <w:r>
              <w:rPr>
                <w:sz w:val="20"/>
                <w:szCs w:val="20"/>
              </w:rPr>
              <w:t xml:space="preserve">Akari</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Akari/ASTRO-F (launched 2006-02-21, ops ended 2011-11); aperture 0.68 m; LEO; cryogen then warm survey, helium-limited cold phase. https://en.wikipedia.org/wiki/Akari_(satellite) and https://en.wikipedia.org/wiki/List_of_space_telescopes</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Spitzer Space Telescope (launched 2003-08-25, decommissioned 2020-01-30); aperture 0.85 m; Earth-trailing heliocentric; cryogen-limited cold mission then warm extension. https://www.jpl.nasa.gov/news/nasas-spitzer-space-telescope-ends-mission-of-astronomical-discovery/</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Herschel Space Observatory (launched 2009-05-14, helium depleted 2013-04-29); aperture 3.5 m; Sun-Earth L2; cryogen-limited. https://en.wikipedia.org/wiki/Herschel_Space_Observatory and https://en.wikipedia.org/wiki/List_of_space_telescopes</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WISE/NEOWISE (launched 2009-12-14, decommissioned 2024-08-08; cryogen depleted 2010, reactivated as NEOWISE); aperture 0.4 m; LEO; cryogen-limited primary survey. https://en.wikipedia.org/wiki/Wide-field_Infrared_Survey_Explorer and https://en.wikipedia.org/wiki/List_of_space_telescopes</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Planck (launched 2009-05-14, switched off 2013-10-23); effective aperture 1.9 m; Sun-Earth L2; cryogen-limited HFI then LFI. https://en.wikipedia.org/wiki/Planck_(spacecraft) and https://en.wikipedia.org/wiki/List_of_space_telescopes</w:t>
            </w:r>
          </w:p>
        </w:tc>
      </w:tr>
      <w:tr>
        <w:tc>
          <w:tcPr>
            <w:tcW w:w="0" w:type="auto"/>
          </w:tcPr>
          <w:p>
            <w:pPr>
              <w:spacing w:line="240" w:lineRule="auto" w:before="0" w:after="0"/>
              <w:pStyle w:val="Compact"/>
            </w:pPr>
            <w:r>
              <w:rPr>
                <w:sz w:val="20"/>
                <w:szCs w:val="20"/>
              </w:rPr>
              <w:t xml:space="preserve">IUE</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NASA/ESA/SERC International Ultraviolet Explorer (launched 1978-01-26, shut down 1996-09-30); aperture 0.45 m; geosynchronous HEO; not consumable-limited. https://en.wikipedia.org/wiki/International_Ultraviolet_Explorer and https://en.wikipedia.org/wiki/List_of_space_telescopes</w:t>
            </w:r>
          </w:p>
        </w:tc>
      </w:tr>
      <w:tr>
        <w:tc>
          <w:tcPr>
            <w:tcW w:w="0" w:type="auto"/>
          </w:tcPr>
          <w:p>
            <w:pPr>
              <w:spacing w:line="240" w:lineRule="auto" w:before="0" w:after="0"/>
              <w:pStyle w:val="Compact"/>
            </w:pPr>
            <w:r>
              <w:rPr>
                <w:sz w:val="20"/>
                <w:szCs w:val="20"/>
              </w:rPr>
              <w:t xml:space="preserve">COBE</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COBE (launched 1989-11-18, ops ended 1993-12-23); effective aperture ~0.19 m; LEO; cryogen-limited FIRAS/DIRBE. https://en.wikipedia.org/wiki/Cosmic_Background_Explorer and https://en.wikipedia.org/wiki/List_of_space_telescopes</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Hipparcos (launched 1989-08-08, ops ended 1993-08); aperture 0.29 m; geostationary transfer HEO (failed apogee motor); not consumable-limited. https://en.wikipedia.org/wiki/Hipparcos and https://en.wikipedia.org/wiki/List_of_space_telescopes</w:t>
            </w:r>
          </w:p>
        </w:tc>
      </w:tr>
      <w:tr>
        <w:tc>
          <w:tcPr>
            <w:tcW w:w="0" w:type="auto"/>
          </w:tcPr>
          <w:p>
            <w:pPr>
              <w:spacing w:line="240" w:lineRule="auto" w:before="0" w:after="0"/>
              <w:pStyle w:val="Compact"/>
            </w:pPr>
            <w:r>
              <w:rPr>
                <w:sz w:val="20"/>
                <w:szCs w:val="20"/>
              </w:rPr>
              <w:t xml:space="preserve">EUVE</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Extreme Ultraviolet Explorer (launched 1992-06-07, decommissioned 2001-01-31); effective aperture ~0.4 m; LEO; not consumable-limited. https://en.wikipedia.org/wiki/Extreme_Ultraviolet_Explorer and https://en.wikipedia.org/wiki/List_of_space_telescopes</w:t>
            </w:r>
          </w:p>
        </w:tc>
      </w:tr>
      <w:tr>
        <w:tc>
          <w:tcPr>
            <w:tcW w:w="0" w:type="auto"/>
          </w:tcPr>
          <w:p>
            <w:pPr>
              <w:spacing w:line="240" w:lineRule="auto" w:before="0" w:after="0"/>
              <w:pStyle w:val="Compact"/>
            </w:pPr>
            <w:r>
              <w:rPr>
                <w:sz w:val="20"/>
                <w:szCs w:val="20"/>
              </w:rPr>
              <w:t xml:space="preserve">CGRO</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Compton Gamma Ray Observatory (launched 1991-04-05, deorbited 2000-06-04); effective aperture ~0.6 m [illustrative]; LEO; deorbited after gyro failure, not consumable-limited. https://en.wikipedia.org/wiki/Compton_Gamma_Ray_Observatory and https://en.wikipedia.org/wiki/List_of_space_telescopes</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Galaxy Evolution Explorer (launched 2003-04-28, decommissioned 2013-06); aperture 0.5 m; LEO; not consumable-limited. https://en.wikipedia.org/wiki/GALEX and https://en.wikipedia.org/wiki/List_of_space_telescopes</w:t>
            </w:r>
          </w:p>
        </w:tc>
      </w:tr>
      <w:tr>
        <w:tc>
          <w:tcPr>
            <w:tcW w:w="0" w:type="auto"/>
          </w:tcPr>
          <w:p>
            <w:pPr>
              <w:spacing w:line="240" w:lineRule="auto" w:before="0" w:after="0"/>
              <w:pStyle w:val="Compact"/>
            </w:pPr>
            <w:r>
              <w:rPr>
                <w:sz w:val="20"/>
                <w:szCs w:val="20"/>
              </w:rPr>
              <w:t xml:space="preserve">WMAP</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WMAP (launched 2001-06-30, ops ended 2010-08); effective aperture ~1.4 m; Sun-Earth L2; not consumable-limited. https://en.wikipedia.org/wiki/Wilkinson_Microwave_Anisotropy_Probe and https://en.wikipedia.org/wiki/List_of_space_telescopes</w:t>
            </w:r>
          </w:p>
        </w:tc>
      </w:tr>
      <w:tr>
        <w:tc>
          <w:tcPr>
            <w:tcW w:w="0" w:type="auto"/>
          </w:tcPr>
          <w:p>
            <w:pPr>
              <w:spacing w:line="240" w:lineRule="auto" w:before="0" w:after="0"/>
              <w:pStyle w:val="Compact"/>
            </w:pPr>
            <w:r>
              <w:rPr>
                <w:sz w:val="20"/>
                <w:szCs w:val="20"/>
              </w:rPr>
              <w:t xml:space="preserve">COROT</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CNES/ESA CoRoT (launched 2006-12-27, ops ended 2013-06; computer failure 2012); aperture 0.27 m; LEO polar; not consumable-limited. https://en.wikipedia.org/wiki/CoRoT and https://en.wikipedia.org/wiki/List_of_space_telescopes</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Kepler (launched 2009-03-07, retired 2018-10-30 fuel depletion); aperture 0.95 m; Earth-trailing heliocentric; propellant-limited (fuel), treated as not cryogen consumable. https://en.wikipedia.org/wiki/Kepler_space_telescope and https://en.wikipedia.org/wiki/List_of_space_telescopes</w:t>
            </w:r>
          </w:p>
        </w:tc>
      </w:tr>
      <w:tr>
        <w:tc>
          <w:tcPr>
            <w:tcW w:w="0" w:type="auto"/>
          </w:tcPr>
          <w:p>
            <w:pPr>
              <w:spacing w:line="240" w:lineRule="auto" w:before="0" w:after="0"/>
              <w:pStyle w:val="Compact"/>
            </w:pPr>
            <w:r>
              <w:rPr>
                <w:sz w:val="20"/>
                <w:szCs w:val="20"/>
              </w:rPr>
              <w:t xml:space="preserve">Suzaku</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JAXA/NASA Suzaku/ASTRO-EII (launched 2005-07-10, ops ended 2015-09); effective X-ray aperture ~0.4 m [illustrative]; LEO; XRS lost helium 2005, partly consumable-limited. https://en.wikipedia.org/wiki/Suzaku_(satellite) and https://en.wikipedia.org/wiki/List_of_space_telescopes</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Gaia (launched 2013-12-19, science ops ended 2025-01); aperture 1.45 m; Sun-Earth L2; ended at propellant end-of-life, not cryogen. https://en.wikipedia.org/wiki/Gaia_(spacecraft) and https://en.wikipedia.org/wiki/List_of_space_telescopes</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36.2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NASA/ESA Hubble Space Telescope (launched 1990-04-24, operational as of 2026); aperture 2.4 m; LEO; serviced, not consumable-limited; right-censored. https://en.wikipedia.org/wiki/Hubble_Space_Telescope and https://en.wikipedia.org/wiki/List_of_space_telescopes</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Chandra X-ray Observatory (launched 1999-07-23, operational as of 2026); effective high-resolution mirror diameter ~1.2 m; HEO elliptical; not consumable-limited; right-censored. https://en.wikipedia.org/wiki/Chandra_X-ray_Observatory and https://en.wikipedia.org/wiki/List_of_space_telescopes</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XMM-Newton (launched 1999-12-10, operational as of 2026); per-module mirror diameter 0.7 m; HEO elliptical; not consumable-limited; right-censored. https://en.wikipedia.org/wiki/XMM-Newton and https://en.wikipedia.org/wiki/List_of_space_telescopes</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Neil Gehrels Swift Observatory (launched 2004-11-20, operational as of 2026); effective X-ray aperture ~0.3 m [illustrative]; LEO; not consumable-limited; right-censored. https://en.wikipedia.org/wiki/Neil_Gehrels_Swift_Observatory and https://en.wikipedia.org/wiki/List_of_space_telescopes</w:t>
            </w:r>
          </w:p>
        </w:tc>
      </w:tr>
      <w:tr>
        <w:tc>
          <w:tcPr>
            <w:tcW w:w="0" w:type="auto"/>
          </w:tcPr>
          <w:p>
            <w:pPr>
              <w:spacing w:line="240" w:lineRule="auto" w:before="0" w:after="0"/>
              <w:pStyle w:val="Compact"/>
            </w:pPr>
            <w:r>
              <w:rPr>
                <w:sz w:val="20"/>
                <w:szCs w:val="20"/>
              </w:rPr>
              <w:t xml:space="preserve">Fermi</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Fermi Gamma-ray Space Telescope (launched 2008-06-11, operational as of 2026); effective LAT aperture ~0.7 m [illustrative]; LEO; not consumable-limited; right-censored. https://en.wikipedia.org/wiki/Fermi_Gamma-ray_Space_Telescope and https://en.wikipedia.org/wiki/List_of_space_telescopes</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NuSTAR (launched 2012-06-13, operational as of 2026); effective focal optics aperture ~0.6 m [illustrative]; LEO; not consumable-limited; right-censored. https://en.wikipedia.org/wiki/NuSTAR and https://en.wikipedia.org/wiki/List_of_space_telescopes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TESS (launched 2018-04-18, operational as of 2026); combined four-camera effective aperture ~0.4 m [illustrative]; HEO 2:1 lunar-resonant; not consumable-limited; right-censored. https://en.wikipedia.org/wiki/Transiting_Exoplanet_Survey_Satellite and https://en.wikipedia.org/wiki/List_of_space_telescopes</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NASA/ESA/CSA James Webb Space Telescope (launched 2021-12-25, operational as of 2026); aperture 6.6 m; Sun-Earth L2; propellant-extended past 20 yr, not cryogen-limited (passive cooling + MIRI cooler); right-censored. https://en.wikipedia.org/wiki/James_Webb_Space_Telescope and https://en.wikipedia.org/wiki/List_of_space_telescopes</w:t>
            </w:r>
          </w:p>
        </w:tc>
      </w:tr>
      <w:tr>
        <w:tc>
          <w:tcPr>
            <w:tcW w:w="0" w:type="auto"/>
          </w:tcPr>
          <w:p>
            <w:pPr>
              <w:spacing w:line="240" w:lineRule="auto" w:before="0" w:after="0"/>
              <w:pStyle w:val="Compact"/>
            </w:pPr>
            <w:r>
              <w:rPr>
                <w:sz w:val="20"/>
                <w:szCs w:val="20"/>
              </w:rPr>
              <w:t xml:space="preserve">Euclid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Euclid (launched 2023-07-01, operational as of 2026); aperture 1.2 m; Sun-Earth L2; not consumable-limited; right-censored. https://en.wikipedia.org/wiki/Euclid_(spacecraft) and https://en.wikipedia.org/wiki/List_of_space_telescopes</w:t>
            </w:r>
          </w:p>
        </w:tc>
      </w:tr>
    </w:tbl>
    <w:bookmarkEnd w:id="166"/>
    <w:bookmarkStart w:id="16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Operational lifetime of the observatory in years, from launch to end-of-science (terminated facilities) or to the 2026 censoring date (active facilities)</w:t>
            </w:r>
          </w:p>
        </w:tc>
        <w:tc>
          <w:tcPr>
            <w:tcW w:w="0" w:type="auto"/>
          </w:tcPr>
          <w:p>
            <w:pPr>
              <w:spacing w:line="240" w:lineRule="auto" w:before="0" w:after="0"/>
              <w:pStyle w:val="Compact"/>
            </w:pPr>
            <w:r>
              <w:rPr>
                <w:sz w:val="20"/>
                <w:szCs w:val="20"/>
              </w:rPr>
              <w:t xml:space="preserve">Mission launch and end dates from NASA/ESA/JAXA mission pages and Wikipedia List of space telescopes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Termination indicator: 1 if the observatory’s science operations have ended (failure observed), 0 if the observatory is still operating as of 2026 (right-censored)</w:t>
            </w:r>
          </w:p>
        </w:tc>
        <w:tc>
          <w:tcPr>
            <w:tcW w:w="0" w:type="auto"/>
          </w:tcPr>
          <w:p>
            <w:pPr>
              <w:spacing w:line="240" w:lineRule="auto" w:before="0" w:after="0"/>
              <w:pStyle w:val="Compact"/>
            </w:pPr>
            <w:r>
              <w:rPr>
                <w:sz w:val="20"/>
                <w:szCs w:val="20"/>
              </w:rPr>
              <w:t xml:space="preserve">Mission operational-status records; Wikipedia List of space telescopes</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Primary or effective collecting aperture diameter in meters</w:t>
            </w:r>
          </w:p>
        </w:tc>
        <w:tc>
          <w:tcPr>
            <w:tcW w:w="0" w:type="auto"/>
          </w:tcPr>
          <w:p>
            <w:pPr>
              <w:spacing w:line="240" w:lineRule="auto" w:before="0" w:after="0"/>
              <w:pStyle w:val="Compact"/>
            </w:pPr>
            <w:r>
              <w:rPr>
                <w:sz w:val="20"/>
                <w:szCs w:val="20"/>
              </w:rPr>
              <w:t xml:space="preserve">Mission specification pages; Wikipedia List of space telescopes (effective values flagged illustrative for non-single-mirror instruments)</w:t>
            </w:r>
          </w:p>
        </w:tc>
      </w:tr>
      <w:tr>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Orbit-class indicator: 1 if the facility operates in low Earth orbit, 0 if in a high/deep-space orbit (HEO, heliocentric, or Sun-Earth L2)</w:t>
            </w:r>
          </w:p>
        </w:tc>
        <w:tc>
          <w:tcPr>
            <w:tcW w:w="0" w:type="auto"/>
          </w:tcPr>
          <w:p>
            <w:pPr>
              <w:spacing w:line="240" w:lineRule="auto" w:before="0" w:after="0"/>
              <w:pStyle w:val="Compact"/>
            </w:pPr>
            <w:r>
              <w:rPr>
                <w:sz w:val="20"/>
                <w:szCs w:val="20"/>
              </w:rPr>
              <w:t xml:space="preserve">Mission orbit records; Wikipedia List of space telescopes</w:t>
            </w:r>
          </w:p>
        </w:tc>
      </w:tr>
      <w:tr>
        <w:tc>
          <w:tcPr>
            <w:tcW w:w="0" w:type="auto"/>
          </w:tcPr>
          <w:p>
            <w:pPr>
              <w:spacing w:line="240" w:lineRule="auto" w:before="0" w:after="0"/>
              <w:pStyle w:val="Compact"/>
            </w:pPr>
            <w:r>
              <w:rPr>
                <w:sz w:val="20"/>
                <w:szCs w:val="20"/>
              </w:rPr>
              <w:t xml:space="preserve">consumable_limited</w:t>
            </w:r>
          </w:p>
        </w:tc>
        <w:tc>
          <w:tcPr>
            <w:tcW w:w="0" w:type="auto"/>
          </w:tcPr>
          <w:p>
            <w:pPr>
              <w:spacing w:line="240" w:lineRule="auto" w:before="0" w:after="0"/>
              <w:pStyle w:val="Compact"/>
            </w:pPr>
            <w:r>
              <w:rPr>
                <w:sz w:val="20"/>
                <w:szCs w:val="20"/>
              </w:rPr>
              <w:t xml:space="preserve">Consumable-limited indicator: 1 if the primary mission lifetime is gated by an expendable cryogen or coolant, 0 otherwise</w:t>
            </w:r>
          </w:p>
        </w:tc>
        <w:tc>
          <w:tcPr>
            <w:tcW w:w="0" w:type="auto"/>
          </w:tcPr>
          <w:p>
            <w:pPr>
              <w:spacing w:line="240" w:lineRule="auto" w:before="0" w:after="0"/>
              <w:pStyle w:val="Compact"/>
            </w:pPr>
            <w:r>
              <w:rPr>
                <w:sz w:val="20"/>
                <w:szCs w:val="20"/>
              </w:rPr>
              <w:t xml:space="preserve">Mission descriptions of cryogen/coolant depletion as end-of-mission cause</w:t>
            </w:r>
          </w:p>
        </w:tc>
      </w:tr>
    </w:tbl>
    <w:bookmarkEnd w:id="167"/>
    <w:bookmarkEnd w:id="168"/>
    <w:bookmarkEnd w:id="16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54" Type="http://schemas.openxmlformats.org/officeDocument/2006/relationships/image" Target="media/rId154.png"/><Relationship Id="rId162" Type="http://schemas.openxmlformats.org/officeDocument/2006/relationships/image" Target="media/rId162.png"/><Relationship Id="rId144" Type="http://schemas.openxmlformats.org/officeDocument/2006/relationships/hyperlink" Target="https://doi.org/10.1016/j.actaastro.2018.04.031" TargetMode="External"/><Relationship Id="rId146" Type="http://schemas.openxmlformats.org/officeDocument/2006/relationships/hyperlink" Target="https://doi.org/10.1016/j.actaastro.2019.05.009" TargetMode="External"/><Relationship Id="rId142" Type="http://schemas.openxmlformats.org/officeDocument/2006/relationships/hyperlink" Target="https://doi.org/10.1016/j.actaastro.2021.01.048" TargetMode="External"/><Relationship Id="rId150" Type="http://schemas.openxmlformats.org/officeDocument/2006/relationships/hyperlink" Target="https://doi.org/10.1016/j.actaastro.2024.08.031" TargetMode="External"/><Relationship Id="rId148" Type="http://schemas.openxmlformats.org/officeDocument/2006/relationships/hyperlink" Target="https://doi.org/10.1016/j.actaastro.2024.10.066" TargetMode="External"/><Relationship Id="rId140" Type="http://schemas.openxmlformats.org/officeDocument/2006/relationships/hyperlink" Target="https://doi.org/10.1016/j.actaastro.2025.04.044" TargetMode="External"/><Relationship Id="rId136" Type="http://schemas.openxmlformats.org/officeDocument/2006/relationships/hyperlink" Target="https://doi.org/10.1016/j.actaastro.2025.11.006" TargetMode="External"/><Relationship Id="rId138" Type="http://schemas.openxmlformats.org/officeDocument/2006/relationships/hyperlink" Target="https://doi.org/10.1016/j.actaastro.2026.03.026" TargetMode="External"/><Relationship Id="rId134" Type="http://schemas.openxmlformats.org/officeDocument/2006/relationships/hyperlink" Target="https://doi.org/10.64861/QSBT6539" TargetMode="External"/></Relationships>
</file>

<file path=word/_rels/footnotes.xml.rels><?xml version='1.0' encoding='UTF-8' standalone='yes'?>
<Relationships xmlns="http://schemas.openxmlformats.org/package/2006/relationships"><Relationship Id="rId144" Type="http://schemas.openxmlformats.org/officeDocument/2006/relationships/hyperlink" Target="https://doi.org/10.1016/j.actaastro.2018.04.031" TargetMode="External"/><Relationship Id="rId146" Type="http://schemas.openxmlformats.org/officeDocument/2006/relationships/hyperlink" Target="https://doi.org/10.1016/j.actaastro.2019.05.009" TargetMode="External"/><Relationship Id="rId142" Type="http://schemas.openxmlformats.org/officeDocument/2006/relationships/hyperlink" Target="https://doi.org/10.1016/j.actaastro.2021.01.048" TargetMode="External"/><Relationship Id="rId150" Type="http://schemas.openxmlformats.org/officeDocument/2006/relationships/hyperlink" Target="https://doi.org/10.1016/j.actaastro.2024.08.031" TargetMode="External"/><Relationship Id="rId148" Type="http://schemas.openxmlformats.org/officeDocument/2006/relationships/hyperlink" Target="https://doi.org/10.1016/j.actaastro.2024.10.066" TargetMode="External"/><Relationship Id="rId140" Type="http://schemas.openxmlformats.org/officeDocument/2006/relationships/hyperlink" Target="https://doi.org/10.1016/j.actaastro.2025.04.044" TargetMode="External"/><Relationship Id="rId136" Type="http://schemas.openxmlformats.org/officeDocument/2006/relationships/hyperlink" Target="https://doi.org/10.1016/j.actaastro.2025.11.006" TargetMode="External"/><Relationship Id="rId138" Type="http://schemas.openxmlformats.org/officeDocument/2006/relationships/hyperlink" Target="https://doi.org/10.1016/j.actaastro.2026.03.026" TargetMode="External"/><Relationship Id="rId134" Type="http://schemas.openxmlformats.org/officeDocument/2006/relationships/hyperlink" Target="https://doi.org/10.64861/QSBT65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Science-Return Learning Curve of Space Telescopes: A Productivity Econometric of Observatory Maturation</dc:title>
  <dc:creator>Joon Cohen (1B-AST-050)</dc:creator>
  <cp:keywords/>
  <dcterms:created xsi:type="dcterms:W3CDTF">2026-07-04T11:29:48Z</dcterms:created>
  <dcterms:modified xsi:type="dcterms:W3CDTF">2026-07-04T11:29:48Z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