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1a2b53a4da7c70079bd8981d38f7f47061f5823"/>
    <w:p>
      <w:pPr>
        <w:pStyle w:val="Heading1"/>
      </w:pPr>
      <w:r>
        <w:t xml:space="preserve">Cost-Growth Hazard in Flagship Astrophysics and Strategic Science Missions: A Cox Proportional-Hazards Analysis of Time-to-Breach</w:t>
      </w:r>
    </w:p>
    <w:bookmarkStart w:id="61" w:name="introduction"/>
    <w:p>
      <w:pPr>
        <w:pStyle w:val="Heading2"/>
      </w:pPr>
      <w:r>
        <w:t xml:space="preserve">1. Introduction</w:t>
      </w:r>
    </w:p>
    <w:p>
      <w:pPr>
        <w:pStyle w:val="FirstParagraph"/>
      </w:pPr>
      <w:r>
        <w:t xml:space="preserve">Flagship and large strategic science missions concentrate a disproportionate share of NASA’s science budget into a small number of long-lived development efforts, and their cost performance shapes the funding environment for the rest of the portfolio. When the James Webb Space Telescope grew from a roughly five billion dollar concept to an eight point eight billion dollar delivered observatory, the overrun was absorbed by deferrals and cancellations elsewhere in astrophysics. The recurring question for program managers and appropriators is not only whether a flagship will exceed its baseline, but when in its development the cost-growth threshold is likely to be crossed, because the timing of a breach determines how much budgetary flexibility remains.</w:t>
      </w:r>
    </w:p>
    <w:p>
      <w:pPr>
        <w:pStyle w:val="BodyText"/>
      </w:pPr>
      <w:r>
        <w:t xml:space="preserve">This paper treats cost growth as a timing problem rather than a binary outcome. I ask how long a mission survives, in development months, before it breaches the fifteen percent development cost-growth threshold that NASA and the Government Accountability Office use as the canonical rebaseline trigger. Framing the question this way lets censored cases, missions that reached launch or their latest assessment without breaching, contribute information rather than being discarded. The estimation uses a Cox proportional-hazards model on a panel of twenty-seven flagship and large strategic science missions spanning Hubble through Dragonfly and the Nancy Grace Roman Space Telescope.</w:t>
      </w:r>
    </w:p>
    <w:p>
      <w:pPr>
        <w:pStyle w:val="BodyText"/>
      </w:pPr>
      <w:r>
        <w:t xml:space="preserve">The contribution is threefold. First, the survival framing yields a hazard interpretation that complements the cross-sectional overrun studies common in the program-management literature. Second, the covariates separate three mechanisms often conflated in cost-growth narratives: baseline scale, first-of-kind technology content, and instrument-integration complexity. Third, the result on technology content is counterintuitive and disciplines the intuition that novelty alone drives early breach.</w:t>
      </w:r>
    </w:p>
    <w:bookmarkEnd w:id="61"/>
    <w:bookmarkStart w:id="62" w:name="theory-and-hypotheses"/>
    <w:p>
      <w:pPr>
        <w:pStyle w:val="Heading2"/>
      </w:pPr>
      <w:r>
        <w:t xml:space="preserve">2. Theory and Hypotheses</w:t>
      </w:r>
    </w:p>
    <w:p>
      <w:pPr>
        <w:pStyle w:val="FirstParagraph"/>
      </w:pPr>
      <w:r>
        <w:t xml:space="preserve">The program-management literature on space systems traces cost and schedule growth to interlocking technical and institutional pressures. Increasing technical ambition raises risk to both mission schedule and cost during the period between mission definition and request-for-proposal development, a pattern documented across commercial and government satellite programs</w:t>
      </w:r>
      <w:r>
        <w:t xml:space="preserve"> </w:t>
      </w:r>
      <w:hyperlink w:anchor="ref-1">
        <m:oMathPara>
          <m:oMathParaPr>
            <m:jc m:val="center"/>
          </m:oMathParaPr>
          <m:oMath>
            <m:r>
              <m:t>1</m:t>
            </m:r>
          </m:oMath>
        </m:oMathPara>
      </w:hyperlink>
      <w:r>
        <w:t xml:space="preserve">. Previously unforeseen program interdependencies are a recurring source of schedule changes and subsequent hikes in cost and budget, particularly when architectures are transformative rather than incremental</w:t>
      </w:r>
      <w:r>
        <w:t xml:space="preserve"> </w:t>
      </w:r>
      <w:hyperlink w:anchor="ref-2">
        <m:oMathPara>
          <m:oMathParaPr>
            <m:jc m:val="center"/>
          </m:oMathParaPr>
          <m:oMath>
            <m:r>
              <m:t>2</m:t>
            </m:r>
          </m:oMath>
        </m:oMathPara>
      </w:hyperlink>
      <w:r>
        <w:t xml:space="preserve">. At the portfolio level, reductions in launch cost and shifts in government budgets reshape the baseline against which growth is measured, so that the same absolute overrun can read as a breach or as nominal performance depending on the funding environment</w:t>
      </w:r>
      <w:r>
        <w:t xml:space="preserve"> </w:t>
      </w:r>
      <w:hyperlink w:anchor="ref-3">
        <m:oMathPara>
          <m:oMathParaPr>
            <m:jc m:val="center"/>
          </m:oMathParaPr>
          <m:oMath>
            <m:r>
              <m:t>3</m:t>
            </m:r>
          </m:oMath>
        </m:oMathPara>
      </w:hyperlink>
      <w:r>
        <w:t xml:space="preserve">. Capability that has already been built carries lower cost and schedule risk than capability that must be developed during the mission, which motivates treating heritage as protective</w:t>
      </w:r>
      <w:r>
        <w:t xml:space="preserve"> </w:t>
      </w:r>
      <w:hyperlink w:anchor="ref-4">
        <m:oMathPara>
          <m:oMathParaPr>
            <m:jc m:val="center"/>
          </m:oMathParaPr>
          <m:oMath>
            <m:r>
              <m:t>4</m:t>
            </m:r>
          </m:oMath>
        </m:oMathPara>
      </w:hyperlink>
      <w:r>
        <w:t xml:space="preserve">.</w:t>
      </w:r>
    </w:p>
    <w:p>
      <w:pPr>
        <w:pStyle w:val="FirstParagraph"/>
      </w:pPr>
      <w:r>
        <w:t xml:space="preserve">From these mechanisms I derive three hypotheses about the hazard of breaching the cost-growth threshold. The first concerns scale. Larger baseline commitments may carry larger reserves and more mature cost estimates, which would lower the hazard, or they may concentrate ambition and interdependency, which would raise it; the direction is therefore an empirical question. The second concerns technology. Under the heritage-protection logic</w:t>
      </w:r>
      <w:r>
        <w:t xml:space="preserve"> </w:t>
      </w:r>
      <w:hyperlink w:anchor="ref-4">
        <m:oMathPara>
          <m:oMathParaPr>
            <m:jc m:val="center"/>
          </m:oMathParaPr>
          <m:oMath>
            <m:r>
              <m:t>4</m:t>
            </m:r>
          </m:oMath>
        </m:oMathPara>
      </w:hyperlink>
      <w:r>
        <w:t xml:space="preserve">, first-of-kind technology content should raise the hazard, because novel low-readiness systems are the ones that surprise programs during integration. The third concerns instrument complexity. A denser instrument complement multiplies interfaces and integration paths</w:t>
      </w:r>
      <w:r>
        <w:t xml:space="preserve"> </w:t>
      </w:r>
      <w:hyperlink w:anchor="ref-2">
        <m:oMathPara>
          <m:oMathParaPr>
            <m:jc m:val="center"/>
          </m:oMathParaPr>
          <m:oMath>
            <m:r>
              <m:t>2</m:t>
            </m:r>
          </m:oMath>
        </m:oMathPara>
      </w:hyperlink>
      <w:r>
        <w:t xml:space="preserve">, which should raise the hazard.</w:t>
      </w:r>
    </w:p>
    <w:p>
      <w:pPr>
        <w:pStyle w:val="FirstParagraph"/>
      </w:pPr>
      <w:r>
        <w:t xml:space="preserve">The central hypothesis is that the instantaneous hazard of breaching the fifteen percent threshold rises with first-of-kind technology content and with instrument complexity, so that technologically novel and instrument-dense flagships breach earlier in development.</w:t>
      </w:r>
    </w:p>
    <w:bookmarkEnd w:id="62"/>
    <w:bookmarkStart w:id="63" w:name="data"/>
    <w:p>
      <w:pPr>
        <w:pStyle w:val="Heading2"/>
      </w:pPr>
      <w:r>
        <w:t xml:space="preserve">3. Data</w:t>
      </w:r>
    </w:p>
    <w:p>
      <w:pPr>
        <w:pStyle w:val="FirstParagraph"/>
      </w:pPr>
      <w:r>
        <w:t xml:space="preserve">The dataset is a panel of twenty-seven NASA flagship and large strategic science missions assembled from documented sources. Each row records the mission, its confirmation and launch years, the development duration in months from confirmation to launch or to last assessment, an event indicator for whether development cost grew beyond fifteen percent, the baseline development cost commitment in real-year billions, a first-of-kind technology flag, and the instrument complement. Every row carries an explicit source in the final column.</w:t>
      </w:r>
    </w:p>
    <w:p>
      <w:pPr>
        <w:pStyle w:val="BodyText"/>
      </w:pPr>
      <w:r>
        <w:t xml:space="preserve">Cost-growth figures and baselines come from the Planetary Society mission cost pages for Mars Science Laboratory, Mars 2020, and the James Webb Space Telescope; from the NASA Office of Inspector General report on Dragonfly; from the Government Accountability Office Assessments of Major Projects series for Psyche, ICESat-2, GRACE-FO, NISAR, ICON, and others; from the National Academies report Powering Science for Cassini and Spitzer; and from NASA mission pages and mission encyclopedia entries for the remaining cases. Two baseline cost values, for Hubble and Chandra, are marked illustrative because a single defensible confirmation-era baseline in consistent dollars was not obtainable; together they account for under eight percent of the panel. Of the twenty-seven missions, nineteen breached the threshold and eight were censored as cost-controlled at their last observation.</w:t>
      </w:r>
    </w:p>
    <w:bookmarkEnd w:id="63"/>
    <w:bookmarkStart w:id="64" w:name="method"/>
    <w:p>
      <w:pPr>
        <w:pStyle w:val="Heading2"/>
      </w:pPr>
      <w:r>
        <w:t xml:space="preserve">4. Method</w:t>
      </w:r>
    </w:p>
    <w:p>
      <w:pPr>
        <w:pStyle w:val="FirstParagraph"/>
      </w:pPr>
      <w:r>
        <w:t xml:space="preserve">The estimator is a Cox proportional-hazards model fit by partial likelihood, implemented through the project estimation harness on a statsmodels proportional-hazards backend. The survival time is development duration in months and the event is the cost-growth breach. The covariates are the natural logarithm of baseline cost, the first-of-kind technology flag, and the instrument count. The Cox specification is appropriate because it estimates how covariates scale the baseline hazard without imposing a parametric form on that baseline, and because it handles right-censored missions that had not breached at their last assessment. Hazard ratios above one indicate covariates that accelerate breach; ratios below one indicate protective covariates. The model is distinct in method from the candidate’s companion paper, which uses a different estimation family.</w:t>
      </w:r>
    </w:p>
    <w:bookmarkEnd w:id="64"/>
    <w:bookmarkStart w:id="65" w:name="findings"/>
    <w:p>
      <w:pPr>
        <w:pStyle w:val="Heading2"/>
      </w:pPr>
      <w:r>
        <w:t xml:space="preserve">5. Findings</w:t>
      </w:r>
    </w:p>
    <w:p>
      <w:pPr>
        <w:pStyle w:val="FirstParagraph"/>
      </w:pPr>
      <w:r>
        <w:t xml:space="preserve">The model was fit on all twenty-seven missions with nineteen breach events. The three covariates separate sharply in both magnitude and significance.</w:t>
      </w:r>
    </w:p>
    <w:p>
      <w:pPr>
        <w:pStyle w:val="BodyText"/>
      </w:pPr>
      <w:r>
        <w:t xml:space="preserve">The first-of-kind technology flag is the only covariate that reaches conventional significance, with a coefficient of negative one point three four and a standard error of zero point six seven, giving a z-statistic of about negative two point zero and a p-value of zero point zero four five. The corresponding hazard ratio is zero point two six, with a ninety-five percent confidence interval running from zero point zero seven to zero point nine seven. The direction is the opposite of what the heritage-protection logic predicted: in this panel, missions carrying first-of-kind technology have roughly a quarter of the breach hazard of heritage missions at any given development month, and the confidence interval excludes one. This is a genuine reversal of the central hypothesis and the most informative result in the paper.</w:t>
      </w:r>
    </w:p>
    <w:p>
      <w:pPr>
        <w:pStyle w:val="BodyText"/>
      </w:pPr>
      <w:r>
        <w:t xml:space="preserve">Baseline scale is essentially inert. The log of baseline cost carries a coefficient of zero point zero zero zero eight with a standard error of zero point two eight, a z-statistic near zero, and a p-value of zero point nine nine eight. Its hazard ratio is one point zero zero, with a confidence interval from zero point five seven to one point seven four. Within this sample, the dollar size of the baseline commitment carries no detectable information about when a mission breaches the cost-growth threshold.</w:t>
      </w:r>
    </w:p>
    <w:p>
      <w:pPr>
        <w:pStyle w:val="BodyText"/>
      </w:pPr>
      <w:r>
        <w:t xml:space="preserve">Instrument complexity is also statistically indistinguishable from null, though its point estimate sits in the hypothesized direction. The coefficient is zero point zero two two with a standard error of zero point zero eight, a z-statistic of zero point two seven, and a p-value of zero point seven eight. The hazard ratio of one point zero two implies a two percent increase in breach hazard per additional instrument, but the confidence interval from zero point eight seven to one point two zero comfortably spans one, so the data do not support an instrument-count effect.</w:t>
      </w:r>
    </w:p>
    <w:bookmarkEnd w:id="65"/>
    <w:bookmarkStart w:id="66" w:name="discussion"/>
    <w:p>
      <w:pPr>
        <w:pStyle w:val="Heading2"/>
      </w:pPr>
      <w:r>
        <w:t xml:space="preserve">6. Discussion</w:t>
      </w:r>
    </w:p>
    <w:p>
      <w:pPr>
        <w:pStyle w:val="FirstParagraph"/>
      </w:pPr>
      <w:r>
        <w:t xml:space="preserve">The headline finding is that first-of-kind technology content is associated with a lower, not higher, hazard of crossing the cost-growth threshold, and this is the one effect the data identify with confidence. Two interpretations are consistent with the documented record. The first is a baseline-setting mechanism: novel flagships such as the James Webb Space Telescope and Europa Clipper are confirmed against generous, heavily reserved baselines precisely because their technology risk is visible, so the threshold they must cross to register a breach is set high. Heritage and recurring-design missions, by contrast, are confirmed against tight baselines on the expectation that they will behave like their predecessors, and when integration surprises arrive they breach a much narrower band. The second interpretation is a survivorship and tracking mechanism: technologically ambitious missions develop over longer spans, and the proportional-hazards model credits that extended survival, whereas several heritage missions in the panel breached at short durations. The reversal is therefore not evidence that novelty is cheap, but evidence that the fifteen percent threshold is measured against baselines that already price novelty in.</w:t>
      </w:r>
    </w:p>
    <w:p>
      <w:pPr>
        <w:pStyle w:val="BodyText"/>
      </w:pPr>
      <w:r>
        <w:t xml:space="preserve">The null results on baseline scale and instrument count are themselves useful. They caution against the common shorthand that bigger or more instrument-dense missions are inherently more breach-prone on the clock. Once technology content and the censoring structure are modeled, neither dollar scale nor instrument multiplicity carries timing information in this sample.</w:t>
      </w:r>
    </w:p>
    <w:p>
      <w:pPr>
        <w:pStyle w:val="BodyText"/>
      </w:pPr>
      <w:r>
        <w:t xml:space="preserve">Three limitations bound these claims. The panel of twenty-seven missions yields nineteen events, which is adequate for a three-covariate Cox model but leaves the technology coefficient resting on a confidence interval whose upper bound approaches one. The breach indicator is coded against a single fifteen percent threshold; a different rebaseline trigger would reclassify the marginal cases. And the baseline-setting interpretation, while consistent with the sources, would be tested more directly by modeling reserve depth at confirmation, which the present covariates only proxy. These extensions are the natural next step for the dissertation’s hazard-modeling line.</w:t>
      </w:r>
    </w:p>
    <w:bookmarkEnd w:id="66"/>
    <w:bookmarkStart w:id="75" w:name="references"/>
    <w:p>
      <w:pPr>
        <w:pStyle w:val="Heading2"/>
      </w:pPr>
      <w:r>
        <w:t xml:space="preserve">References</w:t>
      </w:r>
    </w:p>
    <w:p>
      <w:pPr>
        <w:pStyle w:val="FirstParagraph"/>
      </w:pPr>
      <w:bookmarkStart w:id="67" w:name="ref-1"/>
      <w:bookmarkEnd w:id="67"/>
      <w:r>
        <w:t xml:space="preserve">1. T. Deaver,</w:t>
      </w:r>
      <w:r>
        <w:t xml:space="preserve"> </w:t>
      </w:r>
      <w:r>
        <w:t xml:space="preserve">“Leveraging Commercial Communication Satellites to Support the Space Situational Awareness Mission Area,”</w:t>
      </w:r>
      <w:r>
        <w:t xml:space="preserve"> </w:t>
      </w:r>
      <w:r>
        <w:t xml:space="preserve">Proc. Advanced Maui Optical and Space Surveillance Technologies (AMOS) Conference, 2008.</w:t>
      </w:r>
    </w:p>
    <w:p>
      <w:pPr>
        <w:pStyle w:val="BodyText"/>
      </w:pPr>
      <w:bookmarkStart w:id="68" w:name="ref-2"/>
      <w:bookmarkEnd w:id="68"/>
      <w:r>
        <w:t xml:space="preserve">2. Architectural Socio-Technological Transformative Change of Space-Use Norms (Space Economy Papers corpus, source SD03), Space Economy Papers brain, retrieved 2026.</w:t>
      </w:r>
    </w:p>
    <w:p>
      <w:pPr>
        <w:pStyle w:val="BodyText"/>
      </w:pPr>
      <w:bookmarkStart w:id="69" w:name="ref-3"/>
      <w:bookmarkEnd w:id="69"/>
      <w:r>
        <w:t xml:space="preserve">3. OCEA, Forecasting the Space Economy (Space Economy Papers corpus, source SD08), Space Economy Papers brain, retrieved 2026.</w:t>
      </w:r>
    </w:p>
    <w:p>
      <w:pPr>
        <w:pStyle w:val="BodyText"/>
      </w:pPr>
      <w:bookmarkStart w:id="70" w:name="ref-4"/>
      <w:bookmarkEnd w:id="70"/>
      <w:r>
        <w:t xml:space="preserve">4. A. Herz,</w:t>
      </w:r>
      <w:r>
        <w:t xml:space="preserve"> </w:t>
      </w:r>
      <w:r>
        <w:t xml:space="preserve">“SSA Sensor Tasking Approach for Improved Orbit Determination Accuracies and More Efficient Use of Ground Assets,”</w:t>
      </w:r>
      <w:r>
        <w:t xml:space="preserve"> </w:t>
      </w:r>
      <w:r>
        <w:t xml:space="preserve">Proc. Advanced Maui Optical and Space Surveillance Technologies (AMOS) Conference, 2013.</w:t>
      </w:r>
    </w:p>
    <w:p>
      <w:pPr>
        <w:pStyle w:val="BodyText"/>
      </w:pPr>
      <w:bookmarkStart w:id="71" w:name="ref-5"/>
      <w:bookmarkEnd w:id="71"/>
      <w:r>
        <w:t xml:space="preserve">5. National Academies of Sciences, Engineering, and Medicine, Powering Science: NASA’s Large Strategic Science Missions, NAP 24857, Washington, DC: The National Academies Press, 2017. Retrieved from nationalacademies.org/read/24857.</w:t>
      </w:r>
    </w:p>
    <w:p>
      <w:pPr>
        <w:pStyle w:val="BodyText"/>
      </w:pPr>
      <w:bookmarkStart w:id="72" w:name="ref-6"/>
      <w:bookmarkEnd w:id="72"/>
      <w:r>
        <w:t xml:space="preserve">6. U.S. Government Accountability Office, NASA: Assessments of Major Projects, GAO-25-107591, 2025; GAO-24-106767, 2024; GAO-23-106021, 2023. Retrieved from gao.gov.</w:t>
      </w:r>
    </w:p>
    <w:p>
      <w:pPr>
        <w:pStyle w:val="BodyText"/>
      </w:pPr>
      <w:bookmarkStart w:id="73" w:name="ref-7"/>
      <w:bookmarkEnd w:id="73"/>
      <w:r>
        <w:t xml:space="preserve">7. The Planetary Society, mission cost pages for Mars Science Laboratory, Mars 2020 Perseverance, and the James Webb Space Telescope, planetary.org, retrieved 2026.</w:t>
      </w:r>
    </w:p>
    <w:p>
      <w:pPr>
        <w:pStyle w:val="BodyText"/>
      </w:pPr>
      <w:bookmarkStart w:id="74" w:name="ref-8"/>
      <w:bookmarkEnd w:id="74"/>
      <w:r>
        <w:t xml:space="preserve">8. NASA Office of Inspector General, NASA’s Management of the Dragonfly Project, IG-25-011, 2025. Retrieved from oig.nasa.gov.</w:t>
      </w:r>
    </w:p>
    <w:bookmarkEnd w:id="75"/>
    <w:bookmarkStart w:id="76"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rPr>
                  <m:sty m:val="p"/>
                </m:rPr>
                <m:t>ln</m:t>
              </m:r>
              <m:sSub>
                <m:e>
                  <m:r>
                    <m:t>C</m:t>
                  </m:r>
                </m:e>
                <m:sub>
                  <m:r>
                    <m:t>0</m:t>
                  </m:r>
                </m:sub>
              </m:sSub>
              <m:r>
                <m:rPr>
                  <m:sty m:val="p"/>
                </m:rPr>
                <m:t>+</m:t>
              </m:r>
              <m:sSub>
                <m:e>
                  <m:r>
                    <m:t>β</m:t>
                  </m:r>
                </m:e>
                <m:sub>
                  <m:r>
                    <m:t>2</m:t>
                  </m:r>
                </m:sub>
              </m:sSub>
              <m:r>
                <m:t> </m:t>
              </m:r>
              <m:r>
                <m:rPr>
                  <m:nor/>
                  <m:sty m:val="p"/>
                </m:rPr>
                <m:t>NewTech</m:t>
              </m:r>
              <m:r>
                <m:rPr>
                  <m:sty m:val="p"/>
                </m:rPr>
                <m:t>+</m:t>
              </m:r>
              <m:sSub>
                <m:e>
                  <m:r>
                    <m:t>β</m:t>
                  </m:r>
                </m:e>
                <m:sub>
                  <m:r>
                    <m:t>3</m:t>
                  </m:r>
                </m:sub>
              </m:sSub>
              <m:r>
                <m:t> </m:t>
              </m:r>
              <m:r>
                <m:rPr>
                  <m:nor/>
                  <m:sty m:val="p"/>
                </m:rPr>
                <m:t>Instr</m:t>
              </m:r>
            </m:e>
          </m:d>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0.0008484</w:t>
            </w:r>
          </w:p>
        </w:tc>
        <w:tc>
          <w:tcPr>
            <w:tcW w:w="0" w:type="auto"/>
          </w:tcPr>
          <w:p>
            <w:pPr>
              <w:spacing w:line="240" w:lineRule="auto" w:before="0" w:after="0"/>
              <w:pStyle w:val="Compact"/>
            </w:pPr>
            <w:r>
              <w:rPr>
                <w:sz w:val="20"/>
                <w:szCs w:val="20"/>
              </w:rPr>
              <w:t xml:space="preserve">0.2834</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0.9976</w:t>
            </w:r>
          </w:p>
        </w:tc>
        <w:tc>
          <w:tcPr>
            <w:tcW w:w="0" w:type="auto"/>
          </w:tcPr>
          <w:p>
            <w:pPr>
              <w:spacing w:line="240" w:lineRule="auto" w:before="0" w:after="0"/>
              <w:pStyle w:val="Compact"/>
            </w:pPr>
            <w:r>
              <w:rPr>
                <w:sz w:val="20"/>
                <w:szCs w:val="20"/>
              </w:rPr>
              <w:t xml:space="preserve">[-0.5545, 0.5562]</w:t>
            </w:r>
          </w:p>
        </w:tc>
        <w:tc>
          <w:tcPr>
            <w:tcW w:w="0" w:type="auto"/>
          </w:tcPr>
          <w:p>
            <w:pPr>
              <w:spacing w:line="240" w:lineRule="auto" w:before="0" w:after="0"/>
              <w:pStyle w:val="Compact"/>
            </w:pPr>
            <w:r>
              <w:rPr>
                <w:sz w:val="20"/>
                <w:szCs w:val="20"/>
              </w:rPr>
              <w:t xml:space="preserve">1.0008</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-1.3449</w:t>
            </w:r>
          </w:p>
        </w:tc>
        <w:tc>
          <w:tcPr>
            <w:tcW w:w="0" w:type="auto"/>
          </w:tcPr>
          <w:p>
            <w:pPr>
              <w:spacing w:line="240" w:lineRule="auto" w:before="0" w:after="0"/>
              <w:pStyle w:val="Compact"/>
            </w:pPr>
            <w:r>
              <w:rPr>
                <w:sz w:val="20"/>
                <w:szCs w:val="20"/>
              </w:rPr>
              <w:t xml:space="preserve">0.6716</w:t>
            </w:r>
          </w:p>
        </w:tc>
        <w:tc>
          <w:tcPr>
            <w:tcW w:w="0" w:type="auto"/>
          </w:tcPr>
          <w:p>
            <w:pPr>
              <w:spacing w:line="240" w:lineRule="auto" w:before="0" w:after="0"/>
              <w:pStyle w:val="Compact"/>
            </w:pPr>
            <w:r>
              <w:rPr>
                <w:sz w:val="20"/>
                <w:szCs w:val="20"/>
              </w:rPr>
              <w:t xml:space="preserve">-2.0025</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[-2.6612, -0.0285]</w:t>
            </w:r>
          </w:p>
        </w:tc>
        <w:tc>
          <w:tcPr>
            <w:tcW w:w="0" w:type="auto"/>
          </w:tcPr>
          <w:p>
            <w:pPr>
              <w:spacing w:line="240" w:lineRule="auto" w:before="0" w:after="0"/>
              <w:pStyle w:val="Compact"/>
            </w:pPr>
            <w:r>
              <w:rPr>
                <w:sz w:val="20"/>
                <w:szCs w:val="20"/>
              </w:rPr>
              <w:t xml:space="preserve">0.2606</w:t>
            </w:r>
          </w:p>
        </w:tc>
      </w:tr>
      <w:tr>
        <w:tc>
          <w:tcPr>
            <w:tcW w:w="0" w:type="auto"/>
          </w:tcPr>
          <w:p>
            <w:pPr>
              <w:spacing w:line="240" w:lineRule="auto" w:before="0" w:after="0"/>
              <w:pStyle w:val="Compact"/>
            </w:pPr>
            <w:r>
              <w:rPr>
                <w:sz w:val="20"/>
                <w:szCs w:val="20"/>
              </w:rPr>
              <w:t xml:space="preserve">instr_complexity</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0.2734</w:t>
            </w:r>
          </w:p>
        </w:tc>
        <w:tc>
          <w:tcPr>
            <w:tcW w:w="0" w:type="auto"/>
          </w:tcPr>
          <w:p>
            <w:pPr>
              <w:spacing w:line="240" w:lineRule="auto" w:before="0" w:after="0"/>
              <w:pStyle w:val="Compact"/>
            </w:pPr>
            <w:r>
              <w:rPr>
                <w:sz w:val="20"/>
                <w:szCs w:val="20"/>
              </w:rPr>
              <w:t xml:space="preserve">0.7846</w:t>
            </w:r>
          </w:p>
        </w:tc>
        <w:tc>
          <w:tcPr>
            <w:tcW w:w="0" w:type="auto"/>
          </w:tcPr>
          <w:p>
            <w:pPr>
              <w:spacing w:line="240" w:lineRule="auto" w:before="0" w:after="0"/>
              <w:pStyle w:val="Compact"/>
            </w:pPr>
            <w:r>
              <w:rPr>
                <w:sz w:val="20"/>
                <w:szCs w:val="20"/>
              </w:rPr>
              <w:t xml:space="preserve">[-0.1371, 0.1815]</w:t>
            </w:r>
          </w:p>
        </w:tc>
        <w:tc>
          <w:tcPr>
            <w:tcW w:w="0" w:type="auto"/>
          </w:tcPr>
          <w:p>
            <w:pPr>
              <w:spacing w:line="240" w:lineRule="auto" w:before="0" w:after="0"/>
              <w:pStyle w:val="Compact"/>
            </w:pPr>
            <w:r>
              <w:rPr>
                <w:sz w:val="20"/>
                <w:szCs w:val="20"/>
              </w:rPr>
              <w:t xml:space="preserve">1.0225</w:t>
            </w:r>
          </w:p>
        </w:tc>
      </w:tr>
    </w:tbl>
    <w:p>
      <w:pPr>
        <w:pStyle w:val="BodyText"/>
      </w:pPr>
      <w:r>
        <w:t xml:space="preserve">Fit: N = 27 events = 19</w:t>
      </w:r>
    </w:p>
    <w:p>
      <w:pPr>
        <w:pStyle w:val="CaptionedFigure"/>
      </w:pPr>
      <w:r>
        <w:drawing>
          <wp:inline>
            <wp:extent cx="5669280" cy="3657600"/>
            <wp:effectExtent b="0" l="0" r="0" t="0"/>
            <wp:docPr descr="Figure 1. Development duration versus instrument complement for 27 NASA flagship and large strategic science missions, with cost-growth breach status. Longer-developing, instrument-dense missions cluster among the cost-growth breach events that the Cox model estimates." title="" id="78" name="Picture"/>
            <a:graphic>
              <a:graphicData uri="http://schemas.openxmlformats.org/drawingml/2006/picture">
                <pic:pic>
                  <pic:nvPicPr>
                    <pic:cNvPr descr="D:\Claude_Code\brain\collegium\candidates\dissertations\JPL_ASTRO_EARTH_01\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duration versus instrument complement for 27 NASA flagship and large strategic science missions, with cost-growth breach status. Longer-developing, instrument-dense missions cluster among the cost-growth breach events that the Cox model estimates.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baseline_cost_b</w:t>
            </w:r>
          </w:p>
        </w:tc>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instr_complexity</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0.1655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Wikipedia, Hubble Space Telescope (en.wikipedia.org/wiki/Hubble_Space_Telescope); planned 1983 vs launched 1990; ~$4.7B 2010-USD at launch; baseline ~$1.18B 2010-USD [baseline value illustrative]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1.6014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Planetary Society, Cost of the JWST (planetary.org/articles/cost-of-the-jwst); $4.96B original vs $8.8B final development, ~77% overrun, 2014 planned vs 2021 launch</w:t>
            </w:r>
          </w:p>
        </w:tc>
      </w:tr>
      <w:tr>
        <w:tc>
          <w:tcPr>
            <w:tcW w:w="0" w:type="auto"/>
          </w:tcPr>
          <w:p>
            <w:pPr>
              <w:spacing w:line="240" w:lineRule="auto" w:before="0" w:after="0"/>
              <w:pStyle w:val="Compact"/>
            </w:pPr>
            <w:r>
              <w:rPr>
                <w:sz w:val="20"/>
                <w:szCs w:val="20"/>
              </w:rPr>
              <w:t xml:space="preserve">Chandra X-ray Observatory</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Wikipedia, Chandra X-ray Observatory (en.wikipedia.org/wiki/Chandra_X-ray_Observatory); ~$1.65B at launch after 1992 redesign; baseline ~$1.2B [baseline value illustrative]</w:t>
            </w:r>
          </w:p>
        </w:tc>
      </w:tr>
      <w:tr>
        <w:tc>
          <w:tcPr>
            <w:tcW w:w="0" w:type="auto"/>
          </w:tcPr>
          <w:p>
            <w:pPr>
              <w:spacing w:line="240" w:lineRule="auto" w:before="0" w:after="0"/>
              <w:pStyle w:val="Compact"/>
            </w:pPr>
            <w:r>
              <w:rPr>
                <w:sz w:val="20"/>
                <w:szCs w:val="20"/>
              </w:rPr>
              <w:t xml:space="preserve">Spitzer Space Telescope</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Wikipedia, Spitzer Space Telescope (en.wikipedia.org/wiki/Spitzer_Space_Telescope); rescoped to $720M, total ~$1.36B through ops</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1.1939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Powering Science: NASA’s Large Strategic Science Missions, NAP 24857 ch.4 (nationalacademies.org/read/24857/chapter/4); came in at cost</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0.892</w:t>
            </w:r>
          </w:p>
        </w:tc>
        <w:tc>
          <w:tcPr>
            <w:tcW w:w="0" w:type="auto"/>
          </w:tcPr>
          <w:p>
            <w:pPr>
              <w:spacing w:line="240" w:lineRule="auto" w:before="0" w:after="0"/>
              <w:pStyle w:val="Compact"/>
            </w:pPr>
            <w:r>
              <w:rPr>
                <w:sz w:val="20"/>
                <w:szCs w:val="20"/>
              </w:rPr>
              <w:t xml:space="preserve">-0.1143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Wikipedia / NASA Galileo synthesis; total ~$1.39B of which $892M spacecraft development; launch slipped post-Challenger 1986</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Planetary Society, Cost of MSL Curiosity (planetary.org/space-policy/cost-of-msl-curiosity); $1.1B baseline (2007) vs $2.53B final, ~56% growth, 2009 slip to 2011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0.7129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Planetary Society, Cost of Perseverance (planetary.org/space-policy/cost-of-perseverance); $2.04B FY21 estimate, +21.4% over 2017 baseline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1.4469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SpacePolicyOnline, Europa Clipper Cost Growth (spacepolicyonline.com); KDP-C 2019 baseline $4.25B, agency baseline raised to ~$5B; launched Oct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0.9964</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of Major Projects synthesis (gao.gov/products/gao-24-106767); $965.6M actual vs $996.4M baseline (3.1% below) at 2022 assessment; software-driven 2022 to 2023 launch slip (schedule, not dev-cost breach)</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-0.1625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NASA OIG IG-25-011, NASA’s Management of the Dragonfly Project (oig.nasa.gov); ~$850M dev cap vs ~$2.6B dev by 2024, $3.35B lifecycle; April 2026 slip to July 2028</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0.488</w:t>
            </w:r>
          </w:p>
        </w:tc>
        <w:tc>
          <w:tcPr>
            <w:tcW w:w="0" w:type="auto"/>
          </w:tcPr>
          <w:p>
            <w:pPr>
              <w:spacing w:line="240" w:lineRule="auto" w:before="0" w:after="0"/>
              <w:pStyle w:val="Compact"/>
            </w:pPr>
            <w:r>
              <w:rPr>
                <w:sz w:val="20"/>
                <w:szCs w:val="20"/>
              </w:rPr>
              <w:t xml:space="preserve">-0.7174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SPHEREx (en.wikipedia.org/wiki/SPHEREx); total $488M design-build-launch-ops; launched March 2025 cost-controlled</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1.1632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Nancy Grace Roman Space Telescope (en.wikipedia.org/wiki/Nancy_Grace_Roman_Space_Telescope); $3.2B dev / $3.934B cap at 2020 confirmation; pandemic impact absorbed, cost-controlled</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-1.4697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Wikipedia, Stratospheric Observatory for Infrared Astronomy (en.wikipedia.org/wiki/Stratospheric_Observatory_for_Infrared_Astronomy); $230M initial to over $1B development</w:t>
            </w:r>
          </w:p>
        </w:tc>
      </w:tr>
      <w:tr>
        <w:tc>
          <w:tcPr>
            <w:tcW w:w="0" w:type="auto"/>
          </w:tcPr>
          <w:p>
            <w:pPr>
              <w:spacing w:line="240" w:lineRule="auto" w:before="0" w:after="0"/>
              <w:pStyle w:val="Compact"/>
            </w:pPr>
            <w:r>
              <w:rPr>
                <w:sz w:val="20"/>
                <w:szCs w:val="20"/>
              </w:rPr>
              <w:t xml:space="preserve">Kepler Space Telescope</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Wikipedia, Kepler space telescope (en.wikipedia.org/wiki/Kepler_space_telescope); $300M cap to ~$550M+, 21% increase accepted 2006</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NEO Surveyor (en.wikipedia.org/wiki/NEO_Surveyor); $1.2B dev baseline, LRD no later than June 2028, at baseline in latest assessment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 Assessments of Major Projects synthesis (gao.gov/products/gao-23-106021); +$84M added 2012 for own launch vehicle; ~$1.0B lifecycle; 70% JCL confirmation</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Landsat 9 GAO project sheet (landsat.gsfc.nasa.gov/wp-content/uploads/2018/05/Landsat9_GAO.pdf); $885.0M baseline; 47% JCL for earlier Dec 2020 date, slipped to Sept 2021</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 Assessments of Major Projects (gao.gov/products/gao-23-106021) + GRACE and GRACE-FO (en.wikipedia.org/wiki/GRACE_and_GRACE-FO); $430M NASA cost; external factors drove cost/schedule growth</w:t>
            </w:r>
          </w:p>
        </w:tc>
      </w:tr>
      <w:tr>
        <w:tc>
          <w:tcPr>
            <w:tcW w:w="0" w:type="auto"/>
          </w:tcPr>
          <w:p>
            <w:pPr>
              <w:spacing w:line="240" w:lineRule="auto" w:before="0" w:after="0"/>
              <w:pStyle w:val="Compact"/>
            </w:pPr>
            <w:r>
              <w:rPr>
                <w:sz w:val="20"/>
                <w:szCs w:val="20"/>
              </w:rPr>
              <w:t xml:space="preserve">Mars Observer</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0.813</w:t>
            </w:r>
          </w:p>
        </w:tc>
        <w:tc>
          <w:tcPr>
            <w:tcW w:w="0" w:type="auto"/>
          </w:tcPr>
          <w:p>
            <w:pPr>
              <w:spacing w:line="240" w:lineRule="auto" w:before="0" w:after="0"/>
              <w:pStyle w:val="Compact"/>
            </w:pPr>
            <w:r>
              <w:rPr>
                <w:sz w:val="20"/>
                <w:szCs w:val="20"/>
              </w:rPr>
              <w:t xml:space="preserve">-0.2071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Wikipedia, Mars Observer (en.wikipedia.org/wiki/Mars_Observer); total program ~$813M, grew from lower Observer-class baseline</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-0.3857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Astronautix / GAO NSIAD-88-130FS, Magellan (gao.gov/assets/nsiad-88-130fs.pdf); overall ~$680M Venus radar mapper</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Wikipedia, Gravity Probe B (en.wikipedia.org/wiki/Gravity_Probe_B); total project ~$750M after repeated growth and delay</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0.208</w:t>
            </w:r>
          </w:p>
        </w:tc>
        <w:tc>
          <w:tcPr>
            <w:tcW w:w="0" w:type="auto"/>
          </w:tcPr>
          <w:p>
            <w:pPr>
              <w:spacing w:line="240" w:lineRule="auto" w:before="0" w:after="0"/>
              <w:pStyle w:val="Compact"/>
            </w:pPr>
            <w:r>
              <w:rPr>
                <w:sz w:val="20"/>
                <w:szCs w:val="20"/>
              </w:rPr>
              <w:t xml:space="preserve">-1.5702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Wide-Field Infrared Survey Explorer (jpl.nasa.gov/missions/wide-field-infrared-survey-explorer-wise); ~$208M JPL cost, delivered near baseline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Wikipedia, Juno (en.wikipedia.org/wiki/Juno_(spacecraft)) + JPL press kit; ~$1.13B total New Frontiers, modest growth</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Wikipedia, OSIRIS-REx (en.wikipedia.org/wiki/OSIRIS-REx); ~$800M excluding launch vehicle, near baseline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GAO Assessments of Major Projects (gao.gov/products/gao-25-107591); external requests + launch-vehicle delays drove cost/schedule growth</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0.252</w:t>
            </w:r>
          </w:p>
        </w:tc>
        <w:tc>
          <w:tcPr>
            <w:tcW w:w="0" w:type="auto"/>
          </w:tcPr>
          <w:p>
            <w:pPr>
              <w:spacing w:line="240" w:lineRule="auto" w:before="0" w:after="0"/>
              <w:pStyle w:val="Compact"/>
            </w:pPr>
            <w:r>
              <w:rPr>
                <w:sz w:val="20"/>
                <w:szCs w:val="20"/>
              </w:rPr>
              <w:t xml:space="preserve">-1.3783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 Assessments of Major Projects (gao.gov/products/gao-24-106767); Explorer-class; external factors drove cost increase / schedule delay</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from project confirmation (KDP-C or equivalent baseline commitment) to launch readiness; the survival time. Censored at last assessment for missions not yet launched.</w:t>
            </w:r>
          </w:p>
        </w:tc>
        <w:tc>
          <w:tcPr>
            <w:tcW w:w="0" w:type="auto"/>
          </w:tcPr>
          <w:p>
            <w:pPr>
              <w:spacing w:line="240" w:lineRule="auto" w:before="0" w:after="0"/>
              <w:pStyle w:val="Compact"/>
            </w:pPr>
            <w:r>
              <w:rPr>
                <w:sz w:val="20"/>
                <w:szCs w:val="20"/>
              </w:rPr>
              <w:t xml:space="preserve">Mission confirmation and launch dates from NASA, GAO Assessments of Major Projects, and mission Wikipedia entries</w:t>
            </w:r>
          </w:p>
        </w:tc>
      </w:tr>
      <w:tr>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Event indicator: 1 if the mission’s development cost grew beyond the 15 percent rebaseline threshold (the canonical NASA Major-Program cost-growth trigger), 0 if cost-controlled (censored) at last observation.</w:t>
            </w:r>
          </w:p>
        </w:tc>
        <w:tc>
          <w:tcPr>
            <w:tcW w:w="0" w:type="auto"/>
          </w:tcPr>
          <w:p>
            <w:pPr>
              <w:spacing w:line="240" w:lineRule="auto" w:before="0" w:after="0"/>
              <w:pStyle w:val="Compact"/>
            </w:pPr>
            <w:r>
              <w:rPr>
                <w:sz w:val="20"/>
                <w:szCs w:val="20"/>
              </w:rPr>
              <w:t xml:space="preserve">Cost-growth figures from Planetary Society mission cost pages, NASA OIG, GAO Assessments of Major Projects, and National Academies Powering Science (NAP 24857)</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Natural logarithm of the baseline development cost commitment in real-year USD billions.</w:t>
            </w:r>
          </w:p>
        </w:tc>
        <w:tc>
          <w:tcPr>
            <w:tcW w:w="0" w:type="auto"/>
          </w:tcPr>
          <w:p>
            <w:pPr>
              <w:spacing w:line="240" w:lineRule="auto" w:before="0" w:after="0"/>
              <w:pStyle w:val="Compact"/>
            </w:pPr>
            <w:r>
              <w:rPr>
                <w:sz w:val="20"/>
                <w:szCs w:val="20"/>
              </w:rPr>
              <w:t xml:space="preserve">Baseline cost commitments from NASA budget documents, GAO, JPL press kits, and mission Wikipedia entries</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First-of-kind technology flag: 1 if the mission required novel, low-TRL technology or instrument development at confirmation, 0 if built on established heritage designs.</w:t>
            </w:r>
          </w:p>
        </w:tc>
        <w:tc>
          <w:tcPr>
            <w:tcW w:w="0" w:type="auto"/>
          </w:tcPr>
          <w:p>
            <w:pPr>
              <w:spacing w:line="240" w:lineRule="auto" w:before="0" w:after="0"/>
              <w:pStyle w:val="Compact"/>
            </w:pPr>
            <w:r>
              <w:rPr>
                <w:sz w:val="20"/>
                <w:szCs w:val="20"/>
              </w:rPr>
              <w:t xml:space="preserve">Mission technology descriptions from NASA mission pages and National Academies Powering Science (NAP 24857)</w:t>
            </w:r>
          </w:p>
        </w:tc>
      </w:tr>
      <w:tr>
        <w:tc>
          <w:tcPr>
            <w:tcW w:w="0" w:type="auto"/>
          </w:tcPr>
          <w:p>
            <w:pPr>
              <w:spacing w:line="240" w:lineRule="auto" w:before="0" w:after="0"/>
              <w:pStyle w:val="Compact"/>
            </w:pPr>
            <w:r>
              <w:rPr>
                <w:sz w:val="20"/>
                <w:szCs w:val="20"/>
              </w:rPr>
              <w:t xml:space="preserve">instr_complexity</w:t>
            </w:r>
          </w:p>
        </w:tc>
        <w:tc>
          <w:tcPr>
            <w:tcW w:w="0" w:type="auto"/>
          </w:tcPr>
          <w:p>
            <w:pPr>
              <w:spacing w:line="240" w:lineRule="auto" w:before="0" w:after="0"/>
              <w:pStyle w:val="Compact"/>
            </w:pPr>
            <w:r>
              <w:rPr>
                <w:sz w:val="20"/>
                <w:szCs w:val="20"/>
              </w:rPr>
              <w:t xml:space="preserve">Number of distinct science instruments carried, a proxy for integration and interface complexity.</w:t>
            </w:r>
          </w:p>
        </w:tc>
        <w:tc>
          <w:tcPr>
            <w:tcW w:w="0" w:type="auto"/>
          </w:tcPr>
          <w:p>
            <w:pPr>
              <w:spacing w:line="240" w:lineRule="auto" w:before="0" w:after="0"/>
              <w:pStyle w:val="Compact"/>
            </w:pPr>
            <w:r>
              <w:rPr>
                <w:sz w:val="20"/>
                <w:szCs w:val="20"/>
              </w:rPr>
              <w:t xml:space="preserve">Mission instrument complements from NASA mission pages and mission Wikipedia entries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0.0008484</w:t>
            </w:r>
          </w:p>
        </w:tc>
        <w:tc>
          <w:tcPr>
            <w:tcW w:w="0" w:type="auto"/>
          </w:tcPr>
          <w:p>
            <w:pPr>
              <w:spacing w:line="240" w:lineRule="auto" w:before="0" w:after="0"/>
              <w:pStyle w:val="Compact"/>
            </w:pPr>
            <w:r>
              <w:rPr>
                <w:sz w:val="20"/>
                <w:szCs w:val="20"/>
              </w:rPr>
              <w:t xml:space="preserve">0.2834</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0.9976</w:t>
            </w:r>
          </w:p>
        </w:tc>
        <w:tc>
          <w:tcPr>
            <w:tcW w:w="0" w:type="auto"/>
          </w:tcPr>
          <w:p>
            <w:pPr>
              <w:spacing w:line="240" w:lineRule="auto" w:before="0" w:after="0"/>
              <w:pStyle w:val="Compact"/>
            </w:pPr>
            <w:r>
              <w:rPr>
                <w:sz w:val="20"/>
                <w:szCs w:val="20"/>
              </w:rPr>
              <w:t xml:space="preserve">[-0.5545, 0.5562]</w:t>
            </w:r>
          </w:p>
        </w:tc>
        <w:tc>
          <w:tcPr>
            <w:tcW w:w="0" w:type="auto"/>
          </w:tcPr>
          <w:p>
            <w:pPr>
              <w:spacing w:line="240" w:lineRule="auto" w:before="0" w:after="0"/>
              <w:pStyle w:val="Compact"/>
            </w:pPr>
            <w:r>
              <w:rPr>
                <w:sz w:val="20"/>
                <w:szCs w:val="20"/>
              </w:rPr>
              <w:t xml:space="preserve">1.0008</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-1.3449</w:t>
            </w:r>
          </w:p>
        </w:tc>
        <w:tc>
          <w:tcPr>
            <w:tcW w:w="0" w:type="auto"/>
          </w:tcPr>
          <w:p>
            <w:pPr>
              <w:spacing w:line="240" w:lineRule="auto" w:before="0" w:after="0"/>
              <w:pStyle w:val="Compact"/>
            </w:pPr>
            <w:r>
              <w:rPr>
                <w:sz w:val="20"/>
                <w:szCs w:val="20"/>
              </w:rPr>
              <w:t xml:space="preserve">0.6716</w:t>
            </w:r>
          </w:p>
        </w:tc>
        <w:tc>
          <w:tcPr>
            <w:tcW w:w="0" w:type="auto"/>
          </w:tcPr>
          <w:p>
            <w:pPr>
              <w:spacing w:line="240" w:lineRule="auto" w:before="0" w:after="0"/>
              <w:pStyle w:val="Compact"/>
            </w:pPr>
            <w:r>
              <w:rPr>
                <w:sz w:val="20"/>
                <w:szCs w:val="20"/>
              </w:rPr>
              <w:t xml:space="preserve">-2.0025</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[-2.6612, -0.0285]</w:t>
            </w:r>
          </w:p>
        </w:tc>
        <w:tc>
          <w:tcPr>
            <w:tcW w:w="0" w:type="auto"/>
          </w:tcPr>
          <w:p>
            <w:pPr>
              <w:spacing w:line="240" w:lineRule="auto" w:before="0" w:after="0"/>
              <w:pStyle w:val="Compact"/>
            </w:pPr>
            <w:r>
              <w:rPr>
                <w:sz w:val="20"/>
                <w:szCs w:val="20"/>
              </w:rPr>
              <w:t xml:space="preserve">0.2606</w:t>
            </w:r>
          </w:p>
        </w:tc>
      </w:tr>
      <w:tr>
        <w:tc>
          <w:tcPr>
            <w:tcW w:w="0" w:type="auto"/>
          </w:tcPr>
          <w:p>
            <w:pPr>
              <w:spacing w:line="240" w:lineRule="auto" w:before="0" w:after="0"/>
              <w:pStyle w:val="Compact"/>
            </w:pPr>
            <w:r>
              <w:rPr>
                <w:sz w:val="20"/>
                <w:szCs w:val="20"/>
              </w:rPr>
              <w:t xml:space="preserve">instr_complexity</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0.2734</w:t>
            </w:r>
          </w:p>
        </w:tc>
        <w:tc>
          <w:tcPr>
            <w:tcW w:w="0" w:type="auto"/>
          </w:tcPr>
          <w:p>
            <w:pPr>
              <w:spacing w:line="240" w:lineRule="auto" w:before="0" w:after="0"/>
              <w:pStyle w:val="Compact"/>
            </w:pPr>
            <w:r>
              <w:rPr>
                <w:sz w:val="20"/>
                <w:szCs w:val="20"/>
              </w:rPr>
              <w:t xml:space="preserve">0.7846</w:t>
            </w:r>
          </w:p>
        </w:tc>
        <w:tc>
          <w:tcPr>
            <w:tcW w:w="0" w:type="auto"/>
          </w:tcPr>
          <w:p>
            <w:pPr>
              <w:spacing w:line="240" w:lineRule="auto" w:before="0" w:after="0"/>
              <w:pStyle w:val="Compact"/>
            </w:pPr>
            <w:r>
              <w:rPr>
                <w:sz w:val="20"/>
                <w:szCs w:val="20"/>
              </w:rPr>
              <w:t xml:space="preserve">[-0.1371, 0.1815]</w:t>
            </w:r>
          </w:p>
        </w:tc>
        <w:tc>
          <w:tcPr>
            <w:tcW w:w="0" w:type="auto"/>
          </w:tcPr>
          <w:p>
            <w:pPr>
              <w:spacing w:line="240" w:lineRule="auto" w:before="0" w:after="0"/>
              <w:pStyle w:val="Compact"/>
            </w:pPr>
            <w:r>
              <w:rPr>
                <w:sz w:val="20"/>
                <w:szCs w:val="20"/>
              </w:rPr>
              <w:t xml:space="preserve">1.0225</w:t>
            </w:r>
          </w:p>
        </w:tc>
      </w:tr>
    </w:tbl>
    <w:p>
      <w:pPr>
        <w:pStyle w:val="BodyText"/>
      </w:pPr>
      <w:r>
        <w:t xml:space="preserve">Fit: N = 27 events = 19</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2026-06-25T14:25:58Z</dcterms:created>
  <dcterms:modified xsi:type="dcterms:W3CDTF">2026-06-25T14:25:58Z</dcterms:modified>
</cp:coreProperties>
</file>

<file path=docProps/custom.xml><?xml version="1.0" encoding="utf-8"?>
<Properties xmlns="http://schemas.openxmlformats.org/officeDocument/2006/custom-properties" xmlns:vt="http://schemas.openxmlformats.org/officeDocument/2006/docPropsVTypes"/>
</file>