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6ff27dde3518724c15ab629b5ca30cf570154cb"/>
    <w:p>
      <w:pPr>
        <w:pStyle w:val="Heading1"/>
      </w:pPr>
      <w:r>
        <w:t xml:space="preserve">Cost-Growth Hazard in Flagship Astrophysics and Earth-Science Missions: A Cox Proportional-Hazards Analysis of the NASA Major-Project Portfolio</w:t>
      </w:r>
    </w:p>
    <w:bookmarkStart w:id="61" w:name="introduction"/>
    <w:p>
      <w:pPr>
        <w:pStyle w:val="Heading2"/>
      </w:pPr>
      <w:r>
        <w:t xml:space="preserve">1. Introduction</w:t>
      </w:r>
    </w:p>
    <w:p>
      <w:pPr>
        <w:pStyle w:val="FirstParagraph"/>
      </w:pPr>
      <w:r>
        <w:t xml:space="preserve">Cost growth on large space-science missions is the recurring complaint of every oversight cycle, yet it is usually reported as a portfolio average rather than as a risk that accrues over the life of a project. The Government Accountability Office has documented that NASA’s major-project portfolio has carried cumulative development cost overruns measured in billions of dollars and cumulative schedule delays measured in years, with a small number of projects accounting for most of the damage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headline statistics, roughly thirty percent average cost growth and an average launch slip of about a year across the portfolio, are informative about the aggregate but silent about timing: they do not tell a program office whether a mission is most exposed to a budget breach early in development, late in integration, or at a steady rate throughout.</w:t>
      </w:r>
    </w:p>
    <w:p>
      <w:pPr>
        <w:pStyle w:val="FirstParagraph"/>
      </w:pPr>
      <w:r>
        <w:t xml:space="preserve">This paper reframes cost growth as a survival problem. Rather than ask how much a mission overran, I ask how long a mission survives, in months of development, before it crosses the fifteen percent cost-growth threshold that triggers a statutory rebaseline and a report to Congress. The fifteen percent line is not arbitrary; it is the breach point NASA itself is obligated to report, and several missions in the record entered that reporting requirement explicitly</w:t>
      </w:r>
      <w:r>
        <w:t xml:space="preserve"> </w:t>
      </w:r>
      <w:hyperlink w:anchor="ref-3">
        <m:oMathPara>
          <m:oMathParaPr>
            <m:jc m:val="center"/>
          </m:oMathParaPr>
          <m:oMath>
            <m:r>
              <m:t>3</m:t>
            </m:r>
          </m:oMath>
        </m:oMathPara>
      </w:hyperlink>
      <w:r>
        <w:t xml:space="preserve">. Treating that crossing as a survival event lets us bring the apparatus of hazard modeling to a question that has mostly been answered with cross-sectional regressions on final cost. The contribution is to estimate, for a panel of flagship and large NASA science missions, which characteristics measured at confirmation are associated with a higher instantaneous hazard of breach.</w:t>
      </w:r>
    </w:p>
    <w:bookmarkEnd w:id="61"/>
    <w:bookmarkStart w:id="62" w:name="theory-and-hypotheses"/>
    <w:p>
      <w:pPr>
        <w:pStyle w:val="Heading2"/>
      </w:pPr>
      <w:r>
        <w:t xml:space="preserve">2. Theory and Hypotheses</w:t>
      </w:r>
    </w:p>
    <w:p>
      <w:pPr>
        <w:pStyle w:val="FirstParagraph"/>
      </w:pPr>
      <w:r>
        <w:t xml:space="preserve">Two literatures motivate the covariates. The first is parametric cost estimation, which has long held that the dominant drivers of space-mission cost are mass, technical novelty, and the maturity of the underlying technologies, and that estimation tools systematically struggle when a mission carries elements with no flight heritage</w:t>
      </w:r>
      <w:r>
        <w:t xml:space="preserve"> </w:t>
      </w:r>
      <w:hyperlink w:anchor="ref-4">
        <m:oMathPara>
          <m:oMathParaPr>
            <m:jc m:val="center"/>
          </m:oMathParaPr>
          <m:oMath>
            <m:r>
              <m:t>4</m:t>
            </m:r>
          </m:oMath>
        </m:oMathPara>
      </w:hyperlink>
      <w:r>
        <w:t xml:space="preserve">. If immature technology is the engine of cost surprise, then the count of low-technology-readiness or heritage-gap elements carried into confirmation should raise the hazard of a breach. The second literature is on acquisition structure. Directed strategic missions are scoped by the agency and its science priorities rather than capped by a competed announcement of opportunity, and the recent record of directed planetary and astrophysics missions has been one of repeated, agency-driven replans</w:t>
      </w:r>
      <w:r>
        <w:t xml:space="preserve"> </w:t>
      </w:r>
      <w:hyperlink w:anchor="ref-1">
        <m:oMathPara>
          <m:oMathParaPr>
            <m:jc m:val="center"/>
          </m:oMathParaPr>
          <m:oMath>
            <m:r>
              <m:t>1</m:t>
            </m:r>
          </m:oMath>
        </m:oMathPara>
      </w:hyperlink>
      <w:r>
        <w:t xml:space="preserve">,</w:t>
      </w:r>
      <w:r>
        <w:t xml:space="preserve"> </w:t>
      </w:r>
      <w:hyperlink w:anchor="ref-5">
        <m:oMathPara>
          <m:oMathParaPr>
            <m:jc m:val="center"/>
          </m:oMathParaPr>
          <m:oMath>
            <m:r>
              <m:t>5</m:t>
            </m:r>
          </m:oMath>
        </m:oMathPara>
      </w:hyperlink>
      <w:r>
        <w:t xml:space="preserve">. Whether that directed posture raises or lowers breach hazard relative to competed principal-investigator missions is an open empirical question, because the same oversight that drives replans can also impose cost discipline.</w:t>
      </w:r>
    </w:p>
    <w:p>
      <w:pPr>
        <w:pStyle w:val="FirstParagraph"/>
      </w:pPr>
      <w:r>
        <w:t xml:space="preserve">From these strands I take a directional hypothesis: the instantaneous hazard of breaching the fifteen percent threshold rises with the number of immature technologies carried into confirmation and with directed acquisition, while larger baseline budgets and international partnerships do not by themselves protect against breach. Baseline budget enters as a scale control, since a larger budget can absorb more absolute growth before the percentage line is crossed</w:t>
      </w:r>
      <w:r>
        <w:t xml:space="preserve"> </w:t>
      </w:r>
      <w:hyperlink w:anchor="ref-4">
        <m:oMathPara>
          <m:oMathParaPr>
            <m:jc m:val="center"/>
          </m:oMathParaPr>
          <m:oMath>
            <m:r>
              <m:t>4</m:t>
            </m:r>
          </m:oMath>
        </m:oMathPara>
      </w:hyperlink>
      <w:r>
        <w:t xml:space="preserve">. International partnership enters because shared hardware introduces interface and schedule dependencies that several Earth-science missions in the record navigated without breach</w:t>
      </w:r>
      <w:r>
        <w:t xml:space="preserve"> </w:t>
      </w:r>
      <w:hyperlink w:anchor="ref-2">
        <m:oMathPara>
          <m:oMathParaPr>
            <m:jc m:val="center"/>
          </m:oMathParaPr>
          <m:oMath>
            <m:r>
              <m:t>2</m:t>
            </m:r>
          </m:oMath>
        </m:oMathPara>
      </w:hyperlink>
      <w:r>
        <w:t xml:space="preserve">.</w:t>
      </w:r>
    </w:p>
    <w:bookmarkEnd w:id="62"/>
    <w:bookmarkStart w:id="63" w:name="data"/>
    <w:p>
      <w:pPr>
        <w:pStyle w:val="Heading2"/>
      </w:pPr>
      <w:r>
        <w:t xml:space="preserve">3. Data</w:t>
      </w:r>
    </w:p>
    <w:p>
      <w:pPr>
        <w:pStyle w:val="FirstParagraph"/>
      </w:pPr>
      <w:r>
        <w:t xml:space="preserve">The dataset is a panel of twenty-six NASA flagship and large science missions spanning astrophysics, planetary science, and Earth science, drawn from documented sources. For each mission I record the initial baseline cost commitment at confirmation, a count of immature or heritage-gap technologies, a count of international or inter-agency partners, an indicator for directed versus competed acquisition, the development duration in months from confirmation to launch readiness, and a binary indicator for whether development or life-cycle cost grew at least fifteen percent above baseline. Cost and schedule figures come primarily from the GAO Assessments of Major Projects series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NASA Office of Inspector General audits of specific projects such as Dragonfly</w:t>
      </w:r>
      <w:r>
        <w:t xml:space="preserve"> </w:t>
      </w:r>
      <w:hyperlink w:anchor="ref-5">
        <m:oMathPara>
          <m:oMathParaPr>
            <m:jc m:val="center"/>
          </m:oMathParaPr>
          <m:oMath>
            <m:r>
              <m:t>5</m:t>
            </m:r>
          </m:oMath>
        </m:oMathPara>
      </w:hyperlink>
      <w:r>
        <w:t xml:space="preserve">, and mission-level NASA and partner-agency records and press kits. The final column of the data file cites the source for every row. A small number of cells, fewer than fifteen percent of the dataset, rely on documented totals where a separately published baseline figure was not isolated; these are noted at the row level.</w:t>
      </w:r>
    </w:p>
    <w:p>
      <w:pPr>
        <w:pStyle w:val="FirstParagraph"/>
      </w:pPr>
      <w:r>
        <w:t xml:space="preserve">The panel is deliberately heterogeneous in outcome. It includes missions that crossed the threshold, among them the James Webb Space Telescope, the Mars Science Laboratory, Europa Clipper, Dragonfly, and the NASA-ESA Mars Sample Return architecture, alongside missions that launched within their cost line, among them OSIRIS-REx, Lucy, MAVEN, Landsat 9, and the Roman Space Telescope as assessed to date</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 Of the twenty-six missions, thirteen recorded a breach event and thirteen are treated as censored, a balance that is unusual in this kind of record and helpful for estimation.</w:t>
      </w:r>
    </w:p>
    <w:bookmarkEnd w:id="63"/>
    <w:bookmarkStart w:id="64" w:name="method"/>
    <w:p>
      <w:pPr>
        <w:pStyle w:val="Heading2"/>
      </w:pPr>
      <w:r>
        <w:t xml:space="preserve">4. Method</w:t>
      </w:r>
    </w:p>
    <w:p>
      <w:pPr>
        <w:pStyle w:val="FirstParagraph"/>
      </w:pPr>
      <w:r>
        <w:t xml:space="preserve">I estimate a Cox proportional-hazards model in which the survival time is development duration in months and the event is the cost breach. The model leaves the baseline hazard unspecified and estimates how four covariates measured at confirmation, baseline cost in billions of dollars, the count of immature technologies, the count of international partners, and the directed-acquisition indicator, multiply that baseline hazard. Coefficients are reported as hazard ratios, the multiplicative change in instantaneous breach risk per unit of the covariate, with a ratio above one indicating elevated risk and below one indicating reduced risk. The estimator is the partial-likelihood Cox model as implemented in the project’s survival routine, and significance is assessed with the standard normal approximation to the coefficient-over-standard-error ratio. With twenty-six missions and thirteen events, the model is estimated at the lower bound of what a four-covariate hazard specification can responsibly support, and the analysis is framed accordingly as exploratory rather than confirmatory.</w:t>
      </w:r>
    </w:p>
    <w:bookmarkEnd w:id="64"/>
    <w:bookmarkStart w:id="65" w:name="findings"/>
    <w:p>
      <w:pPr>
        <w:pStyle w:val="Heading2"/>
      </w:pPr>
      <w:r>
        <w:t xml:space="preserve">5. Findings</w:t>
      </w:r>
    </w:p>
    <w:p>
      <w:pPr>
        <w:pStyle w:val="FirstParagraph"/>
      </w:pPr>
      <w:r>
        <w:t xml:space="preserve">The model fits twenty-six missions with thirteen breach events. None of the four covariates reaches conventional statistical significance, and the point estimates are themselves instructive. Baseline cost carries a coefficient of -0.126 with a standard error of 0.274 and a p-value of 0.645, a hazard ratio of 0.882, consistent with the scale intuition that a larger budget absorbs more absolute growth before the percentage threshold is crossed, but far from distinguishable from no effect. The count of immature technologies, the covariate the cost-estimation literature would predict to dominate, carries a coefficient of 0.034 with a standard error of 0.382 and a p-value of 0.930, a hazard ratio of 1.034, which is to say essentially no measured association with breach timing in this panel. International partnership carries a coefficient of -0.307 with a standard error of 0.498 and a p-value of 0.538, a hazard ratio of 0.736, a protective direction but not a reliable one. The directed-acquisition indicator carries the largest point estimate, a coefficient of -1.017 with a standard error of 0.918 and a p-value of 0.268, a hazard ratio of 0.362.</w:t>
      </w:r>
    </w:p>
    <w:p>
      <w:pPr>
        <w:pStyle w:val="BodyText"/>
      </w:pPr>
      <w:r>
        <w:t xml:space="preserve">The directed-acquisition result is the most striking, and it runs against the directional hypothesis. The point estimate says directed missions face roughly a third of the per-month breach hazard of competed missions, although the wide standard error means this could plausibly be no effect or a strong one. Taken at face value it suggests that whatever drives the large headline overruns on directed missions, it is not a higher rate of breach per unit of development time; the directed flagships in this panel breach, but they do so over much longer development durations, so their hazard per month is not elevated. The immature-technology coefficient sitting at almost exactly a hazard ratio of one is the cleanest null in the set and cautions against treating a simple count of new technologies as a sufficient statistic for cost risk.</w:t>
      </w:r>
    </w:p>
    <w:bookmarkEnd w:id="65"/>
    <w:bookmarkStart w:id="66" w:name="discussion"/>
    <w:p>
      <w:pPr>
        <w:pStyle w:val="Heading2"/>
      </w:pPr>
      <w:r>
        <w:t xml:space="preserve">6. Discussion</w:t>
      </w:r>
    </w:p>
    <w:p>
      <w:pPr>
        <w:pStyle w:val="FirstParagraph"/>
      </w:pPr>
      <w:r>
        <w:t xml:space="preserve">Read honestly, this analysis fails to confirm its own hypothesis and is more valuable for that. The expected engine of cost growth, technical immaturity entered as a count, shows no measurable association with breach hazard once development duration is the time scale, and the directed-acquisition variable points in the opposite direction from the one a naive reading of the overrun headlines would suggest. The most defensible interpretation is that breach on flagship missions is not well captured by a constant per-month hazard driven by a few confirmation-era counts. Large directed missions appear to breach through accumulated long-duration replans rather than through a high instantaneous rate, which is exactly the pattern the GAO record describes when it attributes growth to repeated agency-directed rescopes over many years</w:t>
      </w:r>
      <w:r>
        <w:t xml:space="preserve"> </w:t>
      </w:r>
      <w:hyperlink w:anchor="ref-1">
        <m:oMathPara>
          <m:oMathParaPr>
            <m:jc m:val="center"/>
          </m:oMathParaPr>
          <m:oMath>
            <m:r>
              <m:t>1</m:t>
            </m:r>
          </m:oMath>
        </m:oMathPara>
      </w:hyperlink>
      <w:r>
        <w:t xml:space="preserve">,</w:t>
      </w:r>
      <w:r>
        <w:t xml:space="preserve"> </w:t>
      </w:r>
      <w:hyperlink w:anchor="ref-5">
        <m:oMathPara>
          <m:oMathParaPr>
            <m:jc m:val="center"/>
          </m:oMathParaPr>
          <m:oMath>
            <m:r>
              <m:t>5</m:t>
            </m:r>
          </m:oMath>
        </m:oMathPara>
      </w:hyperlink>
      <w:r>
        <w:t xml:space="preserve">. That is a statement about mechanism, not just magnitude, and it argues for time-varying covariates and competing-risks treatments that this small panel cannot yet support.</w:t>
      </w:r>
    </w:p>
    <w:p>
      <w:pPr>
        <w:pStyle w:val="FirstParagraph"/>
      </w:pPr>
      <w:r>
        <w:t xml:space="preserve">The limitations are substantial and bound the claims. Twenty-six missions and thirteen events give the model little power, the standard errors are wide enough that none of the directional readings should be relied upon, and the immature-technology count is a coarse proxy for a construct the cost-estimation literature measures with far more granularity</w:t>
      </w:r>
      <w:r>
        <w:t xml:space="preserve"> </w:t>
      </w:r>
      <w:hyperlink w:anchor="ref-4">
        <m:oMathPara>
          <m:oMathParaPr>
            <m:jc m:val="center"/>
          </m:oMathParaPr>
          <m:oMath>
            <m:r>
              <m:t>4</m:t>
            </m:r>
          </m:oMath>
        </m:oMathPara>
      </w:hyperlink>
      <w:r>
        <w:t xml:space="preserve">. The proportional-hazards assumption itself is plausible but untested at this sample size. The path forward is to widen the panel across additional GAO assessment cycles, to replace the technology count with a graded readiness index, and to model the breach as a time-varying process so that the long-replan mechanism suggested here can be tested directly rather than inferred from a flat hazard. The present result is a calibrated negative: in a balanced panel of flagship and large NASA science missions, confirmation-era budget, technical novelty, partnership, and acquisition mode do not by themselves explain the timing of a cost breach, and the directed-mission overrun is better understood as a duration phenomenon than as an elevated rate.</w:t>
      </w:r>
    </w:p>
    <w:bookmarkEnd w:id="66"/>
    <w:bookmarkStart w:id="73"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 of Major Projects,”</w:t>
      </w:r>
      <w:r>
        <w:t xml:space="preserve"> </w:t>
      </w:r>
      <w:r>
        <w:t xml:space="preserve">GAO-24-106767, 2024. https://www.gao.gov/products/gao-24-106767</w:t>
      </w:r>
    </w:p>
    <w:p>
      <w:pPr>
        <w:pStyle w:val="BodyText"/>
      </w:pPr>
      <w:bookmarkStart w:id="68" w:name="ref-2"/>
      <w:bookmarkEnd w:id="68"/>
      <w:r>
        <w:t xml:space="preserve">2. U.S. Government Accountability Office,</w:t>
      </w:r>
      <w:r>
        <w:t xml:space="preserve"> </w:t>
      </w:r>
      <w:r>
        <w:t xml:space="preserve">“NASA: Assessments of Major Projects,”</w:t>
      </w:r>
      <w:r>
        <w:t xml:space="preserve"> </w:t>
      </w:r>
      <w:r>
        <w:t xml:space="preserve">GAO-25-107591, 2025. https://www.gao.gov/assets/gao-25-107591.pdf</w:t>
      </w:r>
    </w:p>
    <w:p>
      <w:pPr>
        <w:pStyle w:val="BodyText"/>
      </w:pPr>
      <w:bookmarkStart w:id="69" w:name="ref-3"/>
      <w:bookmarkEnd w:id="69"/>
      <w:r>
        <w:t xml:space="preserve">3. ICESat-2 program documentation and congressional 60-day cost-growth report, NASA, 2014, as summarized in mission histories. https://en.wikipedia.org/wiki/ICESat-2</w:t>
      </w:r>
    </w:p>
    <w:p>
      <w:pPr>
        <w:pStyle w:val="BodyText"/>
      </w:pPr>
      <w:bookmarkStart w:id="70" w:name="ref-4"/>
      <w:bookmarkEnd w:id="70"/>
      <w:r>
        <w:t xml:space="preserve">4. P. D. Friz, S. Hosder, B. B. Leser, and B. C. Towle,</w:t>
      </w:r>
      <w:r>
        <w:t xml:space="preserve"> </w:t>
      </w:r>
      <w:r>
        <w:t xml:space="preserve">“Blind validation study of parametric cost estimation tool SEER-H for NASA space missions,”</w:t>
      </w:r>
      <w:r>
        <w:t xml:space="preserve"> </w:t>
      </w:r>
      <w:r>
        <w:t xml:space="preserve">Acta Astronautica, vol. 166, 2019. https://doi.org/10.1016/j.actaastro.2019.09.030</w:t>
      </w:r>
    </w:p>
    <w:p>
      <w:pPr>
        <w:pStyle w:val="BodyText"/>
      </w:pPr>
      <w:bookmarkStart w:id="71" w:name="ref-5"/>
      <w:bookmarkEnd w:id="71"/>
      <w:r>
        <w:t xml:space="preserve">5. NASA Office of Inspector General,</w:t>
      </w:r>
      <w:r>
        <w:t xml:space="preserve"> </w:t>
      </w:r>
      <w:r>
        <w:t xml:space="preserve">“NASA’s Management of the Dragonfly Project,”</w:t>
      </w:r>
      <w:r>
        <w:t xml:space="preserve"> </w:t>
      </w:r>
      <w:r>
        <w:t xml:space="preserve">IG-25-011, 2025. https://oig.nasa.gov/wp-content/uploads/2025/09/final-report-ig-25-011-nasas-managment-of-the-dragonfly-project.pdf</w:t>
      </w:r>
    </w:p>
    <w:p>
      <w:pPr>
        <w:pStyle w:val="BodyText"/>
      </w:pPr>
      <w:bookmarkStart w:id="72" w:name="ref-6"/>
      <w:bookmarkEnd w:id="72"/>
      <w:r>
        <w:t xml:space="preserve">6. NASA,</w:t>
      </w:r>
      <w:r>
        <w:t xml:space="preserve"> </w:t>
      </w:r>
      <w:r>
        <w:t xml:space="preserve">“Challenges and Potential Solutions to Develop and Fund NASA Flagship Missions,”</w:t>
      </w:r>
      <w:r>
        <w:t xml:space="preserve"> </w:t>
      </w:r>
      <w:r>
        <w:t xml:space="preserve">NASA Technical Reports Server, submission 20190001461, 2019. https://ntrs.nasa.gov/citations/20190001461</w:t>
      </w:r>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baseline_cost_b</m:t>
              </m:r>
              <m:r>
                <m:rPr>
                  <m:sty m:val="p"/>
                </m:rPr>
                <m:t>+</m:t>
              </m:r>
              <m:sSub>
                <m:e>
                  <m:r>
                    <m:t>β</m:t>
                  </m:r>
                </m:e>
                <m:sub>
                  <m:r>
                    <m:t>2</m:t>
                  </m:r>
                </m:sub>
              </m:sSub>
              <m:r>
                <m:t> </m:t>
              </m:r>
              <m:r>
                <m:rPr>
                  <m:nor/>
                  <m:sty m:val="p"/>
                </m:rPr>
                <m:t>immature_tech</m:t>
              </m:r>
              <m:r>
                <m:rPr>
                  <m:sty m:val="p"/>
                </m:rPr>
                <m:t>+</m:t>
              </m:r>
              <m:sSub>
                <m:e>
                  <m:r>
                    <m:t>β</m:t>
                  </m:r>
                </m:e>
                <m:sub>
                  <m:r>
                    <m:t>3</m:t>
                  </m:r>
                </m:sub>
              </m:sSub>
              <m:r>
                <m:t> </m:t>
              </m:r>
              <m:r>
                <m:rPr>
                  <m:nor/>
                  <m:sty m:val="p"/>
                </m:rPr>
                <m:t>intl_partners</m:t>
              </m:r>
              <m:r>
                <m:rPr>
                  <m:sty m:val="p"/>
                </m:rPr>
                <m:t>+</m:t>
              </m:r>
              <m:sSub>
                <m:e>
                  <m:r>
                    <m:t>β</m:t>
                  </m:r>
                </m:e>
                <m:sub>
                  <m:r>
                    <m:t>4</m:t>
                  </m:r>
                </m:sub>
              </m:sSub>
              <m:r>
                <m:t> </m:t>
              </m:r>
              <m:r>
                <m:rPr>
                  <m:nor/>
                  <m:sty m:val="p"/>
                </m:rPr>
                <m:t>directed_flag</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-0.126</w:t>
            </w:r>
          </w:p>
        </w:tc>
        <w:tc>
          <w:tcPr>
            <w:tcW w:w="0" w:type="auto"/>
          </w:tcPr>
          <w:p>
            <w:pPr>
              <w:spacing w:line="240" w:lineRule="auto" w:before="0" w:after="0"/>
              <w:pStyle w:val="Compact"/>
            </w:pPr>
            <w:r>
              <w:rPr>
                <w:sz w:val="20"/>
                <w:szCs w:val="20"/>
              </w:rPr>
              <w:t xml:space="preserve">0.2738</w:t>
            </w:r>
          </w:p>
        </w:tc>
        <w:tc>
          <w:tcPr>
            <w:tcW w:w="0" w:type="auto"/>
          </w:tcPr>
          <w:p>
            <w:pPr>
              <w:spacing w:line="240" w:lineRule="auto" w:before="0" w:after="0"/>
              <w:pStyle w:val="Compact"/>
            </w:pPr>
            <w:r>
              <w:rPr>
                <w:sz w:val="20"/>
                <w:szCs w:val="20"/>
              </w:rPr>
              <w:t xml:space="preserve">-0.4603</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[-0.6626, 0.4106]</w:t>
            </w:r>
          </w:p>
        </w:tc>
        <w:tc>
          <w:tcPr>
            <w:tcW w:w="0" w:type="auto"/>
          </w:tcPr>
          <w:p>
            <w:pPr>
              <w:spacing w:line="240" w:lineRule="auto" w:before="0" w:after="0"/>
              <w:pStyle w:val="Compact"/>
            </w:pPr>
            <w:r>
              <w:rPr>
                <w:sz w:val="20"/>
                <w:szCs w:val="20"/>
              </w:rPr>
              <w:t xml:space="preserve">0.8816</w:t>
            </w:r>
          </w:p>
        </w:tc>
      </w:tr>
      <w:tr>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0.382</w:t>
            </w:r>
          </w:p>
        </w:tc>
        <w:tc>
          <w:tcPr>
            <w:tcW w:w="0" w:type="auto"/>
          </w:tcPr>
          <w:p>
            <w:pPr>
              <w:spacing w:line="240" w:lineRule="auto" w:before="0" w:after="0"/>
              <w:pStyle w:val="Compact"/>
            </w:pPr>
            <w:r>
              <w:rPr>
                <w:sz w:val="20"/>
                <w:szCs w:val="20"/>
              </w:rPr>
              <w:t xml:space="preserve">0.0883</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[-0.715, 0.7824]</w:t>
            </w:r>
          </w:p>
        </w:tc>
        <w:tc>
          <w:tcPr>
            <w:tcW w:w="0" w:type="auto"/>
          </w:tcPr>
          <w:p>
            <w:pPr>
              <w:spacing w:line="240" w:lineRule="auto" w:before="0" w:after="0"/>
              <w:pStyle w:val="Compact"/>
            </w:pPr>
            <w:r>
              <w:rPr>
                <w:sz w:val="20"/>
                <w:szCs w:val="20"/>
              </w:rPr>
              <w:t xml:space="preserve">1.0343</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-0.3068</w:t>
            </w:r>
          </w:p>
        </w:tc>
        <w:tc>
          <w:tcPr>
            <w:tcW w:w="0" w:type="auto"/>
          </w:tcPr>
          <w:p>
            <w:pPr>
              <w:spacing w:line="240" w:lineRule="auto" w:before="0" w:after="0"/>
              <w:pStyle w:val="Compact"/>
            </w:pPr>
            <w:r>
              <w:rPr>
                <w:sz w:val="20"/>
                <w:szCs w:val="20"/>
              </w:rPr>
              <w:t xml:space="preserve">0.4983</w:t>
            </w:r>
          </w:p>
        </w:tc>
        <w:tc>
          <w:tcPr>
            <w:tcW w:w="0" w:type="auto"/>
          </w:tcPr>
          <w:p>
            <w:pPr>
              <w:spacing w:line="240" w:lineRule="auto" w:before="0" w:after="0"/>
              <w:pStyle w:val="Compact"/>
            </w:pPr>
            <w:r>
              <w:rPr>
                <w:sz w:val="20"/>
                <w:szCs w:val="20"/>
              </w:rPr>
              <w:t xml:space="preserve">-0.6158</w:t>
            </w:r>
          </w:p>
        </w:tc>
        <w:tc>
          <w:tcPr>
            <w:tcW w:w="0" w:type="auto"/>
          </w:tcPr>
          <w:p>
            <w:pPr>
              <w:spacing w:line="240" w:lineRule="auto" w:before="0" w:after="0"/>
              <w:pStyle w:val="Compact"/>
            </w:pPr>
            <w:r>
              <w:rPr>
                <w:sz w:val="20"/>
                <w:szCs w:val="20"/>
              </w:rPr>
              <w:t xml:space="preserve">0.538</w:t>
            </w:r>
          </w:p>
        </w:tc>
        <w:tc>
          <w:tcPr>
            <w:tcW w:w="0" w:type="auto"/>
          </w:tcPr>
          <w:p>
            <w:pPr>
              <w:spacing w:line="240" w:lineRule="auto" w:before="0" w:after="0"/>
              <w:pStyle w:val="Compact"/>
            </w:pPr>
            <w:r>
              <w:rPr>
                <w:sz w:val="20"/>
                <w:szCs w:val="20"/>
              </w:rPr>
              <w:t xml:space="preserve">[-1.2835, 0.6698]</w:t>
            </w:r>
          </w:p>
        </w:tc>
        <w:tc>
          <w:tcPr>
            <w:tcW w:w="0" w:type="auto"/>
          </w:tcPr>
          <w:p>
            <w:pPr>
              <w:spacing w:line="240" w:lineRule="auto" w:before="0" w:after="0"/>
              <w:pStyle w:val="Compact"/>
            </w:pPr>
            <w:r>
              <w:rPr>
                <w:sz w:val="20"/>
                <w:szCs w:val="20"/>
              </w:rPr>
              <w:t xml:space="preserve">0.7358</w:t>
            </w:r>
          </w:p>
        </w:tc>
      </w:tr>
      <w:tr>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-1.0173</w:t>
            </w:r>
          </w:p>
        </w:tc>
        <w:tc>
          <w:tcPr>
            <w:tcW w:w="0" w:type="auto"/>
          </w:tcPr>
          <w:p>
            <w:pPr>
              <w:spacing w:line="240" w:lineRule="auto" w:before="0" w:after="0"/>
              <w:pStyle w:val="Compact"/>
            </w:pPr>
            <w:r>
              <w:rPr>
                <w:sz w:val="20"/>
                <w:szCs w:val="20"/>
              </w:rPr>
              <w:t xml:space="preserve">0.9176</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0.2676</w:t>
            </w:r>
          </w:p>
        </w:tc>
        <w:tc>
          <w:tcPr>
            <w:tcW w:w="0" w:type="auto"/>
          </w:tcPr>
          <w:p>
            <w:pPr>
              <w:spacing w:line="240" w:lineRule="auto" w:before="0" w:after="0"/>
              <w:pStyle w:val="Compact"/>
            </w:pPr>
            <w:r>
              <w:rPr>
                <w:sz w:val="20"/>
                <w:szCs w:val="20"/>
              </w:rPr>
              <w:t xml:space="preserve">[-2.8158, 0.7812]</w:t>
            </w:r>
          </w:p>
        </w:tc>
        <w:tc>
          <w:tcPr>
            <w:tcW w:w="0" w:type="auto"/>
          </w:tcPr>
          <w:p>
            <w:pPr>
              <w:spacing w:line="240" w:lineRule="auto" w:before="0" w:after="0"/>
              <w:pStyle w:val="Compact"/>
            </w:pPr>
            <w:r>
              <w:rPr>
                <w:sz w:val="20"/>
                <w:szCs w:val="20"/>
              </w:rPr>
              <w:t xml:space="preserve">0.3616</w:t>
            </w:r>
          </w:p>
        </w:tc>
      </w:tr>
    </w:tbl>
    <w:p>
      <w:pPr>
        <w:pStyle w:val="BodyText"/>
      </w:pPr>
      <w:r>
        <w:t xml:space="preserve">Fit: N = 26 events = 13</w:t>
      </w:r>
    </w:p>
    <w:p>
      <w:pPr>
        <w:pStyle w:val="CaptionedFigure"/>
      </w:pPr>
      <w:r>
        <w:drawing>
          <wp:inline>
            <wp:extent cx="5669280" cy="3657600"/>
            <wp:effectExtent b="0" l="0" r="0" t="0"/>
            <wp:docPr descr="Figure 1. Development duration versus technical immaturity for NASA flagship and large science missions, with cost-breach events distinguished from censored (within-threshold) missions." title="" id="76" name="Picture"/>
            <a:graphic>
              <a:graphicData uri="http://schemas.openxmlformats.org/drawingml/2006/picture">
                <pic:pic>
                  <pic:nvPicPr>
                    <pic:cNvPr descr="D:\Claude_Code\brain\collegium\candidates\dissertations\JPL_ASTRO_EARTH_01\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duration versus technical immaturity for NASA flagship and large science missions, with cost-breach events distinguished from censored (within-threshold) missions.</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cost_breach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GAO/NASA 2009 rebaseline 9.66B life-cycle (Mar 2021 LRD), 8.8B dev spent, launched 25 Dec 2021; en.wikipedia.org/wiki/James_Webb_Space_Telescope citing GAO and NASA</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confirmation ~1.6B, final 2.5B (84% overrun per GAO), planned 2009 launch, launched 26 Nov 2011; en.wikipedia.org/wiki/Mars_Science_Laboratory</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0.185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cost grew 185M to 330M (GAO 2006 review), multi-year slide to first light May 2010; en.wikipedia.org/wiki/Stratospheric_Observatory_for_Infrared_Astronomy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0.675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cost 675M to 830M after SEIS leak, planned Mar 2016, launched 5 May 2018 (26-mo slip); en.wikipedia.org/wiki/InSight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0.731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reported &gt;15% overrun to Congress (2014 60-day report), planned 2015, launched 15 Sep 2018; en.wikipedia.org/wiki/ICESat-2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baseline 985M, planned Jul/Aug 2022, launched 13 Oct 2023 (software-driven slip, cost growth per JPL/IRB); en.wikipedia.org/wiki/Psyche_(spacecraft)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agency baseline commitment raised 4.25B to 5.0B (cost growth disclosed 2022), launched 14 Oct 2024; spacepolicyonline.com Europa Clipper cost growth; planetary.org/charts/europa-clipper-cost-chart</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Phase C confirmation raised estimate from ~600M to 1.2B, launch slipped 2026 to 2027/2028; spacenews.com NEO Surveyor launch delayed; spacepolicyonline.com asteroid-hunting telescope clears review</w:t>
            </w:r>
          </w:p>
        </w:tc>
      </w:tr>
      <w:tr>
        <w:tc>
          <w:tcPr>
            <w:tcW w:w="0" w:type="auto"/>
          </w:tcPr>
          <w:p>
            <w:pPr>
              <w:spacing w:line="240" w:lineRule="auto" w:before="0" w:after="0"/>
              <w:pStyle w:val="Compact"/>
            </w:pPr>
            <w:r>
              <w:rPr>
                <w:sz w:val="20"/>
                <w:szCs w:val="20"/>
              </w:rPr>
              <w:t xml:space="preserve">NASA-ESA Mars Sample Return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Independent Review Board 2023: NASA share grew from ~4B baseline to 8-11B, launch no earlier than 2030 (2-yr slip); spacenews.com MSR budget unrealistic; science.org MSR new price tag</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confirmation Feb 2020 expected dev cost 3.2B, cost cap 3.934B; within life-cycle estimate per GAO Mar 2024 (reserves cover growth); LRD May 2027; en.wikipedia.org/wiki/Nancy_Grace_Roman_Space_Telescope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~800M (excl launch), planned 2016, launched on schedule 8 Sep 2016; en.wikipedia.org/wiki/OSIRIS-REx</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0.981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cost ~981M, launched at open of window 16 Oct 2021 on schedule; GAO 2024 noted 8M reduction; en.wikipedia.org/wiki/Lucy_(spacecraft); spacepolicyonline.com GAO 2019 assessment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dev 366.8M, total 582.5M (came in ~100M under estimate), launched on plan 18 Nov 2013; en.wikipedia.org/wiki/MAVEN</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~1.5B, launched 12 Aug 2018; APL/NASA reported on-schedule delivery; en.wikipedia.org/wiki/Parker_Solar_Probe</w:t>
            </w:r>
          </w:p>
        </w:tc>
      </w:tr>
      <w:tr>
        <w:tc>
          <w:tcPr>
            <w:tcW w:w="0" w:type="auto"/>
          </w:tcPr>
          <w:p>
            <w:pPr>
              <w:spacing w:line="240" w:lineRule="auto" w:before="0" w:after="0"/>
              <w:pStyle w:val="Compact"/>
            </w:pPr>
            <w:r>
              <w:rPr>
                <w:sz w:val="20"/>
                <w:szCs w:val="20"/>
              </w:rPr>
              <w:t xml:space="preserve">Fermi Gamma-ray Space Telescope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NASA/GLAST launched on retargeted date 11 Jun 2008; en.wikipedia.org/wiki/Fermi_Gamma-ray_Space_Telescope; NASA NTRS flagship-mission funding presentation 20190001461</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200M (+87M launch), planned Aug 2017, launched 18 Apr 2018 (~8-mo slip, within Explorer cost); en.wikipedia.org/wiki/Transiting_Exoplanet_Survey_Satellite</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NASA-GFZ Earth science mission, ~430M, launched on schedule 22 May 2018; en.wikipedia.org/wiki/GRACE-FO; jpl.nasa.gov/missions/grace-fo</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NASA-CNES ~1.1B joint investment, launched 16 Dec 2022; swot.jpl.nasa.gov; spacenews/NASA SWOT 1.1B; en.wikipedia.org/wiki/Surface_Water_and_Ocean_Topography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share ~1.118B of ~1.5B total, multiple slips incl reflector thermal rework, launched 30 Jul 2025; en.wikipedia.org/wiki/NISAR_(satellite); GAO-24-106767</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MIDEX 488M total design/build/launch/ops, launched 11/12 Mar 2025; en.wikipedia.org/wiki/SPHEREx; NASA SPHEREx Press Kit Feb 2025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Frontiers PI cost cap 850M; life-cycle grew to 3.35B, launch slipped Apr 2026 to Jul 2028 (4 directed replans); spacenews.com NASA confirms Dragonfly doubled costs; NASA OIG IG-25-011</w:t>
            </w:r>
          </w:p>
        </w:tc>
      </w:tr>
      <w:tr>
        <w:tc>
          <w:tcPr>
            <w:tcW w:w="0" w:type="auto"/>
          </w:tcPr>
          <w:p>
            <w:pPr>
              <w:spacing w:line="240" w:lineRule="auto" w:before="0" w:after="0"/>
              <w:pStyle w:val="Compact"/>
            </w:pPr>
            <w:r>
              <w:rPr>
                <w:sz w:val="20"/>
                <w:szCs w:val="20"/>
              </w:rPr>
              <w:t xml:space="preserve">Solar Dynamics Observatory</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LWS ~850M incl 5-yr ops, launched 11 Feb 2010; scientificamerican.com SDO; sdo.gsfc.nasa.gov factsheet</w:t>
            </w:r>
          </w:p>
        </w:tc>
      </w:tr>
      <w:tr>
        <w:tc>
          <w:tcPr>
            <w:tcW w:w="0" w:type="auto"/>
          </w:tcPr>
          <w:p>
            <w:pPr>
              <w:spacing w:line="240" w:lineRule="auto" w:before="0" w:after="0"/>
              <w:pStyle w:val="Compact"/>
            </w:pPr>
            <w:r>
              <w:rPr>
                <w:sz w:val="20"/>
                <w:szCs w:val="20"/>
              </w:rPr>
              <w:t xml:space="preserve">GOES-R (GOES-16)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GOES-R first satellite experienced cost growth and a six-month launch slip to Nov 2016; spacenews.com GOES-R delayed six months; nesdis.noaa.gov GOES-R baseline report to Congress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NASA-USGS Landsat 9 life-cycle baseline 885M, launched 27 Sep 2021 on track per GAO; landsat.gsfc.nasa.gov Landsat9_GAO.pdf; congress.gov R46560</w:t>
            </w:r>
          </w:p>
        </w:tc>
      </w:tr>
      <w:tr>
        <w:tc>
          <w:tcPr>
            <w:tcW w:w="0" w:type="auto"/>
          </w:tcPr>
          <w:p>
            <w:pPr>
              <w:spacing w:line="240" w:lineRule="auto" w:before="0" w:after="0"/>
              <w:pStyle w:val="Compact"/>
            </w:pPr>
            <w:r>
              <w:rPr>
                <w:sz w:val="20"/>
                <w:szCs w:val="20"/>
              </w:rPr>
              <w:t xml:space="preserve">Swift (MIDEX Explorer)</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MIDEX ~250M incl UK/Italy participation, launched 20 Nov 2004; explorers.gsfc.nasa.gov; en.wikipedia.org/wiki/Neil_Gehrels_Swift_Observatory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dev cost grew 310M per GAO 2020 assessment, launched 30 Jul 2020; spacepolicyonline.com GAO 2020 NASA assessment; baseline ~2.2B; en.wikipedia.org/wiki/Mars_2020</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to launch readiness; the survival time at risk of a cost breach</w:t>
            </w:r>
          </w:p>
        </w:tc>
        <w:tc>
          <w:tcPr>
            <w:tcW w:w="0" w:type="auto"/>
          </w:tcPr>
          <w:p>
            <w:pPr>
              <w:spacing w:line="240" w:lineRule="auto" w:before="0" w:after="0"/>
              <w:pStyle w:val="Compact"/>
            </w:pPr>
            <w:r>
              <w:rPr>
                <w:sz w:val="20"/>
                <w:szCs w:val="20"/>
              </w:rPr>
              <w:t xml:space="preserve">Computed from baseline and actual launch dates in GAO and NASA mission records</w:t>
            </w:r>
          </w:p>
        </w:tc>
      </w:tr>
      <w:tr>
        <w:tc>
          <w:tcPr>
            <w:tcW w:w="0" w:type="auto"/>
          </w:tcPr>
          <w:p>
            <w:pPr>
              <w:spacing w:line="240" w:lineRule="auto" w:before="0" w:after="0"/>
              <w:pStyle w:val="Compact"/>
            </w:pPr>
            <w:r>
              <w:rPr>
                <w:sz w:val="20"/>
                <w:szCs w:val="20"/>
              </w:rPr>
              <w:t xml:space="preserve">cost_breach</w:t>
            </w:r>
          </w:p>
        </w:tc>
        <w:tc>
          <w:tcPr>
            <w:tcW w:w="0" w:type="auto"/>
          </w:tcPr>
          <w:p>
            <w:pPr>
              <w:spacing w:line="240" w:lineRule="auto" w:before="0" w:after="0"/>
              <w:pStyle w:val="Compact"/>
            </w:pPr>
            <w:r>
              <w:rPr>
                <w:sz w:val="20"/>
                <w:szCs w:val="20"/>
              </w:rPr>
              <w:t xml:space="preserve">Event indicator equal to 1 if development or life-cycle cost grew at least 15 percent above the initial baseline commitment (the statutory NASA rebaseline threshold), 0 if censored within threshold</w:t>
            </w:r>
          </w:p>
        </w:tc>
        <w:tc>
          <w:tcPr>
            <w:tcW w:w="0" w:type="auto"/>
          </w:tcPr>
          <w:p>
            <w:pPr>
              <w:spacing w:line="240" w:lineRule="auto" w:before="0" w:after="0"/>
              <w:pStyle w:val="Compact"/>
            </w:pPr>
            <w:r>
              <w:rPr>
                <w:sz w:val="20"/>
                <w:szCs w:val="20"/>
              </w:rPr>
              <w:t xml:space="preserve">GAO Assessments of Major Projects (GAO-24-106767, GAO-25-107591); NASA OIG audits; mission press kits</w:t>
            </w:r>
          </w:p>
        </w:tc>
      </w:tr>
      <w:tr>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Initial baseline development or life-cycle cost commitment at confirmation, in billions of constant-year US dollars</w:t>
            </w:r>
          </w:p>
        </w:tc>
        <w:tc>
          <w:tcPr>
            <w:tcW w:w="0" w:type="auto"/>
          </w:tcPr>
          <w:p>
            <w:pPr>
              <w:spacing w:line="240" w:lineRule="auto" w:before="0" w:after="0"/>
              <w:pStyle w:val="Compact"/>
            </w:pPr>
            <w:r>
              <w:rPr>
                <w:sz w:val="20"/>
                <w:szCs w:val="20"/>
              </w:rPr>
              <w:t xml:space="preserve">NASA KDP-C confirmation records and GAO project snapshots</w:t>
            </w:r>
          </w:p>
        </w:tc>
      </w:tr>
      <w:tr>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Count of low-TRL or heritage-gap technologies and major new development elements at confirmation; a technical-complexity proxy</w:t>
            </w:r>
          </w:p>
        </w:tc>
        <w:tc>
          <w:tcPr>
            <w:tcW w:w="0" w:type="auto"/>
          </w:tcPr>
          <w:p>
            <w:pPr>
              <w:spacing w:line="240" w:lineRule="auto" w:before="0" w:after="0"/>
              <w:pStyle w:val="Compact"/>
            </w:pPr>
            <w:r>
              <w:rPr>
                <w:sz w:val="20"/>
                <w:szCs w:val="20"/>
              </w:rPr>
              <w:t xml:space="preserve">GAO technology-readiness assessments; NASA mission descriptions; NASA OIG audits</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Number of international or inter-agency partners contributing flight hardware or instruments</w:t>
            </w:r>
          </w:p>
        </w:tc>
        <w:tc>
          <w:tcPr>
            <w:tcW w:w="0" w:type="auto"/>
          </w:tcPr>
          <w:p>
            <w:pPr>
              <w:spacing w:line="240" w:lineRule="auto" w:before="0" w:after="0"/>
              <w:pStyle w:val="Compact"/>
            </w:pPr>
            <w:r>
              <w:rPr>
                <w:sz w:val="20"/>
                <w:szCs w:val="20"/>
              </w:rPr>
              <w:t xml:space="preserve">Mission descriptions in NASA and partner-agency records (CNES, ISRO, ESA, GFZ, NOAA, USGS)</w:t>
            </w:r>
          </w:p>
        </w:tc>
      </w:tr>
      <w:tr>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Indicator equal to 1 for a directed strategic or flagship mission and 0 for a competed PI-led mission (Discovery, New Frontiers, Explorer)</w:t>
            </w:r>
          </w:p>
        </w:tc>
        <w:tc>
          <w:tcPr>
            <w:tcW w:w="0" w:type="auto"/>
          </w:tcPr>
          <w:p>
            <w:pPr>
              <w:spacing w:line="240" w:lineRule="auto" w:before="0" w:after="0"/>
              <w:pStyle w:val="Compact"/>
            </w:pPr>
            <w:r>
              <w:rPr>
                <w:sz w:val="20"/>
                <w:szCs w:val="20"/>
              </w:rPr>
              <w:t xml:space="preserve">NASA program classification and Announcement of Opportunity records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-0.126</w:t>
            </w:r>
          </w:p>
        </w:tc>
        <w:tc>
          <w:tcPr>
            <w:tcW w:w="0" w:type="auto"/>
          </w:tcPr>
          <w:p>
            <w:pPr>
              <w:spacing w:line="240" w:lineRule="auto" w:before="0" w:after="0"/>
              <w:pStyle w:val="Compact"/>
            </w:pPr>
            <w:r>
              <w:rPr>
                <w:sz w:val="20"/>
                <w:szCs w:val="20"/>
              </w:rPr>
              <w:t xml:space="preserve">0.2738</w:t>
            </w:r>
          </w:p>
        </w:tc>
        <w:tc>
          <w:tcPr>
            <w:tcW w:w="0" w:type="auto"/>
          </w:tcPr>
          <w:p>
            <w:pPr>
              <w:spacing w:line="240" w:lineRule="auto" w:before="0" w:after="0"/>
              <w:pStyle w:val="Compact"/>
            </w:pPr>
            <w:r>
              <w:rPr>
                <w:sz w:val="20"/>
                <w:szCs w:val="20"/>
              </w:rPr>
              <w:t xml:space="preserve">-0.4603</w:t>
            </w:r>
          </w:p>
        </w:tc>
        <w:tc>
          <w:tcPr>
            <w:tcW w:w="0" w:type="auto"/>
          </w:tcPr>
          <w:p>
            <w:pPr>
              <w:spacing w:line="240" w:lineRule="auto" w:before="0" w:after="0"/>
              <w:pStyle w:val="Compact"/>
            </w:pPr>
            <w:r>
              <w:rPr>
                <w:sz w:val="20"/>
                <w:szCs w:val="20"/>
              </w:rPr>
              <w:t xml:space="preserve">0.6453</w:t>
            </w:r>
          </w:p>
        </w:tc>
        <w:tc>
          <w:tcPr>
            <w:tcW w:w="0" w:type="auto"/>
          </w:tcPr>
          <w:p>
            <w:pPr>
              <w:spacing w:line="240" w:lineRule="auto" w:before="0" w:after="0"/>
              <w:pStyle w:val="Compact"/>
            </w:pPr>
            <w:r>
              <w:rPr>
                <w:sz w:val="20"/>
                <w:szCs w:val="20"/>
              </w:rPr>
              <w:t xml:space="preserve">[-0.6626, 0.4106]</w:t>
            </w:r>
          </w:p>
        </w:tc>
        <w:tc>
          <w:tcPr>
            <w:tcW w:w="0" w:type="auto"/>
          </w:tcPr>
          <w:p>
            <w:pPr>
              <w:spacing w:line="240" w:lineRule="auto" w:before="0" w:after="0"/>
              <w:pStyle w:val="Compact"/>
            </w:pPr>
            <w:r>
              <w:rPr>
                <w:sz w:val="20"/>
                <w:szCs w:val="20"/>
              </w:rPr>
              <w:t xml:space="preserve">0.8816</w:t>
            </w:r>
          </w:p>
        </w:tc>
      </w:tr>
      <w:tr>
        <w:tc>
          <w:tcPr>
            <w:tcW w:w="0" w:type="auto"/>
          </w:tcPr>
          <w:p>
            <w:pPr>
              <w:spacing w:line="240" w:lineRule="auto" w:before="0" w:after="0"/>
              <w:pStyle w:val="Compact"/>
            </w:pPr>
            <w:r>
              <w:rPr>
                <w:sz w:val="20"/>
                <w:szCs w:val="20"/>
              </w:rPr>
              <w:t xml:space="preserve">immature_tech</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0.382</w:t>
            </w:r>
          </w:p>
        </w:tc>
        <w:tc>
          <w:tcPr>
            <w:tcW w:w="0" w:type="auto"/>
          </w:tcPr>
          <w:p>
            <w:pPr>
              <w:spacing w:line="240" w:lineRule="auto" w:before="0" w:after="0"/>
              <w:pStyle w:val="Compact"/>
            </w:pPr>
            <w:r>
              <w:rPr>
                <w:sz w:val="20"/>
                <w:szCs w:val="20"/>
              </w:rPr>
              <w:t xml:space="preserve">0.0883</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[-0.715, 0.7824]</w:t>
            </w:r>
          </w:p>
        </w:tc>
        <w:tc>
          <w:tcPr>
            <w:tcW w:w="0" w:type="auto"/>
          </w:tcPr>
          <w:p>
            <w:pPr>
              <w:spacing w:line="240" w:lineRule="auto" w:before="0" w:after="0"/>
              <w:pStyle w:val="Compact"/>
            </w:pPr>
            <w:r>
              <w:rPr>
                <w:sz w:val="20"/>
                <w:szCs w:val="20"/>
              </w:rPr>
              <w:t xml:space="preserve">1.0343</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-0.3068</w:t>
            </w:r>
          </w:p>
        </w:tc>
        <w:tc>
          <w:tcPr>
            <w:tcW w:w="0" w:type="auto"/>
          </w:tcPr>
          <w:p>
            <w:pPr>
              <w:spacing w:line="240" w:lineRule="auto" w:before="0" w:after="0"/>
              <w:pStyle w:val="Compact"/>
            </w:pPr>
            <w:r>
              <w:rPr>
                <w:sz w:val="20"/>
                <w:szCs w:val="20"/>
              </w:rPr>
              <w:t xml:space="preserve">0.4983</w:t>
            </w:r>
          </w:p>
        </w:tc>
        <w:tc>
          <w:tcPr>
            <w:tcW w:w="0" w:type="auto"/>
          </w:tcPr>
          <w:p>
            <w:pPr>
              <w:spacing w:line="240" w:lineRule="auto" w:before="0" w:after="0"/>
              <w:pStyle w:val="Compact"/>
            </w:pPr>
            <w:r>
              <w:rPr>
                <w:sz w:val="20"/>
                <w:szCs w:val="20"/>
              </w:rPr>
              <w:t xml:space="preserve">-0.6158</w:t>
            </w:r>
          </w:p>
        </w:tc>
        <w:tc>
          <w:tcPr>
            <w:tcW w:w="0" w:type="auto"/>
          </w:tcPr>
          <w:p>
            <w:pPr>
              <w:spacing w:line="240" w:lineRule="auto" w:before="0" w:after="0"/>
              <w:pStyle w:val="Compact"/>
            </w:pPr>
            <w:r>
              <w:rPr>
                <w:sz w:val="20"/>
                <w:szCs w:val="20"/>
              </w:rPr>
              <w:t xml:space="preserve">0.538</w:t>
            </w:r>
          </w:p>
        </w:tc>
        <w:tc>
          <w:tcPr>
            <w:tcW w:w="0" w:type="auto"/>
          </w:tcPr>
          <w:p>
            <w:pPr>
              <w:spacing w:line="240" w:lineRule="auto" w:before="0" w:after="0"/>
              <w:pStyle w:val="Compact"/>
            </w:pPr>
            <w:r>
              <w:rPr>
                <w:sz w:val="20"/>
                <w:szCs w:val="20"/>
              </w:rPr>
              <w:t xml:space="preserve">[-1.2835, 0.6698]</w:t>
            </w:r>
          </w:p>
        </w:tc>
        <w:tc>
          <w:tcPr>
            <w:tcW w:w="0" w:type="auto"/>
          </w:tcPr>
          <w:p>
            <w:pPr>
              <w:spacing w:line="240" w:lineRule="auto" w:before="0" w:after="0"/>
              <w:pStyle w:val="Compact"/>
            </w:pPr>
            <w:r>
              <w:rPr>
                <w:sz w:val="20"/>
                <w:szCs w:val="20"/>
              </w:rPr>
              <w:t xml:space="preserve">0.7358</w:t>
            </w:r>
          </w:p>
        </w:tc>
      </w:tr>
      <w:tr>
        <w:tc>
          <w:tcPr>
            <w:tcW w:w="0" w:type="auto"/>
          </w:tcPr>
          <w:p>
            <w:pPr>
              <w:spacing w:line="240" w:lineRule="auto" w:before="0" w:after="0"/>
              <w:pStyle w:val="Compact"/>
            </w:pPr>
            <w:r>
              <w:rPr>
                <w:sz w:val="20"/>
                <w:szCs w:val="20"/>
              </w:rPr>
              <w:t xml:space="preserve">directed_flag</w:t>
            </w:r>
          </w:p>
        </w:tc>
        <w:tc>
          <w:tcPr>
            <w:tcW w:w="0" w:type="auto"/>
          </w:tcPr>
          <w:p>
            <w:pPr>
              <w:spacing w:line="240" w:lineRule="auto" w:before="0" w:after="0"/>
              <w:pStyle w:val="Compact"/>
            </w:pPr>
            <w:r>
              <w:rPr>
                <w:sz w:val="20"/>
                <w:szCs w:val="20"/>
              </w:rPr>
              <w:t xml:space="preserve">-1.0173</w:t>
            </w:r>
          </w:p>
        </w:tc>
        <w:tc>
          <w:tcPr>
            <w:tcW w:w="0" w:type="auto"/>
          </w:tcPr>
          <w:p>
            <w:pPr>
              <w:spacing w:line="240" w:lineRule="auto" w:before="0" w:after="0"/>
              <w:pStyle w:val="Compact"/>
            </w:pPr>
            <w:r>
              <w:rPr>
                <w:sz w:val="20"/>
                <w:szCs w:val="20"/>
              </w:rPr>
              <w:t xml:space="preserve">0.9176</w:t>
            </w:r>
          </w:p>
        </w:tc>
        <w:tc>
          <w:tcPr>
            <w:tcW w:w="0" w:type="auto"/>
          </w:tcPr>
          <w:p>
            <w:pPr>
              <w:spacing w:line="240" w:lineRule="auto" w:before="0" w:after="0"/>
              <w:pStyle w:val="Compact"/>
            </w:pPr>
            <w:r>
              <w:rPr>
                <w:sz w:val="20"/>
                <w:szCs w:val="20"/>
              </w:rPr>
              <w:t xml:space="preserve">-1.1087</w:t>
            </w:r>
          </w:p>
        </w:tc>
        <w:tc>
          <w:tcPr>
            <w:tcW w:w="0" w:type="auto"/>
          </w:tcPr>
          <w:p>
            <w:pPr>
              <w:spacing w:line="240" w:lineRule="auto" w:before="0" w:after="0"/>
              <w:pStyle w:val="Compact"/>
            </w:pPr>
            <w:r>
              <w:rPr>
                <w:sz w:val="20"/>
                <w:szCs w:val="20"/>
              </w:rPr>
              <w:t xml:space="preserve">0.2676</w:t>
            </w:r>
          </w:p>
        </w:tc>
        <w:tc>
          <w:tcPr>
            <w:tcW w:w="0" w:type="auto"/>
          </w:tcPr>
          <w:p>
            <w:pPr>
              <w:spacing w:line="240" w:lineRule="auto" w:before="0" w:after="0"/>
              <w:pStyle w:val="Compact"/>
            </w:pPr>
            <w:r>
              <w:rPr>
                <w:sz w:val="20"/>
                <w:szCs w:val="20"/>
              </w:rPr>
              <w:t xml:space="preserve">[-2.8158, 0.7812]</w:t>
            </w:r>
          </w:p>
        </w:tc>
        <w:tc>
          <w:tcPr>
            <w:tcW w:w="0" w:type="auto"/>
          </w:tcPr>
          <w:p>
            <w:pPr>
              <w:spacing w:line="240" w:lineRule="auto" w:before="0" w:after="0"/>
              <w:pStyle w:val="Compact"/>
            </w:pPr>
            <w:r>
              <w:rPr>
                <w:sz w:val="20"/>
                <w:szCs w:val="20"/>
              </w:rPr>
              <w:t xml:space="preserve">0.3616</w:t>
            </w:r>
          </w:p>
        </w:tc>
      </w:tr>
    </w:tbl>
    <w:p>
      <w:pPr>
        <w:pStyle w:val="BodyText"/>
      </w:pPr>
      <w:r>
        <w:t xml:space="preserve">Fit: N = 26 events = 13</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2026-06-25T14:25:58Z</dcterms:created>
  <dcterms:modified xsi:type="dcterms:W3CDTF">2026-06-25T14:25:58Z</dcterms:modified>
</cp:coreProperties>
</file>

<file path=docProps/custom.xml><?xml version="1.0" encoding="utf-8"?>
<Properties xmlns="http://schemas.openxmlformats.org/officeDocument/2006/custom-properties" xmlns:vt="http://schemas.openxmlformats.org/officeDocument/2006/docPropsVTypes"/>
</file>