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COST-GROWTH HAZARD IN FLAGSHIP ASTROPHYSICS MISSIONS: A COX PROPORTIONAL-HAZARDS APPROACH</w:t>
      </w:r>
    </w:p>
    <w:p>
      <w:pPr>
        <w:jc w:val="center"/>
      </w:pPr>
    </w:p>
    <w:p>
      <w:pPr>
        <w:jc w:val="center"/>
      </w:pPr>
      <w:r>
        <w:rPr>
          <w:rFonts w:ascii="Times New Roman" w:hAnsi="Times New Roman"/>
          <w:sz w:val="24"/>
        </w:rPr>
        <w:t>by</w:t>
      </w:r>
    </w:p>
    <w:p>
      <w:pPr>
        <w:jc w:val="center"/>
      </w:pPr>
      <w:r>
        <w:rPr>
          <w:rFonts w:ascii="Times New Roman" w:hAnsi="Times New Roman"/>
          <w:b/>
          <w:sz w:val="28"/>
        </w:rPr>
        <w:t>Liv Renner</w:t>
      </w:r>
    </w:p>
    <w:p>
      <w:pPr>
        <w:jc w:val="center"/>
      </w:pPr>
      <w:r>
        <w:rPr>
          <w:rFonts w:ascii="Times New Roman" w:hAnsi="Times New Roman"/>
          <w:sz w:val="24"/>
        </w:rPr>
        <w:t>1B-AST-049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At the decision point, flagship astrophysics and large strategic science missions concentrate a disproportionate share of NASA’s science budget into a small number of long-lived development efforts, and their cost performance shapes the funding environment for everything else the agency attempts. In the program record, when the James Webb Space Telescope grew from a roughly five billion dollar concept into an eight point eight billion dollar delivered observatory, the difference was not absorbed by appropriators alone. In the confirmation record, it was paid for by deferrals and cancellations elsewhere in the astrophysics portfolio, by missions that were slowed, descoped, or never started. Seen from the budget line, the Government Accountability Office has documented that NASA’s major-project portfolio carries cumulative development cost overruns measured in billions of dollars and cumulative schedule delays measured in years, with a small set of projects accounting for most of the damage</w:t>
      </w:r>
      <w:r>
        <w:t xml:space="preserve"> </w:t>
      </w:r>
      <w:hyperlink w:anchor="ref-7">
        <w:r>
          <w:rPr>
            <w:rStyle w:val="Hyperlink"/>
          </w:rPr>
          <w:t xml:space="preserve">[7]</w:t>
        </w:r>
      </w:hyperlink>
      <w:r>
        <w:t xml:space="preserve">[8]. The portfolio-level headline numbers, on the order of thirty percent average cost growth and an average launch slip near a year, are real and consequential, yet they describe an aggregate and say nothing about the dynamics that produce it.</w:t>
      </w:r>
    </w:p>
    <w:p>
      <w:pPr>
        <w:pStyle w:val="BodyText"/>
        <w:spacing w:line="480" w:lineRule="auto"/>
        <w:ind w:firstLine="720"/>
      </w:pPr>
      <w:r>
        <w:t xml:space="preserve">For JPL and NASA, for NASA and for the Jet Propulsion Laboratory in particular, the stakes of this problem are institutional, not merely accounting. Across the mission evidence, jPL builds and operates the directed flagship missions that sit at the center of the overrun record, including the Mars Science Laboratory, Mars 2020, Europa Clipper, and the planetary architecture of Mars Sample Return</w:t>
      </w:r>
      <w:r>
        <w:t xml:space="preserve"> </w:t>
      </w:r>
      <w:hyperlink w:anchor="ref-17">
        <w:r>
          <w:rPr>
            <w:rStyle w:val="Hyperlink"/>
          </w:rPr>
          <w:t xml:space="preserve">[17]</w:t>
        </w:r>
      </w:hyperlink>
      <w:r>
        <w:t xml:space="preserve">[10].</w:t>
      </w:r>
    </w:p>
    <w:p>
      <w:pPr>
        <w:pStyle w:val="BodyText"/>
        <w:spacing w:line="480" w:lineRule="auto"/>
        <w:ind w:firstLine="720"/>
      </w:pPr>
      <w:r>
        <w:t xml:space="preserve">For the portfolio office, a cost breach on one of these efforts is not a contained event. It propagates through the laboratory’s workforce planning, its facility commitments, and the agency’s ability to honor the cadence of new starts that the decadal surveys recommend. The National Academies, in its review of NASA’s large strategic science missions, treated the cost discipline of flagships as a precondition for the health of the entire science program instead of as a line-item concern</w:t>
      </w:r>
      <w:r>
        <w:t xml:space="preserve"> </w:t>
      </w:r>
      <w:hyperlink w:anchor="ref-16">
        <w:r>
          <w:rPr>
            <w:rStyle w:val="Hyperlink"/>
          </w:rPr>
          <w:t xml:space="preserve">[16]</w:t>
        </w:r>
      </w:hyperlink>
      <w:r>
        <w:t xml:space="preserve">. When a flagship breaches late, the budgetary flexibility that might have cushioned the rest of the portfolio has already been spent. When it breaches early, there may still be time to rescope, defer, or rebalance. In the confirmation record, the timing of the breach, not merely its magnitude, is for that reason the quantity a program office most needs to anticipate, and it is precisely the quantity the standard analytic tradition fails to deliver.</w:t>
      </w:r>
    </w:p>
    <w:p>
      <w:pPr>
        <w:pStyle w:val="BodyText"/>
        <w:spacing w:line="480" w:lineRule="auto"/>
        <w:ind w:firstLine="720"/>
      </w:pPr>
      <w:r>
        <w:t xml:space="preserve">Read as a management signal, the motivating intuition of the analysis here is that cost growth is an event in time, not a scalar. At the decision point, a mission that crosses its confirmed baseline eighteen months after Key Decision Point C and a mission that crosses it three weeks before launch are recorded identically by a final-cost residual, even though the two signal very different programmatic pathologies and offer very different windows for intervention.</w:t>
      </w:r>
    </w:p>
    <w:p>
      <w:pPr>
        <w:pStyle w:val="BodyText"/>
        <w:spacing w:line="480" w:lineRule="auto"/>
        <w:ind w:firstLine="720"/>
      </w:pPr>
      <w:r>
        <w:t xml:space="preserve">Within the development calendar, iCESat-2, for instance, entered a statutory cost-growth reporting requirement during its development and triggered the sixty-day report to Congress that the fifteen percent threshold sets in motion</w:t>
      </w:r>
      <w:r>
        <w:t xml:space="preserve"> </w:t>
      </w:r>
      <w:hyperlink w:anchor="ref-9">
        <w:r>
          <w:rPr>
            <w:rStyle w:val="Hyperlink"/>
          </w:rPr>
          <w:t xml:space="preserve">[9]</w:t>
        </w:r>
      </w:hyperlink>
      <w:r>
        <w:t xml:space="preserve">. That threshold is not an analyst’s convenience. For the portfolio office, it is the line NASA itself is obligated to report against, and the moment a mission crosses it is a real, dated, observable event with real institutional consequences. From a survival-model perspective, the natural question is not only whether a flagship will cross that line, but when, and what raises the instantaneous risk of crossing it at any given point in development. In the program record, this is a survival question, and it has not been asked of the cost-growth record in survival terms.</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At the decision point, the relevant prior work partitions cleanly into two camps that fail to communicate, and the contribution of the analysis here sits in the space between them.</w:t>
      </w:r>
    </w:p>
    <w:p>
      <w:pPr>
        <w:pStyle w:val="BodyText"/>
        <w:spacing w:line="480" w:lineRule="auto"/>
        <w:ind w:firstLine="720"/>
      </w:pPr>
      <w:r>
        <w:t xml:space="preserve">For the portfolio office, the first camp is parametric cost estimation. Its purpose is to predict the total expected cost of a mission from its technical drivers, and its dominant tools are validated against the realized total.</w:t>
      </w:r>
    </w:p>
    <w:p>
      <w:pPr>
        <w:pStyle w:val="BodyText"/>
        <w:spacing w:line="480" w:lineRule="auto"/>
        <w:ind w:firstLine="720"/>
      </w:pPr>
      <w:r>
        <w:t xml:space="preserve">In the confirmation record, the blind validation study of the SEER-H parametric estimator against real NASA missions frames the entire estimation problem in static terms: technical inputs go in, a point estimate of cost and a confidence interval around that estimate come out, and accuracy is scored against the realized figure</w:t>
      </w:r>
      <w:r>
        <w:t xml:space="preserve"> </w:t>
      </w:r>
      <w:hyperlink w:anchor="ref-1">
        <w:r>
          <w:rPr>
            <w:rStyle w:val="Hyperlink"/>
          </w:rPr>
          <w:t xml:space="preserve">[1]</w:t>
        </w:r>
      </w:hyperlink>
      <w:r>
        <w:t xml:space="preserve">. The same logic governs parametric cost estimation of commercial smallsat launch vehicles</w:t>
      </w:r>
      <w:r>
        <w:t xml:space="preserve"> </w:t>
      </w:r>
      <w:hyperlink w:anchor="ref-4">
        <w:r>
          <w:rPr>
            <w:rStyle w:val="Hyperlink"/>
          </w:rPr>
          <w:t xml:space="preserve">[4]</w:t>
        </w:r>
      </w:hyperlink>
      <w:r>
        <w:t xml:space="preserve"> </w:t>
      </w:r>
      <w:r>
        <w:t xml:space="preserve">and the parametric research, development, and production cost model proposed for future civil hypersonic aircraft</w:t>
      </w:r>
      <w:r>
        <w:t xml:space="preserve"> </w:t>
      </w:r>
      <w:hyperlink w:anchor="ref-5">
        <w:r>
          <w:rPr>
            <w:rStyle w:val="Hyperlink"/>
          </w:rPr>
          <w:t xml:space="preserve">[5]</w:t>
        </w:r>
      </w:hyperlink>
      <w:r>
        <w:t xml:space="preserve">. From a survival-model perspective, each of these tools is careful, useful, and silent on timing. For JPL and NASA, the cost-estimation literature understands which technical drivers, above all mass, technical novelty, and the maturity of the underlying technologies, push expected cost upward, and it understands that estimators systematically struggle when a mission carries elements with no flight heritage</w:t>
      </w:r>
      <w:r>
        <w:t xml:space="preserve"> </w:t>
      </w:r>
      <w:hyperlink w:anchor="ref-1">
        <w:r>
          <w:rPr>
            <w:rStyle w:val="Hyperlink"/>
          </w:rPr>
          <w:t xml:space="preserve">[1]</w:t>
        </w:r>
      </w:hyperlink>
      <w:r>
        <w:t xml:space="preserve">. What it fails to produce is a time-to-event. Within the development calendar, a parametric estimate cannot tell a manager that the instantaneous hazard of breach doubles once a mission’s planned schedule is compressed below the norm for its class, since the parametric estimate has no clock.</w:t>
      </w:r>
    </w:p>
    <w:p>
      <w:pPr>
        <w:pStyle w:val="BodyText"/>
        <w:spacing w:line="480" w:lineRule="auto"/>
        <w:ind w:firstLine="720"/>
      </w:pPr>
      <w:r>
        <w:t xml:space="preserve">From a survival-model perspective, the second camp owns the clock but applies it elsewhere. Time-to-event and proportional-hazards methods are well established in reliability and systems-safety practice, and they appear in the astronautics literature as reviewed and trusted techniques. In practical terms, hazard framing has been used to design reliable detumbling for asteroid-mining concepts</w:t>
      </w:r>
      <w:r>
        <w:t xml:space="preserve"> </w:t>
      </w:r>
      <w:hyperlink w:anchor="ref-2">
        <w:r>
          <w:rPr>
            <w:rStyle w:val="Hyperlink"/>
          </w:rPr>
          <w:t xml:space="preserve">[2]</w:t>
        </w:r>
      </w:hyperlink>
      <w:r>
        <w:t xml:space="preserve">, and survival and event-history methods have been turned on operational space behavior, including time-to-event modeling of maneuver occurrence for non-cooperative satellites</w:t>
      </w:r>
      <w:r>
        <w:t xml:space="preserve"> </w:t>
      </w:r>
      <w:hyperlink w:anchor="ref-18">
        <w:r>
          <w:rPr>
            <w:rStyle w:val="Hyperlink"/>
          </w:rPr>
          <w:t xml:space="preserve">[18]</w:t>
        </w:r>
      </w:hyperlink>
      <w:r>
        <w:t xml:space="preserve"> </w:t>
      </w:r>
      <w:r>
        <w:t xml:space="preserve">and event-rate analysis of facility usage aboard the International Space Station</w:t>
      </w:r>
      <w:r>
        <w:t xml:space="preserve"> </w:t>
      </w:r>
      <w:hyperlink w:anchor="ref-3">
        <w:r>
          <w:rPr>
            <w:rStyle w:val="Hyperlink"/>
          </w:rPr>
          <w:t xml:space="preserve">[3]</w:t>
        </w:r>
      </w:hyperlink>
      <w:r>
        <w:t xml:space="preserve">[26]. This camp possesses exactly the censoring-aware machinery that the cost-growth problem requires. It knows how to handle the fact that many subjects have not yet experienced the event at the observation cutoff, and it knows how to extract information from those censored subjects instead of discarding them. In the confirmation record, but it has applied that machinery to hardware failure, orbital behavior, and physical reliability, never to the programmatic event of a cost-baseline breach.</w:t>
      </w:r>
    </w:p>
    <w:p>
      <w:pPr>
        <w:pStyle w:val="BodyText"/>
        <w:spacing w:line="480" w:lineRule="auto"/>
        <w:ind w:firstLine="720"/>
      </w:pPr>
      <w:r>
        <w:t xml:space="preserve">Read as a management signal, no retrieved source crosses the divide. There is no parametric-cost study that treats a baseline breach as a right-censored survival outcome, and there is no proportional-hazards study whose event is a budgetary instead of a physical failure. Read as a management signal, adjacent literatures reason about cost at the system level without supplying the development-phase trajectory of an individual flagship. From a survival-model perspective, the economics-of-orbit tradition models cost internalization and runaway dynamics for the orbital commons</w:t>
      </w:r>
      <w:r>
        <w:t xml:space="preserve"> </w:t>
      </w:r>
      <w:hyperlink w:anchor="ref-6">
        <w:r>
          <w:rPr>
            <w:rStyle w:val="Hyperlink"/>
          </w:rPr>
          <w:t xml:space="preserve">[6]</w:t>
        </w:r>
      </w:hyperlink>
      <w:r>
        <w:t xml:space="preserve">, and the space-economy forecasting literature reasons about how shifting budgets and falling launch costs reshape the baseline against which any overrun is measured</w:t>
      </w:r>
      <w:r>
        <w:t xml:space="preserve"> </w:t>
      </w:r>
      <w:hyperlink w:anchor="ref-13">
        <w:r>
          <w:rPr>
            <w:rStyle w:val="Hyperlink"/>
          </w:rPr>
          <w:t xml:space="preserve">[13]</w:t>
        </w:r>
      </w:hyperlink>
      <w:r>
        <w:t xml:space="preserve">[14], but neither models the timing of an individual mission’s breach. The gap is for that reason specific and addressable. In the program record, the censoring-aware hazard apparatus that the reliability camp already trusts</w:t>
      </w:r>
      <w:r>
        <w:t xml:space="preserve"> </w:t>
      </w:r>
      <w:hyperlink w:anchor="ref-3">
        <w:r>
          <w:rPr>
            <w:rStyle w:val="Hyperlink"/>
          </w:rPr>
          <w:t xml:space="preserve">[3]</w:t>
        </w:r>
      </w:hyperlink>
      <w:r>
        <w:t xml:space="preserve">[18] can be imported into the cost-growth domain that the estimation camp already measures</w:t>
      </w:r>
      <w:r>
        <w:t xml:space="preserve"> </w:t>
      </w:r>
      <w:hyperlink w:anchor="ref-1">
        <w:r>
          <w:rPr>
            <w:rStyle w:val="Hyperlink"/>
          </w:rPr>
          <w:t xml:space="preserve">[1]</w:t>
        </w:r>
      </w:hyperlink>
      <w:r>
        <w:t xml:space="preserve">[4][5], and once it is, the timing of the breach becomes the dependent variable that neither camp has yet been able to model.</w:t>
      </w:r>
    </w:p>
    <w:p>
      <w:pPr>
        <w:pStyle w:val="BodyText"/>
        <w:spacing w:line="480" w:lineRule="auto"/>
        <w:ind w:firstLine="720"/>
      </w:pPr>
      <w:r>
        <w:t xml:space="preserve">This is more than a methodological convenience. Within the development calendar, the two camps disagree, implicitly, about what cost growth is. The model keeps that date visible. Across the mission evidence, the estimation camp treats it as a residual, an error in a one-shot prediction to be minimized. In the program record, the reliability camp’s machinery treats events as processes that accumulate risk over time. In practical terms, the wager of the analysis here is that the second view is the more faithful one for flagship cost growth, and that adopting it changes what we can say. Against that baseline, a residual cannot distinguish a mission that breaches through a single early shock from one that breaches through years of accumulated replanning. Across the mission evidence, a hazard model can, since it estimates how the instantaneous risk of breach depends on covariates fixed at confirmation and, where the data permit, on how that risk evolves across the development calendar.</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Seen from the budget line, the empirical analysis here makes one central, falsifiable claim, stated here precisely so that it can be tested and, if wrong, rejected.</w:t>
      </w:r>
    </w:p>
    <w:p>
      <w:pPr>
        <w:pStyle w:val="BodyText"/>
        <w:spacing w:line="480" w:lineRule="auto"/>
        <w:ind w:firstLine="720"/>
      </w:pPr>
      <w:r>
        <w:t xml:space="preserve">Let the event be the first time a flagship astrophysics or large strategic science mission’s realized cost crosses the fifteen percent cost-growth threshold above its confirmed Key Decision Point C baseline, the threshold that triggers a statutory rebaseline and a report to Congress</w:t>
      </w:r>
      <w:r>
        <w:t xml:space="preserve"> </w:t>
      </w:r>
      <w:hyperlink w:anchor="ref-9">
        <w:r>
          <w:rPr>
            <w:rStyle w:val="Hyperlink"/>
          </w:rPr>
          <w:t xml:space="preserve">[9]</w:t>
        </w:r>
      </w:hyperlink>
      <w:r>
        <w:t xml:space="preserve">. For JPL and NASA, let the survival clock start at confirmation and run in months of development. Let schedule pressure be operationalized as the ratio of a mission’s planned development duration to the parametric duration baseline for its cost-and-complexity class, so that a value below one denotes a schedule compressed relative to its class norm, with the class denominator constructed from the validated parametric practice the estimation literature already documents</w:t>
      </w:r>
      <w:r>
        <w:t xml:space="preserve"> </w:t>
      </w:r>
      <w:hyperlink w:anchor="ref-1">
        <w:r>
          <w:rPr>
            <w:rStyle w:val="Hyperlink"/>
          </w:rPr>
          <w:t xml:space="preserve">[1]</w:t>
        </w:r>
      </w:hyperlink>
      <w:r>
        <w:t xml:space="preserve">[4][5].</w:t>
      </w:r>
    </w:p>
    <w:p>
      <w:pPr>
        <w:pStyle w:val="BodyText"/>
        <w:spacing w:line="480" w:lineRule="auto"/>
        <w:ind w:firstLine="720"/>
      </w:pPr>
      <w:r>
        <w:t xml:space="preserve">The estimator is the Cox proportional-hazards model, which leaves the baseline hazard unspecified, estimates how covariates multiply that baseline hazard, and uses only the ordering of event times so that right-censored missions, those not yet breached at the observation cutoff, contribute information instead of bias.</w:t>
      </w:r>
    </w:p>
    <w:p>
      <w:pPr>
        <w:pStyle w:val="BodyText"/>
        <w:spacing w:line="480" w:lineRule="auto"/>
        <w:ind w:firstLine="720"/>
      </w:pPr>
      <w:r>
        <w:t xml:space="preserve">From a survival-model perspective, the central contribution reduces to a single proposition about schedule pressure, with a single coefficient sign as its decision rule.</w:t>
      </w:r>
    </w:p>
    <w:p>
      <w:pPr>
        <w:pStyle w:val="Compact"/>
        <w:spacing w:line="480" w:lineRule="auto"/>
        <w:numPr>
          <w:ilvl w:val="0"/>
          <w:numId w:val="1001"/>
        </w:numPr>
      </w:pPr>
      <w:r>
        <w:rPr>
          <w:b/>
          <w:bCs/>
        </w:rPr>
        <w:t xml:space="preserve">H0:</w:t>
      </w:r>
      <w:r>
        <w:t xml:space="preserve"> </w:t>
      </w:r>
      <w:r>
        <w:t xml:space="preserve">After adjusting for technical maturity and mission class, the hazard ratio attached to schedule compression equals one. The instantaneous risk of a cost-baseline breach does not depend on how compressed a mission’s planned schedule is relative to its class norm.</w:t>
      </w:r>
    </w:p>
    <w:p>
      <w:pPr>
        <w:pStyle w:val="Compact"/>
        <w:spacing w:line="480" w:lineRule="auto"/>
        <w:numPr>
          <w:ilvl w:val="0"/>
          <w:numId w:val="1001"/>
        </w:numPr>
      </w:pPr>
      <w:r>
        <w:rPr>
          <w:b/>
          <w:bCs/>
        </w:rPr>
        <w:t xml:space="preserve">H1:</w:t>
      </w:r>
      <w:r>
        <w:t xml:space="preserve"> </w:t>
      </w:r>
      <w:r>
        <w:t xml:space="preserve">After adjusting for technical maturity and mission class, the hazard ratio attached to schedule compression is greater than one. A mission whose planned schedule is compressed below its class baseline faces a higher instantaneous risk of breaching its cost baseline at any given development month, holding technical maturity and mission class fixed.</w:t>
      </w:r>
    </w:p>
    <w:p>
      <w:pPr>
        <w:pStyle w:val="FirstParagraph"/>
        <w:spacing w:line="480" w:lineRule="auto"/>
      </w:pPr>
      <w:r>
        <w:t xml:space="preserve">Across the mission evidence, the claim tested here is falsified if, under a pre-registered specification, the estimated hazard ratio for schedule compression is statistically indistinguishable from one or points below one. For JPL and NASA, the single proposition is deliberately narrow since a narrow claim is a refutable one. In the confirmation record, it is not a basket of correlations to be mined for whichever turns out significant. It is one coefficient, with one predicted sign, on one covariate whose construction is anchored in retrieved and validated parametric practice instead of invented for the occasion.</w:t>
      </w:r>
    </w:p>
    <w:p>
      <w:pPr>
        <w:pStyle w:val="BodyText"/>
        <w:spacing w:line="480" w:lineRule="auto"/>
        <w:ind w:firstLine="720"/>
      </w:pPr>
      <w:r>
        <w:t xml:space="preserve">At the decision point, the companion empirical work undertaken in support of the analysis here has already demonstrated both that the survival framing is estimable on the real NASA major-project record and that its results are not foreordained. For JPL and NASA, on a balanced panel of flagship and large science missions, confirmation-era covariates such as baseline budget, a count of immature technologies, partnership structure, and acquisition mode did not by themselves explain the timing of a breach, and the directed-acquisition effect ran opposite to the naive reading of the overrun headlines, pointing toward a duration mechanism instead of an elevated per-month rate</w:t>
      </w:r>
      <w:r>
        <w:t xml:space="preserve"> </w:t>
      </w:r>
      <w:hyperlink w:anchor="ref-7">
        <w:r>
          <w:rPr>
            <w:rStyle w:val="Hyperlink"/>
          </w:rPr>
          <w:t xml:space="preserve">[7]</w:t>
        </w:r>
      </w:hyperlink>
      <w:r>
        <w:t xml:space="preserve">[8][10]. A separate specification found that first-of-kind technology content was associated with a lower, not higher, breach hazard, consistent with a baseline-setting mechanism in which novel flagships are confirmed against generously reserved baselines while heritage missions breach a much narrower band</w:t>
      </w:r>
      <w:r>
        <w:t xml:space="preserve"> </w:t>
      </w:r>
      <w:hyperlink w:anchor="ref-16">
        <w:r>
          <w:rPr>
            <w:rStyle w:val="Hyperlink"/>
          </w:rPr>
          <w:t xml:space="preserve">[16]</w:t>
        </w:r>
      </w:hyperlink>
      <w:r>
        <w:t xml:space="preserve">[17]. For JPL and NASA, these preliminary results matter for the present claim in two ways. They confirm that the method is well posed on obtainable data, and they show that the schedule-pressure hypothesis is being advanced against a record that has already refused to confirm easier hypotheses. H1 is for that reason a genuine empirical risk, not a foregone conclusion.</w:t>
      </w:r>
    </w:p>
    <w:bookmarkEnd w:id="63"/>
    <w:bookmarkStart w:id="64" w:name="roadmap"/>
    <w:p>
      <w:pPr>
        <w:pStyle w:val="Heading2"/>
        <w:spacing w:line="480" w:lineRule="auto"/>
      </w:pPr>
      <w:r>
        <w:t xml:space="preserve">1.4 Roadmap</w:t>
      </w:r>
    </w:p>
    <w:p>
      <w:pPr>
        <w:pStyle w:val="FirstParagraph"/>
        <w:spacing w:line="480" w:lineRule="auto"/>
      </w:pPr>
      <w:r>
        <w:t xml:space="preserve">Across the mission evidence, the remainder of the dissertation proceeds as follows.</w:t>
      </w:r>
    </w:p>
    <w:p>
      <w:pPr>
        <w:pStyle w:val="BodyText"/>
        <w:spacing w:line="480" w:lineRule="auto"/>
        <w:ind w:firstLine="720"/>
      </w:pPr>
      <w:r>
        <w:t xml:space="preserve">Chapter 2 reviews the two literatures in detail and establishes the gap rigorously instead of by assertion. At the decision point, it traces the parametric cost-estimation tradition from SEER-H validation</w:t>
      </w:r>
      <w:r>
        <w:t xml:space="preserve"> </w:t>
      </w:r>
      <w:hyperlink w:anchor="ref-1">
        <w:r>
          <w:rPr>
            <w:rStyle w:val="Hyperlink"/>
          </w:rPr>
          <w:t xml:space="preserve">[1]</w:t>
        </w:r>
      </w:hyperlink>
      <w:r>
        <w:t xml:space="preserve"> </w:t>
      </w:r>
      <w:r>
        <w:t xml:space="preserve">through launch-vehicle</w:t>
      </w:r>
      <w:r>
        <w:t xml:space="preserve"> </w:t>
      </w:r>
      <w:hyperlink w:anchor="ref-4">
        <w:r>
          <w:rPr>
            <w:rStyle w:val="Hyperlink"/>
          </w:rPr>
          <w:t xml:space="preserve">[4]</w:t>
        </w:r>
      </w:hyperlink>
      <w:r>
        <w:t xml:space="preserve"> </w:t>
      </w:r>
      <w:r>
        <w:t xml:space="preserve">and aircraft</w:t>
      </w:r>
      <w:r>
        <w:t xml:space="preserve"> </w:t>
      </w:r>
      <w:hyperlink w:anchor="ref-5">
        <w:r>
          <w:rPr>
            <w:rStyle w:val="Hyperlink"/>
          </w:rPr>
          <w:t xml:space="preserve">[5]</w:t>
        </w:r>
      </w:hyperlink>
      <w:r>
        <w:t xml:space="preserve"> </w:t>
      </w:r>
      <w:r>
        <w:t xml:space="preserve">cost models, documenting precisely where each stops short of a time-to-event. It then surveys the reliability and survival tradition in astronautics, from hazard-based mission design</w:t>
      </w:r>
      <w:r>
        <w:t xml:space="preserve"> </w:t>
      </w:r>
      <w:hyperlink w:anchor="ref-2">
        <w:r>
          <w:rPr>
            <w:rStyle w:val="Hyperlink"/>
          </w:rPr>
          <w:t xml:space="preserve">[2]</w:t>
        </w:r>
      </w:hyperlink>
      <w:r>
        <w:t xml:space="preserve"> </w:t>
      </w:r>
      <w:r>
        <w:t xml:space="preserve">through event-history modeling of operational space behavior</w:t>
      </w:r>
      <w:r>
        <w:t xml:space="preserve"> </w:t>
      </w:r>
      <w:hyperlink w:anchor="ref-3">
        <w:r>
          <w:rPr>
            <w:rStyle w:val="Hyperlink"/>
          </w:rPr>
          <w:t xml:space="preserve">[3]</w:t>
        </w:r>
      </w:hyperlink>
      <w:r>
        <w:t xml:space="preserve">[18][26], to show that the machinery the analysis here imports is mature and trusted in its home domain.</w:t>
      </w:r>
    </w:p>
    <w:p>
      <w:pPr>
        <w:pStyle w:val="BodyText"/>
        <w:spacing w:line="480" w:lineRule="auto"/>
        <w:ind w:firstLine="720"/>
      </w:pPr>
      <w:r>
        <w:t xml:space="preserve">Read as a management signal, the chapter closes by situating the work against adjacent system-level cost reasoning</w:t>
      </w:r>
      <w:r>
        <w:t xml:space="preserve"> </w:t>
      </w:r>
      <w:hyperlink w:anchor="ref-6">
        <w:r>
          <w:rPr>
            <w:rStyle w:val="Hyperlink"/>
          </w:rPr>
          <w:t xml:space="preserve">[6]</w:t>
        </w:r>
      </w:hyperlink>
      <w:r>
        <w:t xml:space="preserve">[13][14][16] and stating the methodological wager that timing is the missing variable.</w:t>
      </w:r>
    </w:p>
    <w:p>
      <w:pPr>
        <w:pStyle w:val="BodyText"/>
        <w:spacing w:line="480" w:lineRule="auto"/>
        <w:ind w:firstLine="720"/>
      </w:pPr>
      <w:r>
        <w:t xml:space="preserve">Chapter 3 develops the identification strategy and the formal Cox specification. It defines the breach event against the original confirmed baseline, fixes the survival clock at confirmation, and specifies the covariates, schedule pressure, technical maturity, and mission class, all measured at confirmation so that reverse causation from realized overrun onto the regressors is removed by construction. It treats the proportional-hazards assumption as testable instead of assumed, committing in advance to scaled Schoenfeld-residual diagnostics and to a time-varying-coefficient or stratified-baseline fallback where the assumption fails, and it enters mission class as a stratifying factor so that the schedule-pressure coefficient is not confounded with the fact that larger flagships breach differently from smaller ones.</w:t>
      </w:r>
    </w:p>
    <w:p>
      <w:pPr>
        <w:pStyle w:val="BodyText"/>
        <w:spacing w:line="480" w:lineRule="auto"/>
        <w:ind w:firstLine="720"/>
      </w:pPr>
      <w:r>
        <w:t xml:space="preserve">In the program record, chapter 4 documents the data and its provenance. In the confirmation record, the public record is the public NASA major-project record: the GAO Assessments of Major Projects series</w:t>
      </w:r>
      <w:r>
        <w:t xml:space="preserve"> </w:t>
      </w:r>
      <w:hyperlink w:anchor="ref-7">
        <w:r>
          <w:rPr>
            <w:rStyle w:val="Hyperlink"/>
          </w:rPr>
          <w:t xml:space="preserve">[7]</w:t>
        </w:r>
      </w:hyperlink>
      <w:r>
        <w:t xml:space="preserve">[8], NASA Office of Inspector General audits of specific projects</w:t>
      </w:r>
      <w:r>
        <w:t xml:space="preserve"> </w:t>
      </w:r>
      <w:hyperlink w:anchor="ref-10">
        <w:r>
          <w:rPr>
            <w:rStyle w:val="Hyperlink"/>
          </w:rPr>
          <w:t xml:space="preserve">[10]</w:t>
        </w:r>
      </w:hyperlink>
      <w:r>
        <w:t xml:space="preserve">, the National Academies review of large strategic science missions</w:t>
      </w:r>
      <w:r>
        <w:t xml:space="preserve"> </w:t>
      </w:r>
      <w:hyperlink w:anchor="ref-16">
        <w:r>
          <w:rPr>
            <w:rStyle w:val="Hyperlink"/>
          </w:rPr>
          <w:t xml:space="preserve">[16]</w:t>
        </w:r>
      </w:hyperlink>
      <w:r>
        <w:t xml:space="preserve">, and mission-level cost histories</w:t>
      </w:r>
      <w:r>
        <w:t xml:space="preserve"> </w:t>
      </w:r>
      <w:hyperlink w:anchor="ref-17">
        <w:r>
          <w:rPr>
            <w:rStyle w:val="Hyperlink"/>
          </w:rPr>
          <w:t xml:space="preserve">[17]</w:t>
        </w:r>
      </w:hyperlink>
      <w:r>
        <w:t xml:space="preserve">, together with the technology-readiness assessments at confirmation needed for the technical-maturity proxy. Every variable, the event indicator, the time-to-event, the censoring flag, schedule pressure, technical maturity, and mission class, traces to a public document with a citable identifier, so that the empirical chain is fully external and reproducible and no proprietary data is required.</w:t>
      </w:r>
    </w:p>
    <w:p>
      <w:pPr>
        <w:pStyle w:val="BodyText"/>
        <w:spacing w:line="480" w:lineRule="auto"/>
        <w:ind w:firstLine="720"/>
      </w:pPr>
      <w:r>
        <w:t xml:space="preserve">Chapter 5 presents the estimation and the test of H0 against H1, reporting hazard ratios with their uncertainty, the Schoenfeld-residual diagnostics, and the influence diagnostics that a thin sample of flagships demands. In practical terms, because the event count is small, it reports Firth-penalized partial likelihood as a robustness check and examines the leverage of individual missions explicitly, since in a thin sample one project can drive the coefficient sign that decides the hypothesis. It reports the schedule-pressure conclusion under at least two alternative constructions of the class-duration denominator so that the result is shown not to be an artifact of a single denominator choice</w:t>
      </w:r>
      <w:r>
        <w:t xml:space="preserve"> </w:t>
      </w:r>
      <w:hyperlink w:anchor="ref-1">
        <w:r>
          <w:rPr>
            <w:rStyle w:val="Hyperlink"/>
          </w:rPr>
          <w:t xml:space="preserve">[1]</w:t>
        </w:r>
      </w:hyperlink>
      <w:r>
        <w:t xml:space="preserve">[4][5].</w:t>
      </w:r>
    </w:p>
    <w:p>
      <w:pPr>
        <w:pStyle w:val="BodyText"/>
        <w:spacing w:line="480" w:lineRule="auto"/>
        <w:ind w:firstLine="720"/>
      </w:pPr>
      <w:r>
        <w:t xml:space="preserve">From a survival-model perspective, chapter 6 interprets the findings, sets them against the preliminary results summarized above, and confronts the threats to validity directly: the proportional-hazards assumption, small-sample fragility, the left-truncation and definitional drift introduced by formal rebaselines, and the construct validity of schedule pressure. It treats a failed diagnostic as a reported result instead of a hidden one. Read as a management signal, chapter 7 concludes by stating what the timed, censoring-aware account of cost-growth risk offers NASA and JPL that a one-shot parametric estimate cannot, and by laying out the extensions, wider panels across additional assessment cycles, graded readiness indices, and competing-risks and time-varying treatments, that the hazard-modeling line opens once the central claim has been tested.</w:t>
      </w:r>
    </w:p>
    <w:bookmarkEnd w:id="64"/>
    <w:bookmarkEnd w:id="65"/>
    <w:bookmarkStart w:id="72" w:name="chapter-2.-literature-review"/>
    <w:p>
      <w:pPr>
        <w:pStyle w:val="Heading1"/>
        <w:spacing w:line="480" w:lineRule="auto"/>
      </w:pPr>
      <w:r>
        <w:t xml:space="preserve">Chapter 2. Literature Review</w:t>
      </w:r>
    </w:p>
    <w:bookmarkStart w:id="66"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Seen from the budget line, the empirical claim that animates this dissertation, that the risk of a flagship astrophysics mission breaching its confirmed cost baseline is a quantity that rises and falls across the development calendar instead of a scalar settled at delivery, sits in the seam between two mature but mutually estranged bodies of work. The first is the domain technical literature on space-mission cost estimation: a parametric, engineering-economic tradition that maps technical drivers onto an expected total cost and a confidence band around it.</w:t>
      </w:r>
    </w:p>
    <w:p>
      <w:pPr>
        <w:pStyle w:val="BodyText"/>
        <w:spacing w:line="480" w:lineRule="auto"/>
        <w:ind w:firstLine="720"/>
      </w:pPr>
      <w:r>
        <w:t xml:space="preserve">In the confirmation record, the second is the cliometric and econometric methodology of time-to-event analysis: the survival-modeling apparatus, anchored in the Cox proportional-hazards estimator, that treats the occurrence of a defined event as a censored random variable observed against a clock. Read as a management signal, each literature is internally coherent and each has been imported, separately, into the astronautics record. The evidence remains public. From a survival-model perspective, neither has been joined to the other. Within the development calendar, the cost-estimation tradition owns the covariates and the dollar outcomes but produces only static point estimates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survival tradition owns the censoring-aware timing machinery but, where it appears in the space domain at all, attaches that machinery to physical and operational events instead of to a budgetary one</w:t>
      </w:r>
      <w:r>
        <w:t xml:space="preserve"> </w:t>
      </w:r>
      <w:hyperlink w:anchor="ref-3">
        <w:r>
          <w:rPr>
            <w:rStyle w:val="Hyperlink"/>
          </w:rPr>
          <w:t xml:space="preserve">[3]</w:t>
        </w:r>
      </w:hyperlink>
      <w:r>
        <w:t xml:space="preserve">,</w:t>
      </w:r>
      <w:r>
        <w:t xml:space="preserve"> </w:t>
      </w:r>
      <w:hyperlink w:anchor="ref-18">
        <w:r>
          <w:rPr>
            <w:rStyle w:val="Hyperlink"/>
          </w:rPr>
          <w:t xml:space="preserve">[18]</w:t>
        </w:r>
      </w:hyperlink>
      <w:r>
        <w:t xml:space="preserve">,</w:t>
      </w:r>
      <w:r>
        <w:t xml:space="preserve"> </w:t>
      </w:r>
      <w:hyperlink w:anchor="ref-26">
        <w:r>
          <w:rPr>
            <w:rStyle w:val="Hyperlink"/>
          </w:rPr>
          <w:t xml:space="preserve">[26]</w:t>
        </w:r>
      </w:hyperlink>
      <w:r>
        <w:t xml:space="preserve">. In practical terms, the chapter reviews each literature on its own terms, then synthesizes the two and locates the specific, addressable gap the dissertation occupies.</w:t>
      </w:r>
    </w:p>
    <w:p>
      <w:pPr>
        <w:pStyle w:val="BodyText"/>
        <w:spacing w:line="480" w:lineRule="auto"/>
        <w:ind w:firstLine="720"/>
      </w:pPr>
      <w:r>
        <w:t xml:space="preserve">For the portfolio office, the review proceeds in five movements. Section 2.2 surveys the parametric cost-estimation literature and its characteristic silence on timing. The claim stays falsifiable. In practical terms, section 2.3 surveys the oversight and program-management record that documents the cost-growth phenomenon empirically, including the statutory rebaseline threshold that supplies the dissertation’s event definition. Against that baseline, section 2.4 reviews the survival and hazard methodology as it has entered the astronautics and adjacent literatures. In practical terms, section 2.5 reviews the economics-of-space and portfolio-level reasoning that frames cost growth as a systemic instead of purely project-level pathology. Within the development calendar, section 2.6 synthesizes, naming the precise gap and the warrant for crossing it. At the decision point, throughout, the review cites only sources in the shared reference pool, and it distinguishes carefully between what a source actually establishes and what the present argument asks it to support.</w:t>
      </w:r>
    </w:p>
    <w:bookmarkEnd w:id="66"/>
    <w:bookmarkStart w:id="67" w:name="the-parametric-cost-estimation-tradition"/>
    <w:p>
      <w:pPr>
        <w:pStyle w:val="Heading2"/>
        <w:spacing w:line="480" w:lineRule="auto"/>
      </w:pPr>
      <w:r>
        <w:t xml:space="preserve">2.2 The Parametric Cost-Estimation Tradition</w:t>
      </w:r>
    </w:p>
    <w:p>
      <w:pPr>
        <w:pStyle w:val="FirstParagraph"/>
        <w:spacing w:line="480" w:lineRule="auto"/>
      </w:pPr>
      <w:r>
        <w:t xml:space="preserve">The dominant analytic instrument for anticipating the cost of a space mission is the parametric cost-estimating relationship: a regression-derived or model-derived function that takes technical and programmatic drivers as inputs and returns an expected cost as an output. In practical terms, the canonical contemporary validation of this tradition for NASA missions is the blind study of the SEER-H parametric tool conducted by Friz, Hosder, Leser, and Towle</w:t>
      </w:r>
      <w:r>
        <w:t xml:space="preserve"> </w:t>
      </w:r>
      <w:hyperlink w:anchor="ref-1">
        <w:r>
          <w:rPr>
            <w:rStyle w:val="Hyperlink"/>
          </w:rPr>
          <w:t xml:space="preserve">[1]</w:t>
        </w:r>
      </w:hyperlink>
      <w:r>
        <w:t xml:space="preserve">.</w:t>
      </w:r>
    </w:p>
    <w:p>
      <w:pPr>
        <w:pStyle w:val="BodyText"/>
        <w:spacing w:line="480" w:lineRule="auto"/>
        <w:ind w:firstLine="720"/>
      </w:pPr>
      <w:r>
        <w:t xml:space="preserve">That study is methodologically careful, and the care repays close reading, since its very rigor exposes the limit the present dissertation is built to exceed. The authors withhold the realized costs of a set of NASA space missions, generate SEER-H estimates from technical inputs alone, and then compare the parametric estimate against the held-out truth. Seen from the budget line, the figure of merit throughout is a static one: how close is the point estimate to the realized total, and how well does the confidence interval bracket it</w:t>
      </w:r>
      <w:r>
        <w:t xml:space="preserve"> </w:t>
      </w:r>
      <w:hyperlink w:anchor="ref-1">
        <w:r>
          <w:rPr>
            <w:rStyle w:val="Hyperlink"/>
          </w:rPr>
          <w:t xml:space="preserve">[1]</w:t>
        </w:r>
      </w:hyperlink>
      <w:r>
        <w:t xml:space="preserve">. Read as a management signal, the validation is framed, in other words, as a question about the accuracy of a number, not about the trajectory of a process. Nowhere in that framing is there a clock. A mission whose cost is correctly estimated and a mission whose cost is wildly underestimated are distinguished by the magnitude of a residual; the moment at which the realized cost departs from the estimate is not part of the object of study.</w:t>
      </w:r>
    </w:p>
    <w:p>
      <w:pPr>
        <w:pStyle w:val="BodyText"/>
        <w:spacing w:line="480" w:lineRule="auto"/>
        <w:ind w:firstLine="720"/>
      </w:pPr>
      <w:r>
        <w:t xml:space="preserve">This is not a defect of the SEER-H validation specifically; it is a structural property of the parametric tradition as a whole. Across the mission evidence, the same logic governs the parametric cost-estimating work on commercial smallsat launch vehicles by Drenthe, Zandbergen, Curran, and Van Pelt</w:t>
      </w:r>
      <w:r>
        <w:t xml:space="preserve"> </w:t>
      </w:r>
      <w:hyperlink w:anchor="ref-4">
        <w:r>
          <w:rPr>
            <w:rStyle w:val="Hyperlink"/>
          </w:rPr>
          <w:t xml:space="preserve">[4]</w:t>
        </w:r>
      </w:hyperlink>
      <w:r>
        <w:t xml:space="preserve">.</w:t>
      </w:r>
    </w:p>
    <w:p>
      <w:pPr>
        <w:pStyle w:val="BodyText"/>
        <w:spacing w:line="480" w:lineRule="auto"/>
        <w:ind w:firstLine="720"/>
      </w:pPr>
      <w:r>
        <w:t xml:space="preserve">From a survival-model perspective, there, the authors construct cost-estimating relationships from vehicle technical parameters, dry mass, propellant choice, staging, and production assumptions among them, and validate the resulting model against the development and recurring costs of real and announced small launchers</w:t>
      </w:r>
      <w:r>
        <w:t xml:space="preserve"> </w:t>
      </w:r>
      <w:hyperlink w:anchor="ref-4">
        <w:r>
          <w:rPr>
            <w:rStyle w:val="Hyperlink"/>
          </w:rPr>
          <w:t xml:space="preserve">[4]</w:t>
        </w:r>
      </w:hyperlink>
      <w:r>
        <w:t xml:space="preserve">. Against that baseline, the output is, again, an expected cost with an associated uncertainty. In the program record, the Cox model is silent on when in a development program the cost is incurred or when an estimate would be breached, since the model has no temporal index at all. It is a cross-sectional relationship between a vector of technical drivers and a scalar cost. Across the mission evidence, the work is valuable precisely as a cross-sectional instrument, and the present dissertation borrows from it directly, since the construction of a class-normed schedule baseline against which to measure schedule compression depends on exactly the kind of parametric class relationship that Drenthe and colleagues demonstrate is buildable</w:t>
      </w:r>
      <w:r>
        <w:t xml:space="preserve"> </w:t>
      </w:r>
      <w:hyperlink w:anchor="ref-4">
        <w:r>
          <w:rPr>
            <w:rStyle w:val="Hyperlink"/>
          </w:rPr>
          <w:t xml:space="preserve">[4]</w:t>
        </w:r>
      </w:hyperlink>
      <w:r>
        <w:t xml:space="preserve">.</w:t>
      </w:r>
    </w:p>
    <w:p>
      <w:pPr>
        <w:pStyle w:val="BodyText"/>
        <w:spacing w:line="480" w:lineRule="auto"/>
        <w:ind w:firstLine="720"/>
      </w:pPr>
      <w:r>
        <w:t xml:space="preserve">The parametric tradition extends beyond space launch into adjacent high-technology development, and the extension confirms the generality of the timing silence. Read as a management signal, viola, Fusaro, Ferretto, and Vercella build a research, development, and production cost-prediction parametric model for future civil hypersonic aircraft</w:t>
      </w:r>
      <w:r>
        <w:t xml:space="preserve"> </w:t>
      </w:r>
      <w:hyperlink w:anchor="ref-5">
        <w:r>
          <w:rPr>
            <w:rStyle w:val="Hyperlink"/>
          </w:rPr>
          <w:t xml:space="preserve">[5]</w:t>
        </w:r>
      </w:hyperlink>
      <w:r>
        <w:t xml:space="preserve">. The clock changes the question. Against that baseline, their model is, if anything, a more elaborate instance of the parametric form, decomposing total program cost into phase-resolved development and production components and tying each to technical drivers of the airframe and propulsion concept</w:t>
      </w:r>
      <w:r>
        <w:t xml:space="preserve"> </w:t>
      </w:r>
      <w:hyperlink w:anchor="ref-5">
        <w:r>
          <w:rPr>
            <w:rStyle w:val="Hyperlink"/>
          </w:rPr>
          <w:t xml:space="preserve">[5]</w:t>
        </w:r>
      </w:hyperlink>
      <w:r>
        <w:t xml:space="preserve">. In the program record, yet even this phase-resolved decomposition is not a hazard model. Seen from the budget line, resolving a total into development and production buckets partitions the dollars by program phase; it fails to estimate the instantaneous risk that a baseline, once set, will be crossed at a given calendar time. Within the development calendar, the Viola model can tell a planner how much the development phase is expected to cost; it cannot tell a planner that the conditional probability of a baseline breach, given survival to month thirty, is rising. For JPL and NASA, that distinction, between a phase-allocated cost total and a time-indexed breach hazard, is the conceptual fault line the analysis here runs along, and the hypersonic-aircraft model sits squarely on the parametric side of it</w:t>
      </w:r>
      <w:r>
        <w:t xml:space="preserve"> </w:t>
      </w:r>
      <w:hyperlink w:anchor="ref-5">
        <w:r>
          <w:rPr>
            <w:rStyle w:val="Hyperlink"/>
          </w:rPr>
          <w:t xml:space="preserve">[5]</w:t>
        </w:r>
      </w:hyperlink>
      <w:r>
        <w:t xml:space="preserve">.</w:t>
      </w:r>
    </w:p>
    <w:p>
      <w:pPr>
        <w:pStyle w:val="BodyText"/>
        <w:spacing w:line="480" w:lineRule="auto"/>
        <w:ind w:firstLine="720"/>
      </w:pPr>
      <w:r>
        <w:t xml:space="preserve">From a survival-model perspective, three features of the parametric literature deserve emphasis since they shape both the gap and the opportunity. First, the literature is covariate-rich. The unit of analysis is time. It has already identified and operationalized the technical drivers, mass, technology maturity, novelty, heritage, that a cost analyst believes govern cost surprise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For the portfolio office, the dissertation fails to need to discover its covariates from scratch; it inherits a validated covariate vocabulary from this tradition. Against that baseline, second, the literature is outcome-static. For JPL and NASA, every member produces an expected cost and an uncertainty band, never a time-to-event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Across the mission evidence, the dependent variable is a dollar figure, and the residual against realized cost is the universal scoring rule. Third, and consequently, the literature cannot represent censoring. A parametric estimate evaluated against a mission that has not yet finished developing has no natural way to use the partial information that the mission has survived to date without breaching; the residual is simply not yet computable. The censoring problem, which is the organizing problem of survival analysis, is invisible inside the parametric frame since the parametric frame has no event and no clock against which an observation could be censored.</w:t>
      </w:r>
    </w:p>
    <w:bookmarkEnd w:id="67"/>
    <w:bookmarkStart w:id="68" w:name="Xe75c33cc52a02a70ddcbb76a78575c062178054"/>
    <w:p>
      <w:pPr>
        <w:pStyle w:val="Heading2"/>
        <w:spacing w:line="480" w:lineRule="auto"/>
      </w:pPr>
      <w:r>
        <w:t xml:space="preserve">2.3 The Cost-Growth Phenomenon and Its Statutory Event</w:t>
      </w:r>
    </w:p>
    <w:p>
      <w:pPr>
        <w:pStyle w:val="FirstParagraph"/>
        <w:spacing w:line="480" w:lineRule="auto"/>
      </w:pPr>
      <w:r>
        <w:t xml:space="preserve">If the parametric literature supplies the covariates, the oversight and program-management record supplies the phenomenon, the data, and, critically, the event definition. Seen from the budget line, the Government Accountability Office’s recurring assessment of NASA’s major projects is the spine of this record.</w:t>
      </w:r>
    </w:p>
    <w:p>
      <w:pPr>
        <w:pStyle w:val="BodyText"/>
        <w:spacing w:line="480" w:lineRule="auto"/>
        <w:ind w:firstLine="720"/>
      </w:pPr>
      <w:r>
        <w:t xml:space="preserve">In practical terms, the 2024 and 2025 assessments document, project by project, the confirmed Key Decision Point C cost and schedule baselines and the subsequent realized cost and schedule, and they report in their tabular appendices the percentage cost growth and the launch-date slip for each major mission in the portfolio</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choice is deliberate. These reports are the empirical anchor for the dissertation’s outcome variable, since they publish exactly the quantities from which a survival outcome can be reconstructed: a confirmed baseline, a current estimate, a percentage growth, and a schedule slip together yield an event indicator, a time-to-event measured from confirmation, and a censoring flag for projects not yet breached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For the portfolio office, the GAO series is public and machine-readable in its tabular form, which satisfies the provenance requirement that every variable trace to an external, citable document.</w:t>
      </w:r>
    </w:p>
    <w:p>
      <w:pPr>
        <w:pStyle w:val="BodyText"/>
        <w:spacing w:line="480" w:lineRule="auto"/>
        <w:ind w:firstLine="720"/>
      </w:pPr>
      <w:r>
        <w:t xml:space="preserve">The phenomenon the GAO documents is severe and concentrated. Across the mission evidence, the portfolio carries cumulative development cost overruns and cumulative schedule delays that are dominated by a small number of projects, a pattern the assessments make explicit and that the companion empirical work in the analysis here summarizes as roughly thirty percent average cost growth and an average launch slip near a year across the portfolio</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timing is measurable. At the decision point, the headline statistics are informative about the aggregate and silent about timing, which is the central motivation for the survival reframing: a portfolio average tells an appropriator how much, on average, missions overran, but it fails to tell a program office whether exposure to a breach is concentrated early in development, late in integration, or spread evenly across the calendar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Project-specific audits sharpen the picture. For JPL and NASA, the NASA Office of Inspector General’s audit of the Dragonfly project documents the agency-directed replans and cost growth on a single directed flagship in granular form</w:t>
      </w:r>
      <w:r>
        <w:t xml:space="preserve"> </w:t>
      </w:r>
      <w:hyperlink w:anchor="ref-10">
        <w:r>
          <w:rPr>
            <w:rStyle w:val="Hyperlink"/>
          </w:rPr>
          <w:t xml:space="preserve">[10]</w:t>
        </w:r>
      </w:hyperlink>
      <w:r>
        <w:t xml:space="preserve">, and the agency’s own technical analysis of the challenges of developing and funding flagship missions catalogues the structural pressures that produce the overrun pattern the GAO measures</w:t>
      </w:r>
      <w:r>
        <w:t xml:space="preserve"> </w:t>
      </w:r>
      <w:hyperlink w:anchor="ref-11">
        <w:r>
          <w:rPr>
            <w:rStyle w:val="Hyperlink"/>
          </w:rPr>
          <w:t xml:space="preserve">[11]</w:t>
        </w:r>
      </w:hyperlink>
      <w:r>
        <w:t xml:space="preserve">. The National Academies’ study of NASA’s large strategic science missions provides the consensus-study framing for why flagships behave as they do and supplies confirmation-era cost context for several legacy missions that predate the GAO series</w:t>
      </w:r>
      <w:r>
        <w:t xml:space="preserve"> </w:t>
      </w:r>
      <w:hyperlink w:anchor="ref-16">
        <w:r>
          <w:rPr>
            <w:rStyle w:val="Hyperlink"/>
          </w:rPr>
          <w:t xml:space="preserve">[16]</w:t>
        </w:r>
      </w:hyperlink>
      <w:r>
        <w:t xml:space="preserve">, while mission-level cost histories from the Planetary Society furnish baselines and realized totals for the highest-profile cases, the Mars Science Laboratory, Mars 2020, and the James Webb Space Telescope among them</w:t>
      </w:r>
      <w:r>
        <w:t xml:space="preserve"> </w:t>
      </w:r>
      <w:hyperlink w:anchor="ref-17">
        <w:r>
          <w:rPr>
            <w:rStyle w:val="Hyperlink"/>
          </w:rPr>
          <w:t xml:space="preserve">[17]</w:t>
        </w:r>
      </w:hyperlink>
      <w:r>
        <w:t xml:space="preserve">.</w:t>
      </w:r>
    </w:p>
    <w:p>
      <w:pPr>
        <w:pStyle w:val="BodyText"/>
        <w:spacing w:line="480" w:lineRule="auto"/>
        <w:ind w:firstLine="720"/>
      </w:pPr>
      <w:r>
        <w:t xml:space="preserve">For the portfolio office, the event definition itself comes from statute and is documented at the mission level. NASA is obligated to report to Congress when a major project’s development cost grows by a defined percentage above its baseline, and several missions in the record entered that reporting requirement explicitly; the ICESat-2 congressional cost-growth report is the documented instance the dissertation leans on for the threshold’s operational meaning</w:t>
      </w:r>
      <w:r>
        <w:t xml:space="preserve"> </w:t>
      </w:r>
      <w:hyperlink w:anchor="ref-9">
        <w:r>
          <w:rPr>
            <w:rStyle w:val="Hyperlink"/>
          </w:rPr>
          <w:t xml:space="preserve">[9]</w:t>
        </w:r>
      </w:hyperlink>
      <w:r>
        <w:t xml:space="preserve">. That timing is measurable. At the decision point, the fifteen percent line is for that reason not an analyst’s convenience but the breach point the agency is statutorily required to recognize, which is what makes its crossing a defensible survival event: it is an externally defined, legally consequential transition, observed in public documents, with a well-defined clock running from Key Decision Point C confirmation</w:t>
      </w:r>
      <w:r>
        <w:t xml:space="preserve"> </w:t>
      </w:r>
      <w:hyperlink w:anchor="ref-9">
        <w:r>
          <w:rPr>
            <w:rStyle w:val="Hyperlink"/>
          </w:rPr>
          <w:t xml:space="preserve">[9]</w:t>
        </w:r>
      </w:hyperlink>
      <w:r>
        <w:t xml:space="preserve">. At the decision point, this grounding matters for construct validity. A survival analysis is only as credible as its event definition, and an event that is fixed by statute, reported to Congress, and recorded in oversight documents is far more defensible than an event the analyst constructs ad hoc.</w:t>
      </w:r>
    </w:p>
    <w:p>
      <w:pPr>
        <w:pStyle w:val="BodyText"/>
        <w:spacing w:line="480" w:lineRule="auto"/>
        <w:ind w:firstLine="720"/>
      </w:pPr>
      <w:r>
        <w:t xml:space="preserve">For the portfolio office, the program-management strand of the pool also begins to gesture, without arriving, at the survival framing the dissertation completes. At the decision point, the companion technical reasoning in the field holds that increasing technical ambition raises risk to both schedule and cost during the interval between mission definition and development</w:t>
      </w:r>
      <w:r>
        <w:t xml:space="preserve"> </w:t>
      </w:r>
      <w:hyperlink w:anchor="ref-12">
        <w:r>
          <w:rPr>
            <w:rStyle w:val="Hyperlink"/>
          </w:rPr>
          <w:t xml:space="preserve">[12]</w:t>
        </w:r>
      </w:hyperlink>
      <w:r>
        <w:t xml:space="preserve">, that previously unforeseen program interdependencies are a recurring source of schedule changes and subsequent cost and budget increases, especially when architectures are transformative instead of incremental</w:t>
      </w:r>
      <w:r>
        <w:t xml:space="preserve"> </w:t>
      </w:r>
      <w:hyperlink w:anchor="ref-13">
        <w:r>
          <w:rPr>
            <w:rStyle w:val="Hyperlink"/>
          </w:rPr>
          <w:t xml:space="preserve">[13]</w:t>
        </w:r>
      </w:hyperlink>
      <w:r>
        <w:t xml:space="preserve">, and that capability already built carries lower cost and schedule risk than capability that must be developed during the mission, which motivates treating heritage as protective</w:t>
      </w:r>
      <w:r>
        <w:t xml:space="preserve"> </w:t>
      </w:r>
      <w:hyperlink w:anchor="ref-15">
        <w:r>
          <w:rPr>
            <w:rStyle w:val="Hyperlink"/>
          </w:rPr>
          <w:t xml:space="preserve">[15]</w:t>
        </w:r>
      </w:hyperlink>
      <w:r>
        <w:t xml:space="preserve">.</w:t>
      </w:r>
    </w:p>
    <w:p>
      <w:pPr>
        <w:pStyle w:val="BodyText"/>
        <w:spacing w:line="480" w:lineRule="auto"/>
        <w:ind w:firstLine="720"/>
      </w:pPr>
      <w:r>
        <w:t xml:space="preserve">These are mechanism claims about why cost grows and when in the life cycle the pressure mounts, and they are exactly the kind of claim a hazard model is built to test. Across the mission evidence, yet in the form they take in this literature they remain narrative: they describe pressures that accumulate over development time without estimating an instantaneous rate at which those pressures convert into a breach. Read as a management signal, the mechanism is articulated; the timed estimator is absent.</w:t>
      </w:r>
    </w:p>
    <w:bookmarkEnd w:id="68"/>
    <w:bookmarkStart w:id="69" w:name="Xb2fa02c0f5aec4cf5528ca93bb74b6928aa9f21"/>
    <w:p>
      <w:pPr>
        <w:pStyle w:val="Heading2"/>
        <w:spacing w:line="480" w:lineRule="auto"/>
      </w:pPr>
      <w:r>
        <w:t xml:space="preserve">2.4 The Survival and Hazard-Modeling Tradition</w:t>
      </w:r>
    </w:p>
    <w:p>
      <w:pPr>
        <w:pStyle w:val="FirstParagraph"/>
        <w:spacing w:line="480" w:lineRule="auto"/>
      </w:pPr>
      <w:r>
        <w:t xml:space="preserve">The second literature is the time-to-event methodology itself, and the central question of this review is whether and how that methodology has entered the space domain. Against that baseline, the proportional-hazards model is established in reliability and systems-safety practice, and it has been cited as a review-grade technique within the astronautics literature, which is what licenses its import into the cost-growth problem as a defensible methodological choice instead of a novelty introduced for its own sake</w:t>
      </w:r>
      <w:r>
        <w:t xml:space="preserve"> </w:t>
      </w:r>
      <w:hyperlink w:anchor="ref-3">
        <w:r>
          <w:rPr>
            <w:rStyle w:val="Hyperlink"/>
          </w:rPr>
          <w:t xml:space="preserve">[3]</w:t>
        </w:r>
      </w:hyperlink>
      <w:r>
        <w:t xml:space="preserve">. That choice is deliberate. At the decision point, the defining virtue of the Cox proportional-hazards estimator, the property that motivates its selection over any parametric cost model, is that it accommodates right-censoring directly. The Cox partial likelihood is constructed from the ordering of event times instead of from the events’ absolute timing, so observations that have not experienced the event by the observation cutoff contribute the information that they survived without requiring the analyst to discard or impute them</w:t>
      </w:r>
      <w:r>
        <w:t xml:space="preserve"> </w:t>
      </w:r>
      <w:hyperlink w:anchor="ref-3">
        <w:r>
          <w:rPr>
            <w:rStyle w:val="Hyperlink"/>
          </w:rPr>
          <w:t xml:space="preserve">[3]</w:t>
        </w:r>
      </w:hyperlink>
      <w:r>
        <w:t xml:space="preserve">. This is precisely the property the parametric point-estimate tradition lacks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t>
      </w:r>
      <w:r>
        <w:t xml:space="preserve">and the property the proportional-hazards literature was built to supply</w:t>
      </w:r>
      <w:r>
        <w:t xml:space="preserve"> </w:t>
      </w:r>
      <w:hyperlink w:anchor="ref-3">
        <w:r>
          <w:rPr>
            <w:rStyle w:val="Hyperlink"/>
          </w:rPr>
          <w:t xml:space="preserve">[3]</w:t>
        </w:r>
      </w:hyperlink>
      <w:r>
        <w:t xml:space="preserve">. Against that baseline, in a domain where many flagships in any feasible sample have not yet breached at the time of observation, an estimator that throws away censored cases would bias the result toward the missions that breached fastest; the Cox model’s censoring-awareness is for that reason not a technical nicety but the substantive reason it is the right tool.</w:t>
      </w:r>
    </w:p>
    <w:p>
      <w:pPr>
        <w:pStyle w:val="BodyText"/>
        <w:spacing w:line="480" w:lineRule="auto"/>
        <w:ind w:firstLine="720"/>
      </w:pPr>
      <w:r>
        <w:t xml:space="preserve">Where the survival apparatus does appear in the space literature, however, it is attached to physical, operational, and behavioral events instead of to a budgetary one, and surveying those applications establishes both the precedent and its limit. In the confirmation record, the most directly relevant precedent is the work of Shivshankar and Ghose, who explicitly apply time-to-event survival-analysis modeling to the occurrence of maneuvers by non-cooperative satellites</w:t>
      </w:r>
      <w:r>
        <w:t xml:space="preserve"> </w:t>
      </w:r>
      <w:hyperlink w:anchor="ref-18">
        <w:r>
          <w:rPr>
            <w:rStyle w:val="Hyperlink"/>
          </w:rPr>
          <w:t xml:space="preserve">[18]</w:t>
        </w:r>
      </w:hyperlink>
      <w:r>
        <w:t xml:space="preserve">. Within the development calendar, this is a genuine survival model in the space domain: the event is a satellite maneuver, the clock runs over observation time, and the modeling explicitly invokes the survival-analysis frame</w:t>
      </w:r>
      <w:r>
        <w:t xml:space="preserve"> </w:t>
      </w:r>
      <w:hyperlink w:anchor="ref-18">
        <w:r>
          <w:rPr>
            <w:rStyle w:val="Hyperlink"/>
          </w:rPr>
          <w:t xml:space="preserve">[18]</w:t>
        </w:r>
      </w:hyperlink>
      <w:r>
        <w:t xml:space="preserve">. It demonstrates, in other words, that the hazard machinery transfers cleanly into the orbital domain when the event is an operational action. What it fails to do, and fails to claim to do, is treat a programmatic or budgetary transition as the event; the dependent variable is a physical maneuver, not a cost-baseline crossing</w:t>
      </w:r>
      <w:r>
        <w:t xml:space="preserve"> </w:t>
      </w:r>
      <w:hyperlink w:anchor="ref-18">
        <w:r>
          <w:rPr>
            <w:rStyle w:val="Hyperlink"/>
          </w:rPr>
          <w:t xml:space="preserve">[18]</w:t>
        </w:r>
      </w:hyperlink>
      <w:r>
        <w:t xml:space="preserve">. For the portfolio office, the precedent establishes feasibility of the import while leaving the specific budgetary application open.</w:t>
      </w:r>
    </w:p>
    <w:p>
      <w:pPr>
        <w:pStyle w:val="BodyText"/>
        <w:spacing w:line="480" w:lineRule="auto"/>
        <w:ind w:firstLine="720"/>
      </w:pPr>
      <w:r>
        <w:t xml:space="preserve">In the program record, the reliability-engineering uses of hazard framing in mission design are adjacent in the same way. Jafari Nadoushan, Ghobadi, and Shafaee design a reliable detumbling mission for asteroid mining under an explicit reliability framing, in which hazard and reliability functions govern the probability of hardware and mission success</w:t>
      </w:r>
      <w:r>
        <w:t xml:space="preserve"> </w:t>
      </w:r>
      <w:hyperlink w:anchor="ref-2">
        <w:r>
          <w:rPr>
            <w:rStyle w:val="Hyperlink"/>
          </w:rPr>
          <w:t xml:space="preserve">[2]</w:t>
        </w:r>
      </w:hyperlink>
      <w:r>
        <w:t xml:space="preserve">.</w:t>
      </w:r>
    </w:p>
    <w:p>
      <w:pPr>
        <w:pStyle w:val="BodyText"/>
        <w:spacing w:line="480" w:lineRule="auto"/>
        <w:ind w:firstLine="720"/>
      </w:pPr>
      <w:r>
        <w:t xml:space="preserve">This is hazard reasoning applied to physical reliability, the original home of the proportional-hazards method, and it confirms that the field is comfortable with hazard and reliability functions as analytic objects</w:t>
      </w:r>
      <w:r>
        <w:t xml:space="preserve"> </w:t>
      </w:r>
      <w:hyperlink w:anchor="ref-2">
        <w:r>
          <w:rPr>
            <w:rStyle w:val="Hyperlink"/>
          </w:rPr>
          <w:t xml:space="preserve">[2]</w:t>
        </w:r>
      </w:hyperlink>
      <w:r>
        <w:t xml:space="preserve">. But the event is hardware or mission failure, not a cost breach, and the covariates are engineering reliability parameters, not confirmation-era programmatic drivers. The distinction is operational. Across the mission evidence, the same observation applies to the operational-statistics work exemplified by Walsh, Ali, Shihabi, and Linstead on facility usage aboard the International Space Station, which is the pool’s instance of rigorous time-and-event-structured statistical analysis of an operational space record</w:t>
      </w:r>
      <w:r>
        <w:t xml:space="preserve"> </w:t>
      </w:r>
      <w:hyperlink w:anchor="ref-3">
        <w:r>
          <w:rPr>
            <w:rStyle w:val="Hyperlink"/>
          </w:rPr>
          <w:t xml:space="preserve">[3]</w:t>
        </w:r>
      </w:hyperlink>
      <w:r>
        <w:t xml:space="preserve">,</w:t>
      </w:r>
      <w:r>
        <w:t xml:space="preserve"> </w:t>
      </w:r>
      <w:hyperlink w:anchor="ref-26">
        <w:r>
          <w:rPr>
            <w:rStyle w:val="Hyperlink"/>
          </w:rPr>
          <w:t xml:space="preserve">[26]</w:t>
        </w:r>
      </w:hyperlink>
      <w:r>
        <w:t xml:space="preserve">. For the portfolio office, that work demonstrates the field’s capacity for disciplined statistical treatment of timed operational data, and it is cited as the review-grade methodological precedent for proportional-hazards reasoning in the astronautics literature</w:t>
      </w:r>
      <w:r>
        <w:t xml:space="preserve"> </w:t>
      </w:r>
      <w:hyperlink w:anchor="ref-3">
        <w:r>
          <w:rPr>
            <w:rStyle w:val="Hyperlink"/>
          </w:rPr>
          <w:t xml:space="preserve">[3]</w:t>
        </w:r>
      </w:hyperlink>
      <w:r>
        <w:t xml:space="preserve">; yet its event is operational usage, not a budgetary transition. Across all these instances the pattern is uniform: the survival and hazard tradition is present in the space domain, it is trusted, and it is applied to events that are physical, operational, or behavioral. For JPL and NASA, the programmatic event of a cost-baseline breach is, in the surveyed pool, never the dependent variable of a hazard model.</w:t>
      </w:r>
    </w:p>
    <w:p>
      <w:pPr>
        <w:pStyle w:val="BodyText"/>
        <w:spacing w:line="480" w:lineRule="auto"/>
        <w:ind w:firstLine="720"/>
      </w:pPr>
      <w:r>
        <w:t xml:space="preserve">For the portfolio office, it is worth being precise about what this literature contributes to the dissertation methodologically, since the contribution cannot be treated only as the estimator but a discipline of practice. At the decision point, the proportional-hazards tradition supplies the requirement that the proportionality assumption be tested instead of assumed, which in practice means examining scaled Schoenfeld residuals for each covariate and admitting a time-varying coefficient or a stratified baseline hazard where the assumption fails</w:t>
      </w:r>
      <w:r>
        <w:t xml:space="preserve"> </w:t>
      </w:r>
      <w:hyperlink w:anchor="ref-3">
        <w:r>
          <w:rPr>
            <w:rStyle w:val="Hyperlink"/>
          </w:rPr>
          <w:t xml:space="preserve">[3]</w:t>
        </w:r>
      </w:hyperlink>
      <w:r>
        <w:t xml:space="preserve">. That choice is deliberate. It supplies the practice of stratifying the baseline hazard by a categorical confounder, here mission class, so that the baseline rate is permitted to differ across classes while a common covariate coefficient is estimated, which guards against confounding a schedule effect with the brute fact that larger flagships breach differently from smaller ones. For the portfolio office, and it supplies the small-sample robustness practices, penalized partial likelihood and explicit influence diagnostics, that a thin sample of flagship missions makes mandatory. For JPL and NASA, none of these practices is visible in the parametric cost literature, since none of them has meaning without an event and a clock. They are the methodological inheritance the survival side of the synthesis brings to the table.</w:t>
      </w:r>
    </w:p>
    <w:bookmarkEnd w:id="69"/>
    <w:bookmarkStart w:id="70" w:name="X6031616fd5a418568943e9e2d8f84ee6b08b826"/>
    <w:p>
      <w:pPr>
        <w:pStyle w:val="Heading2"/>
        <w:spacing w:line="480" w:lineRule="auto"/>
      </w:pPr>
      <w:r>
        <w:t xml:space="preserve">2.5 Portfolio Economics and the Systemic Frame</w:t>
      </w:r>
    </w:p>
    <w:p>
      <w:pPr>
        <w:pStyle w:val="FirstParagraph"/>
        <w:spacing w:line="480" w:lineRule="auto"/>
      </w:pPr>
      <w:r>
        <w:t xml:space="preserve">A third, smaller body of work in the pool reasons about cost not at the level of the individual mission but at the level of the system in which missions compete for a fixed budget, and it is reviewed here since it both motivates the stakes and clarifies the boundary of the dissertation’s claim. The economics-of-orbit literature, exemplified by Rao and Rondina’s analysis of open access, external costs, and runaway dynamics in orbit use, reasons rigorously about cost internalization and runaway accumulation at the system level</w:t>
      </w:r>
      <w:r>
        <w:t xml:space="preserve"> </w:t>
      </w:r>
      <w:hyperlink w:anchor="ref-6">
        <w:r>
          <w:rPr>
            <w:rStyle w:val="Hyperlink"/>
          </w:rPr>
          <w:t xml:space="preserve">[6]</w:t>
        </w:r>
      </w:hyperlink>
      <w:r>
        <w:t xml:space="preserve">. At the decision point, its analytic object is the externality and the runaway dynamic, the way that individually rational decisions aggregate into a systemically costly outcome, and its method is the economics of open-access resources instead of the timing of an individual project’s budget</w:t>
      </w:r>
      <w:r>
        <w:t xml:space="preserve"> </w:t>
      </w:r>
      <w:hyperlink w:anchor="ref-6">
        <w:r>
          <w:rPr>
            <w:rStyle w:val="Hyperlink"/>
          </w:rPr>
          <w:t xml:space="preserve">[6]</w:t>
        </w:r>
      </w:hyperlink>
      <w:r>
        <w:t xml:space="preserve">. This frame is genuinely cliometric and econometric in spirit, and it shares with the dissertation an interest in cost as a dynamic instead of a static quantity. But it fails to model the development-phase cost trajectory of a single flagship, and it is not a survival model; it operates at the wrong level of aggregation to supply the time-to-breach estimator the dissertation needs</w:t>
      </w:r>
      <w:r>
        <w:t xml:space="preserve"> </w:t>
      </w:r>
      <w:hyperlink w:anchor="ref-6">
        <w:r>
          <w:rPr>
            <w:rStyle w:val="Hyperlink"/>
          </w:rPr>
          <w:t xml:space="preserve">[6]</w:t>
        </w:r>
      </w:hyperlink>
      <w:r>
        <w:t xml:space="preserve">. Its role in the review is to establish that the field already reasons about cost dynamically at the system level, which makes a dynamic reframing at the project level a natural and not an alien extension.</w:t>
      </w:r>
    </w:p>
    <w:p>
      <w:pPr>
        <w:pStyle w:val="BodyText"/>
        <w:spacing w:line="480" w:lineRule="auto"/>
        <w:ind w:firstLine="720"/>
      </w:pPr>
      <w:r>
        <w:t xml:space="preserve">From a survival-model perspective, the portfolio-economics framing in the broader pool reinforces the stakes. In practical terms, the space-economy reasoning on the architectural and socio-technological transformation of space-use norms documents how transformative architectures generate unforeseen interdependencies that drive cost and schedule growth</w:t>
      </w:r>
      <w:r>
        <w:t xml:space="preserve"> </w:t>
      </w:r>
      <w:hyperlink w:anchor="ref-13">
        <w:r>
          <w:rPr>
            <w:rStyle w:val="Hyperlink"/>
          </w:rPr>
          <w:t xml:space="preserve">[13]</w:t>
        </w:r>
      </w:hyperlink>
      <w:r>
        <w:t xml:space="preserve">, and the forecasting work on the space economy documents how shifts in launch cost and government budgets reshape the baseline against which any individual mission’s growth is measured</w:t>
      </w:r>
      <w:r>
        <w:t xml:space="preserve"> </w:t>
      </w:r>
      <w:hyperlink w:anchor="ref-14">
        <w:r>
          <w:rPr>
            <w:rStyle w:val="Hyperlink"/>
          </w:rPr>
          <w:t xml:space="preserve">[14]</w:t>
        </w:r>
      </w:hyperlink>
      <w:r>
        <w:t xml:space="preserve">.</w:t>
      </w:r>
    </w:p>
    <w:p>
      <w:pPr>
        <w:pStyle w:val="BodyText"/>
        <w:spacing w:line="480" w:lineRule="auto"/>
        <w:ind w:firstLine="720"/>
      </w:pPr>
      <w:r>
        <w:t xml:space="preserve">Together these establish that the baseline a flagship is judged against is itself endogenous to a moving funding environment, which is a caution the dissertation must carry into its construct-validity discussion: the fifteen percent threshold is measured against baselines that are themselves set within a shifting economic frame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From a survival-model perspective, the systemic literature thus bounds the interpretation of any project-level hazard result without supplying the estimator for it. It tells the dissertation why the timing of a breach matters, that an early breach forecloses budgetary flexibility for the rest of a constrained portfolio, while leaving the timing question itself unanswered.</w:t>
      </w:r>
    </w:p>
    <w:p>
      <w:pPr>
        <w:pStyle w:val="BodyText"/>
        <w:spacing w:line="480" w:lineRule="auto"/>
        <w:ind w:firstLine="720"/>
      </w:pPr>
      <w:r>
        <w:t xml:space="preserve">Seen from the budget line, for completeness, the review notes that a substantial portion of the shared pool consists of space-domain technical work that bears on neither cost estimation nor survival methodology at the level of the present argument: mission-concept studies for outer-planet flagships</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31">
        <w:r>
          <w:rPr>
            <w:rStyle w:val="Hyperlink"/>
          </w:rPr>
          <w:t xml:space="preserve">[31]</w:t>
        </w:r>
      </w:hyperlink>
      <w:r>
        <w:t xml:space="preserve">, space-domain-awareness and sensor-architecture work</w:t>
      </w:r>
      <w:r>
        <w:t xml:space="preserve"> </w:t>
      </w:r>
      <w:hyperlink w:anchor="ref-15">
        <w:r>
          <w:rPr>
            <w:rStyle w:val="Hyperlink"/>
          </w:rPr>
          <w:t xml:space="preserve">[15]</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4">
        <w:r>
          <w:rPr>
            <w:rStyle w:val="Hyperlink"/>
          </w:rPr>
          <w:t xml:space="preserve">[24]</w:t>
        </w:r>
      </w:hyperlink>
      <w:r>
        <w:t xml:space="preserve">, debris and orbital-mechanics analyses</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5">
        <w:r>
          <w:rPr>
            <w:rStyle w:val="Hyperlink"/>
          </w:rPr>
          <w:t xml:space="preserve">[25]</w:t>
        </w:r>
      </w:hyperlink>
      <w:r>
        <w:t xml:space="preserve">,</w:t>
      </w:r>
      <w:r>
        <w:t xml:space="preserve"> </w:t>
      </w:r>
      <w:hyperlink w:anchor="ref-29">
        <w:r>
          <w:rPr>
            <w:rStyle w:val="Hyperlink"/>
          </w:rPr>
          <w:t xml:space="preserve">[29]</w:t>
        </w:r>
      </w:hyperlink>
      <w:r>
        <w:t xml:space="preserve">, technosignature and SETI mission concepts</w:t>
      </w:r>
      <w:r>
        <w:t xml:space="preserve"> </w:t>
      </w:r>
      <w:hyperlink w:anchor="ref-30">
        <w:r>
          <w:rPr>
            <w:rStyle w:val="Hyperlink"/>
          </w:rPr>
          <w:t xml:space="preserve">[30]</w:t>
        </w:r>
      </w:hyperlink>
      <w:r>
        <w:t xml:space="preserve">,</w:t>
      </w:r>
      <w:r>
        <w:t xml:space="preserve"> </w:t>
      </w:r>
      <w:hyperlink w:anchor="ref-32">
        <w:r>
          <w:rPr>
            <w:rStyle w:val="Hyperlink"/>
          </w:rPr>
          <w:t xml:space="preserve">[32]</w:t>
        </w:r>
      </w:hyperlink>
      <w:r>
        <w:t xml:space="preserve">, and space-policy foresight</w:t>
      </w:r>
      <w:r>
        <w:t xml:space="preserve"> </w:t>
      </w:r>
      <w:hyperlink w:anchor="ref-20">
        <w:r>
          <w:rPr>
            <w:rStyle w:val="Hyperlink"/>
          </w:rPr>
          <w:t xml:space="preserve">[20]</w:t>
        </w:r>
      </w:hyperlink>
      <w:r>
        <w:t xml:space="preserve">,</w:t>
      </w:r>
      <w:r>
        <w:t xml:space="preserve"> </w:t>
      </w:r>
      <w:hyperlink w:anchor="ref-33">
        <w:r>
          <w:rPr>
            <w:rStyle w:val="Hyperlink"/>
          </w:rPr>
          <w:t xml:space="preserve">[33]</w:t>
        </w:r>
      </w:hyperlink>
      <w:r>
        <w:t xml:space="preserve">. These sources populate the corpus from which the dissertation’s domain vocabulary and mission-class taxonomy are drawn, and several of the flagship concept studies are useful as documented instances of the mission population whose cost behavior is under study</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31">
        <w:r>
          <w:rPr>
            <w:rStyle w:val="Hyperlink"/>
          </w:rPr>
          <w:t xml:space="preserve">[31]</w:t>
        </w:r>
      </w:hyperlink>
      <w:r>
        <w:t xml:space="preserve">. Across the mission evidence, they do not, however, contribute to the methodological synthesis at the center of this chapter, and the review fails to stretch them to do so.</w:t>
      </w:r>
    </w:p>
    <w:p>
      <w:pPr>
        <w:pStyle w:val="BodyText"/>
        <w:spacing w:line="480" w:lineRule="auto"/>
        <w:ind w:firstLine="720"/>
      </w:pPr>
      <w:r>
        <w:t xml:space="preserve">Their presence is a reminder that the cost-growth-as-hazard problem sits inside a large technical literature that has simply never posed the question in survival terms.</w:t>
      </w:r>
    </w:p>
    <w:bookmarkEnd w:id="70"/>
    <w:bookmarkStart w:id="71" w:name="X514894b7f6b84190f25ddf998fd284136403a2f"/>
    <w:p>
      <w:pPr>
        <w:pStyle w:val="Heading2"/>
        <w:spacing w:line="480" w:lineRule="auto"/>
      </w:pPr>
      <w:r>
        <w:t xml:space="preserve">2.6 Synthesis: The Gap and the Warrant to Cross It</w:t>
      </w:r>
    </w:p>
    <w:p>
      <w:pPr>
        <w:pStyle w:val="FirstParagraph"/>
        <w:spacing w:line="480" w:lineRule="auto"/>
      </w:pPr>
      <w:r>
        <w:t xml:space="preserve">Against that baseline, the two literatures partition cleanly, and the gap sits exactly between them. On one side stands the parametric cost-estimation camp: SEER-H validation for NASA missions</w:t>
      </w:r>
      <w:r>
        <w:t xml:space="preserve"> </w:t>
      </w:r>
      <w:hyperlink w:anchor="ref-1">
        <w:r>
          <w:rPr>
            <w:rStyle w:val="Hyperlink"/>
          </w:rPr>
          <w:t xml:space="preserve">[1]</w:t>
        </w:r>
      </w:hyperlink>
      <w:r>
        <w:t xml:space="preserve">, smallsat launch-vehicle cost estimating</w:t>
      </w:r>
      <w:r>
        <w:t xml:space="preserve"> </w:t>
      </w:r>
      <w:hyperlink w:anchor="ref-4">
        <w:r>
          <w:rPr>
            <w:rStyle w:val="Hyperlink"/>
          </w:rPr>
          <w:t xml:space="preserve">[4]</w:t>
        </w:r>
      </w:hyperlink>
      <w:r>
        <w:t xml:space="preserve">, and hypersonic-aircraft cost prediction</w:t>
      </w:r>
      <w:r>
        <w:t xml:space="preserve"> </w:t>
      </w:r>
      <w:hyperlink w:anchor="ref-5">
        <w:r>
          <w:rPr>
            <w:rStyle w:val="Hyperlink"/>
          </w:rPr>
          <w:t xml:space="preserve">[5]</w:t>
        </w:r>
      </w:hyperlink>
      <w:r>
        <w:t xml:space="preserve">.</w:t>
      </w:r>
    </w:p>
    <w:p>
      <w:pPr>
        <w:pStyle w:val="BodyText"/>
        <w:spacing w:line="480" w:lineRule="auto"/>
        <w:ind w:firstLine="720"/>
      </w:pPr>
      <w:r>
        <w:t xml:space="preserve">Every member of this camp produces a static expected cost, scored by a residual against a realized total, with no temporal index and no capacity to represent a censored, not-yet-breached observation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unit of analysis is time. On the other side stands the survival and reliability camp: the proportional-hazards method as a reviewed astronautics technique</w:t>
      </w:r>
      <w:r>
        <w:t xml:space="preserve"> </w:t>
      </w:r>
      <w:hyperlink w:anchor="ref-3">
        <w:r>
          <w:rPr>
            <w:rStyle w:val="Hyperlink"/>
          </w:rPr>
          <w:t xml:space="preserve">[3]</w:t>
        </w:r>
      </w:hyperlink>
      <w:r>
        <w:t xml:space="preserve">, reliability-and-hazard framing in mission design</w:t>
      </w:r>
      <w:r>
        <w:t xml:space="preserve"> </w:t>
      </w:r>
      <w:hyperlink w:anchor="ref-2">
        <w:r>
          <w:rPr>
            <w:rStyle w:val="Hyperlink"/>
          </w:rPr>
          <w:t xml:space="preserve">[2]</w:t>
        </w:r>
      </w:hyperlink>
      <w:r>
        <w:t xml:space="preserve">, operational time-and-event statistics on the Space Station</w:t>
      </w:r>
      <w:r>
        <w:t xml:space="preserve"> </w:t>
      </w:r>
      <w:hyperlink w:anchor="ref-26">
        <w:r>
          <w:rPr>
            <w:rStyle w:val="Hyperlink"/>
          </w:rPr>
          <w:t xml:space="preserve">[26]</w:t>
        </w:r>
      </w:hyperlink>
      <w:r>
        <w:t xml:space="preserve">, and the one clear space-domain survival model, of non-cooperative-satellite maneuver occurrence</w:t>
      </w:r>
      <w:r>
        <w:t xml:space="preserve"> </w:t>
      </w:r>
      <w:hyperlink w:anchor="ref-18">
        <w:r>
          <w:rPr>
            <w:rStyle w:val="Hyperlink"/>
          </w:rPr>
          <w:t xml:space="preserve">[18]</w:t>
        </w:r>
      </w:hyperlink>
      <w:r>
        <w:t xml:space="preserve">. Every member of this camp owns the censoring-aware time-to-event machinery and applies it to a physical, operational, or behavioral event, never to the programmatic event of a cost-baseline breach</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8">
        <w:r>
          <w:rPr>
            <w:rStyle w:val="Hyperlink"/>
          </w:rPr>
          <w:t xml:space="preserve">[18]</w:t>
        </w:r>
      </w:hyperlink>
      <w:r>
        <w:t xml:space="preserve">,</w:t>
      </w:r>
      <w:r>
        <w:t xml:space="preserve"> </w:t>
      </w:r>
      <w:hyperlink w:anchor="ref-26">
        <w:r>
          <w:rPr>
            <w:rStyle w:val="Hyperlink"/>
          </w:rPr>
          <w:t xml:space="preserve">[26]</w:t>
        </w:r>
      </w:hyperlink>
      <w:r>
        <w:t xml:space="preserve">. Within the development calendar, the oversight record sits between the two as the unexploited bridge: the GAO assessments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project audits</w:t>
      </w:r>
      <w:r>
        <w:t xml:space="preserve"> </w:t>
      </w:r>
      <w:hyperlink w:anchor="ref-10">
        <w:r>
          <w:rPr>
            <w:rStyle w:val="Hyperlink"/>
          </w:rPr>
          <w:t xml:space="preserve">[10]</w:t>
        </w:r>
      </w:hyperlink>
      <w:r>
        <w:t xml:space="preserve">, the agency’s flagship-funding analysis</w:t>
      </w:r>
      <w:r>
        <w:t xml:space="preserve"> </w:t>
      </w:r>
      <w:hyperlink w:anchor="ref-11">
        <w:r>
          <w:rPr>
            <w:rStyle w:val="Hyperlink"/>
          </w:rPr>
          <w:t xml:space="preserve">[11]</w:t>
        </w:r>
      </w:hyperlink>
      <w:r>
        <w:t xml:space="preserve">, the statutory threshold instantiated by ICESat-2</w:t>
      </w:r>
      <w:r>
        <w:t xml:space="preserve"> </w:t>
      </w:r>
      <w:hyperlink w:anchor="ref-9">
        <w:r>
          <w:rPr>
            <w:rStyle w:val="Hyperlink"/>
          </w:rPr>
          <w:t xml:space="preserve">[9]</w:t>
        </w:r>
      </w:hyperlink>
      <w:r>
        <w:t xml:space="preserve">, the National Academies framing</w:t>
      </w:r>
      <w:r>
        <w:t xml:space="preserve"> </w:t>
      </w:r>
      <w:hyperlink w:anchor="ref-16">
        <w:r>
          <w:rPr>
            <w:rStyle w:val="Hyperlink"/>
          </w:rPr>
          <w:t xml:space="preserve">[16]</w:t>
        </w:r>
      </w:hyperlink>
      <w:r>
        <w:t xml:space="preserve">, and the mission-level cost histories</w:t>
      </w:r>
      <w:r>
        <w:t xml:space="preserve"> </w:t>
      </w:r>
      <w:hyperlink w:anchor="ref-17">
        <w:r>
          <w:rPr>
            <w:rStyle w:val="Hyperlink"/>
          </w:rPr>
          <w:t xml:space="preserve">[17]</w:t>
        </w:r>
      </w:hyperlink>
      <w:r>
        <w:t xml:space="preserve"> </w:t>
      </w:r>
      <w:r>
        <w:t xml:space="preserve">together publish a confirmed baseline, a realized cost, a percentage growth, a schedule slip, and for that reason an event, a clock, and a censoring flag, all in external, citable documents, yet no source in the pool assembles them into a hazard model.</w:t>
      </w:r>
    </w:p>
    <w:p>
      <w:pPr>
        <w:pStyle w:val="BodyText"/>
        <w:spacing w:line="480" w:lineRule="auto"/>
        <w:ind w:firstLine="720"/>
      </w:pPr>
      <w:r>
        <w:t xml:space="preserve">No retrieved source crosses the two camps. In the confirmation record, there is no parametric-cost study that treats a baseline breach as a censored survival outcome, and there is no proportional-hazards study whose event is a budgetary instead of a physical or operational failure. The record supports the test. In the confirmation record, the systemic economics literature reasons about cost dynamics at the wrong level of aggregation to close the gap, modeling externalities and runaway accumulation instead of the development-phase trajectory of an individual flagship</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program-management literature articulates the mechanisms, ambition raising risk between definition and development</w:t>
      </w:r>
      <w:r>
        <w:t xml:space="preserve"> </w:t>
      </w:r>
      <w:hyperlink w:anchor="ref-12">
        <w:r>
          <w:rPr>
            <w:rStyle w:val="Hyperlink"/>
          </w:rPr>
          <w:t xml:space="preserve">[12]</w:t>
        </w:r>
      </w:hyperlink>
      <w:r>
        <w:t xml:space="preserve">, transformative architectures generating unforeseen interdependencies and subsequent cost growth</w:t>
      </w:r>
      <w:r>
        <w:t xml:space="preserve"> </w:t>
      </w:r>
      <w:hyperlink w:anchor="ref-13">
        <w:r>
          <w:rPr>
            <w:rStyle w:val="Hyperlink"/>
          </w:rPr>
          <w:t xml:space="preserve">[13]</w:t>
        </w:r>
      </w:hyperlink>
      <w:r>
        <w:t xml:space="preserve">, heritage as protective against development surprise</w:t>
      </w:r>
      <w:r>
        <w:t xml:space="preserve"> </w:t>
      </w:r>
      <w:hyperlink w:anchor="ref-15">
        <w:r>
          <w:rPr>
            <w:rStyle w:val="Hyperlink"/>
          </w:rPr>
          <w:t xml:space="preserve">[15]</w:t>
        </w:r>
      </w:hyperlink>
      <w:r>
        <w:t xml:space="preserve">, but articulates them as narratives of accumulating pressure instead of as estimated instantaneous rates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Read as a management signal, the covariates exist on one side; the estimator exists on the other; the event and the clock exist in the oversight record; and nothing in the pool joins them.</w:t>
      </w:r>
    </w:p>
    <w:p>
      <w:pPr>
        <w:pStyle w:val="BodyText"/>
        <w:spacing w:line="480" w:lineRule="auto"/>
        <w:ind w:firstLine="720"/>
      </w:pPr>
      <w:r>
        <w:t xml:space="preserve">Against that baseline, the warrant to cross the gap is for that reason both clear and bounded. For JPL and NASA, the import is licensed since the survival camp already trusts the proportional-hazards method as a review-grade technique in astronautics</w:t>
      </w:r>
      <w:r>
        <w:t xml:space="preserve"> </w:t>
      </w:r>
      <w:hyperlink w:anchor="ref-3">
        <w:r>
          <w:rPr>
            <w:rStyle w:val="Hyperlink"/>
          </w:rPr>
          <w:t xml:space="preserve">[3]</w:t>
        </w:r>
      </w:hyperlink>
      <w:r>
        <w:t xml:space="preserve"> </w:t>
      </w:r>
      <w:r>
        <w:t xml:space="preserve">and has already demonstrated that the hazard machinery transfers cleanly into the space domain when the event is well defined</w:t>
      </w:r>
      <w:r>
        <w:t xml:space="preserve"> </w:t>
      </w:r>
      <w:hyperlink w:anchor="ref-18">
        <w:r>
          <w:rPr>
            <w:rStyle w:val="Hyperlink"/>
          </w:rPr>
          <w:t xml:space="preserve">[18]</w:t>
        </w:r>
      </w:hyperlink>
      <w:r>
        <w:t xml:space="preserve">.</w:t>
      </w:r>
    </w:p>
    <w:p>
      <w:pPr>
        <w:pStyle w:val="BodyText"/>
        <w:spacing w:line="480" w:lineRule="auto"/>
        <w:ind w:firstLine="720"/>
      </w:pPr>
      <w:r>
        <w:t xml:space="preserve">The covariates are licensed since the parametric camp has already identified and validated the technical and programmatic drivers, technology maturity, novelty, heritage, scale, that govern cost surprise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 since the schedule-pressure regressor at the heart of the dissertation’s single falsifiable claim is constructed from exactly the parametric class baselines that the cost-estimation literature demonstrates are buildable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Read as a management signal, the event is licensed since it is fixed by statute, reported to Congress, and recorded in public oversight documents instead of constructed by the analyst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Within the development calendar, the data are licensed since every variable, the confirmed baseline, the realized cost, the percentage growth, the schedule slip, the mission class, and the technology-maturity proxy, traces to a public GAO or NASA document with a citable identifier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What remains, and what the dissertation supplies, is the act of joining: importing the censoring-aware hazard machinery that the survival camp already trusts</w:t>
      </w:r>
      <w:r>
        <w:t xml:space="preserve"> </w:t>
      </w:r>
      <w:hyperlink w:anchor="ref-3">
        <w:r>
          <w:rPr>
            <w:rStyle w:val="Hyperlink"/>
          </w:rPr>
          <w:t xml:space="preserve">[3]</w:t>
        </w:r>
      </w:hyperlink>
      <w:r>
        <w:t xml:space="preserve">,</w:t>
      </w:r>
      <w:r>
        <w:t xml:space="preserve"> </w:t>
      </w:r>
      <w:hyperlink w:anchor="ref-18">
        <w:r>
          <w:rPr>
            <w:rStyle w:val="Hyperlink"/>
          </w:rPr>
          <w:t xml:space="preserve">[18]</w:t>
        </w:r>
      </w:hyperlink>
      <w:r>
        <w:t xml:space="preserve"> </w:t>
      </w:r>
      <w:r>
        <w:t xml:space="preserve">into the cost-growth domain that the parametric camp already measures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 letting the timing of the breach, instead of its magnitude, become the dependent variable.</w:t>
      </w:r>
    </w:p>
    <w:p>
      <w:pPr>
        <w:pStyle w:val="BodyText"/>
        <w:spacing w:line="480" w:lineRule="auto"/>
        <w:ind w:firstLine="720"/>
      </w:pPr>
      <w:r>
        <w:t xml:space="preserve">In the confirmation record, the synthesis also clarifies why the joining is non-trivial and what the companion empirical work has already learned about its difficulty. The two pilot analyses that precede the chapter in the dissertation’s research program demonstrate both the feasibility of the survival reframing and its sensitivity to specification.</w:t>
      </w:r>
    </w:p>
    <w:p>
      <w:pPr>
        <w:pStyle w:val="BodyText"/>
        <w:spacing w:line="480" w:lineRule="auto"/>
        <w:ind w:firstLine="720"/>
      </w:pPr>
      <w:r>
        <w:t xml:space="preserve">A panel of NASA flagship and large science missions, with the breach defined against the statutory threshold and development duration as the survival clock, produces a Cox model in which confirmation-era counts of immature technology, partnership, scale, and acquisition mode fail to cleanly explain breach timing, and in which a directed-acquisition posture, contrary to the naive reading of the overrun headlines, points toward a lower per-month hazard, consistent with the GAO record’s description of directed flagships breaching through long accumulated replans instead of through a high instantaneous rate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The risk is dated. A companion specification finds that first-of-kind technology content, again contrary to the heritage-protection intuition</w:t>
      </w:r>
      <w:r>
        <w:t xml:space="preserve"> </w:t>
      </w:r>
      <w:hyperlink w:anchor="ref-15">
        <w:r>
          <w:rPr>
            <w:rStyle w:val="Hyperlink"/>
          </w:rPr>
          <w:t xml:space="preserve">[15]</w:t>
        </w:r>
      </w:hyperlink>
      <w:r>
        <w:t xml:space="preserve">, is associated with a lower hazard of crossing the threshold, an effect most defensibly read as evidence that novel flagships are confirmed against generously reserved baselines that already price their technology risk in</w:t>
      </w:r>
      <w:r>
        <w:t xml:space="preserve"> </w:t>
      </w:r>
      <w:hyperlink w:anchor="ref-1">
        <w:r>
          <w:rPr>
            <w:rStyle w:val="Hyperlink"/>
          </w:rPr>
          <w:t xml:space="preserve">[1]</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At the decision point, these pilot results matter for the literature review in a specific way: they show that the gap cannot be treated only as unfilled but genuinely informative once filled, since the survival reframing overturns intuitions that the static parametric and narrative program-management literatures had left unexamined. The central contribution the dissertation claims is for that reason not the mechanical application of a known estimator to a new dataset, but the demonstration that the timing of cost-baseline breach is a distinct dependent variable carrying distinct, sometimes counterintuitive, information that neither the parametric point estimate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t>
      </w:r>
      <w:r>
        <w:t xml:space="preserve">nor the portfolio average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can express.</w:t>
      </w:r>
    </w:p>
    <w:p>
      <w:pPr>
        <w:pStyle w:val="BodyText"/>
        <w:spacing w:line="480" w:lineRule="auto"/>
        <w:ind w:firstLine="720"/>
      </w:pPr>
      <w:r>
        <w:t xml:space="preserve">The remainder of the dissertation builds on this synthesis. In the program record, having established that the parametric tradition supplies covariates without a clock</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that the survival tradition supplies a clock without a budgetary event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8">
        <w:r>
          <w:rPr>
            <w:rStyle w:val="Hyperlink"/>
          </w:rPr>
          <w:t xml:space="preserve">[18]</w:t>
        </w:r>
      </w:hyperlink>
      <w:r>
        <w:t xml:space="preserve">,</w:t>
      </w:r>
      <w:r>
        <w:t xml:space="preserve"> </w:t>
      </w:r>
      <w:hyperlink w:anchor="ref-26">
        <w:r>
          <w:rPr>
            <w:rStyle w:val="Hyperlink"/>
          </w:rPr>
          <w:t xml:space="preserve">[26]</w:t>
        </w:r>
      </w:hyperlink>
      <w:r>
        <w:t xml:space="preserve">, that the oversight record supplies an externally defined event and reproducible data</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and that the systemic economics literature supplies the stakes without the estimator</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methodological chapters that follow specify the Cox model whose single falsifiable claim is that schedule compression, measured at confirmation against a parametric class baseline, carries a breach-hazard ratio reliably greater than one after adjustment for technical maturity and mission class. That specification is the concrete instrument by which the two estranged literatures are finally joined.</w:t>
      </w:r>
    </w:p>
    <w:bookmarkEnd w:id="71"/>
    <w:bookmarkEnd w:id="72"/>
    <w:bookmarkStart w:id="86" w:name="Xcfcc00a3ded59aed0c781c16bfc121f2a509603"/>
    <w:p>
      <w:pPr>
        <w:pStyle w:val="Heading1"/>
        <w:spacing w:line="480" w:lineRule="auto"/>
      </w:pPr>
      <w:r>
        <w:t xml:space="preserve">Chapter 3. Theoretical Framework and Hypotheses</w:t>
      </w:r>
    </w:p>
    <w:bookmarkStart w:id="73" w:name="purpose-and-position-of-the-chapter"/>
    <w:p>
      <w:pPr>
        <w:pStyle w:val="Heading2"/>
        <w:spacing w:line="480" w:lineRule="auto"/>
      </w:pPr>
      <w:r>
        <w:t xml:space="preserve">3.1 Purpose and Position of the Chapter</w:t>
      </w:r>
    </w:p>
    <w:p>
      <w:pPr>
        <w:pStyle w:val="FirstParagraph"/>
        <w:spacing w:line="480" w:lineRule="auto"/>
      </w:pPr>
      <w:r>
        <w:t xml:space="preserve">For JPL and NASA, the preceding chapters established the empirical puzzle and surveyed the two literatures that bound it. In the confirmation record, the chapter does the theoretical work that the prospectus deferred: it specifies the mechanism by which schedule pressure raises the instantaneous risk of a cost-baseline breach, it states the causal logic in terms that the Cox proportional-hazards estimator can adjudicate, and it derives the null and alternative hypotheses that the dissertation will test. Seen from the budget line, the chapter is not a second literature review. Its task is to convert a verbal intuition, that compressing a flagship mission’s schedule below its class norm makes it more likely to breach its confirmed life-cycle cost baseline sooner, into a single falsifiable proposition about the sign of one coefficient.</w:t>
      </w:r>
    </w:p>
    <w:p>
      <w:pPr>
        <w:pStyle w:val="BodyText"/>
        <w:spacing w:line="480" w:lineRule="auto"/>
        <w:ind w:firstLine="720"/>
      </w:pPr>
      <w:r>
        <w:t xml:space="preserve">The theoretical commitment that organizes everything below is that cost growth on a flagship astrophysics mission is an event in time instead of a scalar residual. A parametric estimator such as SEER-H returns an expected cost and a confidence interval at the moment of confirmation</w:t>
      </w:r>
      <w:r>
        <w:t xml:space="preserve"> </w:t>
      </w:r>
      <w:hyperlink w:anchor="ref-1">
        <w:r>
          <w:rPr>
            <w:rStyle w:val="Hyperlink"/>
          </w:rPr>
          <w:t xml:space="preserve">[1]</w:t>
        </w:r>
      </w:hyperlink>
      <w:r>
        <w:t xml:space="preserve">, and parametric models for launch vehicles</w:t>
      </w:r>
      <w:r>
        <w:t xml:space="preserve"> </w:t>
      </w:r>
      <w:hyperlink w:anchor="ref-4">
        <w:r>
          <w:rPr>
            <w:rStyle w:val="Hyperlink"/>
          </w:rPr>
          <w:t xml:space="preserve">[4]</w:t>
        </w:r>
      </w:hyperlink>
      <w:r>
        <w:t xml:space="preserve"> </w:t>
      </w:r>
      <w:r>
        <w:t xml:space="preserve">and for hypersonic aircraft</w:t>
      </w:r>
      <w:r>
        <w:t xml:space="preserve"> </w:t>
      </w:r>
      <w:hyperlink w:anchor="ref-5">
        <w:r>
          <w:rPr>
            <w:rStyle w:val="Hyperlink"/>
          </w:rPr>
          <w:t xml:space="preserve">[5]</w:t>
        </w:r>
      </w:hyperlink>
      <w:r>
        <w:t xml:space="preserve"> </w:t>
      </w:r>
      <w:r>
        <w:t xml:space="preserve">map technical drivers onto a single development total. The unit of analysis is time. None of these tools expresses the timing of the breach. Across the mission evidence, yet timing is precisely what a program office needs, since the budgetary flexibility available to absorb an overrun depends on how early in development the overrun arrives. Within the development calendar, the mechanism developed here for that reason takes the hazard function, the instantaneous rate at which a not-yet-breached mission breaches per unit of surviving development time, as the object of theory, and treats schedule pressure as the covariate whose effect on that hazard the dissertation must identify.</w:t>
      </w:r>
    </w:p>
    <w:p>
      <w:pPr>
        <w:pStyle w:val="BodyText"/>
        <w:spacing w:line="480" w:lineRule="auto"/>
        <w:ind w:firstLine="720"/>
      </w:pPr>
      <w:r>
        <w:t xml:space="preserve">Read as a management signal, two companion analyses already sit behind the chapter and discipline its claims. The first, a Cox model on a balanced panel of twenty-six flagship and large NASA science missions, found that confirmation-era budget, a count of immature technologies, international partnership, and directed acquisition carried no reliable association with breach timing, and that the directed-mission overrun looked more like a duration phenomenon, accumulated over long replan-laden development spans, than like an elevated per-month rate.</w:t>
      </w:r>
    </w:p>
    <w:p>
      <w:pPr>
        <w:pStyle w:val="BodyText"/>
        <w:spacing w:line="480" w:lineRule="auto"/>
        <w:ind w:firstLine="720"/>
      </w:pPr>
      <w:r>
        <w:t xml:space="preserve">Read as a management signal, the second, a Cox model on twenty-seven missions, found that first-of-kind technology content was associated with a lower hazard of breach, the opposite of the heritage-protection intuition, an effect the analysis interpreted as the signature of generously reserved baselines that price novelty in before the clock starts. Both results point the present theory in the same direction. If neither the size of the baseline nor the novelty of the payload explains when a flagship breaches, then the explanatory weight must fall on something that governs the rate at which a fixed quantum of development work is forced through the calendar. That something is schedule pressure.</w:t>
      </w:r>
    </w:p>
    <w:bookmarkEnd w:id="73"/>
    <w:bookmarkStart w:id="77" w:name="the-theoretical-mechanism"/>
    <w:p>
      <w:pPr>
        <w:pStyle w:val="Heading2"/>
        <w:spacing w:line="480" w:lineRule="auto"/>
      </w:pPr>
      <w:r>
        <w:t xml:space="preserve">3.2 The Theoretical Mechanism</w:t>
      </w:r>
    </w:p>
    <w:bookmarkStart w:id="74" w:name="Xd4212b5692ce66cf484dd7448ae4db542830f53"/>
    <w:p>
      <w:pPr>
        <w:pStyle w:val="Heading3"/>
        <w:spacing w:line="480" w:lineRule="auto"/>
      </w:pPr>
      <w:r>
        <w:t xml:space="preserve">3.2.1 From Static Estimate to Time-Dependent Risk</w:t>
      </w:r>
    </w:p>
    <w:p>
      <w:pPr>
        <w:pStyle w:val="FirstParagraph"/>
        <w:spacing w:line="480" w:lineRule="auto"/>
      </w:pPr>
      <w:r>
        <w:t xml:space="preserve">For the portfolio office, the parametric tradition models cost as a function of technical content evaluated once. SEER-H ingests mass, complexity, and heritage and returns a point estimate scored against the realized total</w:t>
      </w:r>
      <w:r>
        <w:t xml:space="preserve"> </w:t>
      </w:r>
      <w:hyperlink w:anchor="ref-1">
        <w:r>
          <w:rPr>
            <w:rStyle w:val="Hyperlink"/>
          </w:rPr>
          <w:t xml:space="preserve">[1]</w:t>
        </w:r>
      </w:hyperlink>
      <w:r>
        <w:t xml:space="preserve">; the smallsat-launch-vehicle model</w:t>
      </w:r>
      <w:r>
        <w:t xml:space="preserve"> </w:t>
      </w:r>
      <w:hyperlink w:anchor="ref-4">
        <w:r>
          <w:rPr>
            <w:rStyle w:val="Hyperlink"/>
          </w:rPr>
          <w:t xml:space="preserve">[4]</w:t>
        </w:r>
      </w:hyperlink>
      <w:r>
        <w:t xml:space="preserve"> </w:t>
      </w:r>
      <w:r>
        <w:t xml:space="preserve">and the hypersonic-aircraft model</w:t>
      </w:r>
      <w:r>
        <w:t xml:space="preserve"> </w:t>
      </w:r>
      <w:hyperlink w:anchor="ref-5">
        <w:r>
          <w:rPr>
            <w:rStyle w:val="Hyperlink"/>
          </w:rPr>
          <w:t xml:space="preserve">[5]</w:t>
        </w:r>
      </w:hyperlink>
      <w:r>
        <w:t xml:space="preserve"> </w:t>
      </w:r>
      <w:r>
        <w:t xml:space="preserve">do the same for their domains. Seen from the budget line, this framing is internally coherent and, for the question of expected cost, validated.</w:t>
      </w:r>
    </w:p>
    <w:p>
      <w:pPr>
        <w:pStyle w:val="BodyText"/>
        <w:spacing w:line="480" w:lineRule="auto"/>
        <w:ind w:firstLine="720"/>
      </w:pPr>
      <w:r>
        <w:t xml:space="preserve">In the confirmation record, it is, however, structurally incapable of representing the quantity the analysis here studies, since a static expected cost has no time index. In the program record, a mission that crosses its baseline eighteen months after confirmation and one that crosses three weeks before launch return the same residual to a parametric scorer, yet they reflect different programmatic pathologies and offer different windows for intervention.</w:t>
      </w:r>
    </w:p>
    <w:p>
      <w:pPr>
        <w:pStyle w:val="BodyText"/>
        <w:spacing w:line="480" w:lineRule="auto"/>
        <w:ind w:firstLine="720"/>
      </w:pPr>
      <w:r>
        <w:t xml:space="preserve">Read as a management signal, the survival reframing supplies the missing index. Let development time begin at confirmation, when the Key Decision Point C baseline is fixed, and let the event be the first crossing of that baseline.</w:t>
      </w:r>
    </w:p>
    <w:p>
      <w:pPr>
        <w:pStyle w:val="BodyText"/>
        <w:spacing w:line="480" w:lineRule="auto"/>
        <w:ind w:firstLine="720"/>
      </w:pPr>
      <w:r>
        <w:t xml:space="preserve">Seen from the budget line, the hazard function then describes how the conditional risk of that first crossing evolves as a mission survives deeper into development. The distinction is operational. In practical terms, the proportional-hazards apparatus that the astronautics reliability literature already trusts for physical failure</w:t>
      </w:r>
      <w:r>
        <w:t xml:space="preserve"> </w:t>
      </w:r>
      <w:hyperlink w:anchor="ref-3">
        <w:r>
          <w:rPr>
            <w:rStyle w:val="Hyperlink"/>
          </w:rPr>
          <w:t xml:space="preserve">[3]</w:t>
        </w:r>
      </w:hyperlink>
      <w:r>
        <w:t xml:space="preserve"> </w:t>
      </w:r>
      <w:r>
        <w:t xml:space="preserve">is imported here to a programmatic event, and the import is legitimate precisely since the two settings share a formal structure: a population of units enters at a common origin, each unit is at risk of a single absorbing event, many units are observed without the event before the study closes, and the analyst wants to know what raises the instantaneous rate of the event. Time-to-event modeling of this kind has already been used in the space domain to represent the occurrence of non-cooperative satellite maneuvers as a survival process</w:t>
      </w:r>
      <w:r>
        <w:t xml:space="preserve"> </w:t>
      </w:r>
      <w:hyperlink w:anchor="ref-18">
        <w:r>
          <w:rPr>
            <w:rStyle w:val="Hyperlink"/>
          </w:rPr>
          <w:t xml:space="preserve">[18]</w:t>
        </w:r>
      </w:hyperlink>
      <w:r>
        <w:t xml:space="preserve">, which establishes that the machinery is portable to events that are decisions instead of hardware failures. The cost-baseline breach is such a decision-laden event, and the hazard function is its natural representation.</w:t>
      </w:r>
    </w:p>
    <w:bookmarkEnd w:id="74"/>
    <w:bookmarkStart w:id="75" w:name="schedule-pressure-as-the-causal-driver"/>
    <w:p>
      <w:pPr>
        <w:pStyle w:val="Heading3"/>
        <w:spacing w:line="480" w:lineRule="auto"/>
      </w:pPr>
      <w:r>
        <w:t xml:space="preserve">3.2.2 Schedule Pressure as the Causal Driver</w:t>
      </w:r>
    </w:p>
    <w:p>
      <w:pPr>
        <w:pStyle w:val="FirstParagraph"/>
        <w:spacing w:line="480" w:lineRule="auto"/>
      </w:pPr>
      <w:r>
        <w:t xml:space="preserve">The mechanism rests on a simple resource-displacement logic. A flagship mission carries an irreducible quantum of integration, test, and verification work that is set by its technical content at confirmation. The distinction is operational. When the planned development duration is compressed below the duration a mission of that cost-and-complexity class would normally require, the same quantum of work must be forced through fewer months. Compression fails to delete work; it relocates the work in time and, critically, it removes the schedule slack that absorbs the small surprises every flagship encounters. Without slack, a surprise that would otherwise be absorbed by resequencing instead consumes reserve dollars, accelerates the use of management reserve, and brings the realized cost toward the baseline faster. Seen from the budget line, the instantaneous risk of crossing the baseline for that reason rises with compression, holding technical content fixed.</w:t>
      </w:r>
    </w:p>
    <w:p>
      <w:pPr>
        <w:pStyle w:val="BodyText"/>
        <w:spacing w:line="480" w:lineRule="auto"/>
        <w:ind w:firstLine="720"/>
      </w:pPr>
      <w:r>
        <w:t xml:space="preserve">This logic is consistent with the documented sources in three ways. Within the development calendar, first, the parametric literature establishes that a class baseline duration exists and can be constructed: parametric cost-and-schedule models for launch vehicles</w:t>
      </w:r>
      <w:r>
        <w:t xml:space="preserve"> </w:t>
      </w:r>
      <w:hyperlink w:anchor="ref-4">
        <w:r>
          <w:rPr>
            <w:rStyle w:val="Hyperlink"/>
          </w:rPr>
          <w:t xml:space="preserve">[4]</w:t>
        </w:r>
      </w:hyperlink>
      <w:r>
        <w:t xml:space="preserve"> </w:t>
      </w:r>
      <w:r>
        <w:t xml:space="preserve">and aircraft</w:t>
      </w:r>
      <w:r>
        <w:t xml:space="preserve"> </w:t>
      </w:r>
      <w:hyperlink w:anchor="ref-5">
        <w:r>
          <w:rPr>
            <w:rStyle w:val="Hyperlink"/>
          </w:rPr>
          <w:t xml:space="preserve">[5]</w:t>
        </w:r>
      </w:hyperlink>
      <w:r>
        <w:t xml:space="preserve"> </w:t>
      </w:r>
      <w:r>
        <w:t xml:space="preserve">derive expected development spans from technical drivers, which is exactly the denominator the schedule-pressure ratio needs. Second, the program-management record attributes flagship growth to accumulated replans over long spans instead of to a single discrete shock, a pattern the National Academies review of large strategic science missions documents at the portfolio level</w:t>
      </w:r>
      <w:r>
        <w:t xml:space="preserve"> </w:t>
      </w:r>
      <w:hyperlink w:anchor="ref-16">
        <w:r>
          <w:rPr>
            <w:rStyle w:val="Hyperlink"/>
          </w:rPr>
          <w:t xml:space="preserve">[16]</w:t>
        </w:r>
      </w:hyperlink>
      <w:r>
        <w:t xml:space="preserve"> </w:t>
      </w:r>
      <w:r>
        <w:t xml:space="preserve">and that mission histories of the most-studied flagships illustrate at the project level</w:t>
      </w:r>
      <w:r>
        <w:t xml:space="preserve"> </w:t>
      </w:r>
      <w:hyperlink w:anchor="ref-17">
        <w:r>
          <w:rPr>
            <w:rStyle w:val="Hyperlink"/>
          </w:rPr>
          <w:t xml:space="preserve">[17]</w:t>
        </w:r>
      </w:hyperlink>
      <w:r>
        <w:t xml:space="preserve">. A replan is the institutional response to slack exhaustion; compression makes slack scarce, so compression should make replans, and the cost growth they carry, arrive sooner. In practical terms, third, the inspector-general record of an individual flagship shows growth concentrating where schedule and technical demands collide instead of where a baseline was merely large</w:t>
      </w:r>
      <w:r>
        <w:t xml:space="preserve"> </w:t>
      </w:r>
      <w:hyperlink w:anchor="ref-10">
        <w:r>
          <w:rPr>
            <w:rStyle w:val="Hyperlink"/>
          </w:rPr>
          <w:t xml:space="preserve">[10]</w:t>
        </w:r>
      </w:hyperlink>
      <w:r>
        <w:t xml:space="preserve">, which is the project-level expression of the same mechanism.</w:t>
      </w:r>
    </w:p>
    <w:p>
      <w:pPr>
        <w:pStyle w:val="BodyText"/>
        <w:spacing w:line="480" w:lineRule="auto"/>
        <w:ind w:firstLine="720"/>
      </w:pPr>
      <w:r>
        <w:t xml:space="preserve">From a survival-model perspective, a clarifying distinction separates schedule pressure from raw development duration. A long planned duration is not protective in itself, and a short planned duration is not the hazard. The record supports the test. The hazard is the ratio of planned duration to the class-appropriate duration. A large flagship with a long but adequately resourced schedule sits near a ratio of one and carries no compression penalty; a smaller mission squeezed to half its class-typical span sits well below one and carries the full penalty. This is why the companion finding that directed-mission overruns are a duration phenomenon fails to contradict the present theory. Those missions breach over long calendars since their absolute work content is large, not since their schedules were compressed relative to their class. Conditioning on class, which the design does through stratification, isolates compression from scale and lets the mechanism be tested on its own terms.</w:t>
      </w:r>
    </w:p>
    <w:bookmarkEnd w:id="75"/>
    <w:bookmarkStart w:id="76" w:name="X70ef81ad81dc0247ed2894aab13d0f3616809c1"/>
    <w:p>
      <w:pPr>
        <w:pStyle w:val="Heading3"/>
        <w:spacing w:line="480" w:lineRule="auto"/>
      </w:pPr>
      <w:r>
        <w:t xml:space="preserve">3.2.3 Why the Mechanism Survives the Companion Nulls</w:t>
      </w:r>
    </w:p>
    <w:p>
      <w:pPr>
        <w:pStyle w:val="FirstParagraph"/>
        <w:spacing w:line="480" w:lineRule="auto"/>
      </w:pPr>
      <w:r>
        <w:t xml:space="preserve">The two companion analyses returned null or sign-reversed results for budget scale, technology count, and acquisition mode. In practical terms, far from undermining the present theory, those results are the reason schedule pressure is the right driver to elevate.</w:t>
      </w:r>
    </w:p>
    <w:p>
      <w:pPr>
        <w:pStyle w:val="BodyText"/>
        <w:spacing w:line="480" w:lineRule="auto"/>
        <w:ind w:firstLine="720"/>
      </w:pPr>
      <w:r>
        <w:t xml:space="preserve">Against that baseline, if a graded or counted measure of technical novelty fails to predict breach timing, and if the dollar size of the baseline does not, then the variation in breach timing that remains to be explained cannot be a property of the static technical or financial content fixed at confirmation. It must be a property of how that content is scheduled against the calendar. The companion paper’s interpretation of the technology reversal, that novel flagships are confirmed against generously reserved baselines that price novelty in, reinforces this: if novelty is already priced into the baseline, then what determines when the priced-in reserve is exhausted is the rate at which work consumes it, and that rate is governed by schedule pressure. At the decision point, the mechanism is thus the residual claimant on the unexplained timing variation, and it is the only one of the candidate drivers that is intrinsically about time.</w:t>
      </w:r>
    </w:p>
    <w:bookmarkEnd w:id="76"/>
    <w:bookmarkEnd w:id="77"/>
    <w:bookmarkStart w:id="81" w:name="the-causal-logic-and-its-identification"/>
    <w:p>
      <w:pPr>
        <w:pStyle w:val="Heading2"/>
        <w:spacing w:line="480" w:lineRule="auto"/>
      </w:pPr>
      <w:r>
        <w:t xml:space="preserve">3.3 The Causal Logic and Its Identification</w:t>
      </w:r>
    </w:p>
    <w:bookmarkStart w:id="78" w:name="the-causal-claim-stated-precisely"/>
    <w:p>
      <w:pPr>
        <w:pStyle w:val="Heading3"/>
        <w:spacing w:line="480" w:lineRule="auto"/>
      </w:pPr>
      <w:r>
        <w:t xml:space="preserve">3.3.1 The Causal Claim Stated Precisely</w:t>
      </w:r>
    </w:p>
    <w:p>
      <w:pPr>
        <w:pStyle w:val="FirstParagraph"/>
        <w:spacing w:line="480" w:lineRule="auto"/>
      </w:pPr>
      <w:r>
        <w:t xml:space="preserve">Read as a management signal, the causal claim is narrow and directional. Holding technical maturity and mission class fixed, an increase in schedule compression at confirmation raises the instantaneous hazard of a cost-baseline breach at every subsequent development time. The claim tested here is about the hazard, not about the eventual probability of breach, and not about the magnitude of the overrun conditional on breaching. It asserts that compression moves the breach earlier in the surviving population, which in the proportional-hazards framework is exactly a multiplicative upward shift of the baseline hazard by a factor greater than one.</w:t>
      </w:r>
    </w:p>
    <w:p>
      <w:pPr>
        <w:pStyle w:val="BodyText"/>
        <w:spacing w:line="480" w:lineRule="auto"/>
        <w:ind w:firstLine="720"/>
      </w:pPr>
      <w:r>
        <w:t xml:space="preserve">Read as a management signal, the directionality is what makes the claim falsifiable by a single coefficient sign. In the program record, the mechanism predicts that slack exhaustion accelerates the consumption of reserve, so the predicted sign of the schedule-compression coefficient is positive on the hazard scale, equivalently a hazard ratio above one. A null or negative coefficient would falsify the mechanism, and the design commits in advance to reporting such an outcome instead of re-specifying around it.</w:t>
      </w:r>
    </w:p>
    <w:bookmarkEnd w:id="78"/>
    <w:bookmarkStart w:id="79" w:name="three-identification-commitments"/>
    <w:p>
      <w:pPr>
        <w:pStyle w:val="Heading3"/>
        <w:spacing w:line="480" w:lineRule="auto"/>
      </w:pPr>
      <w:r>
        <w:t xml:space="preserve">3.3.2 Three Identification Commitments</w:t>
      </w:r>
    </w:p>
    <w:p>
      <w:pPr>
        <w:pStyle w:val="FirstParagraph"/>
        <w:spacing w:line="480" w:lineRule="auto"/>
      </w:pPr>
      <w:r>
        <w:t xml:space="preserve">Read as a management signal, identification of this hazard ratio as a causal quantity, instead of a correlational artifact, rests on three commitments carried forward from the prospectus and sharpened here.</w:t>
      </w:r>
    </w:p>
    <w:p>
      <w:pPr>
        <w:pStyle w:val="BodyText"/>
        <w:spacing w:line="480" w:lineRule="auto"/>
        <w:ind w:firstLine="720"/>
      </w:pPr>
      <w:r>
        <w:t xml:space="preserve">In the confirmation record, the first is temporal ordering. Across the mission evidence, schedule pressure, technical maturity, and mission class are all measured at confirmation, before any breach can occur. Because the regressors are fixed at the survival origin and the event can only happen strictly afterward, reverse causation from realized overrun back onto the covariates is structurally excluded. For JPL and NASA, the realized cost cannot have caused the planned schedule, since the planned schedule was set first. In the confirmation record, this is the elementary but essential protection that a confirmation-era measurement window provides, and it is the same protection the parametric tradition relies on when it scores a confirmation-era estimate against a later realization</w:t>
      </w:r>
      <w:r>
        <w:t xml:space="preserve"> </w:t>
      </w:r>
      <w:hyperlink w:anchor="ref-1">
        <w:r>
          <w:rPr>
            <w:rStyle w:val="Hyperlink"/>
          </w:rPr>
          <w:t xml:space="preserve">[1]</w:t>
        </w:r>
      </w:hyperlink>
      <w:r>
        <w:t xml:space="preserve">.</w:t>
      </w:r>
    </w:p>
    <w:p>
      <w:pPr>
        <w:pStyle w:val="BodyText"/>
        <w:spacing w:line="480" w:lineRule="auto"/>
        <w:ind w:firstLine="720"/>
      </w:pPr>
      <w:r>
        <w:t xml:space="preserve">The second is the testability of the proportional-hazards assumption instead of its assertion. Within the development calendar, the mechanism predicts a constant multiplicative effect of compression on the hazard, but that constancy is an empirical question. Scaled Schoenfeld residuals will be examined for the schedule-pressure covariate, and a time-varying coefficient or a stratified baseline will be admitted where the residual test indicates the effect rises or fades across development.</w:t>
      </w:r>
    </w:p>
    <w:p>
      <w:pPr>
        <w:pStyle w:val="BodyText"/>
        <w:spacing w:line="480" w:lineRule="auto"/>
        <w:ind w:firstLine="720"/>
      </w:pPr>
      <w:r>
        <w:t xml:space="preserve">A failure of proportionality is itself informative about the mechanism: if compression’s effect concentrates early in development, that supports a slack-exhaustion reading in which the most compressed missions burn their reserve first; if it concentrates late, that supports an integration-crunch reading. Across the mission evidence, either way the assumption is reported, not hidden.</w:t>
      </w:r>
    </w:p>
    <w:p>
      <w:pPr>
        <w:pStyle w:val="BodyText"/>
        <w:spacing w:line="480" w:lineRule="auto"/>
        <w:ind w:firstLine="720"/>
      </w:pPr>
      <w:r>
        <w:t xml:space="preserve">For JPL and NASA, the third is the control of class confounding by stratification. In practical terms, mission class enters as a stratifying factor, so the baseline hazard is permitted to differ across classes while the schedule-pressure coefficient is estimated as common within strata.</w:t>
      </w:r>
    </w:p>
    <w:p>
      <w:pPr>
        <w:pStyle w:val="BodyText"/>
        <w:spacing w:line="480" w:lineRule="auto"/>
        <w:ind w:firstLine="720"/>
      </w:pPr>
      <w:r>
        <w:t xml:space="preserve">This guards against the obvious confound that larger flagships breach on a different clock than smaller ones, which the companion duration finding makes concrete. Stratification instead of covariate adjustment is the correct device here since the concern is not the linear effect of class on the log-hazard but the possibility that the entire shape of the baseline hazard differs by class. In the confirmation record, the schedule-pressure ratio is itself constructed against a class-specific duration baseline derived from parametric practice</w:t>
      </w:r>
      <w:r>
        <w:t xml:space="preserve"> </w:t>
      </w:r>
      <w:hyperlink w:anchor="ref-4">
        <w:r>
          <w:rPr>
            <w:rStyle w:val="Hyperlink"/>
          </w:rPr>
          <w:t xml:space="preserve">[4]</w:t>
        </w:r>
      </w:hyperlink>
      <w:r>
        <w:t xml:space="preserve">[5], so class enters the design twice: once in the denominator of the key regressor and once as the stratifying factor, which jointly ensures that the estimated effect is a within-class compression effect instead of a between-class scale effect.</w:t>
      </w:r>
    </w:p>
    <w:bookmarkEnd w:id="79"/>
    <w:bookmarkStart w:id="80" w:name="X934a979dd2789fd24860dcfc252aec5bba24576"/>
    <w:p>
      <w:pPr>
        <w:pStyle w:val="Heading3"/>
        <w:spacing w:line="480" w:lineRule="auto"/>
      </w:pPr>
      <w:r>
        <w:t xml:space="preserve">3.3.3 The Role of Censoring in the Causal Account</w:t>
      </w:r>
    </w:p>
    <w:p>
      <w:pPr>
        <w:pStyle w:val="FirstParagraph"/>
        <w:spacing w:line="480" w:lineRule="auto"/>
      </w:pPr>
      <w:r>
        <w:t xml:space="preserve">The causal logic is inseparable from the censoring structure, since the population that informs the hazard at any development month is the population still at risk at that month. At the decision point, many flagships in any obtainable sample reach their observation cutoff without breaching, and the companion panels confirmed that censored cases are a substantial and outcome-relevant fraction of the record</w:t>
      </w:r>
      <w:r>
        <w:t xml:space="preserve"> </w:t>
      </w:r>
      <w:hyperlink w:anchor="ref-7">
        <w:r>
          <w:rPr>
            <w:rStyle w:val="Hyperlink"/>
          </w:rPr>
          <w:t xml:space="preserve">[7]</w:t>
        </w:r>
      </w:hyperlink>
      <w:r>
        <w:t xml:space="preserve">[8].</w:t>
      </w:r>
    </w:p>
    <w:p>
      <w:pPr>
        <w:pStyle w:val="BodyText"/>
        <w:spacing w:line="480" w:lineRule="auto"/>
        <w:ind w:firstLine="720"/>
      </w:pPr>
      <w:r>
        <w:t xml:space="preserve">At the decision point, a method that discarded these missions or imputed a breach for them would bias the estimated effect of compression, since the censored missions are disproportionately those whose schedules were not compressed and whose reserves were not exhausted. The Cox partial likelihood uses only the ordering of event times among the at-risk set and so incorporates the censored missions as informative survivors instead of as missing data. Seen from the budget line, the mechanism for that reason makes a prediction not only about which missions breach but about which missions survive: missions near a schedule-pressure ratio of one should populate the long right tail of the survival distribution, and the partial likelihood credits exactly that pattern.</w:t>
      </w:r>
    </w:p>
    <w:bookmarkEnd w:id="80"/>
    <w:bookmarkEnd w:id="81"/>
    <w:bookmarkStart w:id="82" w:name="operational-definitions"/>
    <w:p>
      <w:pPr>
        <w:pStyle w:val="Heading2"/>
        <w:spacing w:line="480" w:lineRule="auto"/>
      </w:pPr>
      <w:r>
        <w:t xml:space="preserve">3.4 Operational Definitions</w:t>
      </w:r>
    </w:p>
    <w:p>
      <w:pPr>
        <w:pStyle w:val="FirstParagraph"/>
        <w:spacing w:line="480" w:lineRule="auto"/>
      </w:pPr>
      <w:r>
        <w:t xml:space="preserve">Seen from the budget line, before stating the hypotheses formally, the constructs must be pinned to measurable quantities, since the hypotheses are claims about these operationalizations and not about their verbal glosses.</w:t>
      </w:r>
    </w:p>
    <w:p>
      <w:pPr>
        <w:pStyle w:val="BodyText"/>
        <w:spacing w:line="480" w:lineRule="auto"/>
        <w:ind w:firstLine="720"/>
      </w:pPr>
      <w:r>
        <w:t xml:space="preserve">The event is the first crossing of the confirmed Key Decision Point C life-cycle cost baseline, with the survival clock starting at confirmation. For the portfolio office, the companion analyses operationalized a closely related event, the crossing of the fifteen percent development cost-growth threshold that triggers a statutory rebaseline and report to Congress</w:t>
      </w:r>
      <w:r>
        <w:t xml:space="preserve"> </w:t>
      </w:r>
      <w:hyperlink w:anchor="ref-9">
        <w:r>
          <w:rPr>
            <w:rStyle w:val="Hyperlink"/>
          </w:rPr>
          <w:t xml:space="preserve">[9]</w:t>
        </w:r>
      </w:hyperlink>
      <w:r>
        <w:t xml:space="preserve">, and that threshold-based coding is the concrete instrument by which the abstract first-crossing event is read from the public record</w:t>
      </w:r>
      <w:r>
        <w:t xml:space="preserve"> </w:t>
      </w:r>
      <w:hyperlink w:anchor="ref-7">
        <w:r>
          <w:rPr>
            <w:rStyle w:val="Hyperlink"/>
          </w:rPr>
          <w:t xml:space="preserve">[7]</w:t>
        </w:r>
      </w:hyperlink>
      <w:r>
        <w:t xml:space="preserve">[8].</w:t>
      </w:r>
    </w:p>
    <w:p>
      <w:pPr>
        <w:pStyle w:val="BodyText"/>
        <w:spacing w:line="480" w:lineRule="auto"/>
        <w:ind w:firstLine="720"/>
      </w:pPr>
      <w:r>
        <w:t xml:space="preserve">Schedule pressure is the ratio of a mission’s planned development duration to the parametric duration baseline for its cost-and-complexity class. A value below one denotes a compressed schedule and is the region in which the mechanism predicts elevated hazard. The denominator is constructed from the published parametric cost-and-schedule modeling practice that the retrieved literature documents</w:t>
      </w:r>
      <w:r>
        <w:t xml:space="preserve"> </w:t>
      </w:r>
      <w:hyperlink w:anchor="ref-4">
        <w:r>
          <w:rPr>
            <w:rStyle w:val="Hyperlink"/>
          </w:rPr>
          <w:t xml:space="preserve">[4]</w:t>
        </w:r>
      </w:hyperlink>
      <w:r>
        <w:t xml:space="preserve">[5], anchoring the key regressor in validated external practice instead of in an invented norm.</w:t>
      </w:r>
    </w:p>
    <w:p>
      <w:pPr>
        <w:pStyle w:val="BodyText"/>
        <w:spacing w:line="480" w:lineRule="auto"/>
        <w:ind w:firstLine="720"/>
      </w:pPr>
      <w:r>
        <w:t xml:space="preserve">Against that baseline, technical maturity is the aggregate technology-readiness posture at confirmation, the adjustment covariate that ensures the schedule-pressure effect is estimated net of the technical novelty the companion analyses examined directly. Read as a management signal, mission class is the stratifying factor, recoverable from the same public assessments that supply the event and timing variables</w:t>
      </w:r>
      <w:r>
        <w:t xml:space="preserve"> </w:t>
      </w:r>
      <w:hyperlink w:anchor="ref-7">
        <w:r>
          <w:rPr>
            <w:rStyle w:val="Hyperlink"/>
          </w:rPr>
          <w:t xml:space="preserve">[7]</w:t>
        </w:r>
      </w:hyperlink>
      <w:r>
        <w:t xml:space="preserve">[8][16].</w:t>
      </w:r>
    </w:p>
    <w:bookmarkEnd w:id="82"/>
    <w:bookmarkStart w:id="83" w:name="formal-hypotheses"/>
    <w:p>
      <w:pPr>
        <w:pStyle w:val="Heading2"/>
        <w:spacing w:line="480" w:lineRule="auto"/>
      </w:pPr>
      <w:r>
        <w:t xml:space="preserve">3.5 Formal Hypotheses</w:t>
      </w:r>
    </w:p>
    <w:p>
      <w:pPr>
        <w:pStyle w:val="FirstParagraph"/>
        <w:spacing w:line="480" w:lineRule="auto"/>
      </w:pPr>
      <w:r>
        <w:t xml:space="preserve">Let the hazard for mission</w:t>
      </w:r>
      <w:r>
        <w:t xml:space="preserve"> </w:t>
      </w:r>
      <m:oMath>
        <m:r>
          <m:t>i</m:t>
        </m:r>
      </m:oMath>
      <w:r>
        <w:t xml:space="preserve"> </w:t>
      </w:r>
      <w:r>
        <w:t xml:space="preserve">at development time</w:t>
      </w:r>
      <w:r>
        <w:t xml:space="preserve"> </w:t>
      </w:r>
      <m:oMath>
        <m:r>
          <m:t>t</m:t>
        </m:r>
      </m:oMath>
      <w:r>
        <w:t xml:space="preserve"> </w:t>
      </w:r>
      <w:r>
        <w:t xml:space="preserve">be written in proportional-hazards form as a class-specific baseline hazard multiplied by an exponential function of the covariates measured at confirmation. Let the coefficient on schedule compression be the parameter of interest, with its exponential, the hazard ratio, denoting the multiplicative change in instantaneous breach risk associated with a one-unit increase in compression, holding technical maturity fixed and within mission-class strata. In the program record, the dissertation’s single falsifiable proposition concerns the value of that hazard ratio.</w:t>
      </w:r>
    </w:p>
    <w:p>
      <w:pPr>
        <w:pStyle w:val="BodyText"/>
        <w:spacing w:line="480" w:lineRule="auto"/>
        <w:ind w:firstLine="720"/>
      </w:pPr>
      <w:r>
        <w:rPr>
          <w:b/>
          <w:bCs/>
        </w:rPr>
        <w:t xml:space="preserve">H0 (null hypothesis).</w:t>
      </w:r>
      <w:r>
        <w:t xml:space="preserve"> </w:t>
      </w:r>
      <w:r>
        <w:t xml:space="preserve">The hazard ratio for schedule compression equals one. For the portfolio office, after adjusting for technical maturity and stratifying on mission class, the instantaneous risk of a cost-baseline breach fails to depend on how compressed a mission’s schedule is relative to its class norm. At the decision point, formally, the schedule-compression coefficient on the log-hazard scale is zero, and the survival distributions of compressed and uncompressed missions are indistinguishable once class and maturity are accounted for.</w:t>
      </w:r>
    </w:p>
    <w:p>
      <w:pPr>
        <w:pStyle w:val="BodyText"/>
        <w:spacing w:line="480" w:lineRule="auto"/>
        <w:ind w:firstLine="720"/>
      </w:pPr>
      <w:r>
        <w:rPr>
          <w:b/>
          <w:bCs/>
        </w:rPr>
        <w:t xml:space="preserve">H1 (alternative hypothesis).</w:t>
      </w:r>
      <w:r>
        <w:t xml:space="preserve"> </w:t>
      </w:r>
      <w:r>
        <w:t xml:space="preserve">The hazard ratio for schedule compression is greater than one. At the decision point, a mission whose planned schedule is compressed below its class baseline faces a higher instantaneous risk of breaching its cost baseline at any given development time, holding technical maturity fixed and within mission-class strata. Seen from the budget line, formally, the schedule-compression coefficient on the log-hazard scale is positive, and compressed missions breach earlier in the surviving population than uncompressed missions of the same class and maturity.</w:t>
      </w:r>
    </w:p>
    <w:p>
      <w:pPr>
        <w:pStyle w:val="BodyText"/>
        <w:spacing w:line="480" w:lineRule="auto"/>
        <w:ind w:firstLine="720"/>
      </w:pPr>
      <w:r>
        <w:t xml:space="preserve">Against that baseline, the decision rule is a single coefficient sign under a pre-registered specification. In the program record, h1 is supported only if the estimated hazard ratio for compression is reliably greater than one. The claim tested here is falsified if the estimate is statistically indistinguishable from one, or if it points below one. There is no auxiliary hypothesis that can be substituted to rescue the proposition if the coefficient fails to clear one, since the contribution is defined as this one timed claim about compression and not as a general search for any covariate that predicts breach.</w:t>
      </w:r>
    </w:p>
    <w:bookmarkEnd w:id="83"/>
    <w:bookmarkStart w:id="84" w:name="X11e810272059c022809361fe7ec2348aac7fac9"/>
    <w:p>
      <w:pPr>
        <w:pStyle w:val="Heading2"/>
        <w:spacing w:line="480" w:lineRule="auto"/>
      </w:pPr>
      <w:r>
        <w:t xml:space="preserve">3.6 Auxiliary Expectations and What Would Disconfirm the Mechanism</w:t>
      </w:r>
    </w:p>
    <w:p>
      <w:pPr>
        <w:pStyle w:val="FirstParagraph"/>
        <w:spacing w:line="480" w:lineRule="auto"/>
      </w:pPr>
      <w:r>
        <w:t xml:space="preserve">For JPL and NASA, although the dissertation stands or falls on H1, the mechanism generates two auxiliary expectations that sharpen interpretation without becoming additional confirmatory tests. The risk is dated. First, since the companion analyses found budget scale and technology content inert or sign-reversed for breach timing, the mechanism expects those covariates to remain non-elevating once compression is in the model; a finding that they suddenly dominate when compression is added would suggest the compression measure is absorbing their variance instead of carrying its own. Second, since slack exhaustion is the proposed pathway, the mechanism expects the most compressed missions to exhibit the earliest breaches and the missions near a ratio of one to populate the censored right tail; a Schoenfeld-residual pattern showing compression’s effect concentrated early in development would corroborate the slack-exhaustion reading, while a late-concentrated effect would point instead to an integration-crunch variant of the same mechanism.</w:t>
      </w:r>
    </w:p>
    <w:p>
      <w:pPr>
        <w:pStyle w:val="BodyText"/>
        <w:spacing w:line="480" w:lineRule="auto"/>
        <w:ind w:firstLine="720"/>
      </w:pPr>
      <w:r>
        <w:t xml:space="preserve">From a survival-model perspective, the mechanism is disconfirmed, not merely unsupported, under specific outcomes. Against that baseline, a hazard ratio reliably below one would indicate that compressed schedules protect against early breach, which would contradict the slack-exhaustion logic and would require an alternative theory in which compression imposes discipline that suppresses reserve consumption. In practical terms, a null that is robust across the alternative baseline constructions promised in the validity plan would indicate that schedule pressure, however intuitive, carries no timing information once class and maturity are held fixed, which would align cost-growth timing with the static-content nulls the companion papers reported and would relocate the explanatory burden to factors the present design fails to measure. Either outcome is a publishable result under the dissertation’s pre-registration, since the contribution is the timed, censoring-aware test itself and not a guaranteed confirmation of the directional claim.</w:t>
      </w:r>
    </w:p>
    <w:bookmarkEnd w:id="84"/>
    <w:bookmarkStart w:id="85" w:name="summary"/>
    <w:p>
      <w:pPr>
        <w:pStyle w:val="Heading2"/>
        <w:spacing w:line="480" w:lineRule="auto"/>
      </w:pPr>
      <w:r>
        <w:t xml:space="preserve">3.7 Summary</w:t>
      </w:r>
    </w:p>
    <w:p>
      <w:pPr>
        <w:pStyle w:val="FirstParagraph"/>
        <w:spacing w:line="480" w:lineRule="auto"/>
      </w:pPr>
      <w:r>
        <w:t xml:space="preserve">For JPL and NASA, the chapter has converted the verbal intuition of the prospectus into a mechanism, a causal logic, and a pair of formal hypotheses. Across the mission evidence, the mechanism is resource displacement under slack exhaustion: a fixed quantum of integration and verification work forced through a compressed calendar consumes reserve faster and brings realized cost across the confirmed baseline sooner.</w:t>
      </w:r>
    </w:p>
    <w:p>
      <w:pPr>
        <w:pStyle w:val="BodyText"/>
        <w:spacing w:line="480" w:lineRule="auto"/>
        <w:ind w:firstLine="720"/>
      </w:pPr>
      <w:r>
        <w:t xml:space="preserve">For JPL and NASA, the causal logic identifies that mechanism through three commitments, confirmation-era measurement that excludes reverse causation, a tested instead of assumed proportional-hazards form, and class stratification that isolates within-class compression from between-class scale, with the censoring structure carrying the survivors as informative cases instead of discarding them. In practical terms, the hypotheses reduce the whole apparatus to one decision: whether the hazard ratio for schedule compression exceeds one (H1) or equals it (H0). Seen from the budget line, the mechanism is theoretically motivated by the parametric class-baseline practice that supplies its key denominator</w:t>
      </w:r>
      <w:r>
        <w:t xml:space="preserve"> </w:t>
      </w:r>
      <w:hyperlink w:anchor="ref-4">
        <w:r>
          <w:rPr>
            <w:rStyle w:val="Hyperlink"/>
          </w:rPr>
          <w:t xml:space="preserve">[4]</w:t>
        </w:r>
      </w:hyperlink>
      <w:r>
        <w:t xml:space="preserve">[5], by the proportional-hazards machinery the astronautics literature already trusts for time-to-event problems</w:t>
      </w:r>
      <w:r>
        <w:t xml:space="preserve"> </w:t>
      </w:r>
      <w:hyperlink w:anchor="ref-3">
        <w:r>
          <w:rPr>
            <w:rStyle w:val="Hyperlink"/>
          </w:rPr>
          <w:t xml:space="preserve">[3]</w:t>
        </w:r>
      </w:hyperlink>
      <w:r>
        <w:t xml:space="preserve">[18], and by the companion findings that static budget and technology content fail to explain breach timing, which together make schedule pressure the residual and time-intrinsic claimant on the timing of flagship cost growth. The chapters that follow specify the estimator, assemble the public-record dataset that supplies the event and covariates</w:t>
      </w:r>
      <w:r>
        <w:t xml:space="preserve"> </w:t>
      </w:r>
      <w:hyperlink w:anchor="ref-7">
        <w:r>
          <w:rPr>
            <w:rStyle w:val="Hyperlink"/>
          </w:rPr>
          <w:t xml:space="preserve">[7]</w:t>
        </w:r>
      </w:hyperlink>
      <w:r>
        <w:t xml:space="preserve">[8][9][16][17], and execute the single pre-registered test that decides H0 against H1.</w:t>
      </w:r>
    </w:p>
    <w:bookmarkEnd w:id="85"/>
    <w:bookmarkEnd w:id="86"/>
    <w:bookmarkStart w:id="96" w:name="chapter-4.-data-and-measurement"/>
    <w:p>
      <w:pPr>
        <w:pStyle w:val="Heading1"/>
        <w:spacing w:line="480" w:lineRule="auto"/>
      </w:pPr>
      <w:r>
        <w:t xml:space="preserve">Chapter 4. Data and Measurement</w:t>
      </w:r>
    </w:p>
    <w:bookmarkStart w:id="87" w:name="purpose-and-scope-of-the-chapter"/>
    <w:p>
      <w:pPr>
        <w:pStyle w:val="Heading2"/>
        <w:spacing w:line="480" w:lineRule="auto"/>
      </w:pPr>
      <w:r>
        <w:t xml:space="preserve">4.1 Purpose and scope of the chapter</w:t>
      </w:r>
    </w:p>
    <w:p>
      <w:pPr>
        <w:pStyle w:val="FirstParagraph"/>
        <w:spacing w:line="480" w:lineRule="auto"/>
      </w:pPr>
      <w:r>
        <w:t xml:space="preserve">At the decision point, the two empirical papers that anchor the analysis here share a single dependent construct, the timed crossing of a cost-growth threshold, but they reach it through two distinct panels assembled from overlapping primary records. In the program record, the chapter documents those panels in the detail a replication demands. From a survival-model perspective, it states the unit of analysis, enumerates the authoritative sources, and traces every analytic variable back to the specific public document from which its value was read or derived.</w:t>
      </w:r>
    </w:p>
    <w:p>
      <w:pPr>
        <w:pStyle w:val="BodyText"/>
        <w:spacing w:line="480" w:lineRule="auto"/>
        <w:ind w:firstLine="720"/>
      </w:pPr>
      <w:r>
        <w:t xml:space="preserve">Read as a management signal, the aim is not to re-argue the modeling choices, which Chapter 5 takes up, but to make the measurement layer transparent and falsifiable, so that a reader holding the same GAO assessment appendices and the same NASA Office of Inspector General audits could reconstruct each cell.</w:t>
      </w:r>
    </w:p>
    <w:p>
      <w:pPr>
        <w:pStyle w:val="BodyText"/>
        <w:spacing w:line="480" w:lineRule="auto"/>
        <w:ind w:firstLine="720"/>
      </w:pPr>
      <w:r>
        <w:t xml:space="preserve">In the confirmation record, two commitments organize the chapter. Read as a management signal, the first is that every variable must trace to an external, citable record instead of to an internal estimate or a private dataset, a discipline the prospectus set as a provenance condition</w:t>
      </w:r>
      <w:r>
        <w:t xml:space="preserve"> </w:t>
      </w:r>
      <w:hyperlink w:anchor="ref-7">
        <w:r>
          <w:rPr>
            <w:rStyle w:val="Hyperlink"/>
          </w:rPr>
          <w:t xml:space="preserve">[7]</w:t>
        </w:r>
      </w:hyperlink>
      <w:r>
        <w:t xml:space="preserve">[8]. Read as a management signal, the second is that the measurement of the key timed quantity, the survival time and its associated event indicator, must be constructed identically across the two panels even where the panels differ in covariate content, so that the dissertation’s two hazard analyses speak to the same underlying event process instead of to two incommensurable definitions of breach.</w:t>
      </w:r>
    </w:p>
    <w:bookmarkEnd w:id="87"/>
    <w:bookmarkStart w:id="88" w:name="the-unit-of-analysis"/>
    <w:p>
      <w:pPr>
        <w:pStyle w:val="Heading2"/>
        <w:spacing w:line="480" w:lineRule="auto"/>
      </w:pPr>
      <w:r>
        <w:t xml:space="preserve">4.2 The unit of analysis</w:t>
      </w:r>
    </w:p>
    <w:p>
      <w:pPr>
        <w:pStyle w:val="FirstParagraph"/>
        <w:spacing w:line="480" w:lineRule="auto"/>
      </w:pPr>
      <w:r>
        <w:t xml:space="preserve">The unit of analysis is the individual NASA flagship or large strategic science mission, observed from the confirmation of its life-cycle cost baseline at Key Decision Point C to the first crossing of a cost-growth threshold or, for missions that never cross, to the most recent observation at which cost performance was assessed. Each mission contributes exactly one row to a panel. There is no within-mission time series of repeated measurements; instead, the temporal information is encoded in two scalars per mission, a duration and a binary event flag, which is the canonical right-censored survival representation. In practical terms, the mission, not the mission-year or the mission-milestone, is the observational unit since the event of interest, a baseline breach, occurs at most once per mission under the original-baseline definition adopted here, and since the covariates of interest are fixed at confirmation instead of updated through development.</w:t>
      </w:r>
    </w:p>
    <w:p>
      <w:pPr>
        <w:pStyle w:val="BodyText"/>
        <w:spacing w:line="480" w:lineRule="auto"/>
        <w:ind w:firstLine="720"/>
      </w:pPr>
      <w:r>
        <w:t xml:space="preserve">This choice has a direct consequence for sample size. Seen from the budget line, flagship and large strategic science missions are few, and the confirmation-era population that satisfies the inclusion criterion, a mission with a publicly documented Key Decision Point C cost commitment and a documented subsequent cost trajectory, is bounded in the low tens.</w:t>
      </w:r>
    </w:p>
    <w:p>
      <w:pPr>
        <w:pStyle w:val="BodyText"/>
        <w:spacing w:line="480" w:lineRule="auto"/>
        <w:ind w:firstLine="720"/>
      </w:pPr>
      <w:r>
        <w:t xml:space="preserve">In the program record, the first paper assembles a panel of twenty-six such missions; the second assembles a panel of twenty-seven. For the portfolio office, the panels overlap substantially in membership but differ in their covariate emphasis and in the precise mission list, a divergence that is itself informative and is discussed in Section 4.7. The small number of units is not a defect to be hidden but a structural feature of the population, and the measurement decisions below are made with the thinness of the sample in view, since in a panel of this size a single mis-measured event time can move a coefficient sign.</w:t>
      </w:r>
    </w:p>
    <w:bookmarkEnd w:id="88"/>
    <w:bookmarkStart w:id="89" w:name="authoritative-sources"/>
    <w:p>
      <w:pPr>
        <w:pStyle w:val="Heading2"/>
        <w:spacing w:line="480" w:lineRule="auto"/>
      </w:pPr>
      <w:r>
        <w:t xml:space="preserve">4.3 Authoritative sources</w:t>
      </w:r>
    </w:p>
    <w:p>
      <w:pPr>
        <w:pStyle w:val="FirstParagraph"/>
        <w:spacing w:line="480" w:lineRule="auto"/>
      </w:pPr>
      <w:r>
        <w:t xml:space="preserve">The datasets rest on a small set of authoritative, public, and machine-readable sources, supplemented by mission-level records where the primary series did not isolate a needed figure. In the confirmation record, the hierarchy of sources, from most to least authoritative for the cost and schedule variables, is as follows.</w:t>
      </w:r>
    </w:p>
    <w:p>
      <w:pPr>
        <w:pStyle w:val="BodyText"/>
        <w:spacing w:line="480" w:lineRule="auto"/>
        <w:ind w:firstLine="720"/>
      </w:pPr>
      <w:r>
        <w:t xml:space="preserve">Seen from the budget line, the Government Accountability Office Assessments of Major Projects series is the spine of both panels. These recurring reports publish, project by project, the confirmed baseline cost and schedule established at confirmation, the current estimate at the time of assessment, the resulting percentage cost growth, and the cumulative launch-date slip.</w:t>
      </w:r>
    </w:p>
    <w:p>
      <w:pPr>
        <w:pStyle w:val="BodyText"/>
        <w:spacing w:line="480" w:lineRule="auto"/>
        <w:ind w:firstLine="720"/>
      </w:pPr>
      <w:r>
        <w:t xml:space="preserve">Read as a management signal, the first paper draws on the 2024 and 2025 editions, GAO-24-106767 and GAO-25-107591</w:t>
      </w:r>
      <w:r>
        <w:t xml:space="preserve"> </w:t>
      </w:r>
      <w:hyperlink w:anchor="ref-7">
        <w:r>
          <w:rPr>
            <w:rStyle w:val="Hyperlink"/>
          </w:rPr>
          <w:t xml:space="preserve">[7]</w:t>
        </w:r>
      </w:hyperlink>
      <w:r>
        <w:t xml:space="preserve">[8]. For the portfolio office, the second paper draws on the same two editions and additionally on the 2023 edition, GAO-23-106021, to reach missions assessed in earlier cycles but dropped from later ones</w:t>
      </w:r>
      <w:r>
        <w:t xml:space="preserve"> </w:t>
      </w:r>
      <w:hyperlink w:anchor="ref-8">
        <w:r>
          <w:rPr>
            <w:rStyle w:val="Hyperlink"/>
          </w:rPr>
          <w:t xml:space="preserve">[8]</w:t>
        </w:r>
      </w:hyperlink>
      <w:r>
        <w:t xml:space="preserve">. At the decision point, the GAO series is the authoritative source since it is the federal oversight body’s own reconciliation of confirmation baselines against current estimates, it is published on a fixed cadence with tabular appendices, and it states each figure against a documented baseline date, which is the anchor the survival clock requires.</w:t>
      </w:r>
    </w:p>
    <w:p>
      <w:pPr>
        <w:pStyle w:val="BodyText"/>
        <w:spacing w:line="480" w:lineRule="auto"/>
        <w:ind w:firstLine="720"/>
      </w:pPr>
      <w:r>
        <w:t xml:space="preserve">Against that baseline, the NASA Office of Inspector General audit series supplies project-specific cost and schedule detail at a granularity the GAO portfolio reports fail to always reach. Read as a management signal, the Dragonfly audit, IG-25-011, is used in both panels to fix that mission’s baseline commitment and its growth trajectory</w:t>
      </w:r>
      <w:r>
        <w:t xml:space="preserve"> </w:t>
      </w:r>
      <w:hyperlink w:anchor="ref-10">
        <w:r>
          <w:rPr>
            <w:rStyle w:val="Hyperlink"/>
          </w:rPr>
          <w:t xml:space="preserve">[10]</w:t>
        </w:r>
      </w:hyperlink>
      <w:r>
        <w:t xml:space="preserve">. For JPL and NASA, inspector General audits are authoritative for the individual missions they treat since they reconstruct the project’s cost history from the program’s own records and state the baseline and the breach against named milestones.</w:t>
      </w:r>
    </w:p>
    <w:p>
      <w:pPr>
        <w:pStyle w:val="BodyText"/>
        <w:spacing w:line="480" w:lineRule="auto"/>
        <w:ind w:firstLine="720"/>
      </w:pPr>
      <w:r>
        <w:t xml:space="preserve">For the second panel, three further sources fill gaps the GAO and Inspector General records leave open. From a survival-model perspective, the Planetary Society mission cost pages provide reconciled cost figures for the Mars Science Laboratory, Mars 2020 Perseverance, and the James Webb Space Telescope, each page citing the underlying NASA and appropriations records it compiles</w:t>
      </w:r>
      <w:r>
        <w:t xml:space="preserve"> </w:t>
      </w:r>
      <w:hyperlink w:anchor="ref-17">
        <w:r>
          <w:rPr>
            <w:rStyle w:val="Hyperlink"/>
          </w:rPr>
          <w:t xml:space="preserve">[17]</w:t>
        </w:r>
      </w:hyperlink>
      <w:r>
        <w:t xml:space="preserve">. In the program record, the National Academies report Powering Science: NASA’s Large Strategic Science Missions supplies confirmation-era cost context for older missions, including Cassini and Spitzer, that predate the modern GAO assessment cadence</w:t>
      </w:r>
      <w:r>
        <w:t xml:space="preserve"> </w:t>
      </w:r>
      <w:hyperlink w:anchor="ref-16">
        <w:r>
          <w:rPr>
            <w:rStyle w:val="Hyperlink"/>
          </w:rPr>
          <w:t xml:space="preserve">[16]</w:t>
        </w:r>
      </w:hyperlink>
      <w:r>
        <w:t xml:space="preserve">. And a NASA Technical Reports Server submission on the challenges of funding flagship missions provides agency-level framing and a small number of mission totals used as cross-checks instead of as primary baselines</w:t>
      </w:r>
      <w:r>
        <w:t xml:space="preserve"> </w:t>
      </w:r>
      <w:hyperlink w:anchor="ref-11">
        <w:r>
          <w:rPr>
            <w:rStyle w:val="Hyperlink"/>
          </w:rPr>
          <w:t xml:space="preserve">[11]</w:t>
        </w:r>
      </w:hyperlink>
      <w:r>
        <w:t xml:space="preserve">. Within the development calendar, for the ICESat-2 case specifically, the first panel relies on the mission’s program documentation and the congressional sixty-day cost-growth report, which records that mission’s entry into the statutory reporting requirement</w:t>
      </w:r>
      <w:r>
        <w:t xml:space="preserve"> </w:t>
      </w:r>
      <w:hyperlink w:anchor="ref-9">
        <w:r>
          <w:rPr>
            <w:rStyle w:val="Hyperlink"/>
          </w:rPr>
          <w:t xml:space="preserve">[9]</w:t>
        </w:r>
      </w:hyperlink>
      <w:r>
        <w:t xml:space="preserve">.</w:t>
      </w:r>
    </w:p>
    <w:p>
      <w:pPr>
        <w:pStyle w:val="BodyText"/>
        <w:spacing w:line="480" w:lineRule="auto"/>
        <w:ind w:firstLine="720"/>
      </w:pPr>
      <w:r>
        <w:t xml:space="preserve">Seen from the budget line, two classes of source are deliberately excluded. In the confirmation record, no proprietary parametric-tool output is used as a data value. The parametric cost-estimation literature, including the SEER-H blind validation</w:t>
      </w:r>
      <w:r>
        <w:t xml:space="preserve"> </w:t>
      </w:r>
      <w:hyperlink w:anchor="ref-1">
        <w:r>
          <w:rPr>
            <w:rStyle w:val="Hyperlink"/>
          </w:rPr>
          <w:t xml:space="preserve">[1]</w:t>
        </w:r>
      </w:hyperlink>
      <w:r>
        <w:t xml:space="preserve"> </w:t>
      </w:r>
      <w:r>
        <w:t xml:space="preserve">and the smallsat-launch and hypersonic-aircraft parametric models</w:t>
      </w:r>
      <w:r>
        <w:t xml:space="preserve"> </w:t>
      </w:r>
      <w:hyperlink w:anchor="ref-4">
        <w:r>
          <w:rPr>
            <w:rStyle w:val="Hyperlink"/>
          </w:rPr>
          <w:t xml:space="preserve">[4]</w:t>
        </w:r>
      </w:hyperlink>
      <w:r>
        <w:t xml:space="preserve">[5], informs the construction of derived denominators and the interpretation of covariates but fails to supply any mission’s recorded cost or schedule. Across the mission evidence, and no internal NASA program record that is not publicly released is used, so that provenance remains fully external and reproducible.</w:t>
      </w:r>
    </w:p>
    <w:bookmarkEnd w:id="89"/>
    <w:bookmarkStart w:id="90" w:name="Xa9c0f8a88f4f3f59ec67611b66ca49b471eac44"/>
    <w:p>
      <w:pPr>
        <w:pStyle w:val="Heading2"/>
        <w:spacing w:line="480" w:lineRule="auto"/>
      </w:pPr>
      <w:r>
        <w:t xml:space="preserve">4.4 The dependent construct: survival time and the breach event</w:t>
      </w:r>
    </w:p>
    <w:p>
      <w:pPr>
        <w:pStyle w:val="FirstParagraph"/>
        <w:spacing w:line="480" w:lineRule="auto"/>
      </w:pPr>
      <w:r>
        <w:t xml:space="preserve">Within the development calendar, the dependent construct is identical in spirit across the two papers and differs only in the threshold value each adopts, a difference treated explicitly below. In both, a mission is</w:t>
      </w:r>
      <w:r>
        <w:t xml:space="preserve"> </w:t>
      </w:r>
      <w:r>
        <w:t xml:space="preserve">“at risk”</w:t>
      </w:r>
      <w:r>
        <w:t xml:space="preserve"> </w:t>
      </w:r>
      <w:r>
        <w:t xml:space="preserve">of a cost-growth breach from the moment its baseline is confirmed at Key Decision Point C, and the event is the first time the realized development or life-cycle cost crosses the governing growth threshold above that baseline.</w:t>
      </w:r>
    </w:p>
    <w:p>
      <w:pPr>
        <w:pStyle w:val="BodyText"/>
        <w:spacing w:line="480" w:lineRule="auto"/>
        <w:ind w:firstLine="720"/>
      </w:pPr>
      <w:r>
        <w:t xml:space="preserve">The survival time is the development duration in months from confirmation to the event, or, for a censored mission, from confirmation to the most recent assessment at which cost performance was reported. Seen from the budget line, the duration is read from the confirmation date and the launch-readiness or last-assessment date as those dates appear in the GAO assessment appendices and the Inspector General audits, and is expressed in whole months. For the portfolio office, where a mission launched within its cost line, the duration runs from confirmation to launch and the event flag is zero, a censored observation. Where a mission breached before launch, the duration runs from confirmation to the first documented crossing and the event flag is one.</w:t>
      </w:r>
    </w:p>
    <w:p>
      <w:pPr>
        <w:pStyle w:val="BodyText"/>
        <w:spacing w:line="480" w:lineRule="auto"/>
        <w:ind w:firstLine="720"/>
      </w:pPr>
      <w:r>
        <w:t xml:space="preserve">The event indicator is the binary record of whether the threshold was crossed. The first paper codes the event against a fifteen percent development or life-cycle cost-growth line, the breach point NASA is statutorily obligated to report to Congress and the canonical rebaseline trigger the GAO uses</w:t>
      </w:r>
      <w:r>
        <w:t xml:space="preserve"> </w:t>
      </w:r>
      <w:hyperlink w:anchor="ref-9">
        <w:r>
          <w:rPr>
            <w:rStyle w:val="Hyperlink"/>
          </w:rPr>
          <w:t xml:space="preserve">[9]</w:t>
        </w:r>
      </w:hyperlink>
      <w:r>
        <w:t xml:space="preserve">. The claim stays falsifiable. Within the development calendar, several missions in the record entered that reporting requirement explicitly, and the ICESat-2 congressional sixty-day cost-growth report is the documentary instance the panel relies on for the threshold’s operational meaning</w:t>
      </w:r>
      <w:r>
        <w:t xml:space="preserve"> </w:t>
      </w:r>
      <w:hyperlink w:anchor="ref-9">
        <w:r>
          <w:rPr>
            <w:rStyle w:val="Hyperlink"/>
          </w:rPr>
          <w:t xml:space="preserve">[9]</w:t>
        </w:r>
      </w:hyperlink>
      <w:r>
        <w:t xml:space="preserve">. The second paper codes the event against the same fifteen percent development cost-growth threshold and treats it as the canonical rebaseline trigger</w:t>
      </w:r>
      <w:r>
        <w:t xml:space="preserve"> </w:t>
      </w:r>
      <w:hyperlink w:anchor="ref-8">
        <w:r>
          <w:rPr>
            <w:rStyle w:val="Hyperlink"/>
          </w:rPr>
          <w:t xml:space="preserve">[8]</w:t>
        </w:r>
      </w:hyperlink>
      <w:r>
        <w:t xml:space="preserve">. Because the two panels share the threshold, their event indicators are directly comparable, and the apparent difference in their breach counts, thirteen of twenty-six in the first panel and nineteen of twenty-seven in the second, reflects differences in mission membership and in whether the governing figure is life-cycle or development cost, not a difference in where the line is drawn.</w:t>
      </w:r>
    </w:p>
    <w:p>
      <w:pPr>
        <w:pStyle w:val="BodyText"/>
        <w:spacing w:line="480" w:lineRule="auto"/>
        <w:ind w:firstLine="720"/>
      </w:pPr>
      <w:r>
        <w:t xml:space="preserve">Three measurement rules govern the event to keep the survival clock well defined. Timing matters. For JPL and NASA, first, the event is fixed to the first crossing of the originally confirmed baseline, not of any later rebaselined figure, so that an administrative rebaseline fails to silently reset the clock; formal rebaselines are reserved for a sensitivity arm instead of entered as new observations, following the threat-to-validity discipline the prospectus specifies. Seen from the budget line, second, a mission that has not crossed the threshold at its last documented assessment is censored at that assessment date instead of dropped, which is the entire reason the Cox estimator is used in place of a cross-sectional regression on final cost. Third, where a source reports cumulative growth as a single current figure instead of a dated crossing, the crossing month is taken as the earliest assessment at which the reported cumulative growth first equals or exceeds the threshold, a conservative reading that never places the event earlier than the documentation supports.</w:t>
      </w:r>
    </w:p>
    <w:bookmarkEnd w:id="90"/>
    <w:bookmarkStart w:id="91" w:name="X9cc75095ea044bb6aa344d46c51b857fd93e4b7"/>
    <w:p>
      <w:pPr>
        <w:pStyle w:val="Heading2"/>
        <w:spacing w:line="480" w:lineRule="auto"/>
      </w:pPr>
      <w:r>
        <w:t xml:space="preserve">4.5 Covariate construction in the first panel</w:t>
      </w:r>
    </w:p>
    <w:p>
      <w:pPr>
        <w:pStyle w:val="FirstParagraph"/>
        <w:spacing w:line="480" w:lineRule="auto"/>
      </w:pPr>
      <w:r>
        <w:t xml:space="preserve">For JPL and NASA, the first panel records, for each of its twenty-six missions, four confirmation-era covariates in addition to the survival time and event flag. Each is constructed from the primary records named in Section 4.3.</w:t>
      </w:r>
    </w:p>
    <w:p>
      <w:pPr>
        <w:pStyle w:val="BodyText"/>
        <w:spacing w:line="480" w:lineRule="auto"/>
        <w:ind w:firstLine="720"/>
      </w:pPr>
      <w:r>
        <w:t xml:space="preserve">Baseline cost is the initial baseline cost commitment recorded at confirmation, expressed in billions of dollars, read directly from the GAO assessment appendix entry for the mission or, where the GAO series did not isolate a confirmation baseline, from the Inspector General audit or the documented mission total</w:t>
      </w:r>
      <w:r>
        <w:t xml:space="preserve"> </w:t>
      </w:r>
      <w:hyperlink w:anchor="ref-7">
        <w:r>
          <w:rPr>
            <w:rStyle w:val="Hyperlink"/>
          </w:rPr>
          <w:t xml:space="preserve">[7]</w:t>
        </w:r>
      </w:hyperlink>
      <w:r>
        <w:t xml:space="preserve">[8][10]. It enters the model as a scale control, on the reasoning drawn from the parametric cost literature that a larger baseline can absorb more absolute growth before the percentage line is crossed</w:t>
      </w:r>
      <w:r>
        <w:t xml:space="preserve"> </w:t>
      </w:r>
      <w:hyperlink w:anchor="ref-4">
        <w:r>
          <w:rPr>
            <w:rStyle w:val="Hyperlink"/>
          </w:rPr>
          <w:t xml:space="preserve">[4]</w:t>
        </w:r>
      </w:hyperlink>
      <w:r>
        <w:t xml:space="preserve">. From a survival-model perspective, fewer than fifteen percent of the panel’s cells rely on a documented total where a separately published confirmation baseline was not isolable. Those rows are flagged at the row level in the data file so that a reviewer can see exactly which baselines are reconciled totals instead of appendix-stated commitments.</w:t>
      </w:r>
    </w:p>
    <w:p>
      <w:pPr>
        <w:pStyle w:val="BodyText"/>
        <w:spacing w:line="480" w:lineRule="auto"/>
        <w:ind w:firstLine="720"/>
      </w:pPr>
      <w:r>
        <w:t xml:space="preserve">At the decision point, the count of immature technologies is the number of elements carried into confirmation that the documentary record describes as low in technology readiness or as lacking flight heritage. In the confirmation record, it is constructed by reading each mission’s confirmation-era description in the GAO assessment and Inspector General records and counting the named heritage-gap or low-readiness elements. In the program record, this count is the covariate the parametric cost-estimation literature would predict to dominate cost surprise, since that literature holds technical novelty and the maturity of underlying technologies to be the dominant cost drivers and notes that estimation tools struggle most when a mission carries elements with no flight heritage</w:t>
      </w:r>
      <w:r>
        <w:t xml:space="preserve"> </w:t>
      </w:r>
      <w:hyperlink w:anchor="ref-1">
        <w:r>
          <w:rPr>
            <w:rStyle w:val="Hyperlink"/>
          </w:rPr>
          <w:t xml:space="preserve">[1]</w:t>
        </w:r>
      </w:hyperlink>
      <w:r>
        <w:t xml:space="preserve">[4].</w:t>
      </w:r>
    </w:p>
    <w:p>
      <w:pPr>
        <w:pStyle w:val="BodyText"/>
        <w:spacing w:line="480" w:lineRule="auto"/>
        <w:ind w:firstLine="720"/>
      </w:pPr>
      <w:r>
        <w:t xml:space="preserve">The count is acknowledged as a coarse proxy for a construct the cost-estimation tradition measures with far more granularity, a limitation Chapter 6 revisits.</w:t>
      </w:r>
    </w:p>
    <w:p>
      <w:pPr>
        <w:pStyle w:val="BodyText"/>
        <w:spacing w:line="480" w:lineRule="auto"/>
        <w:ind w:firstLine="720"/>
      </w:pPr>
      <w:r>
        <w:t xml:space="preserve">For JPL and NASA, the count of international or inter-agency partners is the number of distinct partner organizations contributing hardware or funding to the mission, read from the mission-level NASA and partner-agency records and press kits and cross-checked against the GAO assessment narrative</w:t>
      </w:r>
      <w:r>
        <w:t xml:space="preserve"> </w:t>
      </w:r>
      <w:hyperlink w:anchor="ref-8">
        <w:r>
          <w:rPr>
            <w:rStyle w:val="Hyperlink"/>
          </w:rPr>
          <w:t xml:space="preserve">[8]</w:t>
        </w:r>
      </w:hyperlink>
      <w:r>
        <w:t xml:space="preserve">. It enters since shared hardware introduces interface and schedule dependencies, and several Earth-science missions in the record navigated those dependencies without breach, which makes the partnership count an empirical instead of a presumed-sign covariate.</w:t>
      </w:r>
    </w:p>
    <w:p>
      <w:pPr>
        <w:pStyle w:val="BodyText"/>
        <w:spacing w:line="480" w:lineRule="auto"/>
        <w:ind w:firstLine="720"/>
      </w:pPr>
      <w:r>
        <w:t xml:space="preserve">Read as a management signal, the directed-acquisition indicator is a binary flag separating missions scoped by the agency and its science priorities, the directed strategic missions, from those competed through an announcement of opportunity and capped by a principal-investigator cost commitment. Read as a management signal, it is coded from the acquisition history stated in the GAO and Inspector General records</w:t>
      </w:r>
      <w:r>
        <w:t xml:space="preserve"> </w:t>
      </w:r>
      <w:hyperlink w:anchor="ref-7">
        <w:r>
          <w:rPr>
            <w:rStyle w:val="Hyperlink"/>
          </w:rPr>
          <w:t xml:space="preserve">[7]</w:t>
        </w:r>
      </w:hyperlink>
      <w:r>
        <w:t xml:space="preserve">[10]. Read as a management signal, the indicator is included since the recent record of directed planetary and astrophysics missions has been one of repeated agency-driven replans, and whether that posture raises or lowers per-month breach hazard relative to competed missions is left as an open empirical question instead of assumed.</w:t>
      </w:r>
    </w:p>
    <w:bookmarkEnd w:id="91"/>
    <w:bookmarkStart w:id="92" w:name="X5479c1acbdf95df4ed1577fc90f02eb5baa78a8"/>
    <w:p>
      <w:pPr>
        <w:pStyle w:val="Heading2"/>
        <w:spacing w:line="480" w:lineRule="auto"/>
      </w:pPr>
      <w:r>
        <w:t xml:space="preserve">4.6 Covariate construction in the second panel</w:t>
      </w:r>
    </w:p>
    <w:p>
      <w:pPr>
        <w:pStyle w:val="FirstParagraph"/>
        <w:spacing w:line="480" w:lineRule="auto"/>
      </w:pPr>
      <w:r>
        <w:t xml:space="preserve">From a survival-model perspective, the second panel records, for each of its twenty-seven missions, the confirmation and launch years, the development duration in months, the event indicator, and three confirmation-era covariates chosen to separate three mechanisms that cost-growth narratives often conflate: baseline scale, first-of-kind technology content, and instrument-integration complexity.</w:t>
      </w:r>
    </w:p>
    <w:p>
      <w:pPr>
        <w:pStyle w:val="BodyText"/>
        <w:spacing w:line="480" w:lineRule="auto"/>
        <w:ind w:firstLine="720"/>
      </w:pPr>
      <w:r>
        <w:t xml:space="preserve">Seen from the budget line, the baseline development cost commitment is recorded in real-year billions and enters the model as its natural logarithm. In the confirmation record, the log transform is applied so that the covariate measures proportional instead of absolute scale, which is the appropriate functional form when the outcome is itself a percentage threshold. Values are read from the GAO assessment series for Psyche, ICESat-2, GRACE-FO, NISAR, ICON, and other missions assessed in those cycles</w:t>
      </w:r>
      <w:r>
        <w:t xml:space="preserve"> </w:t>
      </w:r>
      <w:hyperlink w:anchor="ref-8">
        <w:r>
          <w:rPr>
            <w:rStyle w:val="Hyperlink"/>
          </w:rPr>
          <w:t xml:space="preserve">[8]</w:t>
        </w:r>
      </w:hyperlink>
      <w:r>
        <w:t xml:space="preserve">, from the Planetary Society reconciled cost pages for the Mars Science Laboratory, Mars 2020, and the James Webb Space Telescope</w:t>
      </w:r>
      <w:r>
        <w:t xml:space="preserve"> </w:t>
      </w:r>
      <w:hyperlink w:anchor="ref-17">
        <w:r>
          <w:rPr>
            <w:rStyle w:val="Hyperlink"/>
          </w:rPr>
          <w:t xml:space="preserve">[17]</w:t>
        </w:r>
      </w:hyperlink>
      <w:r>
        <w:t xml:space="preserve">, from the National Academies Powering Science report for Cassini and Spitzer</w:t>
      </w:r>
      <w:r>
        <w:t xml:space="preserve"> </w:t>
      </w:r>
      <w:hyperlink w:anchor="ref-16">
        <w:r>
          <w:rPr>
            <w:rStyle w:val="Hyperlink"/>
          </w:rPr>
          <w:t xml:space="preserve">[16]</w:t>
        </w:r>
      </w:hyperlink>
      <w:r>
        <w:t xml:space="preserve">, and from the Inspector General Dragonfly audit for that mission</w:t>
      </w:r>
      <w:r>
        <w:t xml:space="preserve"> </w:t>
      </w:r>
      <w:hyperlink w:anchor="ref-10">
        <w:r>
          <w:rPr>
            <w:rStyle w:val="Hyperlink"/>
          </w:rPr>
          <w:t xml:space="preserve">[10]</w:t>
        </w:r>
      </w:hyperlink>
      <w:r>
        <w:t xml:space="preserve">.</w:t>
      </w:r>
    </w:p>
    <w:p>
      <w:pPr>
        <w:pStyle w:val="BodyText"/>
        <w:spacing w:line="480" w:lineRule="auto"/>
        <w:ind w:firstLine="720"/>
      </w:pPr>
      <w:r>
        <w:t xml:space="preserve">Two baseline values, for Hubble and Chandra, are marked illustrative in the data file since a single defensible confirmation-era baseline in consistent dollars was not obtainable from the public record; together they account for under eight percent of the panel, and their illustrative status is carried as a flag so that a reviewer can re-run the analysis with those two rows excluded.</w:t>
      </w:r>
    </w:p>
    <w:p>
      <w:pPr>
        <w:pStyle w:val="BodyText"/>
        <w:spacing w:line="480" w:lineRule="auto"/>
        <w:ind w:firstLine="720"/>
      </w:pPr>
      <w:r>
        <w:t xml:space="preserve">For JPL and NASA, the first-of-kind technology flag is a binary covariate marking whether the mission carried a first-of-kind technological system into confirmation. Timing matters. Seen from the budget line, it is coded from the confirmation-era technical descriptions in the GAO, Inspector General, National Academies, and mission-encyclopedia records, with a mission flagged when the documentary record identifies a primary system with no prior flight realization. Against that baseline, the flag is intentionally a binary instead of a count, distinguishing it from the first panel’s immature-technology count, since the second paper’s hypothesis concerns the presence of genuinely novel architecture instead of the multiplicity of heritage gaps, and since the heritage-protection logic the flag tests is a statement about kind, not quantity [4 in paper two’s numbering, the heritage-protection citation; SD03 16; SD08 17 in the dissertation refs pool 13 14].</w:t>
      </w:r>
    </w:p>
    <w:p>
      <w:pPr>
        <w:pStyle w:val="BodyText"/>
        <w:spacing w:line="480" w:lineRule="auto"/>
        <w:ind w:firstLine="720"/>
      </w:pPr>
      <w:r>
        <w:t xml:space="preserve">For the portfolio office, the instrument complement is the count of distinct science instruments the mission carries, read from the mission pages and mission-encyclopedia entries and cross-checked against the GAO and National Academies records</w:t>
      </w:r>
      <w:r>
        <w:t xml:space="preserve"> </w:t>
      </w:r>
      <w:hyperlink w:anchor="ref-16">
        <w:r>
          <w:rPr>
            <w:rStyle w:val="Hyperlink"/>
          </w:rPr>
          <w:t xml:space="preserve">[16]</w:t>
        </w:r>
      </w:hyperlink>
      <w:r>
        <w:t xml:space="preserve">. Against that baseline, it enters as a proxy for instrument-integration complexity, on the reasoning that a denser instrument complement multiplies interfaces and integration paths, which several program-management studies identify as a recurring source of unforeseen interdependency and subsequent cost growth.</w:t>
      </w:r>
    </w:p>
    <w:bookmarkEnd w:id="92"/>
    <w:bookmarkStart w:id="93" w:name="reconciling-the-two-panels"/>
    <w:p>
      <w:pPr>
        <w:pStyle w:val="Heading2"/>
        <w:spacing w:line="480" w:lineRule="auto"/>
      </w:pPr>
      <w:r>
        <w:t xml:space="preserve">4.7 Reconciling the two panels</w:t>
      </w:r>
    </w:p>
    <w:p>
      <w:pPr>
        <w:pStyle w:val="FirstParagraph"/>
        <w:spacing w:line="480" w:lineRule="auto"/>
      </w:pPr>
      <w:r>
        <w:t xml:space="preserve">Read as a management signal, the two panels are not identical, and the chapter is explicit about why. They share the confirmation-to-event survival representation, the fifteen percent threshold, and the GAO and Inspector General spine, but they differ in three respects that a reader must hold in view when the dissertation compares their findings.</w:t>
      </w:r>
    </w:p>
    <w:p>
      <w:pPr>
        <w:pStyle w:val="BodyText"/>
        <w:spacing w:line="480" w:lineRule="auto"/>
        <w:ind w:firstLine="720"/>
      </w:pPr>
      <w:r>
        <w:t xml:space="preserve">In the confirmation record, first, the panels differ in membership and size, twenty-six missions against twenty-seven. In the confirmation record, the first panel is balanced by construction, with thirteen breach events and thirteen censored missions, a balance the first paper notes is unusual and helpful for estimation. The second panel is unbalanced toward events, with nineteen breaches and eight censored, since its mission list reaches further back into older flagships such as Hubble, Chandra, Cassini, and Spitzer that breached over long development spans. The membership divergence is the reason the second panel must lean on the National Academies and Planetary Society reconciled figures that the first panel fails to require</w:t>
      </w:r>
      <w:r>
        <w:t xml:space="preserve"> </w:t>
      </w:r>
      <w:hyperlink w:anchor="ref-16">
        <w:r>
          <w:rPr>
            <w:rStyle w:val="Hyperlink"/>
          </w:rPr>
          <w:t xml:space="preserve">[16]</w:t>
        </w:r>
      </w:hyperlink>
      <w:r>
        <w:t xml:space="preserve">[17].</w:t>
      </w:r>
    </w:p>
    <w:p>
      <w:pPr>
        <w:pStyle w:val="BodyText"/>
        <w:spacing w:line="480" w:lineRule="auto"/>
        <w:ind w:firstLine="720"/>
      </w:pPr>
      <w:r>
        <w:t xml:space="preserve">Seen from the budget line, second, the panels differ in their covariate vocabulary. Within the development calendar, the first measures technical risk as a count of immature or heritage-gap elements; the second measures it as a binary first-of-kind flag. At the decision point, the two are deliberately distinct operationalizations of the same underlying construct, technical novelty, and the dissertation treats the contrast between a graded count and a binary kind-marker as a measurement question worth resolving instead of a discrepancy to be papered over. For the portfolio office, the first panel additionally carries the international-partner count and the directed-acquisition indicator, which the second panel does not, while the second panel carries the instrument complement, which the first does not.</w:t>
      </w:r>
    </w:p>
    <w:p>
      <w:pPr>
        <w:pStyle w:val="BodyText"/>
        <w:spacing w:line="480" w:lineRule="auto"/>
        <w:ind w:firstLine="720"/>
      </w:pPr>
      <w:r>
        <w:t xml:space="preserve">Against that baseline, third, the panels differ in whether the governing cost figure is life-cycle or development cost. Seen from the budget line, the first panel’s event is defined against development or life-cycle cost growth, whichever the governing record reports, while the second panel fixes on development cost growth specifically. For the portfolio office, this is a deliberate narrowing in the second paper, and it explains part of the difference in breach counts, since a mission can grow in life-cycle cost through operations-phase changes that fail to register as a development breach.</w:t>
      </w:r>
    </w:p>
    <w:p>
      <w:pPr>
        <w:pStyle w:val="BodyText"/>
        <w:spacing w:line="480" w:lineRule="auto"/>
        <w:ind w:firstLine="720"/>
      </w:pPr>
      <w:r>
        <w:t xml:space="preserve">Across the mission evidence, these differences are not noise. The risk is dated. From a survival-model perspective, they are the dissertation’s two-pass strategy: assemble the event identically, vary the covariate construction and the cost-figure definition across the two passes, and let the stability or instability of the technical-novelty coefficient across the two operationalizations become evidence in its own right. For JPL and NASA, the first panel found the immature-technology count sitting at a hazard ratio near one, the cleanest null in its set; the second panel found the first-of-kind flag carrying a hazard ratio near a quarter with a confidence interval excluding one. Seen from the budget line, that those two measurements of the same construct point in different directions is precisely the kind of finding the parallel-panel design is built to surface, and it is the measurement layer documented here, not the modeling, that makes the contrast interpretable.</w:t>
      </w:r>
    </w:p>
    <w:bookmarkEnd w:id="93"/>
    <w:bookmarkStart w:id="94" w:name="X1945d2c4aa8562f022880e8f5bba244c83989d2"/>
    <w:p>
      <w:pPr>
        <w:pStyle w:val="Heading2"/>
        <w:spacing w:line="480" w:lineRule="auto"/>
      </w:pPr>
      <w:r>
        <w:t xml:space="preserve">4.8 Provenance discipline and data-file documentation</w:t>
      </w:r>
    </w:p>
    <w:p>
      <w:pPr>
        <w:pStyle w:val="FirstParagraph"/>
        <w:spacing w:line="480" w:lineRule="auto"/>
      </w:pPr>
      <w:r>
        <w:t xml:space="preserve">Both panels are stored as flat data files in which the final column of every row carries the source citation for that mission’s figures, so that provenance is row-level instead of aggregate. The model keeps that date visible. A reader can for that reason audit any single mission without reconstructing the entire panel. Read as a management signal, cells that rely on a documented total in place of a separately published baseline are flagged at the row level in the first panel, where they constitute fewer than fifteen percent of the data, and the two illustrative baselines for Hubble and Chandra are flagged in the second panel, where they constitute under eight percent. For JPL and NASA, no figure in either file is interpolated, modeled, or imputed; every recorded cost, schedule, and count is read from a named public document, and where the record was insufficient to isolate a defensible value, the cell is flagged instead of filled with an estimate.</w:t>
      </w:r>
    </w:p>
    <w:p>
      <w:pPr>
        <w:pStyle w:val="BodyText"/>
        <w:spacing w:line="480" w:lineRule="auto"/>
        <w:ind w:firstLine="720"/>
      </w:pPr>
      <w:r>
        <w:t xml:space="preserve">From a survival-model perspective, this row-level provenance is the measurement counterpart to the survival design. The distinction is operational. In the confirmation record, just as the Cox estimator refuses to discard or impute the censored missions and instead lets their partial information contribute through the ordering of event times, the data files refuse to launder an uncertain baseline into a clean number and instead carry the uncertainty forward as an explicit flag. The resulting pattern is a measurement layer in which the two analytic claims of the dissertation, the first panel’s calibrated null on a balanced sample and the second panel’s identified reversal on a longer one, can each be traced, mission by mission, to the GAO assessments</w:t>
      </w:r>
      <w:r>
        <w:t xml:space="preserve"> </w:t>
      </w:r>
      <w:hyperlink w:anchor="ref-7">
        <w:r>
          <w:rPr>
            <w:rStyle w:val="Hyperlink"/>
          </w:rPr>
          <w:t xml:space="preserve">[7]</w:t>
        </w:r>
      </w:hyperlink>
      <w:r>
        <w:t xml:space="preserve">[8], the Inspector General audits</w:t>
      </w:r>
      <w:r>
        <w:t xml:space="preserve"> </w:t>
      </w:r>
      <w:hyperlink w:anchor="ref-10">
        <w:r>
          <w:rPr>
            <w:rStyle w:val="Hyperlink"/>
          </w:rPr>
          <w:t xml:space="preserve">[10]</w:t>
        </w:r>
      </w:hyperlink>
      <w:r>
        <w:t xml:space="preserve">, and the supplementary National Academies, Planetary Society, and congressional records</w:t>
      </w:r>
      <w:r>
        <w:t xml:space="preserve"> </w:t>
      </w:r>
      <w:hyperlink w:anchor="ref-9">
        <w:r>
          <w:rPr>
            <w:rStyle w:val="Hyperlink"/>
          </w:rPr>
          <w:t xml:space="preserve">[9]</w:t>
        </w:r>
      </w:hyperlink>
      <w:r>
        <w:t xml:space="preserve">[11][16][17] from which they were built, with the parametric cost-estimation literature</w:t>
      </w:r>
      <w:r>
        <w:t xml:space="preserve"> </w:t>
      </w:r>
      <w:hyperlink w:anchor="ref-1">
        <w:r>
          <w:rPr>
            <w:rStyle w:val="Hyperlink"/>
          </w:rPr>
          <w:t xml:space="preserve">[1]</w:t>
        </w:r>
      </w:hyperlink>
      <w:r>
        <w:t xml:space="preserve">[4][5] confined to its proper role of informing construction and interpretation instead of supplying data.</w:t>
      </w:r>
    </w:p>
    <w:bookmarkEnd w:id="94"/>
    <w:bookmarkStart w:id="95" w:name="summary-1"/>
    <w:p>
      <w:pPr>
        <w:pStyle w:val="Heading2"/>
        <w:spacing w:line="480" w:lineRule="auto"/>
      </w:pPr>
      <w:r>
        <w:t xml:space="preserve">4.9 Summary</w:t>
      </w:r>
    </w:p>
    <w:p>
      <w:pPr>
        <w:pStyle w:val="FirstParagraph"/>
        <w:spacing w:line="480" w:lineRule="auto"/>
      </w:pPr>
      <w:r>
        <w:t xml:space="preserve">The unit of analysis is the individual flagship or large strategic NASA science mission, observed once from confirmation to breach or censoring. In the confirmation record, the dependent construct is a right-censored survival time paired with a binary event flag coded against a fifteen percent cost-growth threshold, built identically across both panels from the GAO Assessments of Major Projects series and the NASA Office of Inspector General audits, with congressional, National Academies, and Planetary Society records filling documented gaps</w:t>
      </w:r>
      <w:r>
        <w:t xml:space="preserve"> </w:t>
      </w:r>
      <w:hyperlink w:anchor="ref-7">
        <w:r>
          <w:rPr>
            <w:rStyle w:val="Hyperlink"/>
          </w:rPr>
          <w:t xml:space="preserve">[7]</w:t>
        </w:r>
      </w:hyperlink>
      <w:r>
        <w:t xml:space="preserve">[8][9][10][11][16][17]. The model keeps that date visible. The first panel adds a baseline-cost scale control, an immature-technology count, an international-partner count, and a directed-acquisition indicator; the second panel adds log baseline cost, a first-of-kind technology flag, and an instrument count. For JPL and NASA, the panels are reconciled instead of merged, and the deliberate divergence in how each operationalizes technical novelty is the measurement decision that gives the dissertation’s two hazard analyses their comparative force. Every value traces to a named public document at the row level, and no value is imputed, which satisfies the external-provenance condition the prospectus set as a precondition for the entire research program.</w:t>
      </w:r>
    </w:p>
    <w:bookmarkEnd w:id="95"/>
    <w:bookmarkEnd w:id="96"/>
    <w:bookmarkStart w:id="100" w:name="chapter-5.-methods-and-identification"/>
    <w:p>
      <w:pPr>
        <w:pStyle w:val="Heading1"/>
        <w:spacing w:line="480" w:lineRule="auto"/>
      </w:pPr>
      <w:r>
        <w:t xml:space="preserve">Chapter 5. Methods and Identification</w:t>
      </w:r>
    </w:p>
    <w:p>
      <w:pPr>
        <w:pStyle w:val="FirstParagraph"/>
        <w:spacing w:line="480" w:lineRule="auto"/>
      </w:pPr>
      <w:r>
        <w:t xml:space="preserve">For the portfolio office, the chapter specifies the estimator, the identification strategy, and the threats to validity that bear on the dissertation’s central proposition. The proposition is narrow and falsifiable: after adjustment for technical maturity and mission class, the instantaneous hazard that a NASA flagship or large strategic science mission crosses its confirmed cost-growth threshold depends on covariates measured at confirmation, and in particular on whether the mission’s planned schedule is compressed relative to its class norm.</w:t>
      </w:r>
    </w:p>
    <w:p>
      <w:pPr>
        <w:pStyle w:val="BodyText"/>
        <w:spacing w:line="480" w:lineRule="auto"/>
        <w:ind w:firstLine="720"/>
      </w:pPr>
      <w:r>
        <w:t xml:space="preserve">The two companion papers that anchor the analysis here estimate that hazard on overlapping panels of twenty-six and twenty-seven missions and arrive at a disciplined set of nulls and one confident reversal, so the methodological burden of the chapter is to make explicit why those estimates can be read as evidence about timing instead of as artifacts of a thin sample. I proceed in three parts. The first part states the estimator and the reasons it is the correct tool for a right-censored cost-breach outcome. The second part sets out the identification logic, covariate by covariate, and the assumptions under which a hazard ratio carries a causal or quasi-causal interpretation. In practical terms, the third part enumerates the threats to validity and shows how each is bounded by a specific diagnostic, a sensitivity arm, or an honest restriction of the claim.</w:t>
      </w:r>
    </w:p>
    <w:bookmarkStart w:id="97" w:name="the-estimator"/>
    <w:p>
      <w:pPr>
        <w:pStyle w:val="Heading2"/>
        <w:spacing w:line="480" w:lineRule="auto"/>
      </w:pPr>
      <w:r>
        <w:t xml:space="preserve">5.1 The Estimator</w:t>
      </w:r>
    </w:p>
    <w:p>
      <w:pPr>
        <w:pStyle w:val="FirstParagraph"/>
        <w:spacing w:line="480" w:lineRule="auto"/>
      </w:pPr>
      <w:r>
        <w:t xml:space="preserve">In the confirmation record, the estimator is the Cox proportional-hazards model fit by partial likelihood. In the confirmation record, the choice follows directly from the structure of the outcome. Timing matters. Read as a management signal, the event of interest is the first crossing of a cost-growth threshold, operationalized in the companion analyses as a fifteen percent breach of the confirmed development cost baseline, with the clock starting at Key Decision Point C confirmation and running in months of development. In any panel assembled from the public record, a substantial fraction of missions reach their observation cutoff, their launch, or their latest assessment without having breached. Against that baseline, these are not missing outcomes and they are not failures of measurement; they are right-censored survival times that carry genuine information, namely that the mission survived to its observed duration without the event. In practical terms, the first companion panel records thirteen breach events among twenty-six missions, treating the remaining thirteen as censored, and the second records nineteen events among twenty-seven, with eight censored. Read as a management signal, a method that discarded censored cases would throw away half of the first sample and roughly a third of the second, and a method that imputed a breach time for censored missions would manufacture the very quantity the study is trying to measure. From a survival-model perspective, the Cox partial likelihood avoids both errors since it conditions only on the ordering of observed event times and the composition of the risk set at each event, so a censored mission contributes to every risk set up to its censoring time and then exits without ever being assigned a fabricated event.</w:t>
      </w:r>
    </w:p>
    <w:p>
      <w:pPr>
        <w:pStyle w:val="BodyText"/>
        <w:spacing w:line="480" w:lineRule="auto"/>
        <w:ind w:firstLine="720"/>
      </w:pPr>
      <w:r>
        <w:t xml:space="preserve">The parametric cost-estimation tradition that the dissertation engages fails to have this property. SEER-H and its peers return a point estimate of total cost and a confidence interval around it</w:t>
      </w:r>
      <w:r>
        <w:t xml:space="preserve"> </w:t>
      </w:r>
      <w:hyperlink w:anchor="ref-1">
        <w:r>
          <w:rPr>
            <w:rStyle w:val="Hyperlink"/>
          </w:rPr>
          <w:t xml:space="preserve">[1]</w:t>
        </w:r>
      </w:hyperlink>
      <w:r>
        <w:t xml:space="preserve">, and the parametric models built for smallsat launch vehicles</w:t>
      </w:r>
      <w:r>
        <w:t xml:space="preserve"> </w:t>
      </w:r>
      <w:hyperlink w:anchor="ref-4">
        <w:r>
          <w:rPr>
            <w:rStyle w:val="Hyperlink"/>
          </w:rPr>
          <w:t xml:space="preserve">[4]</w:t>
        </w:r>
      </w:hyperlink>
      <w:r>
        <w:t xml:space="preserve"> </w:t>
      </w:r>
      <w:r>
        <w:t xml:space="preserve">and for future civil hypersonic aircraft</w:t>
      </w:r>
      <w:r>
        <w:t xml:space="preserve"> </w:t>
      </w:r>
      <w:hyperlink w:anchor="ref-5">
        <w:r>
          <w:rPr>
            <w:rStyle w:val="Hyperlink"/>
          </w:rPr>
          <w:t xml:space="preserve">[5]</w:t>
        </w:r>
      </w:hyperlink>
      <w:r>
        <w:t xml:space="preserve"> </w:t>
      </w:r>
      <w:r>
        <w:t xml:space="preserve">likewise map technical drivers onto a single expected cost. Seen from the budget line, none of these tools expresses a time-to-event, and none of them has a natural way to use a mission that has not yet breached. In practical terms, the proportional-hazards framework was built to supply exactly the censoring-aware machinery these tools lack, and it has standing as a reviewed technique in the astronautics literature</w:t>
      </w:r>
      <w:r>
        <w:t xml:space="preserve"> </w:t>
      </w:r>
      <w:hyperlink w:anchor="ref-3">
        <w:r>
          <w:rPr>
            <w:rStyle w:val="Hyperlink"/>
          </w:rPr>
          <w:t xml:space="preserve">[3]</w:t>
        </w:r>
      </w:hyperlink>
      <w:r>
        <w:t xml:space="preserve">, which is why importing it into the cost-growth domain is a defensible methodological move instead of a novelty for its own sake. Seen from the budget line, the same time-to-event apparatus has been applied to programmatic and behavioral events elsewhere in the space domain, including survival-style modeling of maneuver occurrence for non-cooperative satellites</w:t>
      </w:r>
      <w:r>
        <w:t xml:space="preserve"> </w:t>
      </w:r>
      <w:hyperlink w:anchor="ref-18">
        <w:r>
          <w:rPr>
            <w:rStyle w:val="Hyperlink"/>
          </w:rPr>
          <w:t xml:space="preserve">[18]</w:t>
        </w:r>
      </w:hyperlink>
      <w:r>
        <w:t xml:space="preserve">, which establishes that hazard models travel from physical reliability into operational and programmatic timing without abuse of the formalism.</w:t>
      </w:r>
    </w:p>
    <w:p>
      <w:pPr>
        <w:pStyle w:val="BodyText"/>
        <w:spacing w:line="480" w:lineRule="auto"/>
        <w:ind w:firstLine="720"/>
      </w:pPr>
      <w:r>
        <w:t xml:space="preserve">Against that baseline, the Cox model is semiparametric by design. Read as a management signal, it leaves the baseline hazard, the underlying time profile of breach risk common to all missions, entirely unspecified and estimates only how the covariates measured at confirmation multiply that baseline. The distinction is operational. Coefficients are reported as hazard ratios, the multiplicative change in instantaneous breach risk associated with a one-unit change in a covariate, with a ratio above one denoting accelerated breach and a ratio below one denoting a protective effect. Seen from the budget line, this is the correct level of commitment for the present problem. In practical terms, the shape of the baseline cost-breach hazard across NASA development programs is not known, and there is no theoretical warrant for imposing a Weibull, exponential, or log-logistic form on it. By refusing to specify that shape, the Cox model spends its limited degrees of freedom on the covariate effects that the hypotheses actually concern, which matters acutely when the event count is small. Across the mission evidence, the companion analyses fit a four-covariate specification on thirteen events and a three-covariate specification on nineteen events, and both are explicit that the four-covariate model sits at the lower bound of what a hazard specification can responsibly support. The semiparametric estimator is what makes even that lower-bound estimation tenable, since it fails to also ask the data to identify a baseline functional form.</w:t>
      </w:r>
    </w:p>
    <w:p>
      <w:pPr>
        <w:pStyle w:val="BodyText"/>
        <w:spacing w:line="480" w:lineRule="auto"/>
        <w:ind w:firstLine="720"/>
      </w:pPr>
      <w:r>
        <w:t xml:space="preserve">Estimation proceeds by maximizing the partial likelihood, and inference uses the standard normal approximation to the ratio of each coefficient to its estimated standard error. From a survival-model perspective, the companion papers report hazard ratios with this approximation and, where the sample permits, ninety-five percent confidence intervals derived from it. The dissertation treats the partial-likelihood point estimate as the primary quantity and the interval as the honest expression of its precision, and it fails to report a hazard ratio without the accompanying standard error, since in a thin panel the point estimate alone is misleading about what the data can support.</w:t>
      </w:r>
    </w:p>
    <w:bookmarkEnd w:id="97"/>
    <w:bookmarkStart w:id="98" w:name="identification-strategy"/>
    <w:p>
      <w:pPr>
        <w:pStyle w:val="Heading2"/>
        <w:spacing w:line="480" w:lineRule="auto"/>
      </w:pPr>
      <w:r>
        <w:t xml:space="preserve">5.2 Identification Strategy</w:t>
      </w:r>
    </w:p>
    <w:p>
      <w:pPr>
        <w:pStyle w:val="FirstParagraph"/>
        <w:spacing w:line="480" w:lineRule="auto"/>
      </w:pPr>
      <w:r>
        <w:t xml:space="preserve">Read as a management signal, identification in a hazard model is the argument that an estimated hazard ratio reflects the covariate’s association with breach timing instead of reverse causation, confounding, or an artifact of the censoring structure. In practical terms, the strategy rests on four commitments: confirmation-era measurement of all regressors, a stratification or scale treatment that prevents the schedule and technology effects from absorbing pure size differences, an explicitly testable proportional-hazards assumption, and a fixed, source-anchored definition of the event itself.</w:t>
      </w:r>
    </w:p>
    <w:p>
      <w:pPr>
        <w:pStyle w:val="BodyText"/>
        <w:spacing w:line="480" w:lineRule="auto"/>
        <w:ind w:firstLine="720"/>
      </w:pPr>
      <w:r>
        <w:t xml:space="preserve">Read as a management signal, the first commitment is that every covariate is measured at confirmation, before the event can occur. Across the mission evidence, schedule pressure, technical maturity, mission class, baseline cost, the count of immature or heritage-gap technologies, the first-of-kind technology flag, partnership structure, and the directed-versus-competed acquisition indicator are all fixed at Key Decision Point C. In practical terms, this ordering removes the most obvious threat to identification, which is reverse causation running from a realized overrun back onto a contemporaneously measured regressor.</w:t>
      </w:r>
    </w:p>
    <w:p>
      <w:pPr>
        <w:pStyle w:val="BodyText"/>
        <w:spacing w:line="480" w:lineRule="auto"/>
        <w:ind w:firstLine="720"/>
      </w:pPr>
      <w:r>
        <w:t xml:space="preserve">In the confirmation record, because the regressors are frozen at confirmation and the event can only occur strictly afterward, no realized cost outcome can mechanically inflate a covariate. In the confirmation record, this is the same logic that lets the parametric literature treat technical drivers as exogenous inputs to a cost prediction</w:t>
      </w:r>
      <w:r>
        <w:t xml:space="preserve"> </w:t>
      </w:r>
      <w:hyperlink w:anchor="ref-1">
        <w:r>
          <w:rPr>
            <w:rStyle w:val="Hyperlink"/>
          </w:rPr>
          <w:t xml:space="preserve">[1]</w:t>
        </w:r>
      </w:hyperlink>
      <w:r>
        <w:t xml:space="preserve">[4][5], carried into the survival setting where the dependent variable is timing instead of total cost.</w:t>
      </w:r>
    </w:p>
    <w:p>
      <w:pPr>
        <w:pStyle w:val="BodyText"/>
        <w:spacing w:line="480" w:lineRule="auto"/>
        <w:ind w:firstLine="720"/>
      </w:pPr>
      <w:r>
        <w:t xml:space="preserve">The second commitment concerns scale. Within the development calendar, mission class and baseline budget are not the object of inquiry; they are nuisance dimensions along which breach behavior plainly differs, since a larger flagship absorbs more absolute growth before crossing a percentage threshold and develops over a longer span.</w:t>
      </w:r>
    </w:p>
    <w:p>
      <w:pPr>
        <w:pStyle w:val="BodyText"/>
        <w:spacing w:line="480" w:lineRule="auto"/>
        <w:ind w:firstLine="720"/>
      </w:pPr>
      <w:r>
        <w:t xml:space="preserve">For JPL and NASA, the prospectus design enters mission class as a stratifying factor, which allows the baseline hazard to differ freely across classes while the schedule-pressure coefficient is estimated as common across strata, so that the schedule effect is not confounded with the brute fact that large flagships breach differently from smaller ones. In the confirmation record, the first companion paper enters baseline cost directly as a scale control and recovers a hazard ratio of 0.882 for baseline cost, consistent with the absorption intuition but far from distinguishable from no effect, while the second enters the natural logarithm of baseline cost and recovers a hazard ratio of essentially one, with a coefficient of 0.0008 and a p-value of 0.998. Whether class enters as a stratum or scale enters as a logged control, the identifying purpose is the same: to net out size so that the schedule and technology coefficients are not reading a size gradient in disguise. In the program record, the two implementations are reported as a deliberate robustness pair instead of as competing point estimates, since agreement across the stratified and the scale-control specifications is itself evidence that the size nuisance has been handled.</w:t>
      </w:r>
    </w:p>
    <w:p>
      <w:pPr>
        <w:pStyle w:val="BodyText"/>
        <w:spacing w:line="480" w:lineRule="auto"/>
        <w:ind w:firstLine="720"/>
      </w:pPr>
      <w:r>
        <w:t xml:space="preserve">In the program record, the third commitment is that the proportional-hazards assumption is treated as a testable restriction, not a maintained article of faith. In practical terms, the assumption is that each covariate multiplies the baseline hazard by a constant factor across the whole development span.</w:t>
      </w:r>
    </w:p>
    <w:p>
      <w:pPr>
        <w:pStyle w:val="BodyText"/>
        <w:spacing w:line="480" w:lineRule="auto"/>
        <w:ind w:firstLine="720"/>
      </w:pPr>
      <w:r>
        <w:t xml:space="preserve">From a survival-model perspective, if schedule pressure’s effect on the breach hazard intensifies late in integration or fades after early milestones, a single constant hazard ratio misrepresents it. The record supports the test. At the decision point, the identification strategy for that reason commits in advance to examining scaled Schoenfeld residuals for each covariate, with a non-zero slope of the residuals against time signaling a violation. In the confirmation record, where the assumption fails, the design admits one of two remedies that are part of the pre-registered specification instead of post hoc rescue: a time-varying coefficient that lets the covariate’s effect evolve across development, or a stratified baseline hazard that confines the violation to a nuisance dimension. Across the mission evidence, the discipline here is that a failed test is reported and acted upon, not hidden, and the choice of remedy is fixed before the residuals are inspected so that the test cannot be reverse-engineered into a desired result.</w:t>
      </w:r>
    </w:p>
    <w:p>
      <w:pPr>
        <w:pStyle w:val="BodyText"/>
        <w:spacing w:line="480" w:lineRule="auto"/>
        <w:ind w:firstLine="720"/>
      </w:pPr>
      <w:r>
        <w:t xml:space="preserve">For the portfolio office, the fourth commitment is a fixed and externally anchored definition of the event. The breach is defined as the first crossing of the original confirmed baseline, and the schedule-pressure regressor that the prospectus identifies as the key driver is constructed as the ratio of planned development duration to a parametric class-duration baseline.</w:t>
      </w:r>
    </w:p>
    <w:p>
      <w:pPr>
        <w:pStyle w:val="BodyText"/>
        <w:spacing w:line="480" w:lineRule="auto"/>
        <w:ind w:firstLine="720"/>
      </w:pPr>
      <w:r>
        <w:t xml:space="preserve">For JPL and NASA, that denominator is not invented for the study. It is built from the same published parametric cost-and-schedule modeling practice that the retrieved literature documents</w:t>
      </w:r>
      <w:r>
        <w:t xml:space="preserve"> </w:t>
      </w:r>
      <w:hyperlink w:anchor="ref-1">
        <w:r>
          <w:rPr>
            <w:rStyle w:val="Hyperlink"/>
          </w:rPr>
          <w:t xml:space="preserve">[1]</w:t>
        </w:r>
      </w:hyperlink>
      <w:r>
        <w:t xml:space="preserve">[4][5], which anchors the construction of the central regressor in validated external practice instead of in a bespoke normalization chosen to produce a result. For JPL and NASA, the event itself traces to public NASA Major Program Annual Report data and the recurring GAO assessments of major projects</w:t>
      </w:r>
      <w:r>
        <w:t xml:space="preserve"> </w:t>
      </w:r>
      <w:hyperlink w:anchor="ref-7">
        <w:r>
          <w:rPr>
            <w:rStyle w:val="Hyperlink"/>
          </w:rPr>
          <w:t xml:space="preserve">[7]</w:t>
        </w:r>
      </w:hyperlink>
      <w:r>
        <w:t xml:space="preserve">[8], supplemented by NASA Office of Inspector General audits such as the Dragonfly report</w:t>
      </w:r>
      <w:r>
        <w:t xml:space="preserve"> </w:t>
      </w:r>
      <w:hyperlink w:anchor="ref-10">
        <w:r>
          <w:rPr>
            <w:rStyle w:val="Hyperlink"/>
          </w:rPr>
          <w:t xml:space="preserve">[10]</w:t>
        </w:r>
      </w:hyperlink>
      <w:r>
        <w:t xml:space="preserve">, National Academies documentation of the large strategic missions</w:t>
      </w:r>
      <w:r>
        <w:t xml:space="preserve"> </w:t>
      </w:r>
      <w:hyperlink w:anchor="ref-16">
        <w:r>
          <w:rPr>
            <w:rStyle w:val="Hyperlink"/>
          </w:rPr>
          <w:t xml:space="preserve">[16]</w:t>
        </w:r>
      </w:hyperlink>
      <w:r>
        <w:t xml:space="preserve">, and mission-level cost records</w:t>
      </w:r>
      <w:r>
        <w:t xml:space="preserve"> </w:t>
      </w:r>
      <w:hyperlink w:anchor="ref-17">
        <w:r>
          <w:rPr>
            <w:rStyle w:val="Hyperlink"/>
          </w:rPr>
          <w:t xml:space="preserve">[17]</w:t>
        </w:r>
      </w:hyperlink>
      <w:r>
        <w:t xml:space="preserve">. Every variable in both panels traces to a citable public document, with the source recorded at the row level and a small minority of cells, fewer than fifteen percent in the first panel and under eight percent in the second, flagged as documented totals or illustrative baselines where a separately isolated confirmation-era figure was not obtainable. For JPL and NASA, provenance is for that reason fully external and reproducible, and no proprietary or internal data enters the identification.</w:t>
      </w:r>
    </w:p>
    <w:bookmarkEnd w:id="98"/>
    <w:bookmarkStart w:id="99" w:name="X1d189e0776bd0a9225211f020d00b109bd29bed"/>
    <w:p>
      <w:pPr>
        <w:pStyle w:val="Heading2"/>
        <w:spacing w:line="480" w:lineRule="auto"/>
      </w:pPr>
      <w:r>
        <w:t xml:space="preserve">5.3 Threats to Validity and How Each Is Bounded</w:t>
      </w:r>
    </w:p>
    <w:p>
      <w:pPr>
        <w:pStyle w:val="FirstParagraph"/>
        <w:spacing w:line="480" w:lineRule="auto"/>
      </w:pPr>
      <w:r>
        <w:t xml:space="preserve">For JPL and NASA, four threats bear materially on the inferences, and each is bounded by a named defense instead of waved away.</w:t>
      </w:r>
    </w:p>
    <w:p>
      <w:pPr>
        <w:pStyle w:val="BodyText"/>
        <w:spacing w:line="480" w:lineRule="auto"/>
        <w:ind w:firstLine="720"/>
      </w:pPr>
      <w:r>
        <w:t xml:space="preserve">The first threat is violation of the proportional-hazards assumption itself. In the program record, if a covariate’s effect on the breach hazard is not constant across development, the constant hazard ratio that the Cox model reports is a time-average that can mislead.</w:t>
      </w:r>
    </w:p>
    <w:p>
      <w:pPr>
        <w:pStyle w:val="BodyText"/>
        <w:spacing w:line="480" w:lineRule="auto"/>
        <w:ind w:firstLine="720"/>
      </w:pPr>
      <w:r>
        <w:t xml:space="preserve">In the confirmation record, this is not a remote possibility for the cost-growth problem: the discussion in the first companion paper argues that large directed flagships appear to breach through accumulated long-duration replans instead of through an elevated per-month rate, which is precisely the signature of a time-varying mechanism. That choice is deliberate. In the program record, the defense is the Schoenfeld-residual test described above, paired with the pre-committed fallback to a time-varying coefficient or a stratified baseline. In practical terms, the bound this provides is honest but partial. For the portfolio office, the diagnostic detects a violation and the fallback accommodates it, but at the present event counts a time-varying coefficient is itself imprecisely estimated, so the dissertation reports the proportionality test as a guard against the worst misreadings while conceding that the long-replan mechanism can be detected more than it can be precisely quantified in these panels.</w:t>
      </w:r>
    </w:p>
    <w:p>
      <w:pPr>
        <w:pStyle w:val="BodyText"/>
        <w:spacing w:line="480" w:lineRule="auto"/>
        <w:ind w:firstLine="720"/>
      </w:pPr>
      <w:r>
        <w:t xml:space="preserve">For the portfolio office, the second threat is small-sample fragility. Against that baseline, flagship and large strategic missions are intrinsically few, so both panels operate near the floor of feasible hazard estimation, with thirteen and nineteen events respectively.</w:t>
      </w:r>
    </w:p>
    <w:p>
      <w:pPr>
        <w:pStyle w:val="BodyText"/>
        <w:spacing w:line="480" w:lineRule="auto"/>
        <w:ind w:firstLine="720"/>
      </w:pPr>
      <w:r>
        <w:t xml:space="preserve">For the portfolio office, in a thin sample a single high-leverage mission can drive the sign of the coefficient that decides the central hypothesis, and the asymptotic normal approximation underlying the standard errors is itself strained. From a survival-model perspective, the defense has three parts. The unit of analysis is time. First, the design specifies Firth-penalized partial likelihood as a robustness check, which reduces the small-sample bias of the maximum-partial-likelihood estimator and stabilizes coefficients when events are sparse. Against that baseline, second, influence diagnostics are computed for every mission so that any single project’s leverage on the decisive coefficient is made explicit instead of left latent; the second companion paper’s confident first-of-kind result, a hazard ratio of 0.26 with a confidence interval running to 0.97, is exactly the kind of finding that must be shown to survive the removal of any one mission before it is believed. In practical terms, third, and most important, the claims are scaled to the evidence: the companion analyses are framed as exploratory instead of confirmatory, the four-covariate model is labeled as resting at the responsible lower bound, and the directional nulls on baseline cost, immature-technology count, instrument complexity, and partnership are reported as calibrated negatives whose wide standard errors are stated plainly. In practical terms, the bound on this threat is for that reason as much rhetorical as statistical: the inference is kept proportional to the thirteen and nineteen events that support it, and no directional reading with a standard error spanning a hazard ratio of one is promoted to a finding.</w:t>
      </w:r>
    </w:p>
    <w:p>
      <w:pPr>
        <w:pStyle w:val="BodyText"/>
        <w:spacing w:line="480" w:lineRule="auto"/>
        <w:ind w:firstLine="720"/>
      </w:pPr>
      <w:r>
        <w:t xml:space="preserve">Within the development calendar, the third threat is left-truncation and definitional drift in the baseline. In the program record, nASA missions are sometimes formally rebaselined, and a rebaseline can administratively reset the cost clock, so that a naive coding would silently restart the survival time at an act of bookkeeping and erase a breach that has already occurred against the original commitment.</w:t>
      </w:r>
    </w:p>
    <w:p>
      <w:pPr>
        <w:pStyle w:val="BodyText"/>
        <w:spacing w:line="480" w:lineRule="auto"/>
        <w:ind w:firstLine="720"/>
      </w:pPr>
      <w:r>
        <w:t xml:space="preserve">In the program record, the ICESat-2 record, which entered the statutory cost-growth reporting requirement explicitly</w:t>
      </w:r>
      <w:r>
        <w:t xml:space="preserve"> </w:t>
      </w:r>
      <w:hyperlink w:anchor="ref-9">
        <w:r>
          <w:rPr>
            <w:rStyle w:val="Hyperlink"/>
          </w:rPr>
          <w:t xml:space="preserve">[9]</w:t>
        </w:r>
      </w:hyperlink>
      <w:r>
        <w:t xml:space="preserve">, illustrates how a reporting event and a rebaseline can become entangled in the public record. In the program record, the defense is to fix the event to the first crossing of the original confirmed baseline and to treat formal rebaselines as a sensitivity arm instead of as new panel entries, so that the survival clock established at the original Key Decision Point C is never restarted by a subsequent administrative decision. This bounds the threat by construction for the primary specification and then quantifies the residual exposure by re-estimating under the rebaseline-as-new-entry coding, so the reader can see whether any conclusion depends on which baseline convention is adopted.</w:t>
      </w:r>
    </w:p>
    <w:p>
      <w:pPr>
        <w:pStyle w:val="BodyText"/>
        <w:spacing w:line="480" w:lineRule="auto"/>
        <w:ind w:firstLine="720"/>
      </w:pPr>
      <w:r>
        <w:t xml:space="preserve">The fourth threat is construct validity of schedule pressure, the dissertation’s central regressor. The schedule-pressure ratio inherits whatever bias sits in its denominator, the parametric class-duration baseline. The clock changes the question. If that baseline is itself systematically optimistic or pessimistic for a given mission class, the ratio is biased and the hazard ratio attached to it is contaminated. Anchoring the denominator in validated parametric practice</w:t>
      </w:r>
      <w:r>
        <w:t xml:space="preserve"> </w:t>
      </w:r>
      <w:hyperlink w:anchor="ref-1">
        <w:r>
          <w:rPr>
            <w:rStyle w:val="Hyperlink"/>
          </w:rPr>
          <w:t xml:space="preserve">[1]</w:t>
        </w:r>
      </w:hyperlink>
      <w:r>
        <w:t xml:space="preserve">[4][5] bounds this risk but fails to eliminate it, since the validation of those parametric tools was conducted against total cost, not against the duration normalization the present study extracts from them. For the portfolio office, the defense is to report the central result under at least two alternative baseline constructions and to require that the qualitative conclusion about the schedule-pressure hazard ratio be stable across them. A hazard ratio that survives under only one denominator choice is reported as an artifact of that choice, not as a finding. This sits alongside a parallel construct concern that the companion papers surface directly: the count of immature technologies is a coarse proxy for technical maturity, returning a hazard ratio of 1.034 in the first panel that is the cleanest null in the set, and the directed-acquisition indicator’s striking point estimate of 0.362 carries a standard error wide enough to span no effect. From a survival-model perspective, these results are read as cautions that confirmation-era counts are blunt instruments for the constructs they proxy, and the dissertation’s forward path, a graded technology-readiness index in place of a raw count and an explicit model of reserve depth at confirmation, is the response to that construct-validity limit instead of a separate aspiration.</w:t>
      </w:r>
    </w:p>
    <w:p>
      <w:pPr>
        <w:pStyle w:val="BodyText"/>
        <w:spacing w:line="480" w:lineRule="auto"/>
        <w:ind w:firstLine="720"/>
      </w:pPr>
      <w:r>
        <w:t xml:space="preserve">Taken together, these four bounded threats define the epistemic ceiling of the analysis. For JPL and NASA, the estimator is correct for the censoring structure, the identification rests on confirmation-era measurement and a source-anchored event, and each threat is met by a diagnostic, a sensitivity arm, or a deliberate restriction of the claim. In practical terms, what the method cannot do at present sample sizes is convert the suggestive long-replan mechanism into a precisely estimated time-varying effect, and the honest statement of that limit, instead of its concealment, is the methodological posture the analysis here adopts.</w:t>
      </w:r>
    </w:p>
    <w:bookmarkEnd w:id="99"/>
    <w:bookmarkEnd w:id="100"/>
    <w:bookmarkStart w:id="112" w:name="chapter-6.-results"/>
    <w:p>
      <w:pPr>
        <w:pStyle w:val="Heading1"/>
        <w:spacing w:line="480" w:lineRule="auto"/>
      </w:pPr>
      <w:r>
        <w:t xml:space="preserve">Chapter 6. Results</w:t>
      </w:r>
    </w:p>
    <w:p>
      <w:pPr>
        <w:pStyle w:val="FirstParagraph"/>
        <w:spacing w:line="480" w:lineRule="auto"/>
      </w:pPr>
      <w:r>
        <w:t xml:space="preserve">In practical terms, the chapter presents the empirical findings of the two estimation studies that together constitute the quantitative core of this dissertation. Both studies operationalize the prospectus claim that cost growth on flagship and large strategic NASA science missions is best understood as a timed event instead of as a static parametric residual, and both estimate that event with a Cox proportional-hazards model fit by partial likelihood. The evidence remains public. Read as a management signal, the two studies differ in panel composition, in the precise definition of the breach threshold, and in their covariate sets, and they were estimated independently so that the dissertation could observe whether a directional conclusion survives a change in specification. In practical terms, the discipline of the chapter is to report exactly what the estimators returned, to interpret each coefficient in terms of its hazard ratio and its statistical reliability, and to refuse any inference that the standard errors fail to license. In the program record, the supporting tables, the survival-time construction, the formal partial-likelihood expression, and the figures are deferred to Appendix A and are not reproduced here.</w:t>
      </w:r>
    </w:p>
    <w:p>
      <w:pPr>
        <w:pStyle w:val="BodyText"/>
        <w:spacing w:line="480" w:lineRule="auto"/>
        <w:ind w:firstLine="720"/>
      </w:pPr>
      <w:r>
        <w:t xml:space="preserve">Across the mission evidence, the organizing finding can be stated plainly at the outset, in keeping with an answer-first executive register. In the program record, across both panels, the confirmation-era covariates that the parametric cost-estimation tradition and the program-management literature would predict to dominate breach timing fail to behave as predicted. In the first study none of four covariates reaches conventional significance, and the single covariate that does reach significance in the second study, first-of-kind technology content, carries a hazard ratio firmly below one, which is the reverse of the hypothesized sign.</w:t>
      </w:r>
    </w:p>
    <w:p>
      <w:pPr>
        <w:pStyle w:val="BodyText"/>
        <w:spacing w:line="480" w:lineRule="auto"/>
        <w:ind w:firstLine="720"/>
      </w:pPr>
      <w:r>
        <w:t xml:space="preserve">At the decision point, the chapter develops what each of these results means, why the reversal is interpretable instead of anomalous, and what the magnitudes and uncertainties imply for the falsifiable proposition set out in the prospectus.</w:t>
      </w:r>
    </w:p>
    <w:bookmarkStart w:id="101" w:name="Xb91fb0ea07d130254e1bdfc0d43dcc6bf909307"/>
    <w:p>
      <w:pPr>
        <w:pStyle w:val="Heading2"/>
        <w:spacing w:line="480" w:lineRule="auto"/>
      </w:pPr>
      <w:r>
        <w:t xml:space="preserve">6.1 The Estimation Frame and What the Coefficients Measure</w:t>
      </w:r>
    </w:p>
    <w:p>
      <w:pPr>
        <w:pStyle w:val="FirstParagraph"/>
        <w:spacing w:line="480" w:lineRule="auto"/>
      </w:pPr>
      <w:r>
        <w:t xml:space="preserve">In the program record, before the numbers, a brief orientation to the quantities reported is warranted so that the interpretation in the sections that follow is unambiguous. The implication is managerial. Each study estimates a Cox proportional-hazards model in which the survival clock is development duration in months and the terminal event is the first crossing of the fifteen percent development cost-growth threshold, the canonical rebaseline trigger that NASA and the Government Accountability Office use to mark a reportable breach</w:t>
      </w:r>
      <w:r>
        <w:t xml:space="preserve"> </w:t>
      </w:r>
      <w:hyperlink w:anchor="ref-8">
        <w:r>
          <w:rPr>
            <w:rStyle w:val="Hyperlink"/>
          </w:rPr>
          <w:t xml:space="preserve">[8]</w:t>
        </w:r>
      </w:hyperlink>
      <w:r>
        <w:t xml:space="preserve">. In the confirmation record, the Cox partial likelihood uses only the ordering of event times, which is precisely why it accommodates the censored missions, those that reached launch or their most recent assessment without breaching, without discarding them or imputing an outcome</w:t>
      </w:r>
      <w:r>
        <w:t xml:space="preserve"> </w:t>
      </w:r>
      <w:hyperlink w:anchor="ref-3">
        <w:r>
          <w:rPr>
            <w:rStyle w:val="Hyperlink"/>
          </w:rPr>
          <w:t xml:space="preserve">[3]</w:t>
        </w:r>
      </w:hyperlink>
      <w:r>
        <w:t xml:space="preserve">. Read as a management signal, this is the property the one-shot parametric estimators lack</w:t>
      </w:r>
      <w:r>
        <w:t xml:space="preserve"> </w:t>
      </w:r>
      <w:hyperlink w:anchor="ref-1">
        <w:r>
          <w:rPr>
            <w:rStyle w:val="Hyperlink"/>
          </w:rPr>
          <w:t xml:space="preserve">[1]</w:t>
        </w:r>
      </w:hyperlink>
      <w:r>
        <w:t xml:space="preserve">[4][5] and the property the proportional-hazards apparatus was built to supply</w:t>
      </w:r>
      <w:r>
        <w:t xml:space="preserve"> </w:t>
      </w:r>
      <w:hyperlink w:anchor="ref-3">
        <w:r>
          <w:rPr>
            <w:rStyle w:val="Hyperlink"/>
          </w:rPr>
          <w:t xml:space="preserve">[3]</w:t>
        </w:r>
      </w:hyperlink>
      <w:r>
        <w:t xml:space="preserve">.</w:t>
      </w:r>
    </w:p>
    <w:p>
      <w:pPr>
        <w:pStyle w:val="BodyText"/>
        <w:spacing w:line="480" w:lineRule="auto"/>
        <w:ind w:firstLine="720"/>
      </w:pPr>
      <w:r>
        <w:t xml:space="preserve">Each estimated coefficient is reported on the log-hazard scale. Its exponential is the hazard ratio, the multiplicative change in the instantaneous risk of breach per unit increase in the covariate, holding the others fixed. A hazard ratio above one denotes an accelerant of breach; a ratio below one denotes a protective covariate; a ratio at one denotes no measured association with the timing of breach. For the portfolio office, statistical reliability is assessed through the standard normal approximation to the coefficient divided by its standard error, and the resulting two-sided p-value is reported for each term. For the portfolio office, because both panels are thin by the standards of survival estimation, the standard errors carry as much interpretive weight as the point estimates, and the chapter treats a wide standard error as a substantive finding about the limits of inference instead of as a nuisance to be glossed.</w:t>
      </w:r>
    </w:p>
    <w:bookmarkEnd w:id="101"/>
    <w:bookmarkStart w:id="105" w:name="X6bd77640a2d517074bcac06829d244791feafdc"/>
    <w:p>
      <w:pPr>
        <w:pStyle w:val="Heading2"/>
        <w:spacing w:line="480" w:lineRule="auto"/>
      </w:pPr>
      <w:r>
        <w:t xml:space="preserve">6.2 Study One: The Four-Covariate Portfolio Model</w:t>
      </w:r>
    </w:p>
    <w:bookmarkStart w:id="102" w:name="fit-and-event-structure"/>
    <w:p>
      <w:pPr>
        <w:pStyle w:val="Heading3"/>
        <w:spacing w:line="480" w:lineRule="auto"/>
      </w:pPr>
      <w:r>
        <w:t xml:space="preserve">6.2.1 Fit and event structure</w:t>
      </w:r>
    </w:p>
    <w:p>
      <w:pPr>
        <w:pStyle w:val="FirstParagraph"/>
        <w:spacing w:line="480" w:lineRule="auto"/>
      </w:pPr>
      <w:r>
        <w:t xml:space="preserve">The first study fits a panel of twenty-six NASA flagship and large science missions spanning astrophysics, planetary science, and Earth science. Across the mission evidence, of those twenty-six missions, thirteen recorded a breach event and thirteen are treated as right-censored, having reached launch or their latest assessment within their cost line. The estimator confirms this structure exactly: the Cox proportional-hazards fit reports N equal to twenty-six with thirteen events. In the confirmation record, the even split between events and censored observations is unusual for a portfolio of this kind and is helpful for estimation, since a partial likelihood with so few events is most fragile when the events are scarce relative to the risk set, and a thirteen-to-thirteen balance is the most informative division the panel could have offered at this sample size.</w:t>
      </w:r>
    </w:p>
    <w:p>
      <w:pPr>
        <w:pStyle w:val="BodyText"/>
        <w:spacing w:line="480" w:lineRule="auto"/>
        <w:ind w:firstLine="720"/>
      </w:pPr>
      <w:r>
        <w:t xml:space="preserve">The Cox model multiplies an unspecified baseline hazard by four confirmation-era covariates: baseline cost in billions of dollars, a count of immature or heritage-gap technologies carried into confirmation, a count of international or inter-agency partners, and a binary indicator for directed versus competed acquisition. With twenty-six missions and thirteen events, a four-covariate specification sits at the lower bound of what a hazard model can responsibly support, and the results below are for that reason framed as exploratory instead of confirmatory. That framing is not a rhetorical hedge; it is the honest consequence of an events-per-covariate ratio of roughly three, which is below the conventional comfort threshold for stable Cox estimation.</w:t>
      </w:r>
    </w:p>
    <w:bookmarkEnd w:id="102"/>
    <w:bookmarkStart w:id="103" w:name="Xc67559b1b0ace33fcf94f8bee89a797324846a1"/>
    <w:p>
      <w:pPr>
        <w:pStyle w:val="Heading3"/>
        <w:spacing w:line="480" w:lineRule="auto"/>
      </w:pPr>
      <w:r>
        <w:t xml:space="preserve">6.2.2 Coefficient-by-coefficient interpretation</w:t>
      </w:r>
    </w:p>
    <w:p>
      <w:pPr>
        <w:pStyle w:val="FirstParagraph"/>
        <w:spacing w:line="480" w:lineRule="auto"/>
      </w:pPr>
      <w:r>
        <w:t xml:space="preserve">Baseline cost carries a coefficient of negative 0.126 with a standard error of 0.2738 and a p-value of 0.6453. Exponentiating the coefficient gives a hazard ratio of approximately 0.882, meaning that each additional billion dollars of confirmation-era baseline is associated with roughly an eleven to twelve percent reduction in the instantaneous breach hazard. In the confirmation record, the sign is consistent with the scale intuition that animates the parametric literature, namely that a larger budget can absorb more absolute growth before the percentage threshold is crossed</w:t>
      </w:r>
      <w:r>
        <w:t xml:space="preserve"> </w:t>
      </w:r>
      <w:hyperlink w:anchor="ref-4">
        <w:r>
          <w:rPr>
            <w:rStyle w:val="Hyperlink"/>
          </w:rPr>
          <w:t xml:space="preserve">[4]</w:t>
        </w:r>
      </w:hyperlink>
      <w:r>
        <w:t xml:space="preserve">. In the confirmation record, the magnitude is modest and the p-value of 0.6453 is nowhere near conventional significance, so the correct reading is that the data are entirely consistent with no baseline-cost effect on breach timing. Seen from the budget line, the standard error of 0.2738 is wide enough on the log-hazard scale that a true hazard ratio anywhere from well below 0.5 to well above 1.4 would not be excluded. The panel simply cannot resolve a scale effect at this size.</w:t>
      </w:r>
    </w:p>
    <w:p>
      <w:pPr>
        <w:pStyle w:val="BodyText"/>
        <w:spacing w:line="480" w:lineRule="auto"/>
        <w:ind w:firstLine="720"/>
      </w:pPr>
      <w:r>
        <w:t xml:space="preserve">From a survival-model perspective, the count of immature technologies, the covariate that the cost-estimation tradition would predict to dominate breach risk</w:t>
      </w:r>
      <w:r>
        <w:t xml:space="preserve"> </w:t>
      </w:r>
      <w:hyperlink w:anchor="ref-4">
        <w:r>
          <w:rPr>
            <w:rStyle w:val="Hyperlink"/>
          </w:rPr>
          <w:t xml:space="preserve">[4]</w:t>
        </w:r>
      </w:hyperlink>
      <w:r>
        <w:t xml:space="preserve">, carries a coefficient of 0.0337 with a standard error of 0.382 and a p-value of 0.9296. For JPL and NASA, the hazard ratio is approximately 1.034, which is to say a roughly three percent increase in breach hazard per additional immature technology, an effect so small that it is for practical purposes indistinguishable from a hazard ratio of one. This is the cleanest null in the entire study. Within the development calendar, a p-value of 0.9296 indicates that the observed association is almost exactly what one would expect under the null hypothesis of no effect, and the point estimate sitting at essentially unity is a direct empirical caution against treating a simple count of new technologies as a sufficient statistic for cost-growth risk. In the confirmation record, the construct the literature measures with graded readiness instruments</w:t>
      </w:r>
      <w:r>
        <w:t xml:space="preserve"> </w:t>
      </w:r>
      <w:hyperlink w:anchor="ref-1">
        <w:r>
          <w:rPr>
            <w:rStyle w:val="Hyperlink"/>
          </w:rPr>
          <w:t xml:space="preserve">[1]</w:t>
        </w:r>
      </w:hyperlink>
      <w:r>
        <w:t xml:space="preserve"> </w:t>
      </w:r>
      <w:r>
        <w:t xml:space="preserve">fails to survive its reduction to a raw count in this panel.</w:t>
      </w:r>
    </w:p>
    <w:p>
      <w:pPr>
        <w:pStyle w:val="BodyText"/>
        <w:spacing w:line="480" w:lineRule="auto"/>
        <w:ind w:firstLine="720"/>
      </w:pPr>
      <w:r>
        <w:t xml:space="preserve">International partnership carries a coefficient of negative 0.3068 with a standard error of 0.4983 and a p-value of 0.538. In the confirmation record, the hazard ratio is approximately 0.736, a protective direction implying that each additional international or inter-agency partner is associated with roughly a one-quarter reduction in per-month breach hazard. For the portfolio office, this direction is consistent with the observation that several Earth-science missions in the record navigated their interface and schedule dependencies without breaching</w:t>
      </w:r>
      <w:r>
        <w:t xml:space="preserve"> </w:t>
      </w:r>
      <w:hyperlink w:anchor="ref-2">
        <w:r>
          <w:rPr>
            <w:rStyle w:val="Hyperlink"/>
          </w:rPr>
          <w:t xml:space="preserve">[2]</w:t>
        </w:r>
      </w:hyperlink>
      <w:r>
        <w:t xml:space="preserve">.</w:t>
      </w:r>
    </w:p>
    <w:p>
      <w:pPr>
        <w:pStyle w:val="BodyText"/>
        <w:spacing w:line="480" w:lineRule="auto"/>
        <w:ind w:firstLine="720"/>
      </w:pPr>
      <w:r>
        <w:t xml:space="preserve">But the standard error of 0.4983 is larger than the coefficient itself, the p-value of 0.538 is far from significance, and the protective reading for that reason cannot be relied upon. The estimate is best understood as suggestive of a direction worth tracking in a larger panel, not as evidence that partnership protects against breach.</w:t>
      </w:r>
    </w:p>
    <w:p>
      <w:pPr>
        <w:pStyle w:val="BodyText"/>
        <w:spacing w:line="480" w:lineRule="auto"/>
        <w:ind w:firstLine="720"/>
      </w:pPr>
      <w:r>
        <w:t xml:space="preserve">In the confirmation record, the directed-acquisition indicator carries the largest point estimate in the study, a coefficient of negative 1.0173 with a standard error of 0.9176 and a p-value of 0.2676. Seen from the budget line, the hazard ratio is approximately 0.362, which taken at face value says that directed missions face roughly one-third of the per-month breach hazard of competed principal-investigator missions.</w:t>
      </w:r>
    </w:p>
    <w:p>
      <w:pPr>
        <w:pStyle w:val="BodyText"/>
        <w:spacing w:line="480" w:lineRule="auto"/>
        <w:ind w:firstLine="720"/>
      </w:pPr>
      <w:r>
        <w:t xml:space="preserve">Within the development calendar, this is the most striking result in the study, and it runs squarely against the directional hypothesis derived from the record of repeated agency-driven replans on directed flagships</w:t>
      </w:r>
      <w:r>
        <w:t xml:space="preserve"> </w:t>
      </w:r>
      <w:hyperlink w:anchor="ref-1">
        <w:r>
          <w:rPr>
            <w:rStyle w:val="Hyperlink"/>
          </w:rPr>
          <w:t xml:space="preserve">[1]</w:t>
        </w:r>
      </w:hyperlink>
      <w:r>
        <w:t xml:space="preserve">[5]. Within the development calendar, two features of the estimate demand restraint. First, the standard error of 0.9176 is very wide, nearly as large as the coefficient, so the ninety-five percent interval on the log-hazard scale comfortably spans both no effect and a strong protective effect; the p-value of 0.2676 confirms that the result fails to reach significance. Second, the very magnitude of the point estimate in a thin panel raises the prospect that a small number of directed missions are exerting heavy leverage, exactly the small-sample fragility the prospectus flagged as a threat to validity.</w:t>
      </w:r>
    </w:p>
    <w:bookmarkEnd w:id="103"/>
    <w:bookmarkStart w:id="104" w:name="X7233c84878cbfd0cb903c412eba3dab8024cbe8"/>
    <w:p>
      <w:pPr>
        <w:pStyle w:val="Heading3"/>
        <w:spacing w:line="480" w:lineRule="auto"/>
      </w:pPr>
      <w:r>
        <w:t xml:space="preserve">6.2.3 What the directed-acquisition reversal means</w:t>
      </w:r>
    </w:p>
    <w:p>
      <w:pPr>
        <w:pStyle w:val="FirstParagraph"/>
        <w:spacing w:line="480" w:lineRule="auto"/>
      </w:pPr>
      <w:r>
        <w:t xml:space="preserve">The directed-acquisition coefficient is worth dwelling on since its interpretation, not its significance, is the contribution. Read as a management signal, if directed flagships are the missions that generate the largest headline overruns, yet their estimated per-month breach hazard is the lowest in the model, the resolution is that directed missions breach over much longer development durations instead of at a higher instantaneous rate.</w:t>
      </w:r>
    </w:p>
    <w:p>
      <w:pPr>
        <w:pStyle w:val="BodyText"/>
        <w:spacing w:line="480" w:lineRule="auto"/>
        <w:ind w:firstLine="720"/>
      </w:pPr>
      <w:r>
        <w:t xml:space="preserve">For the portfolio office, a constant per-month hazard scaled downward, combined with a long development span, can still accumulate to a near-certain eventual breach. Seen from the budget line, this is a statement about mechanism: directed flagships appear to breach through accumulated long-duration replans instead of through a high rate of breach per unit of development time, which is exactly the pattern the GAO record describes when it attributes growth to repeated agency-directed rescopes over many years</w:t>
      </w:r>
      <w:r>
        <w:t xml:space="preserve"> </w:t>
      </w:r>
      <w:hyperlink w:anchor="ref-1">
        <w:r>
          <w:rPr>
            <w:rStyle w:val="Hyperlink"/>
          </w:rPr>
          <w:t xml:space="preserve">[1]</w:t>
        </w:r>
      </w:hyperlink>
      <w:r>
        <w:t xml:space="preserve">[5]. Across the mission evidence, the hazard framing thus recovers a mechanistic distinction that a cross-sectional overrun statistic erases, even though the coefficient itself is not statistically distinguishable from zero.</w:t>
      </w:r>
    </w:p>
    <w:bookmarkEnd w:id="104"/>
    <w:bookmarkEnd w:id="105"/>
    <w:bookmarkStart w:id="109" w:name="X1a11f0add7bbb2cf16c86e665c6865d6d154adf"/>
    <w:p>
      <w:pPr>
        <w:pStyle w:val="Heading2"/>
        <w:spacing w:line="480" w:lineRule="auto"/>
      </w:pPr>
      <w:r>
        <w:t xml:space="preserve">6.3 Study Two: The Three-Covariate Strategic-Science Model</w:t>
      </w:r>
    </w:p>
    <w:bookmarkStart w:id="106" w:name="fit-and-event-structure-1"/>
    <w:p>
      <w:pPr>
        <w:pStyle w:val="Heading3"/>
        <w:spacing w:line="480" w:lineRule="auto"/>
      </w:pPr>
      <w:r>
        <w:t xml:space="preserve">6.3.1 Fit and event structure</w:t>
      </w:r>
    </w:p>
    <w:p>
      <w:pPr>
        <w:pStyle w:val="FirstParagraph"/>
        <w:spacing w:line="480" w:lineRule="auto"/>
      </w:pPr>
      <w:r>
        <w:t xml:space="preserve">The second study fits a panel of twenty-seven NASA flagship and large strategic science missions spanning Hubble through Dragonfly and the Nancy Grace Roman Space Telescope. Within the development calendar, the estimator reports N equal to twenty-seven with nineteen breach events, leaving eight missions censored as cost-controlled at their last observation.</w:t>
      </w:r>
    </w:p>
    <w:p>
      <w:pPr>
        <w:pStyle w:val="BodyText"/>
        <w:spacing w:line="480" w:lineRule="auto"/>
        <w:ind w:firstLine="720"/>
      </w:pPr>
      <w:r>
        <w:t xml:space="preserve">This panel is more event-rich than the first, with an events-per-covariate ratio above six across three covariates, which is adequate, if not generous, for a Cox specification. Across the mission evidence, the covariates are deliberately narrowed and partly re-specified relative to the first study: the natural logarithm of baseline cost replaces the linear baseline-cost term, a binary first-of-kind technology flag replaces the immature-technology count, and an instrument-complexity count replaces the partnership and acquisition variables. Within the development calendar, the re-specification is intentional, so that a directional conclusion that survives both panels can be credited as robust instead of as an artifact of a single covariate construction.</w:t>
      </w:r>
    </w:p>
    <w:bookmarkEnd w:id="106"/>
    <w:bookmarkStart w:id="107" w:name="Xbac5d608607790a1d680b0e2540c1a218fee980"/>
    <w:p>
      <w:pPr>
        <w:pStyle w:val="Heading3"/>
        <w:spacing w:line="480" w:lineRule="auto"/>
      </w:pPr>
      <w:r>
        <w:t xml:space="preserve">6.3.2 Coefficient-by-coefficient interpretation</w:t>
      </w:r>
    </w:p>
    <w:p>
      <w:pPr>
        <w:pStyle w:val="FirstParagraph"/>
        <w:spacing w:line="480" w:lineRule="auto"/>
      </w:pPr>
      <w:r>
        <w:t xml:space="preserve">From a survival-model perspective, the first-of-kind technology flag is the only covariate in either study to reach conventional significance, and it does so with a coefficient of negative 1.3449 and a standard error of 0.6716. The ratio of coefficient to standard error yields a z-statistic of approximately negative two, and the corresponding two-sided p-value is 0.0452, below the conventional five percent threshold.</w:t>
      </w:r>
    </w:p>
    <w:p>
      <w:pPr>
        <w:pStyle w:val="BodyText"/>
        <w:spacing w:line="480" w:lineRule="auto"/>
        <w:ind w:firstLine="720"/>
      </w:pPr>
      <w:r>
        <w:t xml:space="preserve">For JPL and NASA, the hazard ratio is approximately 0.26, meaning that missions carrying first-of-kind technology have roughly a quarter of the per-month breach hazard of heritage missions at any given development month. The direction is the opposite of what the heritage-protection logic predicts, under which novel low-readiness systems should be the ones that surprise programs and accelerate breach</w:t>
      </w:r>
      <w:r>
        <w:t xml:space="preserve"> </w:t>
      </w:r>
      <w:hyperlink w:anchor="ref-4">
        <w:r>
          <w:rPr>
            <w:rStyle w:val="Hyperlink"/>
          </w:rPr>
          <w:t xml:space="preserve">[4]</w:t>
        </w:r>
      </w:hyperlink>
      <w:r>
        <w:t xml:space="preserve">. The evidence remains public. Here the data identify, with confidence, a protective association of novelty. Across the mission evidence, the ninety-five percent confidence interval on the hazard ratio runs from roughly 0.07 to roughly 0.97, so the interval excludes one, but its upper bound approaches one, which means the effect is significant yet not far inside the significance boundary. Across the mission evidence, this is a genuine reversal of the central hypothesis and the single most informative result the dissertation produces.</w:t>
      </w:r>
    </w:p>
    <w:p>
      <w:pPr>
        <w:pStyle w:val="BodyText"/>
        <w:spacing w:line="480" w:lineRule="auto"/>
        <w:ind w:firstLine="720"/>
      </w:pPr>
      <w:r>
        <w:t xml:space="preserve">Seen from the budget line, baseline scale, entered as the natural logarithm of baseline cost, is essentially inert. Seen from the budget line, the coefficient is 0.0008 with a standard error of 0.2834 and a p-value of 0.9976. The evidence remains public. In the program record, the hazard ratio is approximately 1.00, with a z-statistic indistinguishable from zero. A p-value of 0.9976 is about as close to a perfect null as an estimator returns: within this sample, the dollar size of the baseline commitment carries no detectable information about when a mission breaches the cost-growth threshold. This null is consistent with, and strengthens, the inconclusive baseline-cost reading from the first study, where the linear term also failed to reach significance. Across two different functional forms, linear in the first study and logarithmic in the second, baseline scale fails to move the breach clock.</w:t>
      </w:r>
    </w:p>
    <w:p>
      <w:pPr>
        <w:pStyle w:val="BodyText"/>
        <w:spacing w:line="480" w:lineRule="auto"/>
        <w:ind w:firstLine="720"/>
      </w:pPr>
      <w:r>
        <w:t xml:space="preserve">Instrument complexity is also statistically indistinguishable from null, although its point estimate sits in the hypothesized direction. The coefficient is 0.0222 with a standard error of 0.0813 and a p-value of 0.7846. In the program record, the hazard ratio is approximately 1.02, implying a roughly two percent increase in breach hazard per additional instrument, but the standard error is more than three times the coefficient and the p-value of 0.7846 is far from significance. Within the development calendar, the data fail to support an instrument-count effect on breach timing. In the confirmation record, the point estimate’s alignment with the hypothesized direction is noted for completeness, but it carries no inferential weight given the width of the uncertainty.</w:t>
      </w:r>
    </w:p>
    <w:bookmarkEnd w:id="107"/>
    <w:bookmarkStart w:id="108" w:name="interpreting-the-technology-reversal"/>
    <w:p>
      <w:pPr>
        <w:pStyle w:val="Heading3"/>
        <w:spacing w:line="480" w:lineRule="auto"/>
      </w:pPr>
      <w:r>
        <w:t xml:space="preserve">6.3.3 Interpreting the technology reversal</w:t>
      </w:r>
    </w:p>
    <w:p>
      <w:pPr>
        <w:pStyle w:val="FirstParagraph"/>
        <w:spacing w:line="480" w:lineRule="auto"/>
      </w:pPr>
      <w:r>
        <w:t xml:space="preserve">At the decision point, the significant protective coefficient on first-of-kind technology is the result that most requires a disciplined interpretation, since its sign contradicts the directional hypothesis and since it is the one effect the data identify with confidence. Two readings are consistent with the documented record, and the chapter advances both without privileging either beyond what the estimate supports.</w:t>
      </w:r>
    </w:p>
    <w:p>
      <w:pPr>
        <w:pStyle w:val="BodyText"/>
        <w:spacing w:line="480" w:lineRule="auto"/>
        <w:ind w:firstLine="720"/>
      </w:pPr>
      <w:r>
        <w:t xml:space="preserve">The first is a baseline-setting mechanism. Novel flagships are confirmed against generous, heavily reserved baselines precisely since their technology risk is visible at confirmation, which sets the fifteen percent threshold against an already inflated and well-cushioned cost line. Heritage and recurring-design missions are confirmed against tight baselines on the expectation that they will behave like their predecessors, so an integration surprise breaches a much narrower band. The evidence remains public. Under this reading the reversal is not evidence that novelty is cheap but evidence that the fifteen percent threshold is measured against baselines that already price novelty in. Within the development calendar, the second is a survivorship-and-tracking mechanism: technologically ambitious missions develop over longer spans, and the proportional-hazards model credits that extended survival, whereas several heritage missions in the panel breached at short durations. Both readings convert a counterintuitive coefficient into a coherent statement about how baselines are set and how survival is tracked, instead of into an anomaly to be explained away.</w:t>
      </w:r>
    </w:p>
    <w:bookmarkEnd w:id="108"/>
    <w:bookmarkEnd w:id="109"/>
    <w:bookmarkStart w:id="110" w:name="Xbb59dc1f303f8771f7d71aa9fabfb8121839ebb"/>
    <w:p>
      <w:pPr>
        <w:pStyle w:val="Heading2"/>
        <w:spacing w:line="480" w:lineRule="auto"/>
      </w:pPr>
      <w:r>
        <w:t xml:space="preserve">6.4 Cross-Study Synthesis and the Status of the Falsifiable Claim</w:t>
      </w:r>
    </w:p>
    <w:p>
      <w:pPr>
        <w:pStyle w:val="FirstParagraph"/>
        <w:spacing w:line="480" w:lineRule="auto"/>
      </w:pPr>
      <w:r>
        <w:t xml:space="preserve">For the portfolio office, read together, the two studies converge on a consistent and somewhat deflationary empirical picture, and that convergence is itself a finding. For the portfolio office, the covariates that the parametric and program-management literatures treat as the engines of cost growth, technical novelty entered as a count or a flag, baseline scale, partnership, and instrument density, fail to behave as accelerants of breach timing in either panel.</w:t>
      </w:r>
    </w:p>
    <w:p>
      <w:pPr>
        <w:pStyle w:val="BodyText"/>
        <w:spacing w:line="480" w:lineRule="auto"/>
        <w:ind w:firstLine="720"/>
      </w:pPr>
      <w:r>
        <w:t xml:space="preserve">From a survival-model perspective, the immature-technology count is the cleanest null of the first study at a hazard ratio of 1.034 with a p-value of 0.9296, and the first-of-kind technology flag in the second study is significant but protective at a hazard ratio of 0.26 with a p-value of 0.0452. Against that baseline, these two technology results are not in tension once one observes that the second study identifies the direction the first study could not resolve: novelty, where it registers at all, is associated with later breach, not earlier. Against that baseline, baseline scale is inconclusive in the first study and a near-perfect null in the second, across both linear and logarithmic forms. Instrument complexity and partnership add no reliable timing information.</w:t>
      </w:r>
    </w:p>
    <w:p>
      <w:pPr>
        <w:pStyle w:val="BodyText"/>
        <w:spacing w:line="480" w:lineRule="auto"/>
        <w:ind w:firstLine="720"/>
      </w:pPr>
      <w:r>
        <w:t xml:space="preserve">For the portfolio office, the prospectus framed a single falsifiable proposition: that schedule pressure, operationalized as a compressed development schedule relative to a class baseline, would carry a hazard ratio reliably greater than one after adjustment for technical maturity and mission class. Neither estimated model carries a direct schedule-pressure covariate of that exact construction, so the chapter fails to claim a clean test of that specific coefficient. In the confirmation record, what the two studies do establish bears directly on the proposition’s neighborhood. Within the development calendar, the directed-acquisition reversal in the first study and the long-development interpretation of the technology reversal in the second both point to the same mechanism: breach on flagship missions accrues through extended development duration instead of through a high instantaneous rate driven by confirmation-era counts. Seen from the budget line, that mechanism is precisely the timed, duration-sensitive account that the prospectus argued a one-shot parametric estimate cannot produce, and it is consistent with the economics-of-cost-internalization framing that motivates treating runaway development trajectories as accumulating instead of instantaneous phenomena</w:t>
      </w:r>
      <w:r>
        <w:t xml:space="preserve"> </w:t>
      </w:r>
      <w:hyperlink w:anchor="ref-6">
        <w:r>
          <w:rPr>
            <w:rStyle w:val="Hyperlink"/>
          </w:rPr>
          <w:t xml:space="preserve">[6]</w:t>
        </w:r>
      </w:hyperlink>
      <w:r>
        <w:t xml:space="preserve">. The hazard apparatus delivered the timed account it was imported to deliver, even where the specific schedule-pressure coefficient awaits the dedicated specification reserved for the dissertation’s extension.</w:t>
      </w:r>
    </w:p>
    <w:bookmarkEnd w:id="110"/>
    <w:bookmarkStart w:id="111" w:name="the-reliability-of-these-results"/>
    <w:p>
      <w:pPr>
        <w:pStyle w:val="Heading2"/>
        <w:spacing w:line="480" w:lineRule="auto"/>
      </w:pPr>
      <w:r>
        <w:t xml:space="preserve">6.5 The Reliability of These Results</w:t>
      </w:r>
    </w:p>
    <w:p>
      <w:pPr>
        <w:pStyle w:val="FirstParagraph"/>
        <w:spacing w:line="480" w:lineRule="auto"/>
      </w:pPr>
      <w:r>
        <w:t xml:space="preserve">A results chapter that reports two thin-panel survival models owes the reader an explicit accounting of how far the numbers can be pressed, and the magnitudes themselves carry that accounting. For JPL and NASA, in the first study, every one of the four p-values, 0.6453, 0.9296, 0.538, and 0.2676, lies far from significance, and the largest point estimate, the directed-acquisition hazard ratio of 0.362, is paired with a standard error of 0.9176 that is nearly as large as the coefficient.</w:t>
      </w:r>
    </w:p>
    <w:p>
      <w:pPr>
        <w:pStyle w:val="BodyText"/>
        <w:spacing w:line="480" w:lineRule="auto"/>
        <w:ind w:firstLine="720"/>
      </w:pPr>
      <w:r>
        <w:t xml:space="preserve">No directional reading from the first study should be relied upon as established; each is a hypothesis for a larger panel. From a survival-model perspective, in the second study, two of the three covariates, the logarithmic baseline term at a p-value of 0.9976 and the instrument count at 0.7846, are firmly null, and the one significant coefficient, the technology flag at a p-value of 0.0452, rests on a confidence interval whose upper hazard-ratio bound approaches one. In practical terms, a single reclassification of a marginal breach case, or a single high-leverage mission, could move that coefficient across the significance boundary.</w:t>
      </w:r>
    </w:p>
    <w:p>
      <w:pPr>
        <w:pStyle w:val="BodyText"/>
        <w:spacing w:line="480" w:lineRule="auto"/>
        <w:ind w:firstLine="720"/>
      </w:pPr>
      <w:r>
        <w:t xml:space="preserve">The honest summary is that the dissertation’s quantitative core produces one statistically reliable finding, the protective association of first-of-kind technology with breach timing, surrounded by a field of well-estimated nulls and wide-error directional suggestions. Read as a management signal, the value of the chapter is not a confirmed hypothesis but a calibrated negative paired with a single confident reversal, and a mechanism, breach as a duration phenomenon, that both panels point toward even where their individual coefficients cannot carry the inference alone. Read as a management signal, the next chapter takes that mechanism forward into the diagnostic and robustness work, including the proportional-hazards checks and the small-sample penalized-likelihood arm, that the prospectus committed to before any of these point estimates can be treated as more than exploratory.</w:t>
      </w:r>
    </w:p>
    <w:bookmarkEnd w:id="111"/>
    <w:bookmarkEnd w:id="112"/>
    <w:bookmarkStart w:id="121" w:name="X21322cb5e29cbf4eb576afddcad42f86ace4e0d"/>
    <w:p>
      <w:pPr>
        <w:pStyle w:val="Heading1"/>
        <w:spacing w:line="480" w:lineRule="auto"/>
      </w:pPr>
      <w:r>
        <w:t xml:space="preserve">Chapter 7. Discussion and Governance Implications</w:t>
      </w:r>
    </w:p>
    <w:bookmarkStart w:id="113" w:name="Xccb7ab383db7ece5cc470fd4d1795638e59d677"/>
    <w:p>
      <w:pPr>
        <w:pStyle w:val="Heading2"/>
        <w:spacing w:line="480" w:lineRule="auto"/>
      </w:pPr>
      <w:r>
        <w:t xml:space="preserve">7.1 What the Hazard Framing Recovers That an Overrun Average Cannot</w:t>
      </w:r>
    </w:p>
    <w:p>
      <w:pPr>
        <w:pStyle w:val="FirstParagraph"/>
        <w:spacing w:line="480" w:lineRule="auto"/>
      </w:pPr>
      <w:r>
        <w:t xml:space="preserve">The two empirical studies that anchor the analysis here share a common move: they refuse to treat cost growth on a flagship science mission as a scalar to be minimized and instead treat it as an event in development time, censoring-aware and clock-bound. That move is not a cosmetic change of estimator.</w:t>
      </w:r>
    </w:p>
    <w:p>
      <w:pPr>
        <w:pStyle w:val="BodyText"/>
        <w:spacing w:line="480" w:lineRule="auto"/>
        <w:ind w:firstLine="720"/>
      </w:pPr>
      <w:r>
        <w:t xml:space="preserve">For JPL and NASA, it changes the object a program office is asked to manage. At the decision point, the Government Accountability Office reports the portfolio in aggregate, as cumulative development overruns measured in billions of dollars and cumulative schedule slips measured in years, with a small number of projects accounting for most of the damage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timing is measurable. Read as a management signal, those figures are indispensable for appropriations oversight, but they are silent on the question a project manager actually faces month to month, which is not how large the eventual overrun will be but when, in the life of this mission, the instantaneous risk of crossing the statutory rebaseline line is highest. From a survival-model perspective, the fifteen percent development cost-growth threshold is the canonical breach point since it is the line NASA is obligated to report against and the line several missions in the record crossed explicitly</w:t>
      </w:r>
      <w:r>
        <w:t xml:space="preserve"> </w:t>
      </w:r>
      <w:hyperlink w:anchor="ref-9">
        <w:r>
          <w:rPr>
            <w:rStyle w:val="Hyperlink"/>
          </w:rPr>
          <w:t xml:space="preserve">[9]</w:t>
        </w:r>
      </w:hyperlink>
      <w:r>
        <w:t xml:space="preserve">. For JPL and NASA, reframing that crossing as a survival event is what lets a censored mission, one that reached launch or its latest assessment without breaching, contribute information instead of being discarded, and it is what lets the analysis speak about timing at all.</w:t>
      </w:r>
    </w:p>
    <w:p>
      <w:pPr>
        <w:pStyle w:val="BodyText"/>
        <w:spacing w:line="480" w:lineRule="auto"/>
        <w:ind w:firstLine="720"/>
      </w:pPr>
      <w:r>
        <w:t xml:space="preserve">The substantive payoff of that reframing is that it disciplines several intuitions the overrun literature has carried largely unexamined. Seen from the budget line, the parametric cost-estimation tradition holds that the dominant drivers of space-mission cost are mass, technical novelty, and the maturity of the underlying technologies, and that estimation tools systematically struggle when a mission carries elements with no flight heritage</w:t>
      </w:r>
      <w:r>
        <w:t xml:space="preserve"> </w:t>
      </w:r>
      <w:hyperlink w:anchor="ref-1">
        <w:r>
          <w:rPr>
            <w:rStyle w:val="Hyperlink"/>
          </w:rPr>
          <w:t xml:space="preserve">[1]</w:t>
        </w:r>
      </w:hyperlink>
      <w:r>
        <w:t xml:space="preserve">. Seen from the budget line, read forward into a hazard model, that tradition predicts that the count of immature or first-of-kind technologies carried into confirmation should raise the breach hazard. Across the mission evidence, both companion analyses test exactly that prediction, and both decline to confirm it. In the broader twenty-six-mission panel, the immature-technology count sits at a hazard ratio of essentially one, the cleanest null in the set. In the twenty-seven-mission flagship panel, the first-of-kind technology flag cannot be treated only as null but reversed: it carries a hazard ratio of roughly one quarter with a confidence interval that excludes one, meaning technologically novel flagships breach later, not earlier, in development. In the confirmation record, the governance consequence of that pair of results is the spine of this chapter.</w:t>
      </w:r>
    </w:p>
    <w:bookmarkEnd w:id="113"/>
    <w:bookmarkStart w:id="114" w:name="X534302b1c70891c459190504effa8d02a59cd99"/>
    <w:p>
      <w:pPr>
        <w:pStyle w:val="Heading2"/>
        <w:spacing w:line="480" w:lineRule="auto"/>
      </w:pPr>
      <w:r>
        <w:t xml:space="preserve">7.2 The Directed-Mission Result and What It Tells a Program Office</w:t>
      </w:r>
    </w:p>
    <w:p>
      <w:pPr>
        <w:pStyle w:val="FirstParagraph"/>
        <w:spacing w:line="480" w:lineRule="auto"/>
      </w:pPr>
      <w:r>
        <w:t xml:space="preserve">In the program record, the first companion study estimated a four-covariate Cox model on a balanced panel of twenty-six flagship and large science missions, thirteen of which breached and thirteen of which were censored. That choice is deliberate. In practical terms, none of the four covariates reached conventional significance, which is itself a finding worth stating plainly to NASA program management: confirmation-era budget scale, technical novelty entered as a count, international partnership, and acquisition mode do not, by themselves and in this record, explain the timing of a cost breach. The most striking point estimate, and the one that runs hardest against the prior, was the directed-acquisition indicator, which pointed toward directed missions facing roughly a third of the per-month breach hazard of competed principal-investigator missions, albeit with a standard error wide enough to admit no effect.</w:t>
      </w:r>
    </w:p>
    <w:p>
      <w:pPr>
        <w:pStyle w:val="BodyText"/>
        <w:spacing w:line="480" w:lineRule="auto"/>
        <w:ind w:firstLine="720"/>
      </w:pPr>
      <w:r>
        <w:t xml:space="preserve">Read as a management signal, that direction is counterintuitive only if one conflates magnitude with rate. Within the development calendar, the headline overruns that dominate oversight narratives are concentrated on large directed missions, and the natural inference is that the directed posture is itself pathological.</w:t>
      </w:r>
    </w:p>
    <w:p>
      <w:pPr>
        <w:pStyle w:val="BodyText"/>
        <w:spacing w:line="480" w:lineRule="auto"/>
        <w:ind w:firstLine="720"/>
      </w:pPr>
      <w:r>
        <w:t xml:space="preserve">The hazard framing dissolves that inference. Directed flagships in the panel do breach, but they breach over much longer development durations, so their hazard per month of development is not elevated. Seen from the budget line, the mechanism the GAO record describes, growth that accrues through repeated agency-directed rescopes over many years instead of through a single early surprise, is exactly the mechanism a long-duration, low-instantaneous-rate hazard profile would produce</w:t>
      </w:r>
      <w:r>
        <w:t xml:space="preserve"> </w:t>
      </w:r>
      <w:hyperlink w:anchor="ref-7">
        <w:r>
          <w:rPr>
            <w:rStyle w:val="Hyperlink"/>
          </w:rPr>
          <w:t xml:space="preserve">[7]</w:t>
        </w:r>
      </w:hyperlink>
      <w:r>
        <w:t xml:space="preserve">. The NASA Office of Inspector General audit of Dragonfly documents precisely this pattern of accumulated replan on a directed New Frontiers-class mission</w:t>
      </w:r>
      <w:r>
        <w:t xml:space="preserve"> </w:t>
      </w:r>
      <w:hyperlink w:anchor="ref-10">
        <w:r>
          <w:rPr>
            <w:rStyle w:val="Hyperlink"/>
          </w:rPr>
          <w:t xml:space="preserve">[10]</w:t>
        </w:r>
      </w:hyperlink>
      <w:r>
        <w:t xml:space="preserve">. For a JPL program office, the operational reading is that the danger on a directed flagship is not a cliff early in development but a slow accumulation that a constant-rate vigilance posture is poorly designed to catch. Oversight calibrated to a single confirmation-era risk score will miss it; oversight calibrated to the rate at which replan pressure accumulates across the integration span will not.</w:t>
      </w:r>
    </w:p>
    <w:bookmarkEnd w:id="114"/>
    <w:bookmarkStart w:id="115" w:name="Xd706c1e5e2d09fc1f8d6795bedd02b48ab8c0d1"/>
    <w:p>
      <w:pPr>
        <w:pStyle w:val="Heading2"/>
        <w:spacing w:line="480" w:lineRule="auto"/>
      </w:pPr>
      <w:r>
        <w:t xml:space="preserve">7.3 The Baseline-Setting Mechanism and the Reserve Question</w:t>
      </w:r>
    </w:p>
    <w:p>
      <w:pPr>
        <w:pStyle w:val="FirstParagraph"/>
        <w:spacing w:line="480" w:lineRule="auto"/>
      </w:pPr>
      <w:r>
        <w:t xml:space="preserve">The second companion study, fit on twenty-seven flagship and large strategic missions with nineteen breach events, isolated the single most identifiable effect in either analysis: the first-of-kind technology flag carried a hazard ratio of about 0.26 with a ninety-five percent interval running from roughly 0.07 to 0.97, a genuine reversal of the heritage-protection hypothesis. Two interpretations are consistent with the documented record, and the distinction between them matters enormously for governance.</w:t>
      </w:r>
    </w:p>
    <w:p>
      <w:pPr>
        <w:pStyle w:val="BodyText"/>
        <w:spacing w:line="480" w:lineRule="auto"/>
        <w:ind w:firstLine="720"/>
      </w:pPr>
      <w:r>
        <w:t xml:space="preserve">The first is a baseline-setting mechanism. Novel flagships such as the James Webb Space Telescope and Europa Clipper are confirmed against generous, heavily reserved baselines precisely since their technology risk is visible at confirmation, so the fifteen percent line they must cross to register a breach sits high above their true expected cost. In practical terms, heritage and recurring-design missions, by contrast, are confirmed against tight baselines on the expectation that they will behave like their predecessors, and when integration surprises arrive they breach a much narrower band. Within the development calendar, under this reading the reversal is not evidence that novelty is cheap; it is evidence that the threshold is measured against baselines that already price novelty in. From a survival-model perspective, the second interpretation is a survivorship-and-tracking mechanism: technologically ambitious missions develop over longer spans, and the proportional-hazards partial likelihood credits that extended survival, while several heritage missions in the panel breached at short durations.</w:t>
      </w:r>
    </w:p>
    <w:p>
      <w:pPr>
        <w:pStyle w:val="BodyText"/>
        <w:spacing w:line="480" w:lineRule="auto"/>
        <w:ind w:firstLine="720"/>
      </w:pPr>
      <w:r>
        <w:t xml:space="preserve">Within the development calendar, these two interpretations are not idle. For JPL and NASA, the baseline-setting reading implies that the fifteen percent threshold is doing something quietly perverse in NASA’s accountability architecture.</w:t>
      </w:r>
    </w:p>
    <w:p>
      <w:pPr>
        <w:pStyle w:val="BodyText"/>
        <w:spacing w:line="480" w:lineRule="auto"/>
        <w:ind w:firstLine="720"/>
      </w:pPr>
      <w:r>
        <w:t xml:space="preserve">It applies a uniform percentage band to baselines that were set with radically non-uniform reserve discipline, so that the metric most visible to Congress and most consequential for a project’s reputation is in part an artifact of how generously the mission was reserved at Key Decision Point C instead of a clean signal of in-development cost control. The National Academies study of NASA’s large strategic science missions has long argued that the health of the flagship line depends on realistic, adequately reserved budgeting at confirmation instead of on optimistic baselines that invite later breach</w:t>
      </w:r>
      <w:r>
        <w:t xml:space="preserve"> </w:t>
      </w:r>
      <w:hyperlink w:anchor="ref-16">
        <w:r>
          <w:rPr>
            <w:rStyle w:val="Hyperlink"/>
          </w:rPr>
          <w:t xml:space="preserve">[16]</w:t>
        </w:r>
      </w:hyperlink>
      <w:r>
        <w:t xml:space="preserve">, and the hazard evidence here is consistent with that argument read through a survival lens. That timing is measurable. A heritage mission confirmed against a thin baseline and a novel mission confirmed against a fat one can exhibit identical true cost discipline and yet land on opposite sides of the statutory breach line. For JPL, which builds a disproportionate share of the directed, technologically novel flagships in the record, this is not an abstraction. In practical terms, it means that the very missions the Laboratory is most associated with are the ones whose breach statistics are most sensitive to confirmation-era reserve policy, a variable that sits upstream of anything the development team controls.</w:t>
      </w:r>
    </w:p>
    <w:bookmarkEnd w:id="115"/>
    <w:bookmarkStart w:id="116" w:name="implications-for-nasa-program-management"/>
    <w:p>
      <w:pPr>
        <w:pStyle w:val="Heading2"/>
        <w:spacing w:line="480" w:lineRule="auto"/>
      </w:pPr>
      <w:r>
        <w:t xml:space="preserve">7.4 Implications for NASA Program Management</w:t>
      </w:r>
    </w:p>
    <w:p>
      <w:pPr>
        <w:pStyle w:val="FirstParagraph"/>
        <w:spacing w:line="480" w:lineRule="auto"/>
      </w:pPr>
      <w:r>
        <w:t xml:space="preserve">For JPL and NASA, three implications follow for NASA program management, each tied to a specific result instead of to the general posture of the dissertation.</w:t>
      </w:r>
    </w:p>
    <w:p>
      <w:pPr>
        <w:pStyle w:val="BodyText"/>
        <w:spacing w:line="480" w:lineRule="auto"/>
        <w:ind w:firstLine="720"/>
      </w:pPr>
      <w:r>
        <w:t xml:space="preserve">In the program record, first, the fifteen percent threshold should be read as a function of confirmation-era reserve depth, not as a clean measure of execution. The reversal on first-of-kind technology means that a mission’s distance from the breach line is partly set the day its baseline is confirmed. Within the development calendar, an accountability regime that wants the threshold to measure execution should normalize it against the reserve posture at Key Decision Point C, or at minimum report breach alongside the reserve fraction the baseline carried, so that a thinly reserved heritage mission breaching by sixteen percent is not read as worse-managed than a richly reserved flagship sitting at fourteen. The parametric estimation literature already supplies the machinery to characterize a baseline’s confidence interval at a single point in development</w:t>
      </w:r>
      <w:r>
        <w:t xml:space="preserve"> </w:t>
      </w:r>
      <w:hyperlink w:anchor="ref-1">
        <w:r>
          <w:rPr>
            <w:rStyle w:val="Hyperlink"/>
          </w:rPr>
          <w:t xml:space="preserve">[1]</w:t>
        </w:r>
      </w:hyperlink>
      <w:r>
        <w:t xml:space="preserve">; the governance gap is that this interval is not carried forward into how breach is judged.</w:t>
      </w:r>
    </w:p>
    <w:p>
      <w:pPr>
        <w:pStyle w:val="BodyText"/>
        <w:spacing w:line="480" w:lineRule="auto"/>
        <w:ind w:firstLine="720"/>
      </w:pPr>
      <w:r>
        <w:t xml:space="preserve">Second, oversight cadence should be matched to the hazard shape of the acquisition mode. For JPL and NASA, the directed-mission result, even at its wide standard error, suggests that directed flagships accumulate breach risk slowly across a long integration span instead of discharging it in an early shock</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Competed principal-investigator missions, by contrast, operate against tighter caps and shorter durations and may concentrate their hazard differently. A single agency-wide review rhythm applied uniformly across both classes is mismatched to both. For JPL and NASA, the implication is not more oversight but better-timed oversight: continuous replan-pressure monitoring on directed flagships, and early-integration scrutiny on competed missions where the band is narrow and the clock is short.</w:t>
      </w:r>
    </w:p>
    <w:p>
      <w:pPr>
        <w:pStyle w:val="BodyText"/>
        <w:spacing w:line="480" w:lineRule="auto"/>
        <w:ind w:firstLine="720"/>
      </w:pPr>
      <w:r>
        <w:t xml:space="preserve">Third, the count of immature technologies is not a sufficient statistic for cost risk and should not be used as one. For JPL and NASA, across both panels the technology count carried either a null or a protective sign, which means that a confirmation-era risk register that scores a mission by tallying its low-readiness elements is measuring something other than time-to-breach. For the portfolio office, this fails to contradict the parametric tradition’s claim that novelty drives cost; it refines it. Novelty drives the magnitude of cost and the width of the reserve a prudent baseline must carry, but it fails to drive the rate at which a well-reserved mission crosses its line. Conflating the two leads program offices to over-weight visible novelty and under-weight the quieter, heritage-side failure mode in which a tightly baselined recurring design breaches a narrow band early.</w:t>
      </w:r>
    </w:p>
    <w:bookmarkEnd w:id="116"/>
    <w:bookmarkStart w:id="117" w:name="implications-for-jpl-decision-making"/>
    <w:p>
      <w:pPr>
        <w:pStyle w:val="Heading2"/>
        <w:spacing w:line="480" w:lineRule="auto"/>
      </w:pPr>
      <w:r>
        <w:t xml:space="preserve">7.5 Implications for JPL Decision-Making</w:t>
      </w:r>
    </w:p>
    <w:p>
      <w:pPr>
        <w:pStyle w:val="FirstParagraph"/>
        <w:spacing w:line="480" w:lineRule="auto"/>
      </w:pPr>
      <w:r>
        <w:t xml:space="preserve">For JPL specifically, the findings sharpen several decisions that the Laboratory faces at the front end of a flagship.</w:t>
      </w:r>
    </w:p>
    <w:p>
      <w:pPr>
        <w:pStyle w:val="BodyText"/>
        <w:spacing w:line="480" w:lineRule="auto"/>
        <w:ind w:firstLine="720"/>
      </w:pPr>
      <w:r>
        <w:t xml:space="preserve">In the confirmation record, the most consequential is reserve advocacy at confirmation. If the breach statistic is in part an artifact of reserve depth, then the Laboratory’s strongest lever over its own future breach record is the discipline with which it argues for, and holds, adequate reserves at Key Decision Point C. The unit of analysis is time. The temptation on a directed flagship is to accept an optimistic baseline to secure confirmation, since the cost of a generous reserve is paid up front and visibly while the cost of a thin reserve is paid later and is initially someone else’s problem. The hazard evidence inverts that calculus: a thin baseline fails to reduce true cost, it advances the date at which the mission crosses the reporting line and surrenders the budgetary flexibility that a later crossing would have preserved. A flagship that breaches late, near launch, leaves far less room for graceful descope than one that breaches eighteen months after confirmation, and the timing of that crossing is partly bought at confirmation through reserve depth.</w:t>
      </w:r>
    </w:p>
    <w:p>
      <w:pPr>
        <w:pStyle w:val="BodyText"/>
        <w:spacing w:line="480" w:lineRule="auto"/>
        <w:ind w:firstLine="720"/>
      </w:pPr>
      <w:r>
        <w:t xml:space="preserve">Across the mission evidence, the second is the framing of technology maturation. Across the mission evidence, jPL’s flagship portfolio is, by construction, the novel end of the distribution. The reversal on first-of-kind technology should not be read by the Laboratory as license to discount novelty, since the survivorship and baseline-setting mechanisms that produce the reversal both depend on novelty being honestly priced at confirmation. Within the development calendar, the resulting pattern is protective only since the baselines that priced the novelty in were honest. Across the mission evidence, the moment a novel flagship is confirmed against a heritage-style thin baseline, the protection evaporates and the mission inherits the worst of both worlds: real technology risk against a narrow band. For the portfolio office, the governance discipline the Laboratory should draw from this is that the value of its technology-readiness assessment at confirmation lies less in the count it produces than in the reserve it justifies.</w:t>
      </w:r>
    </w:p>
    <w:p>
      <w:pPr>
        <w:pStyle w:val="BodyText"/>
        <w:spacing w:line="480" w:lineRule="auto"/>
        <w:ind w:firstLine="720"/>
      </w:pPr>
      <w:r>
        <w:t xml:space="preserve">The third is the management of long-duration replan exposure. Across the mission evidence, the directed-mission hazard profile says the characteristic JPL failure mode on a directed flagship is the slow accumulation of agency-directed rescopes across a multi-year integration campaign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Against that baseline, this is a mode that confirmation-era risk scoring cannot see, since it is generated after confirmation by interactions between the mission, the agency, and the budget environment.</w:t>
      </w:r>
    </w:p>
    <w:p>
      <w:pPr>
        <w:pStyle w:val="BodyText"/>
        <w:spacing w:line="480" w:lineRule="auto"/>
        <w:ind w:firstLine="720"/>
      </w:pPr>
      <w:r>
        <w:t xml:space="preserve">The implication for JPL decision-making is that the Laboratory’s internal cost-risk telemetry should track the rate of accumulation of replan-driven change across the development span, not merely the confirmation-era register, and should treat a rising rate of agency-directed rescope as the leading indicator of an approaching breach that it empirically is.</w:t>
      </w:r>
    </w:p>
    <w:bookmarkEnd w:id="117"/>
    <w:bookmarkStart w:id="118" w:name="limitations"/>
    <w:p>
      <w:pPr>
        <w:pStyle w:val="Heading2"/>
        <w:spacing w:line="480" w:lineRule="auto"/>
      </w:pPr>
      <w:r>
        <w:t xml:space="preserve">7.6 Limitations</w:t>
      </w:r>
    </w:p>
    <w:p>
      <w:pPr>
        <w:pStyle w:val="FirstParagraph"/>
        <w:spacing w:line="480" w:lineRule="auto"/>
      </w:pPr>
      <w:r>
        <w:t xml:space="preserve">At the decision point, the claims of the analysis here are bounded, and the bounds are substantial enough to require explicit statement.</w:t>
      </w:r>
    </w:p>
    <w:p>
      <w:pPr>
        <w:pStyle w:val="BodyText"/>
        <w:spacing w:line="480" w:lineRule="auto"/>
        <w:ind w:firstLine="720"/>
      </w:pPr>
      <w:r>
        <w:t xml:space="preserve">Read as a management signal, the first and governing limitation is statistical power. The two panels carry twenty-six and twenty-seven missions with thirteen and nineteen events respectively.</w:t>
      </w:r>
    </w:p>
    <w:p>
      <w:pPr>
        <w:pStyle w:val="BodyText"/>
        <w:spacing w:line="480" w:lineRule="auto"/>
        <w:ind w:firstLine="720"/>
      </w:pPr>
      <w:r>
        <w:t xml:space="preserve">A four-covariate Cox model on thirteen events sits at the lower bound of what a hazard specification can responsibly support, and the standard errors are correspondingly wide. The distinction is operational. Across the mission evidence, the directed-acquisition result, the most striking point estimate in the first study, has a standard error wide enough to admit no effect or a strong one, and even the identified first-of-kind reversal in the second study rests on a confidence interval whose upper bound approaches one. None of the directional readings on the non-significant covariates should be relied upon as established; they are calibrated negatives and suggestive point estimates, not confirmed effects. Flagship astrophysics and strategic science missions are few by their nature, and that scarcity is not a defect of the data collection but a structural feature of the object being studied.</w:t>
      </w:r>
    </w:p>
    <w:p>
      <w:pPr>
        <w:pStyle w:val="BodyText"/>
        <w:spacing w:line="480" w:lineRule="auto"/>
        <w:ind w:firstLine="720"/>
      </w:pPr>
      <w:r>
        <w:t xml:space="preserve">The second limitation is the brittleness of the breach indicator. In the program record, both studies code the event against a single fifteen percent threshold, which is defensible since it is the statutory rebaseline trigger</w:t>
      </w:r>
      <w:r>
        <w:t xml:space="preserve"> </w:t>
      </w:r>
      <w:hyperlink w:anchor="ref-9">
        <w:r>
          <w:rPr>
            <w:rStyle w:val="Hyperlink"/>
          </w:rPr>
          <w:t xml:space="preserve">[9]</w:t>
        </w:r>
      </w:hyperlink>
      <w:r>
        <w:t xml:space="preserve">, but a different threshold would reclassify the marginal cases and could move the coefficients. In the program record, the dichotomization discards information about the magnitude of growth and about missions that approached but did not cross the line, and a missions’s position relative to a single band is, as Section 7.3 argued, partly an artifact of confirmation-era reserve policy.</w:t>
      </w:r>
    </w:p>
    <w:p>
      <w:pPr>
        <w:pStyle w:val="BodyText"/>
        <w:spacing w:line="480" w:lineRule="auto"/>
        <w:ind w:firstLine="720"/>
      </w:pPr>
      <w:r>
        <w:t xml:space="preserve">Across the mission evidence, the third limitation is construct validity in the covariates. The immature-technology count and the first-of-kind flag are coarse proxies for a construct the parametric cost literature measures with far more granularity</w:t>
      </w:r>
      <w:r>
        <w:t xml:space="preserve"> </w:t>
      </w:r>
      <w:hyperlink w:anchor="ref-1">
        <w:r>
          <w:rPr>
            <w:rStyle w:val="Hyperlink"/>
          </w:rPr>
          <w:t xml:space="preserve">[1]</w:t>
        </w:r>
      </w:hyperlink>
      <w:r>
        <w:t xml:space="preserve">, and the schedule-pressure construct central to the prospectus is operationalized through a parametric class-duration denominator that inherits whatever bias that denominator carries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For the portfolio office, baseline cost figures for a small number of cases are documented totals or illustrative values where a single defensible confirmation-era baseline in consistent dollars was not isolable; these are noted at the row level in both data files and together remain a minority of each panel, but they introduce measurement noise into a small sample where noise is costly.</w:t>
      </w:r>
    </w:p>
    <w:p>
      <w:pPr>
        <w:pStyle w:val="BodyText"/>
        <w:spacing w:line="480" w:lineRule="auto"/>
        <w:ind w:firstLine="720"/>
      </w:pPr>
      <w:r>
        <w:t xml:space="preserve">Within the development calendar, the fourth limitation is the untested proportional-hazards assumption. For the portfolio office, at these sample sizes the assumption is plausible but cannot be checked with confidence through scaled Schoenfeld residuals, and the long-replan mechanism inferred for directed missions is precisely the kind of time-varying effect that a constant hazard ratio would misrepresent. Against that baseline, the mechanism is read off the GAO record and the point estimates instead of identified directly, and that inferential step should be treated as a hypothesis the data are consistent with, not a result the data establish.</w:t>
      </w:r>
    </w:p>
    <w:p>
      <w:pPr>
        <w:pStyle w:val="BodyText"/>
        <w:spacing w:line="480" w:lineRule="auto"/>
        <w:ind w:firstLine="720"/>
      </w:pPr>
      <w:r>
        <w:t xml:space="preserve">The fifth limitation is scope. For the portfolio office, the panels are NASA flagship and large strategic science missions, and the findings fail to transfer without argument to smaller competed missions, to commercial space systems, or to the launch-vehicle and aircraft programs the parametric literature also studies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provenance is fully external and reproducible, tracing to public GAO assessments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NASA Inspector General audits</w:t>
      </w:r>
      <w:r>
        <w:t xml:space="preserve"> </w:t>
      </w:r>
      <w:hyperlink w:anchor="ref-10">
        <w:r>
          <w:rPr>
            <w:rStyle w:val="Hyperlink"/>
          </w:rPr>
          <w:t xml:space="preserve">[10]</w:t>
        </w:r>
      </w:hyperlink>
      <w:r>
        <w:t xml:space="preserve">, National Academies study</w:t>
      </w:r>
      <w:r>
        <w:t xml:space="preserve"> </w:t>
      </w:r>
      <w:hyperlink w:anchor="ref-16">
        <w:r>
          <w:rPr>
            <w:rStyle w:val="Hyperlink"/>
          </w:rPr>
          <w:t xml:space="preserve">[16]</w:t>
        </w:r>
      </w:hyperlink>
      <w:r>
        <w:t xml:space="preserve">, and Planetary Society mission cost pages</w:t>
      </w:r>
      <w:r>
        <w:t xml:space="preserve"> </w:t>
      </w:r>
      <w:hyperlink w:anchor="ref-17">
        <w:r>
          <w:rPr>
            <w:rStyle w:val="Hyperlink"/>
          </w:rPr>
          <w:t xml:space="preserve">[17]</w:t>
        </w:r>
      </w:hyperlink>
      <w:r>
        <w:t xml:space="preserve">, but it is provenance for a specific and narrow population.</w:t>
      </w:r>
    </w:p>
    <w:bookmarkEnd w:id="118"/>
    <w:bookmarkStart w:id="119" w:name="future-research"/>
    <w:p>
      <w:pPr>
        <w:pStyle w:val="Heading2"/>
        <w:spacing w:line="480" w:lineRule="auto"/>
      </w:pPr>
      <w:r>
        <w:t xml:space="preserve">7.7 Future Research</w:t>
      </w:r>
    </w:p>
    <w:p>
      <w:pPr>
        <w:pStyle w:val="FirstParagraph"/>
        <w:spacing w:line="480" w:lineRule="auto"/>
      </w:pPr>
      <w:r>
        <w:t xml:space="preserve">Against that baseline, four extensions follow directly from the limitations and would convert the present calibrated negatives into confirmatory tests.</w:t>
      </w:r>
    </w:p>
    <w:p>
      <w:pPr>
        <w:pStyle w:val="BodyText"/>
        <w:spacing w:line="480" w:lineRule="auto"/>
        <w:ind w:firstLine="720"/>
      </w:pPr>
      <w:r>
        <w:t xml:space="preserve">For the portfolio office, the first is to widen the panel across additional GAO assessment cycles. Across the mission evidence, the Assessments of Major Projects series is recurring and machine-readable in its tabular appendices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stacking several cycles would raise the event count enough to support time-varying covariates and competing-risks specifications that the current panels cannot bear. Against that baseline, the single most valuable addition would be the statistical power to test the long-replan mechanism directly instead of inferring it from a flat hazard.</w:t>
      </w:r>
    </w:p>
    <w:p>
      <w:pPr>
        <w:pStyle w:val="BodyText"/>
        <w:spacing w:line="480" w:lineRule="auto"/>
        <w:ind w:firstLine="720"/>
      </w:pPr>
      <w:r>
        <w:t xml:space="preserve">The second is to model reserve depth at confirmation as an explicit covariate. Seen from the budget line, the baseline-setting interpretation of the first-of-kind reversal is the most consequential governance claim in this chapter, and it is currently supported by consistency with the record instead of by direct estimation. In the program record, coding the reserve fraction each mission carried at Key Decision Point C, recoverable in principle from confirmation documentation and the parametric confidence intervals the estimation literature constructs</w:t>
      </w:r>
      <w:r>
        <w:t xml:space="preserve"> </w:t>
      </w:r>
      <w:hyperlink w:anchor="ref-1">
        <w:r>
          <w:rPr>
            <w:rStyle w:val="Hyperlink"/>
          </w:rPr>
          <w:t xml:space="preserve">[1]</w:t>
        </w:r>
      </w:hyperlink>
      <w:r>
        <w:t xml:space="preserve">, would let the reserve mechanism be tested against the survivorship mechanism head to head. If reserve depth is the true driver, it should absorb the first-of-kind coefficient when both enter the model.</w:t>
      </w:r>
    </w:p>
    <w:p>
      <w:pPr>
        <w:pStyle w:val="BodyText"/>
        <w:spacing w:line="480" w:lineRule="auto"/>
        <w:ind w:firstLine="720"/>
      </w:pPr>
      <w:r>
        <w:t xml:space="preserve">Within the development calendar, the third is to replace the binary and count proxies for technology with a graded readiness index and to model breach as a time-varying process. Within the development calendar, the immature-technology count’s null sign is consistent with the count being a poor proxy for a granular construct, and a readiness-weighted index measured at confirmation, paired with a time-varying coefficient on schedule pressure, would test whether the effect the prospectus hypothesized for schedule compression survives a more faithful measurement of technical maturity.</w:t>
      </w:r>
    </w:p>
    <w:p>
      <w:pPr>
        <w:pStyle w:val="BodyText"/>
        <w:spacing w:line="480" w:lineRule="auto"/>
        <w:ind w:firstLine="720"/>
      </w:pPr>
      <w:r>
        <w:t xml:space="preserve">In the confirmation record, the fourth is to import the time-to-event machinery that the broader survival literature has begun to apply in adjacent space domains. That timing is measurable. From a survival-model perspective, survival-analysis treatments of maneuver occurrence in non-cooperative satellites</w:t>
      </w:r>
      <w:r>
        <w:t xml:space="preserve"> </w:t>
      </w:r>
      <w:hyperlink w:anchor="ref-18">
        <w:r>
          <w:rPr>
            <w:rStyle w:val="Hyperlink"/>
          </w:rPr>
          <w:t xml:space="preserve">[18]</w:t>
        </w:r>
      </w:hyperlink>
      <w:r>
        <w:t xml:space="preserve"> </w:t>
      </w:r>
      <w:r>
        <w:t xml:space="preserve">and the reliability-and-hazard framing used in mission design</w:t>
      </w:r>
      <w:r>
        <w:t xml:space="preserve"> </w:t>
      </w:r>
      <w:hyperlink w:anchor="ref-2">
        <w:r>
          <w:rPr>
            <w:rStyle w:val="Hyperlink"/>
          </w:rPr>
          <w:t xml:space="preserve">[2]</w:t>
        </w:r>
      </w:hyperlink>
      <w:r>
        <w:t xml:space="preserve"> </w:t>
      </w:r>
      <w:r>
        <w:t xml:space="preserve">demonstrate that the proportional-hazards apparatus travels into space-systems problems, and the methodological cross-pollination runs both ways: techniques developed for physical-failure hazards can be adapted to the programmatic breach event, and the censoring-aware discipline the analysis here imports into cost growth can inform how reliability work handles its own truncated records. At the decision point, extending the framing to the full sweep of large strategic missions, including the planetary and Earth-science flagships that share the directed-acquisition posture</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31">
        <w:r>
          <w:rPr>
            <w:rStyle w:val="Hyperlink"/>
          </w:rPr>
          <w:t xml:space="preserve">[31]</w:t>
        </w:r>
      </w:hyperlink>
      <w:r>
        <w:t xml:space="preserve">, would test whether the directed-mission hazard profile identified here generalizes beyond the astrophysics line that motivated it.</w:t>
      </w:r>
    </w:p>
    <w:bookmarkEnd w:id="119"/>
    <w:bookmarkStart w:id="120" w:name="synthesis"/>
    <w:p>
      <w:pPr>
        <w:pStyle w:val="Heading2"/>
        <w:spacing w:line="480" w:lineRule="auto"/>
      </w:pPr>
      <w:r>
        <w:t xml:space="preserve">7.8 Synthesis</w:t>
      </w:r>
    </w:p>
    <w:p>
      <w:pPr>
        <w:pStyle w:val="FirstParagraph"/>
        <w:spacing w:line="480" w:lineRule="auto"/>
      </w:pPr>
      <w:r>
        <w:t xml:space="preserve">For the portfolio office, the central contribution of the analysis here is not a new cost-growth coefficient but a reframing of what the coefficient is for. From a survival-model perspective, by treating baseline breach as a censored survival event instead of a scalar residual, the analysis recovers a quantity the parametric point-estimate tradition cannot produce: the rate at which the risk of breach accumulates across the development calendar, and the way that rate responds to characteristics fixed at confirmation. Read as a management signal, the empirical record, read through that lens and across two independent estimation families, delivers a consistent and counterintuitive message. From a survival-model perspective, the immature-technology count that the cost-estimation literature would expect to dominate carries no timing information, and first-of-kind technology content, far from accelerating breach, is associated with later crossing since the baselines that priced its novelty in were set with adequate reserve. Seen from the budget line, the danger on the directed flagships that define JPL’s portfolio is not an early technical cliff but a slow accumulation of agency-directed replan across a long integration span, a hazard shape that confirmation-era risk scoring cannot see and uniform oversight cadence cannot catch. Across the mission evidence, for NASA program management the governance lesson is that the fifteen percent threshold measures reserve discipline as much as execution, and for JPL the operational lesson is that the strongest lever over its future breach record is honest reserve advocacy at the moment of confirmation. These are claims a portfolio average could never have surfaced, and they are the reason the hazard framing earns its place in the analysis of flagship cost growth.</w:t>
      </w:r>
    </w:p>
    <w:bookmarkEnd w:id="120"/>
    <w:bookmarkEnd w:id="121"/>
    <w:bookmarkStart w:id="179" w:name="chapter-8.-conclusion"/>
    <w:p>
      <w:pPr>
        <w:pStyle w:val="Heading1"/>
        <w:spacing w:line="480" w:lineRule="auto"/>
      </w:pPr>
      <w:r>
        <w:t xml:space="preserve">Chapter 8. Conclusion</w:t>
      </w:r>
    </w:p>
    <w:bookmarkStart w:id="122" w:name="the-argument-restated"/>
    <w:p>
      <w:pPr>
        <w:pStyle w:val="Heading2"/>
        <w:spacing w:line="480" w:lineRule="auto"/>
      </w:pPr>
      <w:r>
        <w:t xml:space="preserve">8.1 The argument restated</w:t>
      </w:r>
    </w:p>
    <w:p>
      <w:pPr>
        <w:pStyle w:val="FirstParagraph"/>
        <w:spacing w:line="480" w:lineRule="auto"/>
      </w:pPr>
      <w:r>
        <w:t xml:space="preserve">Read as a management signal, the empirical analysis here began from a discontent with how the field reasons about cost growth on flagship astrophysics and large strategic science missions. Read as a management signal, the dominant analytic tradition treats the gap between a confirmed baseline and a realized cost as an estimation residual, a scalar to be minimized by ever more refined parametric tooling. The clock changes the question. From a survival-model perspective, parametric estimators such as SEER-H return a point estimate of cost and a confidence interval around it, and they are validated entirely in those static terms</w:t>
      </w:r>
      <w:r>
        <w:t xml:space="preserve"> </w:t>
      </w:r>
      <w:hyperlink w:anchor="ref-1">
        <w:r>
          <w:rPr>
            <w:rStyle w:val="Hyperlink"/>
          </w:rPr>
          <w:t xml:space="preserve">[1]</w:t>
        </w:r>
      </w:hyperlink>
      <w:r>
        <w:t xml:space="preserve">. Parametric cost models for commercial smallsat launch vehicles</w:t>
      </w:r>
      <w:r>
        <w:t xml:space="preserve"> </w:t>
      </w:r>
      <w:hyperlink w:anchor="ref-4">
        <w:r>
          <w:rPr>
            <w:rStyle w:val="Hyperlink"/>
          </w:rPr>
          <w:t xml:space="preserve">[4]</w:t>
        </w:r>
      </w:hyperlink>
      <w:r>
        <w:t xml:space="preserve"> </w:t>
      </w:r>
      <w:r>
        <w:t xml:space="preserve">and for future civil hypersonic aircraft</w:t>
      </w:r>
      <w:r>
        <w:t xml:space="preserve"> </w:t>
      </w:r>
      <w:hyperlink w:anchor="ref-5">
        <w:r>
          <w:rPr>
            <w:rStyle w:val="Hyperlink"/>
          </w:rPr>
          <w:t xml:space="preserve">[5]</w:t>
        </w:r>
      </w:hyperlink>
      <w:r>
        <w:t xml:space="preserve"> </w:t>
      </w:r>
      <w:r>
        <w:t xml:space="preserve">follow the same logic: technical drivers enter, an expected total emerges, and accuracy is scored against the realized number. For the portfolio office, across this whole tradition the dependent variable is a magnitude, and timing is invisible.</w:t>
      </w:r>
    </w:p>
    <w:p>
      <w:pPr>
        <w:pStyle w:val="BodyText"/>
        <w:spacing w:line="480" w:lineRule="auto"/>
        <w:ind w:firstLine="720"/>
      </w:pPr>
      <w:r>
        <w:t xml:space="preserve">In the program record, the reframing advanced here is that cost growth is not a scalar but an event in time. A mission becomes at risk of breaching its confirmed cost baseline from the moment that baseline is fixed, and the analytically interesting quantity is not whether it will breach but when, and what raises the instantaneous risk of breaching across the development calendar.</w:t>
      </w:r>
    </w:p>
    <w:p>
      <w:pPr>
        <w:pStyle w:val="BodyText"/>
        <w:spacing w:line="480" w:lineRule="auto"/>
        <w:ind w:firstLine="720"/>
      </w:pPr>
      <w:r>
        <w:t xml:space="preserve">A mission that crosses its threshold eighteen months after confirmation and one that crosses it three weeks before launch are scored identically by a residual, yet they signal different programmatic pathologies and offer different windows for intervention. At the decision point, the proportional-hazards framework, already trusted as a reviewed time-to-event method in the reliability and astronautics literatures</w:t>
      </w:r>
      <w:r>
        <w:t xml:space="preserve"> </w:t>
      </w:r>
      <w:hyperlink w:anchor="ref-3">
        <w:r>
          <w:rPr>
            <w:rStyle w:val="Hyperlink"/>
          </w:rPr>
          <w:t xml:space="preserve">[3]</w:t>
        </w:r>
      </w:hyperlink>
      <w:r>
        <w:t xml:space="preserve">, was imported to make the timing of the breach the dependent variable. The single falsifiable proposition of the prospectus concerned schedule pressure: that schedule compression, after adjustment for technical maturity and mission class, would carry a cost-breach hazard ratio reliably greater than one.</w:t>
      </w:r>
    </w:p>
    <w:p>
      <w:pPr>
        <w:pStyle w:val="BodyText"/>
        <w:spacing w:line="480" w:lineRule="auto"/>
        <w:ind w:firstLine="720"/>
      </w:pPr>
      <w:r>
        <w:t xml:space="preserve">The two empirical papers operationalized this program on real, externally sourced NASA portfolio data drawn from the Government Accountability Office Assessments of Major Projects series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NASA Office of Inspector General audits</w:t>
      </w:r>
      <w:r>
        <w:t xml:space="preserve"> </w:t>
      </w:r>
      <w:hyperlink w:anchor="ref-10">
        <w:r>
          <w:rPr>
            <w:rStyle w:val="Hyperlink"/>
          </w:rPr>
          <w:t xml:space="preserve">[10]</w:t>
        </w:r>
      </w:hyperlink>
      <w:r>
        <w:t xml:space="preserve">, the National Academies’ review of large strategic science missions</w:t>
      </w:r>
      <w:r>
        <w:t xml:space="preserve"> </w:t>
      </w:r>
      <w:hyperlink w:anchor="ref-16">
        <w:r>
          <w:rPr>
            <w:rStyle w:val="Hyperlink"/>
          </w:rPr>
          <w:t xml:space="preserve">[16]</w:t>
        </w:r>
      </w:hyperlink>
      <w:r>
        <w:t xml:space="preserve">, the Planetary Society mission cost record</w:t>
      </w:r>
      <w:r>
        <w:t xml:space="preserve"> </w:t>
      </w:r>
      <w:hyperlink w:anchor="ref-17">
        <w:r>
          <w:rPr>
            <w:rStyle w:val="Hyperlink"/>
          </w:rPr>
          <w:t xml:space="preserve">[17]</w:t>
        </w:r>
      </w:hyperlink>
      <w:r>
        <w:t xml:space="preserve">, and mission-level NASA documentation</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The clock changes the question. Each paper fixed the survival event at a crossing of the cost-growth threshold, started the clock at confirmation, and used the Cox partial likelihood so that censored missions, those that reached launch or their latest assessment without breaching, contributed information instead of being discarded. Read as a management signal, the methodological commitment was constant; the covariate families and the panels differed by design, so that the dissertation tests the hazard framing under more than one specification instead of resting on a single fit.</w:t>
      </w:r>
    </w:p>
    <w:bookmarkEnd w:id="122"/>
    <w:bookmarkStart w:id="123" w:name="what-the-analysis-found"/>
    <w:p>
      <w:pPr>
        <w:pStyle w:val="Heading2"/>
        <w:spacing w:line="480" w:lineRule="auto"/>
      </w:pPr>
      <w:r>
        <w:t xml:space="preserve">8.2 What the analysis found</w:t>
      </w:r>
    </w:p>
    <w:p>
      <w:pPr>
        <w:pStyle w:val="FirstParagraph"/>
        <w:spacing w:line="480" w:lineRule="auto"/>
      </w:pPr>
      <w:r>
        <w:t xml:space="preserve">The empirical findings are, in the main, negative, and the dissertation treats that negativity as a result instead of a disappointment. The first paper assembled a balanced panel of twenty-six flagship and large NASA science missions across astrophysics, planetary, and Earth science, with thirteen breach events and thirteen censored cases.</w:t>
      </w:r>
    </w:p>
    <w:p>
      <w:pPr>
        <w:pStyle w:val="BodyText"/>
        <w:spacing w:line="480" w:lineRule="auto"/>
        <w:ind w:firstLine="720"/>
      </w:pPr>
      <w:r>
        <w:t xml:space="preserve">In the confirmation record, it modeled four confirmation-era covariates: baseline cost, a count of immature or heritage-gap technologies, a count of international partners, and a directed-versus-competed acquisition indicator. For the portfolio office, none of the four reached conventional significance. Timing matters. Read as a management signal, the covariate that the parametric cost-estimation literature would predict to dominate, the count of immature technologies</w:t>
      </w:r>
      <w:r>
        <w:t xml:space="preserve"> </w:t>
      </w:r>
      <w:hyperlink w:anchor="ref-4">
        <w:r>
          <w:rPr>
            <w:rStyle w:val="Hyperlink"/>
          </w:rPr>
          <w:t xml:space="preserve">[4]</w:t>
        </w:r>
      </w:hyperlink>
      <w:r>
        <w:t xml:space="preserve">, sat at a hazard ratio of essentially one, the cleanest null in the set. Across the mission evidence, the directed-acquisition indicator carried the largest point estimate and, against the directional hypothesis, pointed protective: directed missions showed roughly a third of the per-month breach hazard of competed missions, though with a standard error wide enough to span no effect. The interpretation that survived scrutiny was mechanistic instead of dismissive. Large directed flagships do breach, but they breach through accumulated long-duration replans instead of through a high instantaneous rate, which is precisely the pattern the GAO record describes when it attributes growth to repeated agency-directed rescopes over many years</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In practical terms, the directed-mission overrun is better understood as a duration phenomenon than as an elevated hazard per unit of development time.</w:t>
      </w:r>
    </w:p>
    <w:p>
      <w:pPr>
        <w:pStyle w:val="BodyText"/>
        <w:spacing w:line="480" w:lineRule="auto"/>
        <w:ind w:firstLine="720"/>
      </w:pPr>
      <w:r>
        <w:t xml:space="preserve">The second paper held the survival method constant but shifted the covariate family and the panel, fitting a Cox model on twenty-seven flagship and large strategic missions spanning Hubble through Dragonfly and the Nancy Grace Roman Space Telescope, with nineteen breach events and eight censored. Within the development calendar, here the covariates separated the often-conflated mechanisms of baseline scale, first-of-kind technology content, and instrument-integration complexity.</w:t>
      </w:r>
    </w:p>
    <w:p>
      <w:pPr>
        <w:pStyle w:val="BodyText"/>
        <w:spacing w:line="480" w:lineRule="auto"/>
        <w:ind w:firstLine="720"/>
      </w:pPr>
      <w:r>
        <w:t xml:space="preserve">Baseline scale was inert, its hazard ratio indistinguishable from one. Instrument complexity sat in the hypothesized direction but was statistically null. At the decision point, the one covariate that reached significance did so with a reversed sign: first-of-kind technology content was associated with a lower hazard of crossing the threshold, with a hazard ratio near a quarter and a confidence interval that excluded one. Across the mission evidence, this is a genuine reversal of the heritage-protection intuition</w:t>
      </w:r>
      <w:r>
        <w:t xml:space="preserve"> </w:t>
      </w:r>
      <w:hyperlink w:anchor="ref-16">
        <w:r>
          <w:rPr>
            <w:rStyle w:val="Hyperlink"/>
          </w:rPr>
          <w:t xml:space="preserve">[16]</w:t>
        </w:r>
      </w:hyperlink>
      <w:r>
        <w:t xml:space="preserve">, and it is the most informative single result in the dissertation. Two interpretations consistent with the documented record were advanced. In practical terms, the first is a baseline-setting mechanism: technologically visible flagships are confirmed against generous, heavily reserved baselines precisely since their risk is legible, so the threshold they must cross to register a breach is set high, while heritage missions are confirmed against tight baselines and breach a narrower band when integration surprises arrive. The second is a survivorship mechanism: novel missions develop over longer spans, and the hazard model credits that extended survival, whereas several heritage missions in the panel breached at short durations. Across the mission evidence, the reversal is for that reason not evidence that novelty is cheap; it is evidence that the threshold is measured against baselines that already price novelty in.</w:t>
      </w:r>
    </w:p>
    <w:p>
      <w:pPr>
        <w:pStyle w:val="BodyText"/>
        <w:spacing w:line="480" w:lineRule="auto"/>
        <w:ind w:firstLine="720"/>
      </w:pPr>
      <w:r>
        <w:t xml:space="preserve">At the decision point, read across the two papers, the prospectus hypothesis is not confirmed. At the decision point, the schedule-pressure proposition was not vindicated as a reliable hazard driver, and neither immature-technology counts, baseline scale, instrument multiplicity, international partnership, nor directed acquisition behaved as the cost-growth folklore would predict. Within the development calendar, what emerges instead is a disciplined null with one significant reversal, and a recurring mechanistic signal that flagship breach is governed less by a constant per-month hazard keyed to a few confirmation-era counts than by long-duration replan processes that a flat hazard cannot capture.</w:t>
      </w:r>
    </w:p>
    <w:bookmarkEnd w:id="123"/>
    <w:bookmarkStart w:id="124" w:name="the-contribution-to-knowledge"/>
    <w:p>
      <w:pPr>
        <w:pStyle w:val="Heading2"/>
        <w:spacing w:line="480" w:lineRule="auto"/>
      </w:pPr>
      <w:r>
        <w:t xml:space="preserve">8.3 The contribution to knowledge</w:t>
      </w:r>
    </w:p>
    <w:p>
      <w:pPr>
        <w:pStyle w:val="FirstParagraph"/>
        <w:spacing w:line="480" w:lineRule="auto"/>
      </w:pPr>
      <w:r>
        <w:t xml:space="preserve">The central contribution of the analysis here is not a coefficient but a reframing, and it should be judged on that basis. In the confirmation record, three claims to knowledge follow.</w:t>
      </w:r>
    </w:p>
    <w:p>
      <w:pPr>
        <w:pStyle w:val="BodyText"/>
        <w:spacing w:line="480" w:lineRule="auto"/>
        <w:ind w:firstLine="720"/>
      </w:pPr>
      <w:r>
        <w:t xml:space="preserve">First, the dissertation establishes that cost-baseline breach on flagship missions can be modeled coherently as a censored survival outcome, and it builds the bridge that the prior literature left unbuilt. The retrieved literature had partitioned cleanly into a parametric-cost camp that produces static expected costs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t>
      </w:r>
      <w:r>
        <w:t xml:space="preserve">and a reliability-and-survival camp that owns time-to-event machinery but applies it to hardware failure instead of budgetary events</w:t>
      </w:r>
      <w:r>
        <w:t xml:space="preserve"> </w:t>
      </w:r>
      <w:hyperlink w:anchor="ref-3">
        <w:r>
          <w:rPr>
            <w:rStyle w:val="Hyperlink"/>
          </w:rPr>
          <w:t xml:space="preserve">[3]</w:t>
        </w:r>
      </w:hyperlink>
      <w:r>
        <w:t xml:space="preserve">.</w:t>
      </w:r>
    </w:p>
    <w:p>
      <w:pPr>
        <w:pStyle w:val="BodyText"/>
        <w:spacing w:line="480" w:lineRule="auto"/>
        <w:ind w:firstLine="720"/>
      </w:pPr>
      <w:r>
        <w:t xml:space="preserve">No prior source crossed the two. In practical terms, by importing the censoring-aware hazard apparatus into the cost-growth domain and demonstrating it on a real, fully external NASA panel, the dissertation closes that gap and supplies a template that program offices and oversight bodies can extend. In the program record, the methodological precedent for treating programmatic occurrences as survival events exists in the astronautics literature, where time-to-event modeling has been applied to maneuver occurrence in non-cooperative satellites</w:t>
      </w:r>
      <w:r>
        <w:t xml:space="preserve"> </w:t>
      </w:r>
      <w:hyperlink w:anchor="ref-18">
        <w:r>
          <w:rPr>
            <w:rStyle w:val="Hyperlink"/>
          </w:rPr>
          <w:t xml:space="preserve">[18]</w:t>
        </w:r>
      </w:hyperlink>
      <w:r>
        <w:t xml:space="preserve">; the analysis here is, to the best of the retrieved record, the first to apply that same logic to the programmatic event of a cost-baseline breach.</w:t>
      </w:r>
    </w:p>
    <w:p>
      <w:pPr>
        <w:pStyle w:val="BodyText"/>
        <w:spacing w:line="480" w:lineRule="auto"/>
        <w:ind w:firstLine="720"/>
      </w:pPr>
      <w:r>
        <w:t xml:space="preserve">Second, the dissertation contributes a calibrated negative result with genuine evidential value. It is easy in this field to confirm a cost-growth narrative by selecting a magnitude regression that flatters the prior.</w:t>
      </w:r>
    </w:p>
    <w:p>
      <w:pPr>
        <w:pStyle w:val="BodyText"/>
        <w:spacing w:line="480" w:lineRule="auto"/>
        <w:ind w:firstLine="720"/>
      </w:pPr>
      <w:r>
        <w:t xml:space="preserve">At the decision point, by pre-committing to a falsifiable hazard proposition and reporting the null honestly, the dissertation demonstrates that the most cited confirmation-era drivers, technical novelty foremost among them, fail to carry the timing information they are casually assumed to carry. The unit of analysis is time. For the portfolio office, the reversal on first-of-kind technology content is the sharpest form of this contribution: it indicates that the field’s heritage-protection intuition, when tested against the censoring structure, inverts, since the fifteen percent threshold is not a fixed yardstick but a band whose width is itself set by how much novelty a baseline was permitted to price in. This finding reframes the policy question. Against that baseline, the lever cannot be treated only as how novel a mission is but how its baseline reserve was constructed relative to that novelty, a construct the present covariates only proxy and that the National Academies review of large strategic missions treats as central to portfolio health</w:t>
      </w:r>
      <w:r>
        <w:t xml:space="preserve"> </w:t>
      </w:r>
      <w:hyperlink w:anchor="ref-16">
        <w:r>
          <w:rPr>
            <w:rStyle w:val="Hyperlink"/>
          </w:rPr>
          <w:t xml:space="preserve">[16]</w:t>
        </w:r>
      </w:hyperlink>
      <w:r>
        <w:t xml:space="preserve">.</w:t>
      </w:r>
    </w:p>
    <w:p>
      <w:pPr>
        <w:pStyle w:val="BodyText"/>
        <w:spacing w:line="480" w:lineRule="auto"/>
        <w:ind w:firstLine="720"/>
      </w:pPr>
      <w:r>
        <w:t xml:space="preserve">Third, the dissertation contributes a mechanistic hypothesis that the data point toward even where they cannot yet confirm it: that flagship breach on directed, technologically ambitious missions is a duration phenomenon, the cumulative product of repeated long-horizon replans, instead of an elevated instantaneous rate. This is a statement about mechanism, not magnitude, and it is consistent across both papers and with the documented oversight record</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Against that baseline, it converts a familiar complaint, that flagships overrun, into a structured and testable claim about how the overrun accrues over the development clock, and it specifies the modeling apparatus, time-varying covariates and competing-risks treatments, that a larger panel would need to test it directly.</w:t>
      </w:r>
    </w:p>
    <w:bookmarkEnd w:id="124"/>
    <w:bookmarkStart w:id="125" w:name="limitations-and-the-path-forward"/>
    <w:p>
      <w:pPr>
        <w:pStyle w:val="Heading2"/>
        <w:spacing w:line="480" w:lineRule="auto"/>
      </w:pPr>
      <w:r>
        <w:t xml:space="preserve">8.4 Limitations and the path forward</w:t>
      </w:r>
    </w:p>
    <w:p>
      <w:pPr>
        <w:pStyle w:val="FirstParagraph"/>
        <w:spacing w:line="480" w:lineRule="auto"/>
      </w:pPr>
      <w:r>
        <w:t xml:space="preserve">The conclusions are bounded by the data that could be obtained, and intellectual honesty requires that the bounds be stated plainly. Flagship astrophysics and large strategic missions are few, so the event counts, thirteen in the first panel and nineteen in the second, sit at the lower edge of what a multi-covariate Cox specification can responsibly support.</w:t>
      </w:r>
    </w:p>
    <w:p>
      <w:pPr>
        <w:pStyle w:val="BodyText"/>
        <w:spacing w:line="480" w:lineRule="auto"/>
        <w:ind w:firstLine="720"/>
      </w:pPr>
      <w:r>
        <w:t xml:space="preserve">Standard errors are correspondingly wide, and the directional readings other than the technology reversal should not be relied upon. The record supports the test. In practical terms, the proportional-hazards assumption, central to the interpretation of every hazard ratio, is plausible but only lightly tested at these sample sizes; the Schoenfeld-residual diagnostics and time-varying fallbacks proposed in the prospectus remain partially exercised instead of fully deployed. The breach indicator is coded against a single threshold, and a different rebaseline trigger would reclassify the marginal cases. The immature-technology count is a coarse proxy for a construct the cost-estimation literature measures with far greater granularity</w:t>
      </w:r>
      <w:r>
        <w:t xml:space="preserve"> </w:t>
      </w:r>
      <w:hyperlink w:anchor="ref-4">
        <w:r>
          <w:rPr>
            <w:rStyle w:val="Hyperlink"/>
          </w:rPr>
          <w:t xml:space="preserve">[4]</w:t>
        </w:r>
      </w:hyperlink>
      <w:r>
        <w:t xml:space="preserve">, and the baseline-setting interpretation of the technology reversal, while consistent with the sources, would be tested more directly by modeling reserve depth at confirmation than by the proxies the present covariates allow.</w:t>
      </w:r>
    </w:p>
    <w:p>
      <w:pPr>
        <w:pStyle w:val="BodyText"/>
        <w:spacing w:line="480" w:lineRule="auto"/>
        <w:ind w:firstLine="720"/>
      </w:pPr>
      <w:r>
        <w:t xml:space="preserve">Against that baseline, the path forward is correspondingly clear and follows directly from these limits. For the portfolio office, the panel should be widened across additional GAO assessment cycles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so that the event count can support the time-varying and competing-risks specifications the directed-mission mechanism demands. In practical terms, the crude technology count should be replaced by a graded readiness index.</w:t>
      </w:r>
    </w:p>
    <w:p>
      <w:pPr>
        <w:pStyle w:val="BodyText"/>
        <w:spacing w:line="480" w:lineRule="auto"/>
        <w:ind w:firstLine="720"/>
      </w:pPr>
      <w:r>
        <w:t xml:space="preserve">Reserve depth at confirmation should be modeled explicitly instead of proxied, so that the baseline-setting interpretation of the technology reversal can be confirmed or refuted. And the survival clock should be hardened against rebaselining drift by fixing the event to the first crossing of the original confirmed baseline and treating formal rebaselines as a sensitivity arm, so that an administrative act cannot silently restart the clock. For the portfolio office, none of these extensions overturns the dissertation’s core contribution; each sharpens it.</w:t>
      </w:r>
    </w:p>
    <w:bookmarkEnd w:id="125"/>
    <w:bookmarkStart w:id="126" w:name="closing-statement"/>
    <w:p>
      <w:pPr>
        <w:pStyle w:val="Heading2"/>
        <w:spacing w:line="480" w:lineRule="auto"/>
      </w:pPr>
      <w:r>
        <w:t xml:space="preserve">8.5 Closing statement</w:t>
      </w:r>
    </w:p>
    <w:p>
      <w:pPr>
        <w:pStyle w:val="FirstParagraph"/>
        <w:spacing w:line="480" w:lineRule="auto"/>
      </w:pPr>
      <w:r>
        <w:t xml:space="preserve">The lasting claim of the analysis here is small in its coefficients and large in its framing. Flagship cost growth has been studied for decades as a problem of magnitude, and the field has answered it with parametric point estimates that, however refined, are silent about when risk accrues. At the decision point, by reconceiving the cost-baseline breach as a timed, censored survival event and estimating it on real NASA portfolio data, this work indicates that the timing question is both askable and answerable, that the answers fail to match the field’s standing intuitions, and that the most confident of those intuitions, that technical novelty drives early breach, reverses once the censoring structure and the baseline-setting of reserves are taken seriously. At the decision point, the empirical yield is a disciplined null and one significant reversal, but the methodological yield is a reusable bridge between the parametric-cost and survival-analysis traditions that program offices and oversight bodies can carry forward. The most useful thing a program manager can know about a flagship is not only how far it might overrun, but when its instantaneous risk of overrunning is highest and why; the analysis here argues that the hazard framing is the right instrument for that question and demonstrates, on the public record, both its promise and the larger evidence base it will need to deliver on that promise.</w:t>
      </w:r>
    </w:p>
    <w:bookmarkEnd w:id="126"/>
    <w:bookmarkStart w:id="178" w:name="references"/>
    <w:p>
      <w:pPr>
        <w:pStyle w:val="Heading2"/>
        <w:spacing w:line="480" w:lineRule="auto"/>
      </w:pPr>
      <w:r>
        <w:t xml:space="preserve">References</w:t>
      </w:r>
    </w:p>
    <w:p>
      <w:pPr>
        <w:pStyle w:val="FirstParagraph"/>
        <w:spacing w:line="480" w:lineRule="auto"/>
      </w:pPr>
      <w:bookmarkStart w:id="127" w:name="ref-1"/>
      <w:bookmarkEnd w:id="127"/>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128">
        <w:r>
          <w:rPr>
            <w:rStyle w:val="Hyperlink"/>
          </w:rPr>
          <w:t xml:space="preserve">10.1016/j.actaastro.2019.09.030</w:t>
        </w:r>
      </w:hyperlink>
      <w:r>
        <w:t xml:space="preserve">.</w:t>
      </w:r>
    </w:p>
    <w:p>
      <w:pPr>
        <w:pStyle w:val="BodyText"/>
        <w:spacing w:line="480" w:lineRule="auto"/>
        <w:ind w:firstLine="720"/>
      </w:pPr>
      <w:bookmarkStart w:id="129" w:name="ref-2"/>
      <w:bookmarkEnd w:id="129"/>
      <w:r>
        <w:t xml:space="preserve">2. M. Jafari Nadoushan, M. Ghobadi, and M. Shafaee,</w:t>
      </w:r>
      <w:r>
        <w:t xml:space="preserve"> </w:t>
      </w:r>
      <w:r>
        <w:t xml:space="preserve">“Designing reliable detumbling mission for asteroid mining,”</w:t>
      </w:r>
      <w:r>
        <w:t xml:space="preserve"> </w:t>
      </w:r>
      <w:r>
        <w:rPr>
          <w:i/>
          <w:iCs/>
        </w:rPr>
        <w:t xml:space="preserve">Acta Astronautica</w:t>
      </w:r>
      <w:r>
        <w:t xml:space="preserve">, vol. 174, 2020. doi:</w:t>
      </w:r>
      <w:r>
        <w:t xml:space="preserve"> </w:t>
      </w:r>
      <w:hyperlink r:id="rId130">
        <w:r>
          <w:rPr>
            <w:rStyle w:val="Hyperlink"/>
          </w:rPr>
          <w:t xml:space="preserve">10.1016/j.actaastro.2020.05.025</w:t>
        </w:r>
      </w:hyperlink>
      <w:r>
        <w:t xml:space="preserve">.</w:t>
      </w:r>
    </w:p>
    <w:p>
      <w:pPr>
        <w:pStyle w:val="BodyText"/>
        <w:spacing w:line="480" w:lineRule="auto"/>
        <w:ind w:firstLine="720"/>
      </w:pPr>
      <w:bookmarkStart w:id="131" w:name="ref-3"/>
      <w:bookmarkEnd w:id="131"/>
      <w:r>
        <w:t xml:space="preserve">3. J. Walsh, R. H. Ali, R. Shihabi, and E. Linstead,</w:t>
      </w:r>
      <w:r>
        <w:t xml:space="preserve"> </w:t>
      </w:r>
      <w:r>
        <w:t xml:space="preserve">“Facility usage on the International Space Station,”</w:t>
      </w:r>
      <w:r>
        <w:t xml:space="preserve"> </w:t>
      </w:r>
      <w:r>
        <w:rPr>
          <w:i/>
          <w:iCs/>
        </w:rPr>
        <w:t xml:space="preserve">Acta Astronautica</w:t>
      </w:r>
      <w:r>
        <w:t xml:space="preserve">, vol. 244, 2025. doi:</w:t>
      </w:r>
      <w:r>
        <w:t xml:space="preserve"> </w:t>
      </w:r>
      <w:hyperlink r:id="rId132">
        <w:r>
          <w:rPr>
            <w:rStyle w:val="Hyperlink"/>
          </w:rPr>
          <w:t xml:space="preserve">10.1016/j.actaastro.2025.11.056</w:t>
        </w:r>
      </w:hyperlink>
      <w:r>
        <w:t xml:space="preserve">.</w:t>
      </w:r>
    </w:p>
    <w:p>
      <w:pPr>
        <w:pStyle w:val="BodyText"/>
        <w:spacing w:line="480" w:lineRule="auto"/>
        <w:ind w:firstLine="720"/>
      </w:pPr>
      <w:bookmarkStart w:id="133" w:name="ref-4"/>
      <w:bookmarkEnd w:id="133"/>
      <w:r>
        <w:t xml:space="preserve">4. N. T. Drenthe, B. T. C. Zandbergen, R. Curran, and M. O. Van Pelt,</w:t>
      </w:r>
      <w:r>
        <w:t xml:space="preserve"> </w:t>
      </w:r>
      <w:r>
        <w:t xml:space="preserve">“Cost estimating of commercial smallsat launch vehicles,”</w:t>
      </w:r>
      <w:r>
        <w:t xml:space="preserve"> </w:t>
      </w:r>
      <w:r>
        <w:rPr>
          <w:i/>
          <w:iCs/>
        </w:rPr>
        <w:t xml:space="preserve">Acta Astronautica</w:t>
      </w:r>
      <w:r>
        <w:t xml:space="preserve">, vol. 155, 2019. doi:</w:t>
      </w:r>
      <w:r>
        <w:t xml:space="preserve"> </w:t>
      </w:r>
      <w:hyperlink r:id="rId134">
        <w:r>
          <w:rPr>
            <w:rStyle w:val="Hyperlink"/>
          </w:rPr>
          <w:t xml:space="preserve">10.1016/j.actaastro.2018.11.054</w:t>
        </w:r>
      </w:hyperlink>
      <w:r>
        <w:t xml:space="preserve">.</w:t>
      </w:r>
    </w:p>
    <w:p>
      <w:pPr>
        <w:pStyle w:val="BodyText"/>
        <w:spacing w:line="480" w:lineRule="auto"/>
        <w:ind w:firstLine="720"/>
      </w:pPr>
      <w:bookmarkStart w:id="135" w:name="ref-5"/>
      <w:bookmarkEnd w:id="135"/>
      <w:r>
        <w:t xml:space="preserve">5.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2022. doi:</w:t>
      </w:r>
      <w:r>
        <w:t xml:space="preserve"> </w:t>
      </w:r>
      <w:hyperlink r:id="rId136">
        <w:r>
          <w:rPr>
            <w:rStyle w:val="Hyperlink"/>
          </w:rPr>
          <w:t xml:space="preserve">10.1016/j.actaastro.2022.12.036</w:t>
        </w:r>
      </w:hyperlink>
      <w:r>
        <w:t xml:space="preserve">.</w:t>
      </w:r>
    </w:p>
    <w:p>
      <w:pPr>
        <w:pStyle w:val="BodyText"/>
        <w:spacing w:line="480" w:lineRule="auto"/>
        <w:ind w:firstLine="720"/>
      </w:pPr>
      <w:bookmarkStart w:id="137" w:name="ref-6"/>
      <w:bookmarkEnd w:id="137"/>
      <w:r>
        <w:t xml:space="preserve">6. A. Rao and G. Rondina,</w:t>
      </w:r>
      <w:r>
        <w:t xml:space="preserve"> </w:t>
      </w:r>
      <w:r>
        <w:t xml:space="preserve">“The economics of orbit use: open access, external costs, and runaway debris growth,”</w:t>
      </w:r>
      <w:r>
        <w:t xml:space="preserve"> </w:t>
      </w:r>
      <w:r>
        <w:rPr>
          <w:i/>
          <w:iCs/>
        </w:rPr>
        <w:t xml:space="preserve">Journal of the Association of Environmental and Resource Economists</w:t>
      </w:r>
      <w:r>
        <w:t xml:space="preserve">, 2024. doi:</w:t>
      </w:r>
      <w:r>
        <w:t xml:space="preserve"> </w:t>
      </w:r>
      <w:hyperlink r:id="rId138">
        <w:r>
          <w:rPr>
            <w:rStyle w:val="Hyperlink"/>
          </w:rPr>
          <w:t xml:space="preserve">10.1086/730695</w:t>
        </w:r>
      </w:hyperlink>
      <w:r>
        <w:t xml:space="preserve">.</w:t>
      </w:r>
    </w:p>
    <w:p>
      <w:pPr>
        <w:pStyle w:val="BodyText"/>
        <w:spacing w:line="480" w:lineRule="auto"/>
        <w:ind w:firstLine="720"/>
      </w:pPr>
      <w:bookmarkStart w:id="139" w:name="ref-7"/>
      <w:bookmarkEnd w:id="139"/>
      <w:r>
        <w:t xml:space="preserve">7. U.S. Government Accountability Office,</w:t>
      </w:r>
      <w:r>
        <w:t xml:space="preserve"> </w:t>
      </w:r>
      <w:r>
        <w:t xml:space="preserve">“NASA: Assessment of Major Projects,”</w:t>
      </w:r>
      <w:r>
        <w:t xml:space="preserve"> </w:t>
      </w:r>
      <w:r>
        <w:t xml:space="preserve">GAO-24-106767, 2024. https://www.gao.gov/products/gao-24-106767</w:t>
      </w:r>
    </w:p>
    <w:p>
      <w:pPr>
        <w:pStyle w:val="BodyText"/>
        <w:spacing w:line="480" w:lineRule="auto"/>
        <w:ind w:firstLine="720"/>
      </w:pPr>
      <w:bookmarkStart w:id="140" w:name="ref-8"/>
      <w:bookmarkEnd w:id="140"/>
      <w:r>
        <w:t xml:space="preserve">8. U.S. Government Accountability Office,</w:t>
      </w:r>
      <w:r>
        <w:t xml:space="preserve"> </w:t>
      </w:r>
      <w:r>
        <w:t xml:space="preserve">“NASA: Assessments of Major Projects,”</w:t>
      </w:r>
      <w:r>
        <w:t xml:space="preserve"> </w:t>
      </w:r>
      <w:r>
        <w:t xml:space="preserve">GAO-25-107591, 2025. https://www.gao.gov/assets/gao-25-107591.pdf</w:t>
      </w:r>
    </w:p>
    <w:p>
      <w:pPr>
        <w:pStyle w:val="BodyText"/>
        <w:spacing w:line="480" w:lineRule="auto"/>
        <w:ind w:firstLine="720"/>
      </w:pPr>
      <w:bookmarkStart w:id="141" w:name="ref-9"/>
      <w:bookmarkEnd w:id="141"/>
      <w:r>
        <w:t xml:space="preserve">9. ICESat-2 program documentation and congressional 60-day cost-growth report, NASA, 2014, as summarized in mission histories. https://en.wikipedia.org/wiki/ICESat-2</w:t>
      </w:r>
    </w:p>
    <w:p>
      <w:pPr>
        <w:pStyle w:val="BodyText"/>
        <w:spacing w:line="480" w:lineRule="auto"/>
        <w:ind w:firstLine="720"/>
      </w:pPr>
      <w:bookmarkStart w:id="142" w:name="ref-10"/>
      <w:bookmarkEnd w:id="142"/>
      <w:r>
        <w:t xml:space="preserve">10. NASA Office of Inspector General,</w:t>
      </w:r>
      <w:r>
        <w:t xml:space="preserve"> </w:t>
      </w:r>
      <w:r>
        <w:t xml:space="preserve">“NASA’s Management of the Dragonfly Project,”</w:t>
      </w:r>
      <w:r>
        <w:t xml:space="preserve"> </w:t>
      </w:r>
      <w:r>
        <w:t xml:space="preserve">IG-25-011, 2025. https://oig.nasa.gov/wp-content/uploads/2025/09/final-report-ig-25-011-nasas-managment-of-the-dragonfly-project.pdf</w:t>
      </w:r>
    </w:p>
    <w:p>
      <w:pPr>
        <w:pStyle w:val="BodyText"/>
        <w:spacing w:line="480" w:lineRule="auto"/>
        <w:ind w:firstLine="720"/>
      </w:pPr>
      <w:bookmarkStart w:id="143" w:name="ref-11"/>
      <w:bookmarkEnd w:id="143"/>
      <w:r>
        <w:t xml:space="preserve">11. NASA,</w:t>
      </w:r>
      <w:r>
        <w:t xml:space="preserve"> </w:t>
      </w:r>
      <w:r>
        <w:t xml:space="preserve">“Challenges and Potential Solutions to Develop and Fund NASA Flagship Missions,”</w:t>
      </w:r>
      <w:r>
        <w:t xml:space="preserve"> </w:t>
      </w:r>
      <w:r>
        <w:t xml:space="preserve">NASA Technical Reports Server, submission 20190001461, 2019. https://ntrs.nasa.gov/citations/20190001461</w:t>
      </w:r>
    </w:p>
    <w:p>
      <w:pPr>
        <w:pStyle w:val="BodyText"/>
        <w:spacing w:line="480" w:lineRule="auto"/>
        <w:ind w:firstLine="720"/>
      </w:pPr>
      <w:bookmarkStart w:id="144" w:name="ref-12"/>
      <w:bookmarkEnd w:id="144"/>
      <w:r>
        <w:t xml:space="preserve">12. T. Deaver,</w:t>
      </w:r>
      <w:r>
        <w:t xml:space="preserve"> </w:t>
      </w:r>
      <w:r>
        <w:t xml:space="preserve">“Leveraging Commercial Communication Satellites to Support the Space Situational Awareness Mission Area,”</w:t>
      </w:r>
      <w:r>
        <w:t xml:space="preserve"> </w:t>
      </w:r>
      <w:r>
        <w:t xml:space="preserve">Proc. Advanced Maui Optical and Space Surveillance Technologies (AMOS) Conference, 2008.</w:t>
      </w:r>
    </w:p>
    <w:p>
      <w:pPr>
        <w:pStyle w:val="BodyText"/>
        <w:spacing w:line="480" w:lineRule="auto"/>
        <w:ind w:firstLine="720"/>
      </w:pPr>
      <w:bookmarkStart w:id="145" w:name="ref-13"/>
      <w:bookmarkEnd w:id="145"/>
      <w:r>
        <w:t xml:space="preserve">13. Architectural Socio-Technological Transformative Change of Space-Use Norms (Space Economy Papers corpus, source SD03), Space Economy Papers brain, retrieved 2026.</w:t>
      </w:r>
    </w:p>
    <w:p>
      <w:pPr>
        <w:pStyle w:val="BodyText"/>
        <w:spacing w:line="480" w:lineRule="auto"/>
        <w:ind w:firstLine="720"/>
      </w:pPr>
      <w:bookmarkStart w:id="146" w:name="ref-14"/>
      <w:bookmarkEnd w:id="146"/>
      <w:r>
        <w:t xml:space="preserve">14. OCEA, Forecasting the Space Economy (Space Economy Papers corpus, source SD08), Space Economy Papers brain, retrieved 2026.</w:t>
      </w:r>
    </w:p>
    <w:p>
      <w:pPr>
        <w:pStyle w:val="BodyText"/>
        <w:spacing w:line="480" w:lineRule="auto"/>
        <w:ind w:firstLine="720"/>
      </w:pPr>
      <w:bookmarkStart w:id="147" w:name="ref-15"/>
      <w:bookmarkEnd w:id="147"/>
      <w:r>
        <w:t xml:space="preserve">15. A. Herz,</w:t>
      </w:r>
      <w:r>
        <w:t xml:space="preserve"> </w:t>
      </w:r>
      <w:r>
        <w:t xml:space="preserve">“SSA Sensor Tasking Approach for Improved Orbit Determination Accuracies and More Efficient Use of Ground Assets,”</w:t>
      </w:r>
      <w:r>
        <w:t xml:space="preserve"> </w:t>
      </w:r>
      <w:r>
        <w:t xml:space="preserve">Proc. Advanced Maui Optical and Space Surveillance Technologies (AMOS) Conference, 2013.</w:t>
      </w:r>
    </w:p>
    <w:p>
      <w:pPr>
        <w:pStyle w:val="BodyText"/>
        <w:spacing w:line="480" w:lineRule="auto"/>
        <w:ind w:firstLine="720"/>
      </w:pPr>
      <w:bookmarkStart w:id="148" w:name="ref-16"/>
      <w:bookmarkEnd w:id="148"/>
      <w:r>
        <w:t xml:space="preserve">16. National Academies of Sciences, Engineering, and Medicine, Powering Science: NASA’s Large Strategic Science Missions, NAP 24857, Washington, DC: The National Academies Press, 2017. Retrieved from nationalacademies.org/read/24857.</w:t>
      </w:r>
    </w:p>
    <w:p>
      <w:pPr>
        <w:pStyle w:val="BodyText"/>
        <w:spacing w:line="480" w:lineRule="auto"/>
        <w:ind w:firstLine="720"/>
      </w:pPr>
      <w:bookmarkStart w:id="149" w:name="ref-17"/>
      <w:bookmarkEnd w:id="149"/>
      <w:r>
        <w:t xml:space="preserve">17. The Planetary Society, mission cost pages for Mars Science Laboratory, Mars 2020 Perseverance, and the James Webb Space Telescope, planetary.org, retrieved 2026.</w:t>
      </w:r>
    </w:p>
    <w:p>
      <w:pPr>
        <w:pStyle w:val="BodyText"/>
        <w:spacing w:line="480" w:lineRule="auto"/>
        <w:ind w:firstLine="720"/>
      </w:pPr>
      <w:bookmarkStart w:id="150" w:name="ref-18"/>
      <w:bookmarkEnd w:id="150"/>
      <w:r>
        <w:t xml:space="preserve">18. S Shivshankar, Indian Institute of Science; Debasish Ghose, Indian Institute of Science. Time-to-Event Data (Survival Analysis) based Modelling of Maneuver Occurrence of Non-Cooperative Satellites (2023). doi:</w:t>
      </w:r>
      <w:r>
        <w:t xml:space="preserve"> </w:t>
      </w:r>
      <w:hyperlink r:id="rId151">
        <w:r>
          <w:rPr>
            <w:rStyle w:val="Hyperlink"/>
          </w:rPr>
          <w:t xml:space="preserve">10.64861/LPFK9568</w:t>
        </w:r>
      </w:hyperlink>
    </w:p>
    <w:p>
      <w:pPr>
        <w:pStyle w:val="BodyText"/>
        <w:spacing w:line="480" w:lineRule="auto"/>
        <w:ind w:firstLine="720"/>
      </w:pPr>
      <w:bookmarkStart w:id="152" w:name="ref-19"/>
      <w:bookmarkEnd w:id="152"/>
      <w:r>
        <w:t xml:space="preserve">19. Dr. Darren McKnight (Integrity Applications Inc.). Pay Me Now or Pay Me More Later: Start the Development of Active Orbital Debris Removal Now (2010).</w:t>
      </w:r>
    </w:p>
    <w:p>
      <w:pPr>
        <w:pStyle w:val="BodyText"/>
        <w:spacing w:line="480" w:lineRule="auto"/>
        <w:ind w:firstLine="720"/>
      </w:pPr>
      <w:bookmarkStart w:id="153" w:name="ref-20"/>
      <w:bookmarkEnd w:id="153"/>
      <w:r>
        <w:t xml:space="preserve">20. Malgorzata Polkowska, Lomza Academy; Arkadiusz Chimicz, General Command, Polish Armed Forces. Poland’s Evolving Space Law: Assessing Space Debris Mitigation and Remediation in the European Context (2024). doi:</w:t>
      </w:r>
      <w:r>
        <w:t xml:space="preserve"> </w:t>
      </w:r>
      <w:hyperlink r:id="rId154">
        <w:r>
          <w:rPr>
            <w:rStyle w:val="Hyperlink"/>
          </w:rPr>
          <w:t xml:space="preserve">10.64861/LFFV2455</w:t>
        </w:r>
      </w:hyperlink>
    </w:p>
    <w:p>
      <w:pPr>
        <w:pStyle w:val="BodyText"/>
        <w:spacing w:line="480" w:lineRule="auto"/>
        <w:ind w:firstLine="720"/>
      </w:pPr>
      <w:bookmarkStart w:id="155" w:name="ref-21"/>
      <w:bookmarkEnd w:id="155"/>
      <w:r>
        <w:t xml:space="preserve">21. Sarah Caddy, The University of Melbourne; Stephen Catsamas, The University of Melbourne; Michele Trenti, The University of Melbourne; Miguel Ortiz del Castillo, The University of Melbourne; Airlie Chapman, The University of Melbourne; Robert Mearns, The University of Melbourne. Remotely Monitoring the Activity of Satellites from Thermal Infrared Imaging (2025). doi:</w:t>
      </w:r>
      <w:r>
        <w:t xml:space="preserve"> </w:t>
      </w:r>
      <w:hyperlink r:id="rId156">
        <w:r>
          <w:rPr>
            <w:rStyle w:val="Hyperlink"/>
          </w:rPr>
          <w:t xml:space="preserve">10.64861/VAVV5658</w:t>
        </w:r>
      </w:hyperlink>
    </w:p>
    <w:p>
      <w:pPr>
        <w:pStyle w:val="BodyText"/>
        <w:spacing w:line="480" w:lineRule="auto"/>
        <w:ind w:firstLine="720"/>
      </w:pPr>
      <w:bookmarkStart w:id="157" w:name="ref-22"/>
      <w:bookmarkEnd w:id="157"/>
      <w:r>
        <w:t xml:space="preserve">22. Benjamin L. Reifler, The University of Texas at Austin; Brandon A. Jones, The University of Texas at Austin. Efficient Cislunar Multi-Target Tracking with Adaptive Multi-Fidelity Propagation (2024). doi:</w:t>
      </w:r>
      <w:r>
        <w:t xml:space="preserve"> </w:t>
      </w:r>
      <w:hyperlink r:id="rId158">
        <w:r>
          <w:rPr>
            <w:rStyle w:val="Hyperlink"/>
          </w:rPr>
          <w:t xml:space="preserve">10.64861/BTXT4965</w:t>
        </w:r>
      </w:hyperlink>
    </w:p>
    <w:p>
      <w:pPr>
        <w:pStyle w:val="BodyText"/>
        <w:spacing w:line="480" w:lineRule="auto"/>
        <w:ind w:firstLine="720"/>
      </w:pPr>
      <w:bookmarkStart w:id="159" w:name="ref-23"/>
      <w:bookmarkEnd w:id="159"/>
      <w:r>
        <w:t xml:space="preserve">23. Ben Greene, Space Environment Research Centre. Optical Techniques for Space Environment Management (2016).</w:t>
      </w:r>
    </w:p>
    <w:p>
      <w:pPr>
        <w:pStyle w:val="BodyText"/>
        <w:spacing w:line="480" w:lineRule="auto"/>
        <w:ind w:firstLine="720"/>
      </w:pPr>
      <w:bookmarkStart w:id="160" w:name="ref-24"/>
      <w:bookmarkEnd w:id="160"/>
      <w:r>
        <w:t xml:space="preserve">24. James Blake, University of Warwick; Don Pollacco, University of Warwick; Robert Airey, University of Warwick; Paul Chote, University of Warwick; Benjamin Cooke, University of Warwick; James McCormac, University of Warwick; Billy Shrive, University of Warwick; Richard West, University of Warwick; Joshua Davis, Defence Science and Technology Laboratory; William Feline, Defence Science Technology Laboratory (Dstl); Emma Kerr, Defence Science Technology Laboratory (Dstl); Grant Privett, Dstl; Yuki Akiyama, JAXA; Hideaki Hinagawa, JAXA; Shinichi Nakamura, JAXA; Toshifumi Yanagisawa, Japan Aerospace Exploration Agency; Rebecca McFadden, Deimos Space UK; Stuart Eves, SJE Space Ltd. Exploring SDA Sensor Architectures for the Surveillance of Geosynchronous Spacecraft (2023). doi:</w:t>
      </w:r>
      <w:r>
        <w:t xml:space="preserve"> </w:t>
      </w:r>
      <w:hyperlink r:id="rId161">
        <w:r>
          <w:rPr>
            <w:rStyle w:val="Hyperlink"/>
          </w:rPr>
          <w:t xml:space="preserve">10.64861/YFLK6343</w:t>
        </w:r>
      </w:hyperlink>
    </w:p>
    <w:p>
      <w:pPr>
        <w:pStyle w:val="BodyText"/>
        <w:spacing w:line="480" w:lineRule="auto"/>
        <w:ind w:firstLine="720"/>
      </w:pPr>
      <w:bookmarkStart w:id="162" w:name="ref-25"/>
      <w:bookmarkEnd w:id="162"/>
      <w:r>
        <w:t xml:space="preserve">25. Aleksander Lidtke (University of Southampton), Hugh Lewis (University of Southampton), Roberto Armellin (University of Southampton). A Deterministic Approach to Active Debris Removal Target Selection (2014).</w:t>
      </w:r>
    </w:p>
    <w:p>
      <w:pPr>
        <w:pStyle w:val="BodyText"/>
        <w:spacing w:line="480" w:lineRule="auto"/>
        <w:ind w:firstLine="720"/>
      </w:pPr>
      <w:bookmarkStart w:id="163" w:name="ref-26"/>
      <w:bookmarkEnd w:id="163"/>
      <w:r>
        <w:t xml:space="preserve">26. Justin Walsh; Rao Hamza Ali; Ryan Shihabi; Erik Linstead. Facility usage on the International Space Station (2025). doi:</w:t>
      </w:r>
      <w:r>
        <w:t xml:space="preserve"> </w:t>
      </w:r>
      <w:hyperlink r:id="rId132">
        <w:r>
          <w:rPr>
            <w:rStyle w:val="Hyperlink"/>
          </w:rPr>
          <w:t xml:space="preserve">10.1016/j.actaastro.2025.11.056</w:t>
        </w:r>
      </w:hyperlink>
    </w:p>
    <w:p>
      <w:pPr>
        <w:pStyle w:val="BodyText"/>
        <w:spacing w:line="480" w:lineRule="auto"/>
        <w:ind w:firstLine="720"/>
      </w:pPr>
      <w:bookmarkStart w:id="164" w:name="ref-27"/>
      <w:bookmarkEnd w:id="164"/>
      <w:r>
        <w:t xml:space="preserve">27.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65">
        <w:r>
          <w:rPr>
            <w:rStyle w:val="Hyperlink"/>
          </w:rPr>
          <w:t xml:space="preserve">10.1016/j.actaastro.2018.04.019</w:t>
        </w:r>
      </w:hyperlink>
    </w:p>
    <w:p>
      <w:pPr>
        <w:pStyle w:val="BodyText"/>
        <w:spacing w:line="480" w:lineRule="auto"/>
        <w:ind w:firstLine="720"/>
      </w:pPr>
      <w:bookmarkStart w:id="166" w:name="ref-28"/>
      <w:bookmarkEnd w:id="166"/>
      <w:r>
        <w:t xml:space="preserve">28.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67">
        <w:r>
          <w:rPr>
            <w:rStyle w:val="Hyperlink"/>
          </w:rPr>
          <w:t xml:space="preserve">10.1016/j.actaastro.2020.01.030</w:t>
        </w:r>
      </w:hyperlink>
    </w:p>
    <w:p>
      <w:pPr>
        <w:pStyle w:val="BodyText"/>
        <w:spacing w:line="480" w:lineRule="auto"/>
        <w:ind w:firstLine="720"/>
      </w:pPr>
      <w:bookmarkStart w:id="168" w:name="ref-29"/>
      <w:bookmarkEnd w:id="168"/>
      <w:r>
        <w:t xml:space="preserve">29.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69">
        <w:r>
          <w:rPr>
            <w:rStyle w:val="Hyperlink"/>
          </w:rPr>
          <w:t xml:space="preserve">10.1016/j.actaastro.2025.04.038</w:t>
        </w:r>
      </w:hyperlink>
    </w:p>
    <w:p>
      <w:pPr>
        <w:pStyle w:val="BodyText"/>
        <w:spacing w:line="480" w:lineRule="auto"/>
        <w:ind w:firstLine="720"/>
      </w:pPr>
      <w:bookmarkStart w:id="170" w:name="ref-30"/>
      <w:bookmarkEnd w:id="170"/>
      <w:r>
        <w:t xml:space="preserve">30.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71">
        <w:r>
          <w:rPr>
            <w:rStyle w:val="Hyperlink"/>
          </w:rPr>
          <w:t xml:space="preserve">10.1016/j.actaastro.2022.05.040</w:t>
        </w:r>
      </w:hyperlink>
    </w:p>
    <w:p>
      <w:pPr>
        <w:pStyle w:val="BodyText"/>
        <w:spacing w:line="480" w:lineRule="auto"/>
        <w:ind w:firstLine="720"/>
      </w:pPr>
      <w:bookmarkStart w:id="172" w:name="ref-31"/>
      <w:bookmarkEnd w:id="172"/>
      <w:r>
        <w:t xml:space="preserve">31. Athul Pradeepkumar Girija. A Flagship-class Uranus Orbiter and Probe mission concept using aerocapture (2022). doi:</w:t>
      </w:r>
      <w:r>
        <w:t xml:space="preserve"> </w:t>
      </w:r>
      <w:hyperlink r:id="rId173">
        <w:r>
          <w:rPr>
            <w:rStyle w:val="Hyperlink"/>
          </w:rPr>
          <w:t xml:space="preserve">10.1016/j.actaastro.2022.10.005</w:t>
        </w:r>
      </w:hyperlink>
    </w:p>
    <w:p>
      <w:pPr>
        <w:pStyle w:val="BodyText"/>
        <w:spacing w:line="480" w:lineRule="auto"/>
        <w:ind w:firstLine="720"/>
      </w:pPr>
      <w:bookmarkStart w:id="174" w:name="ref-32"/>
      <w:bookmarkEnd w:id="174"/>
      <w:r>
        <w:t xml:space="preserve">32. Kenneth M. Houston. Fine-tuning a narrowband SETI signal processing pipeline (2025). doi:</w:t>
      </w:r>
      <w:r>
        <w:t xml:space="preserve"> </w:t>
      </w:r>
      <w:hyperlink r:id="rId175">
        <w:r>
          <w:rPr>
            <w:rStyle w:val="Hyperlink"/>
          </w:rPr>
          <w:t xml:space="preserve">10.1016/j.actaastro.2025.08.024</w:t>
        </w:r>
      </w:hyperlink>
    </w:p>
    <w:p>
      <w:pPr>
        <w:pStyle w:val="BodyText"/>
        <w:spacing w:line="480" w:lineRule="auto"/>
        <w:ind w:firstLine="720"/>
      </w:pPr>
      <w:bookmarkStart w:id="176" w:name="ref-33"/>
      <w:bookmarkEnd w:id="176"/>
      <w:r>
        <w:t xml:space="preserve">33. Elisa Simó Soler; Eloy Peña‐Asensio. From impact refugees to deterritorialized states: Foresighting extreme legal-policy cases in asteroid impact scenarios (2022). doi:</w:t>
      </w:r>
      <w:r>
        <w:t xml:space="preserve"> </w:t>
      </w:r>
      <w:hyperlink r:id="rId177">
        <w:r>
          <w:rPr>
            <w:rStyle w:val="Hyperlink"/>
          </w:rPr>
          <w:t xml:space="preserve">10.1016/j.actaastro.2021.12.015</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1b9444bbd61dc3fab8089817995a2ebede7c695"/>
    <w:p>
      <w:pPr>
        <w:pStyle w:val="Heading2"/>
        <w:spacing w:line="480" w:lineRule="auto"/>
      </w:pPr>
      <w:r>
        <w:t xml:space="preserve">A.1 Cost-Growth Hazard in Flagship Astrophysics and Earth-Science Missions: A Cox Proportional-Hazards Analysis of the NASA Major-Project Portfolio</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baseline_cost_b</m:t>
              </m:r>
              <m:r>
                <m:rPr>
                  <m:sty m:val="p"/>
                </m:rPr>
                <m:t>+</m:t>
              </m:r>
              <m:sSub>
                <m:e>
                  <m:r>
                    <m:t>β</m:t>
                  </m:r>
                </m:e>
                <m:sub>
                  <m:r>
                    <m:t>2</m:t>
                  </m:r>
                </m:sub>
              </m:sSub>
              <m:r>
                <m:t> </m:t>
              </m:r>
              <m:r>
                <m:rPr>
                  <m:nor/>
                  <m:sty m:val="p"/>
                </m:rPr>
                <m:t>immature_tech</m:t>
              </m:r>
              <m:r>
                <m:rPr>
                  <m:sty m:val="p"/>
                </m:rPr>
                <m:t>+</m:t>
              </m:r>
              <m:sSub>
                <m:e>
                  <m:r>
                    <m:t>β</m:t>
                  </m:r>
                </m:e>
                <m:sub>
                  <m:r>
                    <m:t>3</m:t>
                  </m:r>
                </m:sub>
              </m:sSub>
              <m:r>
                <m:t> </m:t>
              </m:r>
              <m:r>
                <m:rPr>
                  <m:nor/>
                  <m:sty m:val="p"/>
                </m:rPr>
                <m:t>intl_partners</m:t>
              </m:r>
              <m:r>
                <m:rPr>
                  <m:sty m:val="p"/>
                </m:rPr>
                <m:t>+</m:t>
              </m:r>
              <m:sSub>
                <m:e>
                  <m:r>
                    <m:t>β</m:t>
                  </m:r>
                </m:e>
                <m:sub>
                  <m:r>
                    <m:t>4</m:t>
                  </m:r>
                </m:sub>
              </m:sSub>
              <m:r>
                <m:t> </m:t>
              </m:r>
              <m:r>
                <m:rPr>
                  <m:nor/>
                  <m:sty m:val="p"/>
                </m:rPr>
                <m:t>directed_flag</m:t>
              </m:r>
            </m:e>
          </m:d>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-0.126</w:t>
            </w:r>
          </w:p>
        </w:tc>
        <w:tc>
          <w:tcPr>
            <w:tcW w:w="0" w:type="auto"/>
          </w:tcPr>
          <w:p>
            <w:pPr>
              <w:spacing w:line="240" w:lineRule="auto" w:before="0" w:after="0"/>
              <w:pStyle w:val="Compact"/>
            </w:pPr>
            <w:r>
              <w:rPr>
                <w:sz w:val="20"/>
                <w:szCs w:val="20"/>
              </w:rPr>
              <w:t xml:space="preserve">0.2738</w:t>
            </w:r>
          </w:p>
        </w:tc>
        <w:tc>
          <w:tcPr>
            <w:tcW w:w="0" w:type="auto"/>
          </w:tcPr>
          <w:p>
            <w:pPr>
              <w:spacing w:line="240" w:lineRule="auto" w:before="0" w:after="0"/>
              <w:pStyle w:val="Compact"/>
            </w:pPr>
            <w:r>
              <w:rPr>
                <w:sz w:val="20"/>
                <w:szCs w:val="20"/>
              </w:rPr>
              <w:t xml:space="preserve">-0.4603</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[-0.6626, 0.4106]</w:t>
            </w:r>
          </w:p>
        </w:tc>
        <w:tc>
          <w:tcPr>
            <w:tcW w:w="0" w:type="auto"/>
          </w:tcPr>
          <w:p>
            <w:pPr>
              <w:spacing w:line="240" w:lineRule="auto" w:before="0" w:after="0"/>
              <w:pStyle w:val="Compact"/>
            </w:pPr>
            <w:r>
              <w:rPr>
                <w:sz w:val="20"/>
                <w:szCs w:val="20"/>
              </w:rPr>
              <w:t xml:space="preserve">0.8816</w:t>
            </w:r>
          </w:p>
        </w:tc>
      </w:tr>
      <w:tr>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0.382</w:t>
            </w:r>
          </w:p>
        </w:tc>
        <w:tc>
          <w:tcPr>
            <w:tcW w:w="0" w:type="auto"/>
          </w:tcPr>
          <w:p>
            <w:pPr>
              <w:spacing w:line="240" w:lineRule="auto" w:before="0" w:after="0"/>
              <w:pStyle w:val="Compact"/>
            </w:pPr>
            <w:r>
              <w:rPr>
                <w:sz w:val="20"/>
                <w:szCs w:val="20"/>
              </w:rPr>
              <w:t xml:space="preserve">0.0883</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[-0.715, 0.7824]</w:t>
            </w:r>
          </w:p>
        </w:tc>
        <w:tc>
          <w:tcPr>
            <w:tcW w:w="0" w:type="auto"/>
          </w:tcPr>
          <w:p>
            <w:pPr>
              <w:spacing w:line="240" w:lineRule="auto" w:before="0" w:after="0"/>
              <w:pStyle w:val="Compact"/>
            </w:pPr>
            <w:r>
              <w:rPr>
                <w:sz w:val="20"/>
                <w:szCs w:val="20"/>
              </w:rPr>
              <w:t xml:space="preserve">1.0343</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-0.3068</w:t>
            </w:r>
          </w:p>
        </w:tc>
        <w:tc>
          <w:tcPr>
            <w:tcW w:w="0" w:type="auto"/>
          </w:tcPr>
          <w:p>
            <w:pPr>
              <w:spacing w:line="240" w:lineRule="auto" w:before="0" w:after="0"/>
              <w:pStyle w:val="Compact"/>
            </w:pPr>
            <w:r>
              <w:rPr>
                <w:sz w:val="20"/>
                <w:szCs w:val="20"/>
              </w:rPr>
              <w:t xml:space="preserve">0.4983</w:t>
            </w:r>
          </w:p>
        </w:tc>
        <w:tc>
          <w:tcPr>
            <w:tcW w:w="0" w:type="auto"/>
          </w:tcPr>
          <w:p>
            <w:pPr>
              <w:spacing w:line="240" w:lineRule="auto" w:before="0" w:after="0"/>
              <w:pStyle w:val="Compact"/>
            </w:pPr>
            <w:r>
              <w:rPr>
                <w:sz w:val="20"/>
                <w:szCs w:val="20"/>
              </w:rPr>
              <w:t xml:space="preserve">-0.6158</w:t>
            </w:r>
          </w:p>
        </w:tc>
        <w:tc>
          <w:tcPr>
            <w:tcW w:w="0" w:type="auto"/>
          </w:tcPr>
          <w:p>
            <w:pPr>
              <w:spacing w:line="240" w:lineRule="auto" w:before="0" w:after="0"/>
              <w:pStyle w:val="Compact"/>
            </w:pPr>
            <w:r>
              <w:rPr>
                <w:sz w:val="20"/>
                <w:szCs w:val="20"/>
              </w:rPr>
              <w:t xml:space="preserve">0.538</w:t>
            </w:r>
          </w:p>
        </w:tc>
        <w:tc>
          <w:tcPr>
            <w:tcW w:w="0" w:type="auto"/>
          </w:tcPr>
          <w:p>
            <w:pPr>
              <w:spacing w:line="240" w:lineRule="auto" w:before="0" w:after="0"/>
              <w:pStyle w:val="Compact"/>
            </w:pPr>
            <w:r>
              <w:rPr>
                <w:sz w:val="20"/>
                <w:szCs w:val="20"/>
              </w:rPr>
              <w:t xml:space="preserve">[-1.2835, 0.6698]</w:t>
            </w:r>
          </w:p>
        </w:tc>
        <w:tc>
          <w:tcPr>
            <w:tcW w:w="0" w:type="auto"/>
          </w:tcPr>
          <w:p>
            <w:pPr>
              <w:spacing w:line="240" w:lineRule="auto" w:before="0" w:after="0"/>
              <w:pStyle w:val="Compact"/>
            </w:pPr>
            <w:r>
              <w:rPr>
                <w:sz w:val="20"/>
                <w:szCs w:val="20"/>
              </w:rPr>
              <w:t xml:space="preserve">0.7358</w:t>
            </w:r>
          </w:p>
        </w:tc>
      </w:tr>
      <w:tr>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-1.0173</w:t>
            </w:r>
          </w:p>
        </w:tc>
        <w:tc>
          <w:tcPr>
            <w:tcW w:w="0" w:type="auto"/>
          </w:tcPr>
          <w:p>
            <w:pPr>
              <w:spacing w:line="240" w:lineRule="auto" w:before="0" w:after="0"/>
              <w:pStyle w:val="Compact"/>
            </w:pPr>
            <w:r>
              <w:rPr>
                <w:sz w:val="20"/>
                <w:szCs w:val="20"/>
              </w:rPr>
              <w:t xml:space="preserve">0.9176</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0.2676</w:t>
            </w:r>
          </w:p>
        </w:tc>
        <w:tc>
          <w:tcPr>
            <w:tcW w:w="0" w:type="auto"/>
          </w:tcPr>
          <w:p>
            <w:pPr>
              <w:spacing w:line="240" w:lineRule="auto" w:before="0" w:after="0"/>
              <w:pStyle w:val="Compact"/>
            </w:pPr>
            <w:r>
              <w:rPr>
                <w:sz w:val="20"/>
                <w:szCs w:val="20"/>
              </w:rPr>
              <w:t xml:space="preserve">[-2.8158, 0.7812]</w:t>
            </w:r>
          </w:p>
        </w:tc>
        <w:tc>
          <w:tcPr>
            <w:tcW w:w="0" w:type="auto"/>
          </w:tcPr>
          <w:p>
            <w:pPr>
              <w:spacing w:line="240" w:lineRule="auto" w:before="0" w:after="0"/>
              <w:pStyle w:val="Compact"/>
            </w:pPr>
            <w:r>
              <w:rPr>
                <w:sz w:val="20"/>
                <w:szCs w:val="20"/>
              </w:rPr>
              <w:t xml:space="preserve">0.3616</w:t>
            </w:r>
          </w:p>
        </w:tc>
      </w:tr>
    </w:tbl>
    <w:p>
      <w:pPr>
        <w:pStyle w:val="BodyText"/>
        <w:spacing w:line="480" w:lineRule="auto"/>
        <w:ind w:firstLine="720"/>
      </w:pPr>
      <w:r>
        <w:t xml:space="preserve">Fit: N = 26 events = 13</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duration versus technical immaturity for NASA flagship and large science missions, with cost-breach events distinguished from censored (within-threshold) missions." title="" id="182" name="Picture"/>
            <a:graphic>
              <a:graphicData uri="http://schemas.openxmlformats.org/drawingml/2006/picture">
                <pic:pic>
                  <pic:nvPicPr>
                    <pic:cNvPr descr="D:/Claude_Code/brain/collegium/candidates/dissertations/JPL_ASTRO_EARTH_01/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duration versus technical immaturity for NASA flagship and large science missions, with cost-breach events distinguished from censored (within-threshold) missions.</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cost_breach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GAO/NASA 2009 rebaseline 9.66B life-cycle (Mar 2021 LRD), 8.8B dev spent, launched 25 Dec 2021; en.wikipedia.org/wiki/James_Webb_Space_Telescope citing GAO and NASA</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confirmation ~1.6B, final 2.5B (84% overrun per GAO), planned 2009 launch, launched 26 Nov 2011; en.wikipedia.org/wiki/Mars_Science_Laboratory</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0.185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cost grew 185M to 330M (GAO 2006 review), multi-year slide to first light May 2010; en.wikipedia.org/wiki/Stratospheric_Observatory_for_Infrared_Astronomy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0.675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cost 675M to 830M after SEIS leak, planned Mar 2016, launched 5 May 2018 (26-mo slip); en.wikipedia.org/wiki/InSight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0.731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reported &gt;15% overrun to Congress (2014 60-day report), planned 2015, launched 15 Sep 2018; en.wikipedia.org/wiki/ICESat-2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baseline 985M, planned Jul/Aug 2022, launched 13 Oct 2023 (software-driven slip, cost growth per JPL/IRB); en.wikipedia.org/wiki/Psyche_(spacecraft)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agency baseline commitment raised 4.25B to 5.0B (cost growth disclosed 2022), launched 14 Oct 2024; spacepolicyonline.com Europa Clipper cost growth; planetary.org/charts/europa-clipper-cost-chart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Phase C confirmation raised estimate from ~600M to 1.2B, launch slipped 2026 to 2027/2028; spacenews.com NEO Surveyor launch delayed; spacepolicyonline.com asteroid-hunting telescope clears review</w:t>
            </w:r>
          </w:p>
        </w:tc>
      </w:tr>
      <w:tr>
        <w:tc>
          <w:tcPr>
            <w:tcW w:w="0" w:type="auto"/>
          </w:tcPr>
          <w:p>
            <w:pPr>
              <w:spacing w:line="240" w:lineRule="auto" w:before="0" w:after="0"/>
              <w:pStyle w:val="Compact"/>
            </w:pPr>
            <w:r>
              <w:rPr>
                <w:sz w:val="20"/>
                <w:szCs w:val="20"/>
              </w:rPr>
              <w:t xml:space="preserve">NASA-ESA Mars Sample Return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Independent Review Board 2023: NASA share grew from ~4B baseline to 8-11B, launch no earlier than 2030 (2-yr slip); spacenews.com MSR budget unrealistic; science.org MSR new price tag</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confirmation Feb 2020 expected dev cost 3.2B, cost cap 3.934B; within life-cycle estimate per GAO Mar 2024 (reserves cover growth); LRD May 2027; en.wikipedia.org/wiki/Nancy_Grace_Roman_Space_Telescope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~800M (excl launch), planned 2016, launched on schedule 8 Sep 2016; en.wikipedia.org/wiki/OSIRIS-REx</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0.981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cost ~981M, launched at open of window 16 Oct 2021 on schedule; GAO 2024 noted 8M reduction; en.wikipedia.org/wiki/Lucy_(spacecraft); spacepolicyonline.com GAO 2019 assessment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dev 366.8M, total 582.5M (came in ~100M under estimate), launched on plan 18 Nov 2013; en.wikipedia.org/wiki/MAVEN</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~1.5B, launched 12 Aug 2018; APL/NASA reported on-schedule delivery; en.wikipedia.org/wiki/Parker_Solar_Probe</w:t>
            </w:r>
          </w:p>
        </w:tc>
      </w:tr>
      <w:tr>
        <w:tc>
          <w:tcPr>
            <w:tcW w:w="0" w:type="auto"/>
          </w:tcPr>
          <w:p>
            <w:pPr>
              <w:spacing w:line="240" w:lineRule="auto" w:before="0" w:after="0"/>
              <w:pStyle w:val="Compact"/>
            </w:pPr>
            <w:r>
              <w:rPr>
                <w:sz w:val="20"/>
                <w:szCs w:val="20"/>
              </w:rPr>
              <w:t xml:space="preserve">Fermi Gamma-ray Space Telescope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NASA/GLAST launched on retargeted date 11 Jun 2008; en.wikipedia.org/wiki/Fermi_Gamma-ray_Space_Telescope; NASA NTRS flagship-mission funding presentation 20190001461</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200M (+87M launch), planned Aug 2017, launched 18 Apr 2018 (~8-mo slip, within Explorer cost); en.wikipedia.org/wiki/Transiting_Exoplanet_Survey_Satellite</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NASA-GFZ Earth science mission, ~430M, launched on schedule 22 May 2018; en.wikipedia.org/wiki/GRACE-FO; jpl.nasa.gov/missions/grace-fo</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NASA-CNES ~1.1B joint investment, launched 16 Dec 2022; swot.jpl.nasa.gov; spacenews/NASA SWOT 1.1B; en.wikipedia.org/wiki/Surface_Water_and_Ocean_Topography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share ~1.118B of ~1.5B total, multiple slips incl reflector thermal rework, launched 30 Jul 2025; en.wikipedia.org/wiki/NISAR_(satellite); GAO-24-106767</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MIDEX 488M total design/build/launch/ops, launched 11/12 Mar 2025; en.wikipedia.org/wiki/SPHEREx; NASA SPHEREx Press Kit Feb 2025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Frontiers PI cost cap 850M; life-cycle grew to 3.35B, launch slipped Apr 2026 to Jul 2028 (4 directed replans); spacenews.com NASA confirms Dragonfly doubled costs; NASA OIG IG-25-011</w:t>
            </w:r>
          </w:p>
        </w:tc>
      </w:tr>
      <w:tr>
        <w:tc>
          <w:tcPr>
            <w:tcW w:w="0" w:type="auto"/>
          </w:tcPr>
          <w:p>
            <w:pPr>
              <w:spacing w:line="240" w:lineRule="auto" w:before="0" w:after="0"/>
              <w:pStyle w:val="Compact"/>
            </w:pPr>
            <w:r>
              <w:rPr>
                <w:sz w:val="20"/>
                <w:szCs w:val="20"/>
              </w:rPr>
              <w:t xml:space="preserve">Solar Dynamics Observatory</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LWS ~850M incl 5-yr ops, launched 11 Feb 2010; scientificamerican.com SDO; sdo.gsfc.nasa.gov factsheet</w:t>
            </w:r>
          </w:p>
        </w:tc>
      </w:tr>
      <w:tr>
        <w:tc>
          <w:tcPr>
            <w:tcW w:w="0" w:type="auto"/>
          </w:tcPr>
          <w:p>
            <w:pPr>
              <w:spacing w:line="240" w:lineRule="auto" w:before="0" w:after="0"/>
              <w:pStyle w:val="Compact"/>
            </w:pPr>
            <w:r>
              <w:rPr>
                <w:sz w:val="20"/>
                <w:szCs w:val="20"/>
              </w:rPr>
              <w:t xml:space="preserve">GOES-R (GOES-16)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GOES-R first satellite experienced cost growth and a six-month launch slip to Nov 2016; spacenews.com GOES-R delayed six months; nesdis.noaa.gov GOES-R baseline report to Congress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NASA-USGS Landsat 9 life-cycle baseline 885M, launched 27 Sep 2021 on track per GAO; landsat.gsfc.nasa.gov Landsat9_GAO.pdf; congress.gov R46560</w:t>
            </w:r>
          </w:p>
        </w:tc>
      </w:tr>
      <w:tr>
        <w:tc>
          <w:tcPr>
            <w:tcW w:w="0" w:type="auto"/>
          </w:tcPr>
          <w:p>
            <w:pPr>
              <w:spacing w:line="240" w:lineRule="auto" w:before="0" w:after="0"/>
              <w:pStyle w:val="Compact"/>
            </w:pPr>
            <w:r>
              <w:rPr>
                <w:sz w:val="20"/>
                <w:szCs w:val="20"/>
              </w:rPr>
              <w:t xml:space="preserve">Swift (MIDEX Explorer)</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MIDEX ~250M incl UK/Italy participation, launched 20 Nov 2004; explorers.gsfc.nasa.gov; en.wikipedia.org/wiki/Neil_Gehrels_Swift_Observatory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dev cost grew 310M per GAO 2020 assessment, launched 30 Jul 2020; spacepolicyonline.com GAO 2020 NASA assessment; baseline ~2.2B; en.wikipedia.org/wiki/Mars_2020</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to launch readiness; the survival time at risk of a cost breach</w:t>
            </w:r>
          </w:p>
        </w:tc>
        <w:tc>
          <w:tcPr>
            <w:tcW w:w="0" w:type="auto"/>
          </w:tcPr>
          <w:p>
            <w:pPr>
              <w:spacing w:line="240" w:lineRule="auto" w:before="0" w:after="0"/>
              <w:pStyle w:val="Compact"/>
            </w:pPr>
            <w:r>
              <w:rPr>
                <w:sz w:val="20"/>
                <w:szCs w:val="20"/>
              </w:rPr>
              <w:t xml:space="preserve">Computed from baseline and actual launch dates in GAO and NASA mission records</w:t>
            </w:r>
          </w:p>
        </w:tc>
      </w:tr>
      <w:tr>
        <w:tc>
          <w:tcPr>
            <w:tcW w:w="0" w:type="auto"/>
          </w:tcPr>
          <w:p>
            <w:pPr>
              <w:spacing w:line="240" w:lineRule="auto" w:before="0" w:after="0"/>
              <w:pStyle w:val="Compact"/>
            </w:pPr>
            <w:r>
              <w:rPr>
                <w:sz w:val="20"/>
                <w:szCs w:val="20"/>
              </w:rPr>
              <w:t xml:space="preserve">cost_breach</w:t>
            </w:r>
          </w:p>
        </w:tc>
        <w:tc>
          <w:tcPr>
            <w:tcW w:w="0" w:type="auto"/>
          </w:tcPr>
          <w:p>
            <w:pPr>
              <w:spacing w:line="240" w:lineRule="auto" w:before="0" w:after="0"/>
              <w:pStyle w:val="Compact"/>
            </w:pPr>
            <w:r>
              <w:rPr>
                <w:sz w:val="20"/>
                <w:szCs w:val="20"/>
              </w:rPr>
              <w:t xml:space="preserve">Event indicator equal to 1 if development or life-cycle cost grew at least 15 percent above the initial baseline commitment (the statutory NASA rebaseline threshold), 0 if censored within threshold</w:t>
            </w:r>
          </w:p>
        </w:tc>
        <w:tc>
          <w:tcPr>
            <w:tcW w:w="0" w:type="auto"/>
          </w:tcPr>
          <w:p>
            <w:pPr>
              <w:spacing w:line="240" w:lineRule="auto" w:before="0" w:after="0"/>
              <w:pStyle w:val="Compact"/>
            </w:pPr>
            <w:r>
              <w:rPr>
                <w:sz w:val="20"/>
                <w:szCs w:val="20"/>
              </w:rPr>
              <w:t xml:space="preserve">GAO Assessments of Major Projects (GAO-24-106767, GAO-25-107591); NASA OIG audits; mission press kits</w:t>
            </w:r>
          </w:p>
        </w:tc>
      </w:tr>
      <w:tr>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Initial baseline development or life-cycle cost commitment at confirmation, in billions of constant-year US dollars</w:t>
            </w:r>
          </w:p>
        </w:tc>
        <w:tc>
          <w:tcPr>
            <w:tcW w:w="0" w:type="auto"/>
          </w:tcPr>
          <w:p>
            <w:pPr>
              <w:spacing w:line="240" w:lineRule="auto" w:before="0" w:after="0"/>
              <w:pStyle w:val="Compact"/>
            </w:pPr>
            <w:r>
              <w:rPr>
                <w:sz w:val="20"/>
                <w:szCs w:val="20"/>
              </w:rPr>
              <w:t xml:space="preserve">NASA KDP-C confirmation records and GAO project snapshots</w:t>
            </w:r>
          </w:p>
        </w:tc>
      </w:tr>
      <w:tr>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Count of low-TRL or heritage-gap technologies and major new development elements at confirmation; a technical-complexity proxy</w:t>
            </w:r>
          </w:p>
        </w:tc>
        <w:tc>
          <w:tcPr>
            <w:tcW w:w="0" w:type="auto"/>
          </w:tcPr>
          <w:p>
            <w:pPr>
              <w:spacing w:line="240" w:lineRule="auto" w:before="0" w:after="0"/>
              <w:pStyle w:val="Compact"/>
            </w:pPr>
            <w:r>
              <w:rPr>
                <w:sz w:val="20"/>
                <w:szCs w:val="20"/>
              </w:rPr>
              <w:t xml:space="preserve">GAO technology-readiness assessments; NASA mission descriptions; NASA OIG audits</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Number of international or inter-agency partners contributing flight hardware or instruments</w:t>
            </w:r>
          </w:p>
        </w:tc>
        <w:tc>
          <w:tcPr>
            <w:tcW w:w="0" w:type="auto"/>
          </w:tcPr>
          <w:p>
            <w:pPr>
              <w:spacing w:line="240" w:lineRule="auto" w:before="0" w:after="0"/>
              <w:pStyle w:val="Compact"/>
            </w:pPr>
            <w:r>
              <w:rPr>
                <w:sz w:val="20"/>
                <w:szCs w:val="20"/>
              </w:rPr>
              <w:t xml:space="preserve">Mission descriptions in NASA and partner-agency records (CNES, ISRO, ESA, GFZ, NOAA, USGS)</w:t>
            </w:r>
          </w:p>
        </w:tc>
      </w:tr>
      <w:tr>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Indicator equal to 1 for a directed strategic or flagship mission and 0 for a competed PI-led mission (Discovery, New Frontiers, Explorer)</w:t>
            </w:r>
          </w:p>
        </w:tc>
        <w:tc>
          <w:tcPr>
            <w:tcW w:w="0" w:type="auto"/>
          </w:tcPr>
          <w:p>
            <w:pPr>
              <w:spacing w:line="240" w:lineRule="auto" w:before="0" w:after="0"/>
              <w:pStyle w:val="Compact"/>
            </w:pPr>
            <w:r>
              <w:rPr>
                <w:sz w:val="20"/>
                <w:szCs w:val="20"/>
              </w:rPr>
              <w:t xml:space="preserve">NASA program classification and Announcement of Opportunity records</w:t>
            </w:r>
          </w:p>
        </w:tc>
      </w:tr>
    </w:tbl>
    <w:bookmarkEnd w:id="186"/>
    <w:bookmarkEnd w:id="187"/>
    <w:bookmarkStart w:id="195" w:name="X123307b3406a4a4fe74eafc48e7c966aae6f361"/>
    <w:p>
      <w:pPr>
        <w:pStyle w:val="Heading2"/>
        <w:spacing w:line="480" w:lineRule="auto"/>
      </w:pPr>
      <w:r>
        <w:t xml:space="preserve">A.2 Cost-Growth Hazard in Flagship Astrophysics and Strategic Science Missions: A Cox Proportional-Hazards Analysis of Time-to-Breach</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sSub>
                <m:e>
                  <m:r>
                    <m:t>C</m:t>
                  </m:r>
                </m:e>
                <m:sub>
                  <m:r>
                    <m:t>0</m:t>
                  </m:r>
                </m:sub>
              </m:sSub>
              <m:r>
                <m:rPr>
                  <m:sty m:val="p"/>
                </m:rPr>
                <m:t>+</m:t>
              </m:r>
              <m:sSub>
                <m:e>
                  <m:r>
                    <m:t>β</m:t>
                  </m:r>
                </m:e>
                <m:sub>
                  <m:r>
                    <m:t>2</m:t>
                  </m:r>
                </m:sub>
              </m:sSub>
              <m:r>
                <m:t> </m:t>
              </m:r>
              <m:r>
                <m:rPr>
                  <m:nor/>
                  <m:sty m:val="p"/>
                </m:rPr>
                <m:t>NewTech</m:t>
              </m:r>
              <m:r>
                <m:rPr>
                  <m:sty m:val="p"/>
                </m:rPr>
                <m:t>+</m:t>
              </m:r>
              <m:sSub>
                <m:e>
                  <m:r>
                    <m:t>β</m:t>
                  </m:r>
                </m:e>
                <m:sub>
                  <m:r>
                    <m:t>3</m:t>
                  </m:r>
                </m:sub>
              </m:sSub>
              <m:r>
                <m:t> </m:t>
              </m:r>
              <m:r>
                <m:rPr>
                  <m:nor/>
                  <m:sty m:val="p"/>
                </m:rPr>
                <m:t>Instr</m:t>
              </m:r>
            </m:e>
          </m:d>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0.0008484</w:t>
            </w:r>
          </w:p>
        </w:tc>
        <w:tc>
          <w:tcPr>
            <w:tcW w:w="0" w:type="auto"/>
          </w:tcPr>
          <w:p>
            <w:pPr>
              <w:spacing w:line="240" w:lineRule="auto" w:before="0" w:after="0"/>
              <w:pStyle w:val="Compact"/>
            </w:pPr>
            <w:r>
              <w:rPr>
                <w:sz w:val="20"/>
                <w:szCs w:val="20"/>
              </w:rPr>
              <w:t xml:space="preserve">0.2834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0.9976</w:t>
            </w:r>
          </w:p>
        </w:tc>
        <w:tc>
          <w:tcPr>
            <w:tcW w:w="0" w:type="auto"/>
          </w:tcPr>
          <w:p>
            <w:pPr>
              <w:spacing w:line="240" w:lineRule="auto" w:before="0" w:after="0"/>
              <w:pStyle w:val="Compact"/>
            </w:pPr>
            <w:r>
              <w:rPr>
                <w:sz w:val="20"/>
                <w:szCs w:val="20"/>
              </w:rPr>
              <w:t xml:space="preserve">[-0.5545, 0.5562]</w:t>
            </w:r>
          </w:p>
        </w:tc>
        <w:tc>
          <w:tcPr>
            <w:tcW w:w="0" w:type="auto"/>
          </w:tcPr>
          <w:p>
            <w:pPr>
              <w:spacing w:line="240" w:lineRule="auto" w:before="0" w:after="0"/>
              <w:pStyle w:val="Compact"/>
            </w:pPr>
            <w:r>
              <w:rPr>
                <w:sz w:val="20"/>
                <w:szCs w:val="20"/>
              </w:rPr>
              <w:t xml:space="preserve">1.0008</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-1.3449</w:t>
            </w:r>
          </w:p>
        </w:tc>
        <w:tc>
          <w:tcPr>
            <w:tcW w:w="0" w:type="auto"/>
          </w:tcPr>
          <w:p>
            <w:pPr>
              <w:spacing w:line="240" w:lineRule="auto" w:before="0" w:after="0"/>
              <w:pStyle w:val="Compact"/>
            </w:pPr>
            <w:r>
              <w:rPr>
                <w:sz w:val="20"/>
                <w:szCs w:val="20"/>
              </w:rPr>
              <w:t xml:space="preserve">0.6716</w:t>
            </w:r>
          </w:p>
        </w:tc>
        <w:tc>
          <w:tcPr>
            <w:tcW w:w="0" w:type="auto"/>
          </w:tcPr>
          <w:p>
            <w:pPr>
              <w:spacing w:line="240" w:lineRule="auto" w:before="0" w:after="0"/>
              <w:pStyle w:val="Compact"/>
            </w:pPr>
            <w:r>
              <w:rPr>
                <w:sz w:val="20"/>
                <w:szCs w:val="20"/>
              </w:rPr>
              <w:t xml:space="preserve">-2.0025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[-2.6612, -0.0285]</w:t>
            </w:r>
          </w:p>
        </w:tc>
        <w:tc>
          <w:tcPr>
            <w:tcW w:w="0" w:type="auto"/>
          </w:tcPr>
          <w:p>
            <w:pPr>
              <w:spacing w:line="240" w:lineRule="auto" w:before="0" w:after="0"/>
              <w:pStyle w:val="Compact"/>
            </w:pPr>
            <w:r>
              <w:rPr>
                <w:sz w:val="20"/>
                <w:szCs w:val="20"/>
              </w:rPr>
              <w:t xml:space="preserve">0.2606</w:t>
            </w:r>
          </w:p>
        </w:tc>
      </w:tr>
      <w:tr>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0.2734</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[-0.1371, 0.1815]</w:t>
            </w:r>
          </w:p>
        </w:tc>
        <w:tc>
          <w:tcPr>
            <w:tcW w:w="0" w:type="auto"/>
          </w:tcPr>
          <w:p>
            <w:pPr>
              <w:spacing w:line="240" w:lineRule="auto" w:before="0" w:after="0"/>
              <w:pStyle w:val="Compact"/>
            </w:pPr>
            <w:r>
              <w:rPr>
                <w:sz w:val="20"/>
                <w:szCs w:val="20"/>
              </w:rPr>
              <w:t xml:space="preserve">1.0225</w:t>
            </w:r>
          </w:p>
        </w:tc>
      </w:tr>
    </w:tbl>
    <w:p>
      <w:pPr>
        <w:pStyle w:val="BodyText"/>
        <w:spacing w:line="480" w:lineRule="auto"/>
        <w:ind w:firstLine="720"/>
      </w:pPr>
      <w:r>
        <w:t xml:space="preserve">Fit: N = 27 events = 19</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duration versus instrument complement for 27 NASA flagship and large strategic science missions, with cost-growth breach status. Longer-developing, instrument-dense missions cluster among the cost-growth breach events that the Cox model estimates." title="" id="190" name="Picture"/>
            <a:graphic>
              <a:graphicData uri="http://schemas.openxmlformats.org/drawingml/2006/picture">
                <pic:pic>
                  <pic:nvPicPr>
                    <pic:cNvPr descr="D:/Claude_Code/brain/collegium/candidates/dissertations/JPL_ASTRO_EARTH_01/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duration versus instrument complement for 27 NASA flagship and large strategic science missions, with cost-growth breach status. Longer-developing, instrument-dense missions cluster among the cost-growth breach events that the Cox model estimates.</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0.1655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Wikipedia, Hubble Space Telescope (en.wikipedia.org/wiki/Hubble_Space_Telescope); planned 1983 vs launched 1990; ~$4.7B 2010-USD at launch; baseline ~$1.18B 2010-USD [baseline value illustrative]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1.6014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Planetary Society, Cost of the JWST (planetary.org/articles/cost-of-the-jwst); $4.96B original vs $8.8B final development, ~77% overrun, 2014 planned vs 2021 launch</w:t>
            </w:r>
          </w:p>
        </w:tc>
      </w:tr>
      <w:tr>
        <w:tc>
          <w:tcPr>
            <w:tcW w:w="0" w:type="auto"/>
          </w:tcPr>
          <w:p>
            <w:pPr>
              <w:spacing w:line="240" w:lineRule="auto" w:before="0" w:after="0"/>
              <w:pStyle w:val="Compact"/>
            </w:pPr>
            <w:r>
              <w:rPr>
                <w:sz w:val="20"/>
                <w:szCs w:val="20"/>
              </w:rPr>
              <w:t xml:space="preserve">Chandra X-ray Observatory</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Wikipedia, Chandra X-ray Observatory (en.wikipedia.org/wiki/Chandra_X-ray_Observatory); ~$1.65B at launch after 1992 redesign; baseline ~$1.2B [baseline value illustrative]</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Wikipedia, Spitzer Space Telescope (en.wikipedia.org/wiki/Spitzer_Space_Telescope); rescoped to $720M, total ~$1.36B through ops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1.1939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Powering Science: NASA’s Large Strategic Science Missions, NAP 24857 ch.4 (nationalacademies.org/read/24857/chapter/4); came in at cost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-0.1143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Wikipedia / NASA Galileo synthesis; total ~$1.39B of which $892M spacecraft development; launch slipped post-Challenger 1986</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Planetary Society, Cost of MSL Curiosity (planetary.org/space-policy/cost-of-msl-curiosity); $1.1B baseline (2007) vs $2.53B final, ~56% growth, 2009 slip to 2011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0.7129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Planetary Society, Cost of Perseverance (planetary.org/space-policy/cost-of-perseverance); $2.04B FY21 estimate, +21.4% over 2017 baseline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1.4469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SpacePolicyOnline, Europa Clipper Cost Growth (spacepolicyonline.com); KDP-C 2019 baseline $4.25B, agency baseline raised to ~$5B; launched Oct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0.9964</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of Major Projects synthesis (gao.gov/products/gao-24-106767); $965.6M actual vs $996.4M baseline (3.1% below) at 2022 assessment; software-driven 2022 to 2023 launch slip (schedule, not dev-cost breach)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-0.1625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NASA OIG IG-25-011, NASA’s Management of the Dragonfly Project (oig.nasa.gov); ~$850M dev cap vs ~$2.6B dev by 2024, $3.35B lifecycle; April 2026 slip to July 2028</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0.488</w:t>
            </w:r>
          </w:p>
        </w:tc>
        <w:tc>
          <w:tcPr>
            <w:tcW w:w="0" w:type="auto"/>
          </w:tcPr>
          <w:p>
            <w:pPr>
              <w:spacing w:line="240" w:lineRule="auto" w:before="0" w:after="0"/>
              <w:pStyle w:val="Compact"/>
            </w:pPr>
            <w:r>
              <w:rPr>
                <w:sz w:val="20"/>
                <w:szCs w:val="20"/>
              </w:rPr>
              <w:t xml:space="preserve">-0.7174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SPHEREx (en.wikipedia.org/wiki/SPHEREx); total $488M design-build-launch-ops; launched March 2025 cost-controlled</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Nancy Grace Roman Space Telescope (en.wikipedia.org/wiki/Nancy_Grace_Roman_Space_Telescope); $3.2B dev / $3.934B cap at 2020 confirmation; pandemic impact absorbed, cost-controlled</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-1.4697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Wikipedia, Stratospheric Observatory for Infrared Astronomy (en.wikipedia.org/wiki/Stratospheric_Observatory_for_Infrared_Astronomy); $230M initial to over $1B development</w:t>
            </w:r>
          </w:p>
        </w:tc>
      </w:tr>
      <w:tr>
        <w:tc>
          <w:tcPr>
            <w:tcW w:w="0" w:type="auto"/>
          </w:tcPr>
          <w:p>
            <w:pPr>
              <w:spacing w:line="240" w:lineRule="auto" w:before="0" w:after="0"/>
              <w:pStyle w:val="Compact"/>
            </w:pPr>
            <w:r>
              <w:rPr>
                <w:sz w:val="20"/>
                <w:szCs w:val="20"/>
              </w:rPr>
              <w:t xml:space="preserve">Kepler Space Telescope</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Wikipedia, Kepler space telescope (en.wikipedia.org/wiki/Kepler_space_telescope); $300M cap to ~$550M+, 21% increase accepted 2006</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NEO Surveyor (en.wikipedia.org/wiki/NEO_Surveyor); $1.2B dev baseline, LRD no later than June 2028, at baseline in latest assessment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 Assessments of Major Projects synthesis (gao.gov/products/gao-23-106021); +$84M added 2012 for own launch vehicle; ~$1.0B lifecycle; 70% JCL confirmation</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Landsat 9 GAO project sheet (landsat.gsfc.nasa.gov/wp-content/uploads/2018/05/Landsat9_GAO.pdf); $885.0M baseline; 47% JCL for earlier Dec 2020 date, slipped to Sept 2021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 Assessments of Major Projects (gao.gov/products/gao-23-106021) + GRACE and GRACE-FO (en.wikipedia.org/wiki/GRACE_and_GRACE-FO); $430M NASA cost; external factors drove cost/schedule growth</w:t>
            </w:r>
          </w:p>
        </w:tc>
      </w:tr>
      <w:tr>
        <w:tc>
          <w:tcPr>
            <w:tcW w:w="0" w:type="auto"/>
          </w:tcPr>
          <w:p>
            <w:pPr>
              <w:spacing w:line="240" w:lineRule="auto" w:before="0" w:after="0"/>
              <w:pStyle w:val="Compact"/>
            </w:pPr>
            <w:r>
              <w:rPr>
                <w:sz w:val="20"/>
                <w:szCs w:val="20"/>
              </w:rPr>
              <w:t xml:space="preserve">Mars Observer</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0.813</w:t>
            </w:r>
          </w:p>
        </w:tc>
        <w:tc>
          <w:tcPr>
            <w:tcW w:w="0" w:type="auto"/>
          </w:tcPr>
          <w:p>
            <w:pPr>
              <w:spacing w:line="240" w:lineRule="auto" w:before="0" w:after="0"/>
              <w:pStyle w:val="Compact"/>
            </w:pPr>
            <w:r>
              <w:rPr>
                <w:sz w:val="20"/>
                <w:szCs w:val="20"/>
              </w:rPr>
              <w:t xml:space="preserve">-0.2071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Wikipedia, Mars Observer (en.wikipedia.org/wiki/Mars_Observer); total program ~$813M, grew from lower Observer-class baseline</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-0.3857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Astronautix / GAO NSIAD-88-130FS, Magellan (gao.gov/assets/nsiad-88-130fs.pdf); overall ~$680M Venus radar mapper</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Wikipedia, Gravity Probe B (en.wikipedia.org/wiki/Gravity_Probe_B); total project ~$750M after repeated growth and delay</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0.208</w:t>
            </w:r>
          </w:p>
        </w:tc>
        <w:tc>
          <w:tcPr>
            <w:tcW w:w="0" w:type="auto"/>
          </w:tcPr>
          <w:p>
            <w:pPr>
              <w:spacing w:line="240" w:lineRule="auto" w:before="0" w:after="0"/>
              <w:pStyle w:val="Compact"/>
            </w:pPr>
            <w:r>
              <w:rPr>
                <w:sz w:val="20"/>
                <w:szCs w:val="20"/>
              </w:rPr>
              <w:t xml:space="preserve">-1.5702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Wide-Field Infrared Survey Explorer (jpl.nasa.gov/missions/wide-field-infrared-survey-explorer-wise); ~$208M JPL cost, delivered near baseline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Wikipedia, Juno (en.wikipedia.org/wiki/Juno_(spacecraft)) + JPL press kit; ~$1.13B total New Frontiers, modest growth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Wikipedia, OSIRIS-REx (en.wikipedia.org/wiki/OSIRIS-REx); ~$800M excluding launch vehicle, near baseline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 Assessments of Major Projects (gao.gov/products/gao-25-107591); external requests + launch-vehicle delays drove cost/schedule growth</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0.252</w:t>
            </w:r>
          </w:p>
        </w:tc>
        <w:tc>
          <w:tcPr>
            <w:tcW w:w="0" w:type="auto"/>
          </w:tcPr>
          <w:p>
            <w:pPr>
              <w:spacing w:line="240" w:lineRule="auto" w:before="0" w:after="0"/>
              <w:pStyle w:val="Compact"/>
            </w:pPr>
            <w:r>
              <w:rPr>
                <w:sz w:val="20"/>
                <w:szCs w:val="20"/>
              </w:rPr>
              <w:t xml:space="preserve">-1.3783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 Assessments of Major Projects (gao.gov/products/gao-24-106767); Explorer-class; external factors drove cost increase / schedule delay</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or equivalent baseline commitment) to launch readiness; the survival time. Censored at last assessment for missions not yet launched.</w:t>
            </w:r>
          </w:p>
        </w:tc>
        <w:tc>
          <w:tcPr>
            <w:tcW w:w="0" w:type="auto"/>
          </w:tcPr>
          <w:p>
            <w:pPr>
              <w:spacing w:line="240" w:lineRule="auto" w:before="0" w:after="0"/>
              <w:pStyle w:val="Compact"/>
            </w:pPr>
            <w:r>
              <w:rPr>
                <w:sz w:val="20"/>
                <w:szCs w:val="20"/>
              </w:rPr>
              <w:t xml:space="preserve">Mission confirmation and launch dates from NASA, GAO Assessments of Major Projects, and mission Wikipedia entries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1 if the mission’s development cost grew beyond the 15 percent rebaseline threshold (the canonical NASA Major-Program cost-growth trigger), 0 if cost-controlled (censored) at last observation.</w:t>
            </w:r>
          </w:p>
        </w:tc>
        <w:tc>
          <w:tcPr>
            <w:tcW w:w="0" w:type="auto"/>
          </w:tcPr>
          <w:p>
            <w:pPr>
              <w:spacing w:line="240" w:lineRule="auto" w:before="0" w:after="0"/>
              <w:pStyle w:val="Compact"/>
            </w:pPr>
            <w:r>
              <w:rPr>
                <w:sz w:val="20"/>
                <w:szCs w:val="20"/>
              </w:rPr>
              <w:t xml:space="preserve">Cost-growth figures from Planetary Society mission cost pages, NASA OIG, GAO Assessments of Major Projects, and National Academies Powering Science (NAP 24857)</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Natural logarithm of the baseline development cost commitment in real-year USD billions.</w:t>
            </w:r>
          </w:p>
        </w:tc>
        <w:tc>
          <w:tcPr>
            <w:tcW w:w="0" w:type="auto"/>
          </w:tcPr>
          <w:p>
            <w:pPr>
              <w:spacing w:line="240" w:lineRule="auto" w:before="0" w:after="0"/>
              <w:pStyle w:val="Compact"/>
            </w:pPr>
            <w:r>
              <w:rPr>
                <w:sz w:val="20"/>
                <w:szCs w:val="20"/>
              </w:rPr>
              <w:t xml:space="preserve">Baseline cost commitments from NASA budget documents, GAO, JPL press kits, and mission Wikipedia entries</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First-of-kind technology flag: 1 if the mission required novel, low-TRL technology or instrument development at confirmation, 0 if built on established heritage designs.</w:t>
            </w:r>
          </w:p>
        </w:tc>
        <w:tc>
          <w:tcPr>
            <w:tcW w:w="0" w:type="auto"/>
          </w:tcPr>
          <w:p>
            <w:pPr>
              <w:spacing w:line="240" w:lineRule="auto" w:before="0" w:after="0"/>
              <w:pStyle w:val="Compact"/>
            </w:pPr>
            <w:r>
              <w:rPr>
                <w:sz w:val="20"/>
                <w:szCs w:val="20"/>
              </w:rPr>
              <w:t xml:space="preserve">Mission technology descriptions from NASA mission pages and National Academies Powering Science (NAP 24857)</w:t>
            </w:r>
          </w:p>
        </w:tc>
      </w:tr>
      <w:tr>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Number of distinct science instruments carried, a proxy for integration and interface complexity.</w:t>
            </w:r>
          </w:p>
        </w:tc>
        <w:tc>
          <w:tcPr>
            <w:tcW w:w="0" w:type="auto"/>
          </w:tcPr>
          <w:p>
            <w:pPr>
              <w:spacing w:line="240" w:lineRule="auto" w:before="0" w:after="0"/>
              <w:pStyle w:val="Compact"/>
            </w:pPr>
            <w:r>
              <w:rPr>
                <w:sz w:val="20"/>
                <w:szCs w:val="20"/>
              </w:rPr>
              <w:t xml:space="preserve">Mission instrument complements from NASA mission pages and mission Wikipedia entries</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65" Type="http://schemas.openxmlformats.org/officeDocument/2006/relationships/hyperlink" Target="https://doi.org/10.1016/j.actaastro.2018.04.019" TargetMode="External"/><Relationship Id="rId134" Type="http://schemas.openxmlformats.org/officeDocument/2006/relationships/hyperlink" Target="https://doi.org/10.1016/j.actaastro.2018.11.054" TargetMode="External"/><Relationship Id="rId128" Type="http://schemas.openxmlformats.org/officeDocument/2006/relationships/hyperlink" Target="https://doi.org/10.1016/j.actaastro.2019.09.030" TargetMode="External"/><Relationship Id="rId167" Type="http://schemas.openxmlformats.org/officeDocument/2006/relationships/hyperlink" Target="https://doi.org/10.1016/j.actaastro.2020.01.030" TargetMode="External"/><Relationship Id="rId130" Type="http://schemas.openxmlformats.org/officeDocument/2006/relationships/hyperlink" Target="https://doi.org/10.1016/j.actaastro.2020.05.025" TargetMode="External"/><Relationship Id="rId177" Type="http://schemas.openxmlformats.org/officeDocument/2006/relationships/hyperlink" Target="https://doi.org/10.1016/j.actaastro.2021.12.015" TargetMode="External"/><Relationship Id="rId171" Type="http://schemas.openxmlformats.org/officeDocument/2006/relationships/hyperlink" Target="https://doi.org/10.1016/j.actaastro.2022.05.040" TargetMode="External"/><Relationship Id="rId173" Type="http://schemas.openxmlformats.org/officeDocument/2006/relationships/hyperlink" Target="https://doi.org/10.1016/j.actaastro.2022.10.005" TargetMode="External"/><Relationship Id="rId136" Type="http://schemas.openxmlformats.org/officeDocument/2006/relationships/hyperlink" Target="https://doi.org/10.1016/j.actaastro.2022.12.036" TargetMode="External"/><Relationship Id="rId169" Type="http://schemas.openxmlformats.org/officeDocument/2006/relationships/hyperlink" Target="https://doi.org/10.1016/j.actaastro.2025.04.038" TargetMode="External"/><Relationship Id="rId175" Type="http://schemas.openxmlformats.org/officeDocument/2006/relationships/hyperlink" Target="https://doi.org/10.1016/j.actaastro.2025.08.024" TargetMode="External"/><Relationship Id="rId132" Type="http://schemas.openxmlformats.org/officeDocument/2006/relationships/hyperlink" Target="https://doi.org/10.1016/j.actaastro.2025.11.056" TargetMode="External"/><Relationship Id="rId138" Type="http://schemas.openxmlformats.org/officeDocument/2006/relationships/hyperlink" Target="https://doi.org/10.1086/730695" TargetMode="External"/><Relationship Id="rId158" Type="http://schemas.openxmlformats.org/officeDocument/2006/relationships/hyperlink" Target="https://doi.org/10.64861/BTXT4965" TargetMode="External"/><Relationship Id="rId154" Type="http://schemas.openxmlformats.org/officeDocument/2006/relationships/hyperlink" Target="https://doi.org/10.64861/LFFV2455" TargetMode="External"/><Relationship Id="rId151" Type="http://schemas.openxmlformats.org/officeDocument/2006/relationships/hyperlink" Target="https://doi.org/10.64861/LPFK9568" TargetMode="External"/><Relationship Id="rId156" Type="http://schemas.openxmlformats.org/officeDocument/2006/relationships/hyperlink" Target="https://doi.org/10.64861/VAVV5658" TargetMode="External"/><Relationship Id="rId161" Type="http://schemas.openxmlformats.org/officeDocument/2006/relationships/hyperlink" Target="https://doi.org/10.64861/YFLK6343"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18.04.019" TargetMode="External"/><Relationship Id="rId134" Type="http://schemas.openxmlformats.org/officeDocument/2006/relationships/hyperlink" Target="https://doi.org/10.1016/j.actaastro.2018.11.054" TargetMode="External"/><Relationship Id="rId128" Type="http://schemas.openxmlformats.org/officeDocument/2006/relationships/hyperlink" Target="https://doi.org/10.1016/j.actaastro.2019.09.030" TargetMode="External"/><Relationship Id="rId167" Type="http://schemas.openxmlformats.org/officeDocument/2006/relationships/hyperlink" Target="https://doi.org/10.1016/j.actaastro.2020.01.030" TargetMode="External"/><Relationship Id="rId130" Type="http://schemas.openxmlformats.org/officeDocument/2006/relationships/hyperlink" Target="https://doi.org/10.1016/j.actaastro.2020.05.025" TargetMode="External"/><Relationship Id="rId177" Type="http://schemas.openxmlformats.org/officeDocument/2006/relationships/hyperlink" Target="https://doi.org/10.1016/j.actaastro.2021.12.015" TargetMode="External"/><Relationship Id="rId171" Type="http://schemas.openxmlformats.org/officeDocument/2006/relationships/hyperlink" Target="https://doi.org/10.1016/j.actaastro.2022.05.040" TargetMode="External"/><Relationship Id="rId173" Type="http://schemas.openxmlformats.org/officeDocument/2006/relationships/hyperlink" Target="https://doi.org/10.1016/j.actaastro.2022.10.005" TargetMode="External"/><Relationship Id="rId136" Type="http://schemas.openxmlformats.org/officeDocument/2006/relationships/hyperlink" Target="https://doi.org/10.1016/j.actaastro.2022.12.036" TargetMode="External"/><Relationship Id="rId169" Type="http://schemas.openxmlformats.org/officeDocument/2006/relationships/hyperlink" Target="https://doi.org/10.1016/j.actaastro.2025.04.038" TargetMode="External"/><Relationship Id="rId175" Type="http://schemas.openxmlformats.org/officeDocument/2006/relationships/hyperlink" Target="https://doi.org/10.1016/j.actaastro.2025.08.024" TargetMode="External"/><Relationship Id="rId132" Type="http://schemas.openxmlformats.org/officeDocument/2006/relationships/hyperlink" Target="https://doi.org/10.1016/j.actaastro.2025.11.056" TargetMode="External"/><Relationship Id="rId138" Type="http://schemas.openxmlformats.org/officeDocument/2006/relationships/hyperlink" Target="https://doi.org/10.1086/730695" TargetMode="External"/><Relationship Id="rId158" Type="http://schemas.openxmlformats.org/officeDocument/2006/relationships/hyperlink" Target="https://doi.org/10.64861/BTXT4965" TargetMode="External"/><Relationship Id="rId154" Type="http://schemas.openxmlformats.org/officeDocument/2006/relationships/hyperlink" Target="https://doi.org/10.64861/LFFV2455" TargetMode="External"/><Relationship Id="rId151" Type="http://schemas.openxmlformats.org/officeDocument/2006/relationships/hyperlink" Target="https://doi.org/10.64861/LPFK9568" TargetMode="External"/><Relationship Id="rId156" Type="http://schemas.openxmlformats.org/officeDocument/2006/relationships/hyperlink" Target="https://doi.org/10.64861/VAVV5658" TargetMode="External"/><Relationship Id="rId161" Type="http://schemas.openxmlformats.org/officeDocument/2006/relationships/hyperlink" Target="https://doi.org/10.64861/YFLK6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Cost-Growth Hazard in Flagship Astrophysics Missions: a Cox Proportional-Hazards Approach</dc:title>
  <dc:creator>Liv Renner (1B-AST-049)</dc:creator>
  <cp:keywords/>
  <dcterms:created xsi:type="dcterms:W3CDTF">2026-07-04T11:23:20Z</dcterms:created>
  <dcterms:modified xsi:type="dcterms:W3CDTF">2026-07-04T11:23:20Z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