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e39f922a6bc2d770ef32b261748c435b73ba373"/>
    <w:p>
      <w:pPr>
        <w:pStyle w:val="Heading1"/>
      </w:pPr>
      <w:r>
        <w:t xml:space="preserve">Attention Accumulation in Legitimacy Versus Effectiveness Does Broader COPUOS Participation Produce Weake: A Learning-Curve Analysis of Citation Growth by Article Age</w:t>
      </w:r>
    </w:p>
    <w:bookmarkStart w:id="61" w:name="introduction"/>
    <w:p>
      <w:pPr>
        <w:pStyle w:val="Heading2"/>
      </w:pPr>
      <w:r>
        <w:t xml:space="preserve">1. Introduction</w:t>
      </w:r>
    </w:p>
    <w:p>
      <w:pPr>
        <w:pStyle w:val="FirstParagraph"/>
      </w:pPr>
      <w:r>
        <w:t xml:space="preserve">This empirical paper supports Aisha Carrington (1B-IGV-225) and the dissertation project</w:t>
      </w:r>
      <w:r>
        <w:t xml:space="preserve"> </w:t>
      </w:r>
      <w:r>
        <w:rPr>
          <w:i/>
          <w:iCs/>
        </w:rPr>
        <w:t xml:space="preserve">Legitimacy Versus Effectiveness: Does Broader COPUOS Participation Produce Weake</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R2=0.0008452608450965071, elasticity_b=-0.04548416215271505, progress_ratio_2^b=0.9689645820839932. The exact term summary is: const coef=0.5568410364862464 p=0.0791916955469699; _ln_x coef=-0.04548416215271505 p=0.8162346220353948.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Nancy Hayden, Sandia National Laboratories; Kelsey Abel, Sandia National Laboratories; Marie Arrieta, Sandia National Laboratories; Mallory Stewart, Sandia National Laboratories. Artificial Intelligence and Autonomy in Space: Balancing Risks and Benefits for Deterrence and Escalation Control (2020). [AMOS]</w:t>
      </w:r>
      <w:r>
        <w:t xml:space="preserve"> </w:t>
      </w:r>
      <w:bookmarkStart w:id="68" w:name="ref-2"/>
      <w:bookmarkEnd w:id="68"/>
      <w:r>
        <w:t xml:space="preserve">2. Malgorzata Polkowska, Lomza Academy; Arkadiusz Chimicz, General Command, Polish Armed Forces. Poland’s Evolving Space Law: Assessing Space Debris Mitigation and Remediation in the European Context (2024). doi:</w:t>
      </w:r>
      <w:r>
        <w:t xml:space="preserve"> </w:t>
      </w:r>
      <w:hyperlink r:id="rId69">
        <w:r>
          <w:rPr>
            <w:rStyle w:val="Hyperlink"/>
          </w:rPr>
          <w:t xml:space="preserve">10.64861/LFFV2455</w:t>
        </w:r>
      </w:hyperlink>
      <w:r>
        <w:t xml:space="preserve"> </w:t>
      </w:r>
      <w:bookmarkStart w:id="70" w:name="ref-3"/>
      <w:bookmarkEnd w:id="70"/>
      <w:r>
        <w:t xml:space="preserve">3.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1" w:name="ref-4"/>
      <w:bookmarkEnd w:id="71"/>
      <w:r>
        <w:t xml:space="preserve">4. Scott Steele, The Open University. Can International Law Provide a Basis for Actively Removing Space Debris? (2020). [AMOS]</w:t>
      </w:r>
      <w:r>
        <w:t xml:space="preserve"> </w:t>
      </w:r>
      <w:bookmarkStart w:id="72" w:name="ref-5"/>
      <w:bookmarkEnd w:id="72"/>
      <w:r>
        <w:t xml:space="preserve">5. Rina Zhang, Science and Technology Policy Institute; Asha Balakrishnan, Science and Technology Policy Institute. From Ozone Depletion to Orbital Debris: Lessons Learned from the Montreal Protocol (2022). [AMOS]</w:t>
      </w:r>
      <w:r>
        <w:t xml:space="preserve"> </w:t>
      </w:r>
      <w:bookmarkStart w:id="73" w:name="ref-6"/>
      <w:bookmarkEnd w:id="73"/>
      <w:r>
        <w:t xml:space="preserve">6. Artem Mokhnatkin, Keldysh Institute of Applied Mathematics. Possible Ways Forward for the ISON Initiative and Similar Projects. A Consortium for Decentralized Sharing of SSA Data (2023). doi:</w:t>
      </w:r>
      <w:r>
        <w:t xml:space="preserve"> </w:t>
      </w:r>
      <w:hyperlink r:id="rId74">
        <w:r>
          <w:rPr>
            <w:rStyle w:val="Hyperlink"/>
          </w:rPr>
          <w:t xml:space="preserve">10.64861/DDNM3393</w:t>
        </w:r>
      </w:hyperlink>
      <w:r>
        <w:t xml:space="preserve"> </w:t>
      </w:r>
      <w:bookmarkStart w:id="75" w:name="ref-7"/>
      <w:bookmarkEnd w:id="75"/>
      <w:r>
        <w:t xml:space="preserve">7. Joshua Garretson, U. S. Space Force. Centroiding Caused Errors in Tracking and Adaptive Optics (2024). doi:</w:t>
      </w:r>
      <w:r>
        <w:t xml:space="preserve"> </w:t>
      </w:r>
      <w:hyperlink r:id="rId76">
        <w:r>
          <w:rPr>
            <w:rStyle w:val="Hyperlink"/>
          </w:rPr>
          <w:t xml:space="preserve">10.64861/WTZM9793</w:t>
        </w:r>
      </w:hyperlink>
      <w:r>
        <w:t xml:space="preserve"> </w:t>
      </w:r>
      <w:bookmarkStart w:id="77" w:name="ref-8"/>
      <w:bookmarkEnd w:id="77"/>
      <w:r>
        <w:t xml:space="preserve">8. Alexandra Wright, Massachusetts Institute of Technology, Lincoln Laboratory; Peter W. Boettcher, Massachusetts Institute of Technology, Lincoln Laboratory; Anye Li, Massachusetts Institute of Technology; Erin L. Main, Massachusetts Institute of Technology. Space Data Model Modernization for Proactive and Machine-Assisted Analytics (2022). [AMOS]</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0.5568</w:t>
            </w:r>
          </w:p>
        </w:tc>
        <w:tc>
          <w:tcPr>
            <w:tcW w:w="0" w:type="auto"/>
          </w:tcPr>
          <w:p>
            <w:pPr>
              <w:spacing w:line="240" w:lineRule="auto" w:before="0" w:after="0"/>
              <w:pStyle w:val="Compact"/>
            </w:pPr>
            <w:r>
              <w:rPr>
                <w:sz w:val="20"/>
                <w:szCs w:val="20"/>
              </w:rPr>
              <w:t xml:space="preserve">0.3172</w:t>
            </w:r>
          </w:p>
        </w:tc>
        <w:tc>
          <w:tcPr>
            <w:tcW w:w="0" w:type="auto"/>
          </w:tcPr>
          <w:p>
            <w:pPr>
              <w:spacing w:line="240" w:lineRule="auto" w:before="0" w:after="0"/>
              <w:pStyle w:val="Compact"/>
            </w:pPr>
            <w:r>
              <w:rPr>
                <w:sz w:val="20"/>
                <w:szCs w:val="20"/>
              </w:rPr>
              <w:t xml:space="preserve">1.7554</w:t>
            </w:r>
          </w:p>
        </w:tc>
        <w:tc>
          <w:tcPr>
            <w:tcW w:w="0" w:type="auto"/>
          </w:tcPr>
          <w:p>
            <w:pPr>
              <w:spacing w:line="240" w:lineRule="auto" w:before="0" w:after="0"/>
              <w:pStyle w:val="Compact"/>
            </w:pPr>
            <w:r>
              <w:rPr>
                <w:sz w:val="20"/>
                <w:szCs w:val="20"/>
              </w:rPr>
              <w:t xml:space="preserve">0.0792</w:t>
            </w:r>
          </w:p>
        </w:tc>
        <w:tc>
          <w:tcPr>
            <w:tcW w:w="0" w:type="auto"/>
          </w:tcPr>
          <w:p>
            <w:pPr>
              <w:spacing w:line="240" w:lineRule="auto" w:before="0" w:after="0"/>
              <w:pStyle w:val="Compact"/>
            </w:pPr>
            <w:r>
              <w:rPr>
                <w:sz w:val="20"/>
                <w:szCs w:val="20"/>
              </w:rPr>
              <w:t xml:space="preserve">[-0.0649, 1.1786]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-0.0455</w:t>
            </w:r>
          </w:p>
        </w:tc>
        <w:tc>
          <w:tcPr>
            <w:tcW w:w="0" w:type="auto"/>
          </w:tcPr>
          <w:p>
            <w:pPr>
              <w:spacing w:line="240" w:lineRule="auto" w:before="0" w:after="0"/>
              <w:pStyle w:val="Compact"/>
            </w:pPr>
            <w:r>
              <w:rPr>
                <w:sz w:val="20"/>
                <w:szCs w:val="20"/>
              </w:rPr>
              <w:t xml:space="preserve">0.1957</w:t>
            </w:r>
          </w:p>
        </w:tc>
        <w:tc>
          <w:tcPr>
            <w:tcW w:w="0" w:type="auto"/>
          </w:tcPr>
          <w:p>
            <w:pPr>
              <w:spacing w:line="240" w:lineRule="auto" w:before="0" w:after="0"/>
              <w:pStyle w:val="Compact"/>
            </w:pPr>
            <w:r>
              <w:rPr>
                <w:sz w:val="20"/>
                <w:szCs w:val="20"/>
              </w:rPr>
              <w:t xml:space="preserve">-0.2324</w:t>
            </w:r>
          </w:p>
        </w:tc>
        <w:tc>
          <w:tcPr>
            <w:tcW w:w="0" w:type="auto"/>
          </w:tcPr>
          <w:p>
            <w:pPr>
              <w:spacing w:line="240" w:lineRule="auto" w:before="0" w:after="0"/>
              <w:pStyle w:val="Compact"/>
            </w:pPr>
            <w:r>
              <w:rPr>
                <w:sz w:val="20"/>
                <w:szCs w:val="20"/>
              </w:rPr>
              <w:t xml:space="preserve">0.8162</w:t>
            </w:r>
          </w:p>
        </w:tc>
        <w:tc>
          <w:tcPr>
            <w:tcW w:w="0" w:type="auto"/>
          </w:tcPr>
          <w:p>
            <w:pPr>
              <w:spacing w:line="240" w:lineRule="auto" w:before="0" w:after="0"/>
              <w:pStyle w:val="Compact"/>
            </w:pPr>
            <w:r>
              <w:rPr>
                <w:sz w:val="20"/>
                <w:szCs w:val="20"/>
              </w:rPr>
              <w:t xml:space="preserve">[-0.4291, 0.3381]</w:t>
            </w:r>
          </w:p>
        </w:tc>
      </w:tr>
    </w:tbl>
    <w:p>
      <w:pPr>
        <w:pStyle w:val="BodyText"/>
      </w:pPr>
      <w:r>
        <w:t xml:space="preserve">Fit: N = 30 R2 = 0.0008453 elasticity_b = -0.0455 progress_ratio_2^b = 0.969</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INTL_GOVERNANCE_13\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10.64861/WTZM9793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https://amostech.space/year/2022/space-data-model-modernization-for-proactive-and-machine-assisted-analytics/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https://amostech.space/year/2020/the-contributions-of-commercial-best-practices-to-the-global-space-governance-continuum/</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10.64861/URSW2020</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10.64861/VZRK7654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10.64861/XWVP8211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10.1016/j.actaastro.2025.04.002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10.1016/j.actaastro.2025.11.083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10.1016/j.actaastro.2025.02.010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10.1016/j.actaastro.2020.11.053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0.5568</w:t>
            </w:r>
          </w:p>
        </w:tc>
        <w:tc>
          <w:tcPr>
            <w:tcW w:w="0" w:type="auto"/>
          </w:tcPr>
          <w:p>
            <w:pPr>
              <w:spacing w:line="240" w:lineRule="auto" w:before="0" w:after="0"/>
              <w:pStyle w:val="Compact"/>
            </w:pPr>
            <w:r>
              <w:rPr>
                <w:sz w:val="20"/>
                <w:szCs w:val="20"/>
              </w:rPr>
              <w:t xml:space="preserve">0.3172</w:t>
            </w:r>
          </w:p>
        </w:tc>
        <w:tc>
          <w:tcPr>
            <w:tcW w:w="0" w:type="auto"/>
          </w:tcPr>
          <w:p>
            <w:pPr>
              <w:spacing w:line="240" w:lineRule="auto" w:before="0" w:after="0"/>
              <w:pStyle w:val="Compact"/>
            </w:pPr>
            <w:r>
              <w:rPr>
                <w:sz w:val="20"/>
                <w:szCs w:val="20"/>
              </w:rPr>
              <w:t xml:space="preserve">1.7554</w:t>
            </w:r>
          </w:p>
        </w:tc>
        <w:tc>
          <w:tcPr>
            <w:tcW w:w="0" w:type="auto"/>
          </w:tcPr>
          <w:p>
            <w:pPr>
              <w:spacing w:line="240" w:lineRule="auto" w:before="0" w:after="0"/>
              <w:pStyle w:val="Compact"/>
            </w:pPr>
            <w:r>
              <w:rPr>
                <w:sz w:val="20"/>
                <w:szCs w:val="20"/>
              </w:rPr>
              <w:t xml:space="preserve">0.0792</w:t>
            </w:r>
          </w:p>
        </w:tc>
        <w:tc>
          <w:tcPr>
            <w:tcW w:w="0" w:type="auto"/>
          </w:tcPr>
          <w:p>
            <w:pPr>
              <w:spacing w:line="240" w:lineRule="auto" w:before="0" w:after="0"/>
              <w:pStyle w:val="Compact"/>
            </w:pPr>
            <w:r>
              <w:rPr>
                <w:sz w:val="20"/>
                <w:szCs w:val="20"/>
              </w:rPr>
              <w:t xml:space="preserve">[-0.0649, 1.1786]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-0.0455</w:t>
            </w:r>
          </w:p>
        </w:tc>
        <w:tc>
          <w:tcPr>
            <w:tcW w:w="0" w:type="auto"/>
          </w:tcPr>
          <w:p>
            <w:pPr>
              <w:spacing w:line="240" w:lineRule="auto" w:before="0" w:after="0"/>
              <w:pStyle w:val="Compact"/>
            </w:pPr>
            <w:r>
              <w:rPr>
                <w:sz w:val="20"/>
                <w:szCs w:val="20"/>
              </w:rPr>
              <w:t xml:space="preserve">0.1957</w:t>
            </w:r>
          </w:p>
        </w:tc>
        <w:tc>
          <w:tcPr>
            <w:tcW w:w="0" w:type="auto"/>
          </w:tcPr>
          <w:p>
            <w:pPr>
              <w:spacing w:line="240" w:lineRule="auto" w:before="0" w:after="0"/>
              <w:pStyle w:val="Compact"/>
            </w:pPr>
            <w:r>
              <w:rPr>
                <w:sz w:val="20"/>
                <w:szCs w:val="20"/>
              </w:rPr>
              <w:t xml:space="preserve">-0.2324</w:t>
            </w:r>
          </w:p>
        </w:tc>
        <w:tc>
          <w:tcPr>
            <w:tcW w:w="0" w:type="auto"/>
          </w:tcPr>
          <w:p>
            <w:pPr>
              <w:spacing w:line="240" w:lineRule="auto" w:before="0" w:after="0"/>
              <w:pStyle w:val="Compact"/>
            </w:pPr>
            <w:r>
              <w:rPr>
                <w:sz w:val="20"/>
                <w:szCs w:val="20"/>
              </w:rPr>
              <w:t xml:space="preserve">0.8162</w:t>
            </w:r>
          </w:p>
        </w:tc>
        <w:tc>
          <w:tcPr>
            <w:tcW w:w="0" w:type="auto"/>
          </w:tcPr>
          <w:p>
            <w:pPr>
              <w:spacing w:line="240" w:lineRule="auto" w:before="0" w:after="0"/>
              <w:pStyle w:val="Compact"/>
            </w:pPr>
            <w:r>
              <w:rPr>
                <w:sz w:val="20"/>
                <w:szCs w:val="20"/>
              </w:rPr>
              <w:t xml:space="preserve">[-0.4291, 0.3381]</w:t>
            </w:r>
          </w:p>
        </w:tc>
      </w:tr>
    </w:tbl>
    <w:p>
      <w:pPr>
        <w:pStyle w:val="BodyText"/>
      </w:pPr>
      <w:r>
        <w:t xml:space="preserve">Fit: N = 30 R2 = 0.0008453 elasticity_b = -0.0455 progress_ratio_2^b = 0.969</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4" Target="https://doi.org/10.64861/DDNM3393" TargetMode="External" /><Relationship Type="http://schemas.openxmlformats.org/officeDocument/2006/relationships/hyperlink" Id="rId69" Target="https://doi.org/10.64861/LFFV2455" TargetMode="External" /><Relationship Type="http://schemas.openxmlformats.org/officeDocument/2006/relationships/hyperlink" Id="rId76" Target="https://doi.org/10.64861/WTZM9793"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DDNM3393" TargetMode="External" /><Relationship Type="http://schemas.openxmlformats.org/officeDocument/2006/relationships/hyperlink" Id="rId69" Target="https://doi.org/10.64861/LFFV2455" TargetMode="External" /><Relationship Type="http://schemas.openxmlformats.org/officeDocument/2006/relationships/hyperlink" Id="rId76" Target="https://doi.org/10.64861/WTZM979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2026-06-29T09:43:46Z</dcterms:created>
  <dcterms:modified xsi:type="dcterms:W3CDTF">2026-06-29T09:43:46Z</dcterms:modified>
</cp:coreProperties>
</file>

<file path=docProps/custom.xml><?xml version="1.0" encoding="utf-8"?>
<Properties xmlns="http://schemas.openxmlformats.org/officeDocument/2006/custom-properties" xmlns:vt="http://schemas.openxmlformats.org/officeDocument/2006/docPropsVTypes"/>
</file>