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8d868e92d00dbb559f91112a0c4b069ab9a0a61"/>
    <w:p>
      <w:pPr>
        <w:pStyle w:val="Heading1"/>
      </w:pPr>
      <w:r>
        <w:t xml:space="preserve">Signal Intensity in Legitimacy Versus Effectiveness Does Broader COPUOS Participation Produce Weake: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Aisha Carrington (1B-IGV-225) and the dissertation project</w:t>
      </w:r>
      <w:r>
        <w:t xml:space="preserve"> </w:t>
      </w:r>
      <w:r>
        <w:rPr>
          <w:i/>
          <w:iCs/>
        </w:rPr>
        <w:t xml:space="preserve">Legitimacy Versus Effectiveness: Does Broader COPUOS Participation Produce Weake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R2=0.20166862597180246, R2_adj=0.10955346743008731, F=4.8870494996258405, F_p=0.007957892022051483. The exact term summary is: const coef=4.438220901624508 p=5.305098781355447e-05; recency_index coef=0.0459629945707338 p=0.723554167037719; cites_num coef=0.008960372532388827 p=0.8831733023358745; venue_score coef=-1.1116739651892984 p=0.0024844469457422093.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68" w:name="ref-2"/>
      <w:bookmarkEnd w:id="68"/>
      <w:r>
        <w:t xml:space="preserve">2. Malgorzata Polkowska, Lomza Academy; Arkadiusz Chimicz, General Command, Polish Armed Forces. Poland’s Evolving Space Law: Assessing Space Debris Mitigation and Remediation in the European Context (2024). doi:</w:t>
      </w:r>
      <w:r>
        <w:t xml:space="preserve"> </w:t>
      </w:r>
      <w:hyperlink r:id="rId69">
        <w:r>
          <w:rPr>
            <w:rStyle w:val="Hyperlink"/>
          </w:rPr>
          <w:t xml:space="preserve">10.64861/LFFV2455</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Scott Steele, The Open University. Can International Law Provide a Basis for Actively Removing Space Debris? (2020). [AMOS]</w:t>
      </w:r>
      <w:r>
        <w:t xml:space="preserve"> </w:t>
      </w:r>
      <w:bookmarkStart w:id="72" w:name="ref-5"/>
      <w:bookmarkEnd w:id="72"/>
      <w:r>
        <w:t xml:space="preserve">5. Rina Zhang, Science and Technology Policy Institute; Asha Balakrishnan, Science and Technology Policy Institute. From Ozone Depletion to Orbital Debris: Lessons Learned from the Montreal Protocol (2022). [AMOS]</w:t>
      </w:r>
      <w:r>
        <w:t xml:space="preserve"> </w:t>
      </w:r>
      <w:bookmarkStart w:id="73" w:name="ref-6"/>
      <w:bookmarkEnd w:id="73"/>
      <w:r>
        <w:t xml:space="preserve">6. Artem Mokhnatkin, Keldysh Institute of Applied Mathematics. Possible Ways Forward for the ISON Initiative and Similar Projects. A Consortium for Decentralized Sharing of SSA Data (2023). doi:</w:t>
      </w:r>
      <w:r>
        <w:t xml:space="preserve"> </w:t>
      </w:r>
      <w:hyperlink r:id="rId74">
        <w:r>
          <w:rPr>
            <w:rStyle w:val="Hyperlink"/>
          </w:rPr>
          <w:t xml:space="preserve">10.64861/DDNM3393</w:t>
        </w:r>
      </w:hyperlink>
      <w:r>
        <w:t xml:space="preserve"> </w:t>
      </w:r>
      <w:bookmarkStart w:id="75" w:name="ref-7"/>
      <w:bookmarkEnd w:id="75"/>
      <w:r>
        <w:t xml:space="preserve">7. Joshua Garretson, U. S. Space Force. Centroiding Caused Errors in Tracking and Adaptive Optics (2024). doi:</w:t>
      </w:r>
      <w:r>
        <w:t xml:space="preserve"> </w:t>
      </w:r>
      <w:hyperlink r:id="rId76">
        <w:r>
          <w:rPr>
            <w:rStyle w:val="Hyperlink"/>
          </w:rPr>
          <w:t xml:space="preserve">10.64861/WTZM9793</w:t>
        </w:r>
      </w:hyperlink>
      <w:r>
        <w:t xml:space="preserve"> </w:t>
      </w:r>
      <w:bookmarkStart w:id="77" w:name="ref-8"/>
      <w:bookmarkEnd w:id="77"/>
      <w:r>
        <w:t xml:space="preserve">8.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4.4382</w:t>
            </w:r>
          </w:p>
        </w:tc>
        <w:tc>
          <w:tcPr>
            <w:tcW w:w="0" w:type="auto"/>
          </w:tcPr>
          <w:p>
            <w:pPr>
              <w:spacing w:line="240" w:lineRule="auto" w:before="0" w:after="0"/>
              <w:pStyle w:val="Compact"/>
            </w:pPr>
            <w:r>
              <w:rPr>
                <w:sz w:val="20"/>
                <w:szCs w:val="20"/>
              </w:rPr>
              <w:t xml:space="preserve">1.0981</w:t>
            </w:r>
          </w:p>
        </w:tc>
        <w:tc>
          <w:tcPr>
            <w:tcW w:w="0" w:type="auto"/>
          </w:tcPr>
          <w:p>
            <w:pPr>
              <w:spacing w:line="240" w:lineRule="auto" w:before="0" w:after="0"/>
              <w:pStyle w:val="Compact"/>
            </w:pPr>
            <w:r>
              <w:rPr>
                <w:sz w:val="20"/>
                <w:szCs w:val="20"/>
              </w:rPr>
              <w:t xml:space="preserve">4.0418</w:t>
            </w:r>
          </w:p>
        </w:tc>
        <w:tc>
          <w:tcPr>
            <w:tcW w:w="0" w:type="auto"/>
          </w:tcPr>
          <w:p>
            <w:pPr>
              <w:spacing w:line="240" w:lineRule="auto" w:before="0" w:after="0"/>
              <w:pStyle w:val="Compact"/>
            </w:pPr>
            <w:r>
              <w:rPr>
                <w:sz w:val="20"/>
                <w:szCs w:val="20"/>
              </w:rPr>
              <w:t xml:space="preserve">5.305e-05</w:t>
            </w:r>
          </w:p>
        </w:tc>
        <w:tc>
          <w:tcPr>
            <w:tcW w:w="0" w:type="auto"/>
          </w:tcPr>
          <w:p>
            <w:pPr>
              <w:spacing w:line="240" w:lineRule="auto" w:before="0" w:after="0"/>
              <w:pStyle w:val="Compact"/>
            </w:pPr>
            <w:r>
              <w:rPr>
                <w:sz w:val="20"/>
                <w:szCs w:val="20"/>
              </w:rPr>
              <w:t xml:space="preserve">[2.286, 6.5904]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0.1299</w:t>
            </w:r>
          </w:p>
        </w:tc>
        <w:tc>
          <w:tcPr>
            <w:tcW w:w="0" w:type="auto"/>
          </w:tcPr>
          <w:p>
            <w:pPr>
              <w:spacing w:line="240" w:lineRule="auto" w:before="0" w:after="0"/>
              <w:pStyle w:val="Compact"/>
            </w:pPr>
            <w:r>
              <w:rPr>
                <w:sz w:val="20"/>
                <w:szCs w:val="20"/>
              </w:rPr>
              <w:t xml:space="preserve">0.3537</w:t>
            </w:r>
          </w:p>
        </w:tc>
        <w:tc>
          <w:tcPr>
            <w:tcW w:w="0" w:type="auto"/>
          </w:tcPr>
          <w:p>
            <w:pPr>
              <w:spacing w:line="240" w:lineRule="auto" w:before="0" w:after="0"/>
              <w:pStyle w:val="Compact"/>
            </w:pPr>
            <w:r>
              <w:rPr>
                <w:sz w:val="20"/>
                <w:szCs w:val="20"/>
              </w:rPr>
              <w:t xml:space="preserve">0.7236</w:t>
            </w:r>
          </w:p>
        </w:tc>
        <w:tc>
          <w:tcPr>
            <w:tcW w:w="0" w:type="auto"/>
          </w:tcPr>
          <w:p>
            <w:pPr>
              <w:spacing w:line="240" w:lineRule="auto" w:before="0" w:after="0"/>
              <w:pStyle w:val="Compact"/>
            </w:pPr>
            <w:r>
              <w:rPr>
                <w:sz w:val="20"/>
                <w:szCs w:val="20"/>
              </w:rPr>
              <w:t xml:space="preserve">[-0.2087, 0.3006]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0.1469</w:t>
            </w:r>
          </w:p>
        </w:tc>
        <w:tc>
          <w:tcPr>
            <w:tcW w:w="0" w:type="auto"/>
          </w:tcPr>
          <w:p>
            <w:pPr>
              <w:spacing w:line="240" w:lineRule="auto" w:before="0" w:after="0"/>
              <w:pStyle w:val="Compact"/>
            </w:pPr>
            <w:r>
              <w:rPr>
                <w:sz w:val="20"/>
                <w:szCs w:val="20"/>
              </w:rPr>
              <w:t xml:space="preserve">0.8832</w:t>
            </w:r>
          </w:p>
        </w:tc>
        <w:tc>
          <w:tcPr>
            <w:tcW w:w="0" w:type="auto"/>
          </w:tcPr>
          <w:p>
            <w:pPr>
              <w:spacing w:line="240" w:lineRule="auto" w:before="0" w:after="0"/>
              <w:pStyle w:val="Compact"/>
            </w:pPr>
            <w:r>
              <w:rPr>
                <w:sz w:val="20"/>
                <w:szCs w:val="20"/>
              </w:rPr>
              <w:t xml:space="preserve">[-0.1106, 0.1285]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-1.1117</w:t>
            </w:r>
          </w:p>
        </w:tc>
        <w:tc>
          <w:tcPr>
            <w:tcW w:w="0" w:type="auto"/>
          </w:tcPr>
          <w:p>
            <w:pPr>
              <w:spacing w:line="240" w:lineRule="auto" w:before="0" w:after="0"/>
              <w:pStyle w:val="Compact"/>
            </w:pPr>
            <w:r>
              <w:rPr>
                <w:sz w:val="20"/>
                <w:szCs w:val="20"/>
              </w:rPr>
              <w:t xml:space="preserve">0.3675</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[-1.8319, -0.3915]</w:t>
            </w:r>
          </w:p>
        </w:tc>
      </w:tr>
    </w:tbl>
    <w:p>
      <w:pPr>
        <w:pStyle w:val="BodyText"/>
      </w:pPr>
      <w:r>
        <w:t xml:space="preserve">Fit: N = 30 R2 = 0.2017 R2_adj = 0.1096 F = 4.887 F_p = 0.008</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INTL_GOVERNANCE_13\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10.64861/WTZM9793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10.64861/XWVP8211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4.4382</w:t>
            </w:r>
          </w:p>
        </w:tc>
        <w:tc>
          <w:tcPr>
            <w:tcW w:w="0" w:type="auto"/>
          </w:tcPr>
          <w:p>
            <w:pPr>
              <w:spacing w:line="240" w:lineRule="auto" w:before="0" w:after="0"/>
              <w:pStyle w:val="Compact"/>
            </w:pPr>
            <w:r>
              <w:rPr>
                <w:sz w:val="20"/>
                <w:szCs w:val="20"/>
              </w:rPr>
              <w:t xml:space="preserve">1.0981</w:t>
            </w:r>
          </w:p>
        </w:tc>
        <w:tc>
          <w:tcPr>
            <w:tcW w:w="0" w:type="auto"/>
          </w:tcPr>
          <w:p>
            <w:pPr>
              <w:spacing w:line="240" w:lineRule="auto" w:before="0" w:after="0"/>
              <w:pStyle w:val="Compact"/>
            </w:pPr>
            <w:r>
              <w:rPr>
                <w:sz w:val="20"/>
                <w:szCs w:val="20"/>
              </w:rPr>
              <w:t xml:space="preserve">4.0418</w:t>
            </w:r>
          </w:p>
        </w:tc>
        <w:tc>
          <w:tcPr>
            <w:tcW w:w="0" w:type="auto"/>
          </w:tcPr>
          <w:p>
            <w:pPr>
              <w:spacing w:line="240" w:lineRule="auto" w:before="0" w:after="0"/>
              <w:pStyle w:val="Compact"/>
            </w:pPr>
            <w:r>
              <w:rPr>
                <w:sz w:val="20"/>
                <w:szCs w:val="20"/>
              </w:rPr>
              <w:t xml:space="preserve">5.305e-05</w:t>
            </w:r>
          </w:p>
        </w:tc>
        <w:tc>
          <w:tcPr>
            <w:tcW w:w="0" w:type="auto"/>
          </w:tcPr>
          <w:p>
            <w:pPr>
              <w:spacing w:line="240" w:lineRule="auto" w:before="0" w:after="0"/>
              <w:pStyle w:val="Compact"/>
            </w:pPr>
            <w:r>
              <w:rPr>
                <w:sz w:val="20"/>
                <w:szCs w:val="20"/>
              </w:rPr>
              <w:t xml:space="preserve">[2.286, 6.5904]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0.1299</w:t>
            </w:r>
          </w:p>
        </w:tc>
        <w:tc>
          <w:tcPr>
            <w:tcW w:w="0" w:type="auto"/>
          </w:tcPr>
          <w:p>
            <w:pPr>
              <w:spacing w:line="240" w:lineRule="auto" w:before="0" w:after="0"/>
              <w:pStyle w:val="Compact"/>
            </w:pPr>
            <w:r>
              <w:rPr>
                <w:sz w:val="20"/>
                <w:szCs w:val="20"/>
              </w:rPr>
              <w:t xml:space="preserve">0.3537</w:t>
            </w:r>
          </w:p>
        </w:tc>
        <w:tc>
          <w:tcPr>
            <w:tcW w:w="0" w:type="auto"/>
          </w:tcPr>
          <w:p>
            <w:pPr>
              <w:spacing w:line="240" w:lineRule="auto" w:before="0" w:after="0"/>
              <w:pStyle w:val="Compact"/>
            </w:pPr>
            <w:r>
              <w:rPr>
                <w:sz w:val="20"/>
                <w:szCs w:val="20"/>
              </w:rPr>
              <w:t xml:space="preserve">0.7236</w:t>
            </w:r>
          </w:p>
        </w:tc>
        <w:tc>
          <w:tcPr>
            <w:tcW w:w="0" w:type="auto"/>
          </w:tcPr>
          <w:p>
            <w:pPr>
              <w:spacing w:line="240" w:lineRule="auto" w:before="0" w:after="0"/>
              <w:pStyle w:val="Compact"/>
            </w:pPr>
            <w:r>
              <w:rPr>
                <w:sz w:val="20"/>
                <w:szCs w:val="20"/>
              </w:rPr>
              <w:t xml:space="preserve">[-0.2087, 0.3006]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0.1469</w:t>
            </w:r>
          </w:p>
        </w:tc>
        <w:tc>
          <w:tcPr>
            <w:tcW w:w="0" w:type="auto"/>
          </w:tcPr>
          <w:p>
            <w:pPr>
              <w:spacing w:line="240" w:lineRule="auto" w:before="0" w:after="0"/>
              <w:pStyle w:val="Compact"/>
            </w:pPr>
            <w:r>
              <w:rPr>
                <w:sz w:val="20"/>
                <w:szCs w:val="20"/>
              </w:rPr>
              <w:t xml:space="preserve">0.8832</w:t>
            </w:r>
          </w:p>
        </w:tc>
        <w:tc>
          <w:tcPr>
            <w:tcW w:w="0" w:type="auto"/>
          </w:tcPr>
          <w:p>
            <w:pPr>
              <w:spacing w:line="240" w:lineRule="auto" w:before="0" w:after="0"/>
              <w:pStyle w:val="Compact"/>
            </w:pPr>
            <w:r>
              <w:rPr>
                <w:sz w:val="20"/>
                <w:szCs w:val="20"/>
              </w:rPr>
              <w:t xml:space="preserve">[-0.1106, 0.1285]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-1.1117</w:t>
            </w:r>
          </w:p>
        </w:tc>
        <w:tc>
          <w:tcPr>
            <w:tcW w:w="0" w:type="auto"/>
          </w:tcPr>
          <w:p>
            <w:pPr>
              <w:spacing w:line="240" w:lineRule="auto" w:before="0" w:after="0"/>
              <w:pStyle w:val="Compact"/>
            </w:pPr>
            <w:r>
              <w:rPr>
                <w:sz w:val="20"/>
                <w:szCs w:val="20"/>
              </w:rPr>
              <w:t xml:space="preserve">0.3675</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[-1.8319, -0.3915]</w:t>
            </w:r>
          </w:p>
        </w:tc>
      </w:tr>
    </w:tbl>
    <w:p>
      <w:pPr>
        <w:pStyle w:val="BodyText"/>
      </w:pPr>
      <w:r>
        <w:t xml:space="preserve">Fit: N = 30 R2 = 0.2017 R2_adj = 0.1096 F = 4.887 F_p = 0.008</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4" Target="https://doi.org/10.64861/DDNM3393" TargetMode="External" /><Relationship Type="http://schemas.openxmlformats.org/officeDocument/2006/relationships/hyperlink" Id="rId69" Target="https://doi.org/10.64861/LFFV2455" TargetMode="External" /><Relationship Type="http://schemas.openxmlformats.org/officeDocument/2006/relationships/hyperlink" Id="rId76" Target="https://doi.org/10.64861/WTZM979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DDNM3393" TargetMode="External" /><Relationship Type="http://schemas.openxmlformats.org/officeDocument/2006/relationships/hyperlink" Id="rId69" Target="https://doi.org/10.64861/LFFV2455" TargetMode="External" /><Relationship Type="http://schemas.openxmlformats.org/officeDocument/2006/relationships/hyperlink" Id="rId76" Target="https://doi.org/10.64861/WTZM9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2026-06-29T09:43:44Z</dcterms:created>
  <dcterms:modified xsi:type="dcterms:W3CDTF">2026-06-29T09:43:44Z</dcterms:modified>
</cp:coreProperties>
</file>

<file path=docProps/custom.xml><?xml version="1.0" encoding="utf-8"?>
<Properties xmlns="http://schemas.openxmlformats.org/officeDocument/2006/custom-properties" xmlns:vt="http://schemas.openxmlformats.org/officeDocument/2006/docPropsVTypes"/>
</file>